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3FF0" w:rsidR="00923FF0" w:rsidP="00AB4887" w:rsidRDefault="00923FF0" w14:paraId="23E833F5" w14:textId="3D6FE8C3">
      <w:pPr>
        <w:suppressAutoHyphens/>
        <w:rPr>
          <w:b/>
          <w:bCs/>
          <w:color w:val="000000"/>
        </w:rPr>
      </w:pPr>
      <w:r>
        <w:rPr>
          <w:color w:val="000000"/>
        </w:rPr>
        <w:t>ALJ/ES2/hma</w:t>
      </w:r>
      <w:r>
        <w:rPr>
          <w:color w:val="000000"/>
        </w:rPr>
        <w:tab/>
      </w:r>
      <w:r>
        <w:rPr>
          <w:color w:val="000000"/>
        </w:rPr>
        <w:tab/>
      </w:r>
      <w:r>
        <w:rPr>
          <w:color w:val="000000"/>
        </w:rPr>
        <w:tab/>
      </w:r>
      <w:r>
        <w:rPr>
          <w:color w:val="000000"/>
        </w:rPr>
        <w:tab/>
      </w:r>
      <w:r w:rsidR="00AB4887">
        <w:rPr>
          <w:b/>
          <w:bCs/>
          <w:color w:val="000000"/>
        </w:rPr>
        <w:tab/>
      </w:r>
      <w:r w:rsidR="00AB4887">
        <w:rPr>
          <w:b/>
          <w:bCs/>
          <w:color w:val="000000"/>
        </w:rPr>
        <w:tab/>
      </w:r>
      <w:r w:rsidR="00AB4887">
        <w:rPr>
          <w:b/>
          <w:bCs/>
          <w:color w:val="000000"/>
        </w:rPr>
        <w:tab/>
      </w:r>
      <w:r w:rsidR="00AB4887">
        <w:rPr>
          <w:b/>
          <w:bCs/>
          <w:color w:val="000000"/>
        </w:rPr>
        <w:tab/>
        <w:t>Date of Issuance: 9/</w:t>
      </w:r>
      <w:r w:rsidR="007F0E3D">
        <w:rPr>
          <w:b/>
          <w:bCs/>
          <w:color w:val="000000"/>
        </w:rPr>
        <w:t>17</w:t>
      </w:r>
      <w:r w:rsidR="00AB4887">
        <w:rPr>
          <w:b/>
          <w:bCs/>
          <w:color w:val="000000"/>
        </w:rPr>
        <w:t>/2024</w:t>
      </w:r>
    </w:p>
    <w:p w:rsidR="00923FF0" w:rsidRDefault="00923FF0" w14:paraId="6138AA3C" w14:textId="77777777">
      <w:pPr>
        <w:suppressAutoHyphens/>
        <w:rPr>
          <w:color w:val="000000"/>
        </w:rPr>
      </w:pPr>
    </w:p>
    <w:p w:rsidR="00923FF0" w:rsidRDefault="00923FF0" w14:paraId="31DE09CD" w14:textId="77777777">
      <w:pPr>
        <w:suppressAutoHyphens/>
        <w:rPr>
          <w:color w:val="000000"/>
        </w:rPr>
      </w:pPr>
    </w:p>
    <w:p w:rsidR="00923FF0" w:rsidRDefault="00923FF0" w14:paraId="44C1084F" w14:textId="77777777">
      <w:pPr>
        <w:suppressAutoHyphens/>
        <w:rPr>
          <w:color w:val="000000"/>
        </w:rPr>
      </w:pPr>
    </w:p>
    <w:p w:rsidRPr="007F620E" w:rsidR="00A92D0B" w:rsidP="00AB4887" w:rsidRDefault="00A92D0B" w14:paraId="6D327C87" w14:textId="30EA0E39">
      <w:pPr>
        <w:suppressAutoHyphens/>
        <w:rPr>
          <w:color w:val="000000"/>
        </w:rPr>
      </w:pPr>
      <w:r w:rsidRPr="007F620E">
        <w:rPr>
          <w:color w:val="000000"/>
        </w:rPr>
        <w:t xml:space="preserve">Decision </w:t>
      </w:r>
      <w:r w:rsidRPr="00AB4887" w:rsidR="00AB4887">
        <w:rPr>
          <w:color w:val="000000"/>
        </w:rPr>
        <w:t>24-09-017</w:t>
      </w:r>
      <w:r w:rsidR="00AB4887">
        <w:rPr>
          <w:color w:val="000000"/>
        </w:rPr>
        <w:t xml:space="preserve"> September 12, 2024</w:t>
      </w:r>
    </w:p>
    <w:p w:rsidRPr="007F620E" w:rsidR="00A92D0B" w:rsidRDefault="00A92D0B" w14:paraId="44E03231" w14:textId="77777777">
      <w:pPr>
        <w:pStyle w:val="titlebar"/>
        <w:rPr>
          <w:rFonts w:ascii="Times New Roman" w:hAnsi="Times New Roman"/>
          <w:color w:val="000000"/>
          <w:sz w:val="24"/>
          <w:szCs w:val="24"/>
        </w:rPr>
      </w:pPr>
    </w:p>
    <w:p w:rsidRPr="0057088A" w:rsidR="00A92D0B" w:rsidRDefault="00A92D0B" w14:paraId="67F2520C"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7F620E" w:rsidR="00A92D0B" w:rsidTr="000911C6" w14:paraId="3942D7B4" w14:textId="77777777">
        <w:tc>
          <w:tcPr>
            <w:tcW w:w="5958" w:type="dxa"/>
            <w:shd w:val="clear" w:color="auto" w:fill="auto"/>
          </w:tcPr>
          <w:p w:rsidR="00A92D0B" w:rsidP="000911C6" w:rsidRDefault="002340A6" w14:paraId="5F0873E7" w14:textId="77777777">
            <w:r w:rsidRPr="002340A6">
              <w:t>Application of Southern California Edison Company (U338E) for Authority to Increase its Authorized Revenues for Electric Service in 2021, among other things, and to Reflect that Increase in Rates.</w:t>
            </w:r>
          </w:p>
          <w:p w:rsidRPr="007F620E" w:rsidR="005E66B6" w:rsidP="000911C6" w:rsidRDefault="005E66B6" w14:paraId="47850BD9" w14:textId="10DB5F21">
            <w:pPr>
              <w:rPr>
                <w:color w:val="000000"/>
              </w:rPr>
            </w:pPr>
          </w:p>
        </w:tc>
        <w:tc>
          <w:tcPr>
            <w:tcW w:w="3870" w:type="dxa"/>
            <w:tcBorders>
              <w:top w:val="nil"/>
              <w:bottom w:val="nil"/>
            </w:tcBorders>
            <w:shd w:val="clear" w:color="auto" w:fill="auto"/>
          </w:tcPr>
          <w:p w:rsidR="00266091" w:rsidP="007E01C6" w:rsidRDefault="00266091" w14:paraId="70B2197C" w14:textId="77777777">
            <w:pPr>
              <w:jc w:val="center"/>
            </w:pPr>
          </w:p>
          <w:p w:rsidRPr="007532DE" w:rsidR="007E01C6" w:rsidP="007E01C6" w:rsidRDefault="007E01C6" w14:paraId="254AD20E" w14:textId="52B7CFF7">
            <w:pPr>
              <w:jc w:val="center"/>
            </w:pPr>
            <w:r w:rsidRPr="007532DE">
              <w:t>Application 19-08-013</w:t>
            </w:r>
          </w:p>
          <w:p w:rsidRPr="007F620E" w:rsidR="00A92D0B" w:rsidP="007E01C6" w:rsidRDefault="007E01C6" w14:paraId="7EC7277D" w14:textId="4269210D">
            <w:pPr>
              <w:jc w:val="center"/>
              <w:rPr>
                <w:color w:val="000000"/>
              </w:rPr>
            </w:pPr>
            <w:r w:rsidRPr="007532DE">
              <w:t>(Filed August 30, 2019)</w:t>
            </w:r>
          </w:p>
        </w:tc>
      </w:tr>
    </w:tbl>
    <w:p w:rsidRPr="007F620E" w:rsidR="00FC72B7" w:rsidRDefault="00FC72B7" w14:paraId="5459E071" w14:textId="77777777">
      <w:pPr>
        <w:jc w:val="center"/>
        <w:rPr>
          <w:b/>
          <w:color w:val="000000"/>
        </w:rPr>
      </w:pPr>
    </w:p>
    <w:p w:rsidRPr="004044F2" w:rsidR="00A92D0B" w:rsidP="00D8517C" w:rsidRDefault="00C3357A" w14:paraId="4BEAFF75" w14:textId="6E37A609">
      <w:pPr>
        <w:suppressAutoHyphens/>
        <w:ind w:left="180" w:right="-450" w:hanging="180"/>
        <w:jc w:val="center"/>
        <w:rPr>
          <w:b/>
          <w:bCs/>
          <w:color w:val="000000"/>
        </w:rPr>
      </w:pPr>
      <w:r w:rsidRPr="004044F2">
        <w:rPr>
          <w:b/>
          <w:bCs/>
          <w:color w:val="000000"/>
        </w:rPr>
        <w:t xml:space="preserve">DECISION GRANTING </w:t>
      </w:r>
      <w:r w:rsidR="004E0A2F">
        <w:rPr>
          <w:b/>
          <w:bCs/>
          <w:color w:val="000000"/>
        </w:rPr>
        <w:t xml:space="preserve">INTERVENOR </w:t>
      </w:r>
      <w:r w:rsidRPr="004044F2">
        <w:rPr>
          <w:b/>
          <w:bCs/>
          <w:color w:val="000000"/>
        </w:rPr>
        <w:t xml:space="preserve">COMPENSATION TO </w:t>
      </w:r>
      <w:r w:rsidRPr="004044F2" w:rsidR="004044F2">
        <w:rPr>
          <w:b/>
          <w:bCs/>
          <w:color w:val="000000"/>
        </w:rPr>
        <w:t>THE UTILITY REFORM</w:t>
      </w:r>
      <w:r w:rsidR="00D8517C">
        <w:rPr>
          <w:b/>
          <w:bCs/>
          <w:color w:val="000000"/>
        </w:rPr>
        <w:t xml:space="preserve"> </w:t>
      </w:r>
      <w:r w:rsidR="004044F2">
        <w:rPr>
          <w:b/>
          <w:bCs/>
          <w:color w:val="000000"/>
        </w:rPr>
        <w:t>N</w:t>
      </w:r>
      <w:r w:rsidRPr="004044F2" w:rsidR="004044F2">
        <w:rPr>
          <w:b/>
          <w:bCs/>
          <w:color w:val="000000"/>
        </w:rPr>
        <w:t>ETWORK</w:t>
      </w:r>
      <w:r w:rsidR="00D33837">
        <w:rPr>
          <w:b/>
          <w:bCs/>
          <w:color w:val="000000"/>
        </w:rPr>
        <w:t xml:space="preserve"> </w:t>
      </w:r>
      <w:r w:rsidRPr="004044F2">
        <w:rPr>
          <w:b/>
          <w:bCs/>
          <w:color w:val="000000"/>
        </w:rPr>
        <w:t>FOR SUBSTANTIAL CONTRIBUTION TO DECISION</w:t>
      </w:r>
      <w:r w:rsidR="00B068B4">
        <w:rPr>
          <w:b/>
          <w:bCs/>
          <w:color w:val="000000"/>
        </w:rPr>
        <w:t xml:space="preserve"> (D.)</w:t>
      </w:r>
      <w:r w:rsidRPr="004044F2">
        <w:rPr>
          <w:b/>
          <w:bCs/>
          <w:color w:val="000000"/>
        </w:rPr>
        <w:t xml:space="preserve"> </w:t>
      </w:r>
      <w:r w:rsidRPr="004044F2" w:rsidR="00234FD6">
        <w:rPr>
          <w:b/>
          <w:bCs/>
          <w:color w:val="000000"/>
        </w:rPr>
        <w:t>23-05-013</w:t>
      </w:r>
      <w:r w:rsidR="00D8517C">
        <w:rPr>
          <w:b/>
          <w:bCs/>
          <w:color w:val="000000"/>
        </w:rPr>
        <w:t xml:space="preserve"> AND</w:t>
      </w:r>
      <w:r w:rsidRPr="004044F2" w:rsidR="00234FD6">
        <w:rPr>
          <w:b/>
          <w:bCs/>
          <w:color w:val="000000"/>
        </w:rPr>
        <w:t xml:space="preserve"> </w:t>
      </w:r>
      <w:r w:rsidR="006C7077">
        <w:rPr>
          <w:b/>
          <w:bCs/>
          <w:color w:val="000000"/>
        </w:rPr>
        <w:t xml:space="preserve">DECISION </w:t>
      </w:r>
      <w:r w:rsidR="00B068B4">
        <w:rPr>
          <w:b/>
          <w:bCs/>
          <w:color w:val="000000"/>
        </w:rPr>
        <w:t>(D</w:t>
      </w:r>
      <w:r w:rsidR="00583BF4">
        <w:rPr>
          <w:b/>
          <w:bCs/>
          <w:color w:val="000000"/>
        </w:rPr>
        <w:t>.</w:t>
      </w:r>
      <w:r w:rsidR="00B068B4">
        <w:rPr>
          <w:b/>
          <w:bCs/>
          <w:color w:val="000000"/>
        </w:rPr>
        <w:t xml:space="preserve">) </w:t>
      </w:r>
      <w:r w:rsidRPr="004044F2" w:rsidR="00234FD6">
        <w:rPr>
          <w:b/>
          <w:bCs/>
          <w:color w:val="000000"/>
        </w:rPr>
        <w:t>23-11-096</w:t>
      </w:r>
    </w:p>
    <w:p w:rsidRPr="007F620E" w:rsidR="00C3357A" w:rsidRDefault="00C3357A" w14:paraId="7D1C7102" w14:textId="77777777">
      <w:pPr>
        <w:suppressAutoHyphens/>
        <w:rPr>
          <w:color w:val="000000"/>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225"/>
        <w:gridCol w:w="5580"/>
      </w:tblGrid>
      <w:tr w:rsidRPr="007F620E" w:rsidR="00A92D0B" w:rsidTr="00DA7D9B" w14:paraId="0FE98F62" w14:textId="77777777">
        <w:tc>
          <w:tcPr>
            <w:tcW w:w="4225" w:type="dxa"/>
            <w:shd w:val="clear" w:color="auto" w:fill="auto"/>
          </w:tcPr>
          <w:p w:rsidR="00A92D0B" w:rsidP="00C47A2B" w:rsidRDefault="005A63D4" w14:paraId="60DAFF34" w14:textId="77777777">
            <w:pPr>
              <w:tabs>
                <w:tab w:val="left" w:pos="1620"/>
                <w:tab w:val="right" w:pos="4500"/>
              </w:tabs>
              <w:rPr>
                <w:bCs/>
                <w:color w:val="000000"/>
              </w:rPr>
            </w:pPr>
            <w:r w:rsidRPr="007F620E">
              <w:rPr>
                <w:b/>
                <w:color w:val="000000"/>
              </w:rPr>
              <w:t>Intervenor</w:t>
            </w:r>
            <w:r w:rsidRPr="007F620E" w:rsidR="00F63C29">
              <w:rPr>
                <w:b/>
                <w:color w:val="000000"/>
              </w:rPr>
              <w:t>:</w:t>
            </w:r>
            <w:r w:rsidR="00691528">
              <w:rPr>
                <w:b/>
                <w:color w:val="000000"/>
              </w:rPr>
              <w:t xml:space="preserve"> </w:t>
            </w:r>
            <w:r w:rsidR="00D31229">
              <w:rPr>
                <w:b/>
                <w:color w:val="000000"/>
              </w:rPr>
              <w:t xml:space="preserve"> </w:t>
            </w:r>
            <w:r w:rsidRPr="00D31229" w:rsidR="00D31229">
              <w:rPr>
                <w:bCs/>
                <w:color w:val="000000"/>
              </w:rPr>
              <w:t xml:space="preserve">The Utility Reform </w:t>
            </w:r>
          </w:p>
          <w:p w:rsidRPr="00691528" w:rsidR="00A03CD9" w:rsidP="00C47A2B" w:rsidRDefault="00A03CD9" w14:paraId="11570D4A" w14:textId="25A21806">
            <w:pPr>
              <w:tabs>
                <w:tab w:val="left" w:pos="1620"/>
                <w:tab w:val="right" w:pos="4500"/>
              </w:tabs>
              <w:rPr>
                <w:color w:val="000000"/>
              </w:rPr>
            </w:pPr>
            <w:r>
              <w:rPr>
                <w:bCs/>
                <w:color w:val="000000"/>
              </w:rPr>
              <w:t xml:space="preserve">                      </w:t>
            </w:r>
            <w:r w:rsidRPr="00A03CD9">
              <w:rPr>
                <w:bCs/>
                <w:color w:val="000000"/>
              </w:rPr>
              <w:t>Network (TURN)</w:t>
            </w:r>
          </w:p>
        </w:tc>
        <w:tc>
          <w:tcPr>
            <w:tcW w:w="5580" w:type="dxa"/>
            <w:shd w:val="clear" w:color="auto" w:fill="auto"/>
          </w:tcPr>
          <w:p w:rsidRPr="00A3146D" w:rsidR="00A92D0B" w:rsidP="00C47A2B" w:rsidRDefault="00A92D0B" w14:paraId="46F067F4" w14:textId="77777777">
            <w:pPr>
              <w:tabs>
                <w:tab w:val="left" w:pos="1872"/>
                <w:tab w:val="right" w:pos="3672"/>
              </w:tabs>
              <w:rPr>
                <w:b/>
                <w:color w:val="000000"/>
              </w:rPr>
            </w:pPr>
            <w:r w:rsidRPr="007F620E">
              <w:rPr>
                <w:b/>
                <w:color w:val="000000"/>
              </w:rPr>
              <w:t xml:space="preserve">For contribution to </w:t>
            </w:r>
            <w:r w:rsidRPr="00A3146D">
              <w:rPr>
                <w:b/>
                <w:color w:val="000000"/>
              </w:rPr>
              <w:t>D</w:t>
            </w:r>
            <w:r w:rsidRPr="00A3146D" w:rsidR="00DE3A5D">
              <w:rPr>
                <w:b/>
                <w:color w:val="000000"/>
              </w:rPr>
              <w:t>ecision</w:t>
            </w:r>
            <w:r w:rsidRPr="00A3146D" w:rsidR="005E13C1">
              <w:rPr>
                <w:b/>
                <w:color w:val="000000"/>
              </w:rPr>
              <w:t>s</w:t>
            </w:r>
            <w:r w:rsidRPr="00A3146D" w:rsidR="00DE3A5D">
              <w:rPr>
                <w:b/>
                <w:color w:val="000000"/>
              </w:rPr>
              <w:t xml:space="preserve"> (D.) </w:t>
            </w:r>
            <w:r w:rsidRPr="00A3146D" w:rsidR="00B32337">
              <w:rPr>
                <w:b/>
                <w:color w:val="000000"/>
              </w:rPr>
              <w:t>23-05-013</w:t>
            </w:r>
            <w:r w:rsidRPr="00A3146D" w:rsidR="000129D2">
              <w:rPr>
                <w:b/>
                <w:color w:val="000000"/>
              </w:rPr>
              <w:t xml:space="preserve"> and </w:t>
            </w:r>
          </w:p>
          <w:p w:rsidRPr="00B515C0" w:rsidR="00B515C0" w:rsidP="00C47A2B" w:rsidRDefault="00B515C0" w14:paraId="53A584EE" w14:textId="4691E715">
            <w:pPr>
              <w:tabs>
                <w:tab w:val="left" w:pos="1872"/>
                <w:tab w:val="right" w:pos="3672"/>
              </w:tabs>
              <w:rPr>
                <w:color w:val="000000"/>
              </w:rPr>
            </w:pPr>
            <w:r w:rsidRPr="00A3146D">
              <w:rPr>
                <w:b/>
                <w:color w:val="000000"/>
              </w:rPr>
              <w:t xml:space="preserve">                                  D.23-11-096</w:t>
            </w:r>
          </w:p>
        </w:tc>
      </w:tr>
      <w:tr w:rsidRPr="007F620E" w:rsidR="00A92D0B" w:rsidTr="00DA7D9B" w14:paraId="47003B8E" w14:textId="77777777">
        <w:tc>
          <w:tcPr>
            <w:tcW w:w="4225" w:type="dxa"/>
            <w:shd w:val="clear" w:color="auto" w:fill="auto"/>
          </w:tcPr>
          <w:p w:rsidRPr="007F620E" w:rsidR="00A92D0B" w:rsidP="00C47A2B" w:rsidRDefault="00A92D0B" w14:paraId="0E2E4BD1" w14:textId="0C0C08DD">
            <w:pPr>
              <w:tabs>
                <w:tab w:val="left" w:pos="1620"/>
                <w:tab w:val="right" w:pos="4500"/>
              </w:tabs>
              <w:rPr>
                <w:b/>
                <w:color w:val="000000"/>
                <w:u w:val="single"/>
              </w:rPr>
            </w:pPr>
            <w:r w:rsidRPr="007F620E">
              <w:rPr>
                <w:b/>
                <w:color w:val="000000"/>
              </w:rPr>
              <w:t>Claimed:</w:t>
            </w:r>
            <w:r w:rsidR="003B5D54">
              <w:rPr>
                <w:b/>
                <w:color w:val="000000"/>
              </w:rPr>
              <w:t xml:space="preserve"> </w:t>
            </w:r>
            <w:r w:rsidRPr="00DA7D9B" w:rsidR="00FC72B7">
              <w:rPr>
                <w:bCs/>
                <w:color w:val="000000"/>
              </w:rPr>
              <w:t>$</w:t>
            </w:r>
            <w:r w:rsidRPr="00DA7D9B" w:rsidR="002B4419">
              <w:rPr>
                <w:bCs/>
                <w:iCs/>
                <w:color w:val="000000"/>
              </w:rPr>
              <w:t>8</w:t>
            </w:r>
            <w:r w:rsidR="002B4419">
              <w:rPr>
                <w:bCs/>
                <w:iCs/>
                <w:color w:val="000000"/>
              </w:rPr>
              <w:t>4,075</w:t>
            </w:r>
            <w:r w:rsidRPr="002A3815" w:rsidR="002A3815">
              <w:rPr>
                <w:bCs/>
                <w:iCs/>
                <w:color w:val="000000"/>
              </w:rPr>
              <w:t>.00</w:t>
            </w:r>
            <w:r w:rsidRPr="0080291A" w:rsidR="00DA0D05">
              <w:rPr>
                <w:rStyle w:val="FootnoteReference"/>
                <w:bCs/>
                <w:color w:val="000000"/>
              </w:rPr>
              <w:footnoteReference w:id="1"/>
            </w:r>
          </w:p>
        </w:tc>
        <w:tc>
          <w:tcPr>
            <w:tcW w:w="5580" w:type="dxa"/>
            <w:tcBorders>
              <w:bottom w:val="single" w:color="auto" w:sz="4" w:space="0"/>
            </w:tcBorders>
            <w:shd w:val="clear" w:color="auto" w:fill="auto"/>
          </w:tcPr>
          <w:p w:rsidRPr="007F620E" w:rsidR="00A92D0B" w:rsidP="00C47A2B" w:rsidRDefault="00A92D0B" w14:paraId="211F40A8" w14:textId="72DCB4A9">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Pr="006A61D9" w:rsidR="006A61D9">
              <w:rPr>
                <w:bCs/>
                <w:color w:val="000000"/>
              </w:rPr>
              <w:t>$</w:t>
            </w:r>
            <w:r w:rsidR="006B34C6">
              <w:rPr>
                <w:bCs/>
                <w:color w:val="000000"/>
              </w:rPr>
              <w:t>104,179.25</w:t>
            </w:r>
          </w:p>
        </w:tc>
      </w:tr>
      <w:tr w:rsidRPr="007F620E" w:rsidR="00A92D0B" w:rsidTr="00DA7D9B" w14:paraId="5C56877D" w14:textId="77777777">
        <w:tc>
          <w:tcPr>
            <w:tcW w:w="4225" w:type="dxa"/>
            <w:shd w:val="clear" w:color="auto" w:fill="auto"/>
          </w:tcPr>
          <w:p w:rsidRPr="003B5D54" w:rsidR="00DA7D9B" w:rsidP="00C47A2B" w:rsidRDefault="00A92D0B" w14:paraId="6EF99E36" w14:textId="7FAFD0CC">
            <w:pPr>
              <w:tabs>
                <w:tab w:val="left" w:pos="3060"/>
                <w:tab w:val="right" w:pos="4500"/>
              </w:tabs>
              <w:rPr>
                <w:bCs/>
                <w:color w:val="000000"/>
              </w:rPr>
            </w:pPr>
            <w:r w:rsidRPr="007F620E">
              <w:rPr>
                <w:b/>
                <w:color w:val="000000"/>
              </w:rPr>
              <w:t>Assigned Commissioner:</w:t>
            </w:r>
            <w:r w:rsidR="00002966">
              <w:rPr>
                <w:b/>
                <w:color w:val="000000"/>
              </w:rPr>
              <w:t xml:space="preserve"> </w:t>
            </w:r>
            <w:r w:rsidRPr="007C6FB8" w:rsidR="003F2250">
              <w:rPr>
                <w:bCs/>
                <w:color w:val="000000"/>
              </w:rPr>
              <w:t xml:space="preserve">Alice </w:t>
            </w:r>
            <w:r w:rsidRPr="007C6FB8" w:rsidR="008E54B6">
              <w:rPr>
                <w:bCs/>
                <w:color w:val="000000"/>
              </w:rPr>
              <w:t>Reynolds</w:t>
            </w:r>
            <w:r w:rsidR="007F0849">
              <w:rPr>
                <w:rStyle w:val="FootnoteReference"/>
                <w:bCs/>
                <w:color w:val="000000"/>
              </w:rPr>
              <w:footnoteReference w:id="2"/>
            </w:r>
            <w:r w:rsidR="00DA7D9B">
              <w:rPr>
                <w:bCs/>
                <w:color w:val="000000"/>
                <w:u w:val="single"/>
              </w:rPr>
              <w:t xml:space="preserve">     </w:t>
            </w:r>
          </w:p>
        </w:tc>
        <w:tc>
          <w:tcPr>
            <w:tcW w:w="5580" w:type="dxa"/>
            <w:shd w:val="clear" w:color="auto" w:fill="auto"/>
          </w:tcPr>
          <w:p w:rsidRPr="00691528" w:rsidR="00A92D0B" w:rsidP="00C47A2B" w:rsidRDefault="00A92D0B" w14:paraId="79375F78" w14:textId="6DD1F505">
            <w:pPr>
              <w:tabs>
                <w:tab w:val="left" w:pos="1872"/>
                <w:tab w:val="right" w:pos="3672"/>
              </w:tabs>
              <w:rPr>
                <w:color w:val="000000"/>
                <w:u w:val="single"/>
              </w:rPr>
            </w:pPr>
            <w:r w:rsidRPr="007F620E">
              <w:rPr>
                <w:b/>
                <w:color w:val="000000"/>
              </w:rPr>
              <w:t>Assigned ALJ:</w:t>
            </w:r>
            <w:r w:rsidR="00070E0F">
              <w:rPr>
                <w:b/>
                <w:color w:val="000000"/>
              </w:rPr>
              <w:t xml:space="preserve"> </w:t>
            </w:r>
            <w:r w:rsidRPr="00163806" w:rsidR="00D31229">
              <w:rPr>
                <w:bCs/>
                <w:color w:val="000000"/>
              </w:rPr>
              <w:t>Ehren D. Seybert</w:t>
            </w:r>
            <w:r w:rsidR="00887A43">
              <w:rPr>
                <w:rStyle w:val="FootnoteReference"/>
                <w:bCs/>
                <w:color w:val="000000"/>
              </w:rPr>
              <w:footnoteReference w:id="3"/>
            </w:r>
          </w:p>
        </w:tc>
      </w:tr>
    </w:tbl>
    <w:p w:rsidR="000741E9" w:rsidP="000741E9" w:rsidRDefault="00E370F3" w14:paraId="758436FF" w14:textId="65C37EA7">
      <w:pPr>
        <w:keepNext/>
        <w:spacing w:before="120"/>
        <w:jc w:val="center"/>
        <w:rPr>
          <w:b/>
          <w:color w:val="000000"/>
        </w:rPr>
      </w:pPr>
      <w:r>
        <w:rPr>
          <w:b/>
          <w:color w:val="000000"/>
        </w:rPr>
        <w:t>P</w:t>
      </w:r>
      <w:r w:rsidRPr="007F620E" w:rsidR="00A92D0B">
        <w:rPr>
          <w:b/>
          <w:color w:val="000000"/>
        </w:rPr>
        <w:t>ART I:</w:t>
      </w:r>
      <w:r w:rsidR="008E182E">
        <w:rPr>
          <w:b/>
          <w:color w:val="000000"/>
        </w:rPr>
        <w:t xml:space="preserve">  </w:t>
      </w:r>
      <w:r w:rsidRPr="007F620E" w:rsidR="00A92D0B">
        <w:rPr>
          <w:b/>
          <w:color w:val="000000"/>
        </w:rPr>
        <w:t>PROC</w:t>
      </w:r>
      <w:r w:rsidR="000911C6">
        <w:rPr>
          <w:b/>
          <w:color w:val="000000"/>
        </w:rPr>
        <w:t>E</w:t>
      </w:r>
      <w:r w:rsidRPr="007F620E" w:rsidR="00A92D0B">
        <w:rPr>
          <w:b/>
          <w:color w:val="000000"/>
        </w:rPr>
        <w:t>DURAL ISSUES</w:t>
      </w:r>
    </w:p>
    <w:p w:rsidRPr="000741E9" w:rsidR="000741E9" w:rsidP="000741E9" w:rsidRDefault="000741E9" w14:paraId="581327F1" w14:textId="77777777">
      <w:pPr>
        <w:keepNext/>
        <w:spacing w:line="120" w:lineRule="auto"/>
        <w:jc w:val="center"/>
        <w:rPr>
          <w:b/>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681110"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00B32337" w:rsidP="00B32337" w:rsidRDefault="00B32337" w14:paraId="3AD7723D" w14:textId="6FBD0343">
            <w:pPr>
              <w:rPr>
                <w:color w:val="000000"/>
              </w:rPr>
            </w:pPr>
            <w:r>
              <w:rPr>
                <w:color w:val="000000"/>
              </w:rPr>
              <w:t xml:space="preserve">In </w:t>
            </w:r>
            <w:r w:rsidRPr="003A65D9">
              <w:rPr>
                <w:b/>
                <w:bCs/>
                <w:color w:val="000000"/>
              </w:rPr>
              <w:t>D.23-05-013 (“Insurance Decision”)</w:t>
            </w:r>
            <w:r w:rsidRPr="006C7077">
              <w:rPr>
                <w:color w:val="000000"/>
              </w:rPr>
              <w:t>,</w:t>
            </w:r>
            <w:r>
              <w:rPr>
                <w:color w:val="000000"/>
              </w:rPr>
              <w:t xml:space="preserve"> the Commission adopted </w:t>
            </w:r>
            <w:r w:rsidRPr="00B32337">
              <w:rPr>
                <w:color w:val="000000"/>
              </w:rPr>
              <w:t>the uncontested settlement agreement proposed by</w:t>
            </w:r>
            <w:r>
              <w:rPr>
                <w:color w:val="000000"/>
              </w:rPr>
              <w:t xml:space="preserve"> Southern California Edison Company (SCE), the Public Advocates Office at the California Public Utilities Commission (Cal Advocates)</w:t>
            </w:r>
            <w:r w:rsidRPr="00B32337">
              <w:rPr>
                <w:color w:val="000000"/>
              </w:rPr>
              <w:t xml:space="preserve">, and </w:t>
            </w:r>
            <w:r>
              <w:rPr>
                <w:color w:val="000000"/>
              </w:rPr>
              <w:t xml:space="preserve">TURN </w:t>
            </w:r>
            <w:r w:rsidRPr="00B32337">
              <w:rPr>
                <w:color w:val="000000"/>
              </w:rPr>
              <w:t xml:space="preserve">addressing SCE’s wildfire liability insurance costs for 2023 and 2024. </w:t>
            </w:r>
            <w:r>
              <w:rPr>
                <w:color w:val="000000"/>
              </w:rPr>
              <w:t xml:space="preserve"> </w:t>
            </w:r>
            <w:r w:rsidRPr="00B32337">
              <w:rPr>
                <w:color w:val="000000"/>
              </w:rPr>
              <w:t>Adoption</w:t>
            </w:r>
            <w:r>
              <w:rPr>
                <w:color w:val="000000"/>
              </w:rPr>
              <w:t xml:space="preserve"> </w:t>
            </w:r>
            <w:r w:rsidRPr="00B32337">
              <w:rPr>
                <w:color w:val="000000"/>
              </w:rPr>
              <w:t>of the settlement agreement result</w:t>
            </w:r>
            <w:r>
              <w:rPr>
                <w:color w:val="000000"/>
              </w:rPr>
              <w:t>ed</w:t>
            </w:r>
            <w:r w:rsidRPr="00B32337">
              <w:rPr>
                <w:color w:val="000000"/>
              </w:rPr>
              <w:t xml:space="preserve"> in a reduction of $80 million to SCE’s</w:t>
            </w:r>
            <w:r w:rsidR="000129D2">
              <w:rPr>
                <w:color w:val="000000"/>
              </w:rPr>
              <w:t xml:space="preserve"> </w:t>
            </w:r>
            <w:r w:rsidRPr="00B32337">
              <w:rPr>
                <w:color w:val="000000"/>
              </w:rPr>
              <w:t>authorized revenue requirement for 2023, a potential $160 million reduction to</w:t>
            </w:r>
            <w:r>
              <w:rPr>
                <w:color w:val="000000"/>
              </w:rPr>
              <w:t xml:space="preserve"> </w:t>
            </w:r>
            <w:r w:rsidRPr="00B32337">
              <w:rPr>
                <w:color w:val="000000"/>
              </w:rPr>
              <w:t>SCE’s requested revenue requirement for 2024, as well as other potential savings</w:t>
            </w:r>
            <w:r>
              <w:rPr>
                <w:color w:val="000000"/>
              </w:rPr>
              <w:t xml:space="preserve"> </w:t>
            </w:r>
            <w:r w:rsidRPr="00B32337">
              <w:rPr>
                <w:color w:val="000000"/>
              </w:rPr>
              <w:t>and benefits to ratepayers.</w:t>
            </w:r>
            <w:r>
              <w:rPr>
                <w:color w:val="000000"/>
              </w:rPr>
              <w:t xml:space="preserve">  </w:t>
            </w:r>
          </w:p>
          <w:p w:rsidR="00B32337" w:rsidP="00B32337" w:rsidRDefault="00B32337" w14:paraId="04029158" w14:textId="77777777">
            <w:pPr>
              <w:rPr>
                <w:color w:val="000000"/>
              </w:rPr>
            </w:pPr>
          </w:p>
          <w:p w:rsidRPr="007F620E" w:rsidR="00C02649" w:rsidP="006F01A0" w:rsidRDefault="00B32337" w14:paraId="67B8ECAA" w14:textId="2D6D4735">
            <w:pPr>
              <w:rPr>
                <w:color w:val="000000"/>
              </w:rPr>
            </w:pPr>
            <w:r>
              <w:rPr>
                <w:color w:val="000000"/>
              </w:rPr>
              <w:lastRenderedPageBreak/>
              <w:t xml:space="preserve">In </w:t>
            </w:r>
            <w:r w:rsidRPr="00400828">
              <w:rPr>
                <w:b/>
                <w:bCs/>
                <w:color w:val="000000"/>
              </w:rPr>
              <w:t>D.23-11-096 (“Track 4 Decision”)</w:t>
            </w:r>
            <w:r>
              <w:rPr>
                <w:color w:val="000000"/>
              </w:rPr>
              <w:t xml:space="preserve">, the Commission adopted the uncontested settlement agreement between SCE, Cal Advocates, TURN, Small Business Utility Advocates (SBUA), and the Coalition of California Utility Employees (CUE) to resolve all issues in Track 4 of this proceeding concerning SCE’s 2024 base revenue requirement.  Consistent with the settlement agreement, the Commission authorized </w:t>
            </w:r>
            <w:r w:rsidR="00006B76">
              <w:rPr>
                <w:color w:val="000000"/>
              </w:rPr>
              <w:t xml:space="preserve">a </w:t>
            </w:r>
            <w:r>
              <w:rPr>
                <w:color w:val="000000"/>
              </w:rPr>
              <w:t>2024 base revenue requirement for SCE of $8.425 billion, which is $181 million less than SCE’s request for $8.606 billion.  Additionally, consistent with D.23-05-013, the Track 4 settlement agreement included a $160 million base revenue requirement reduction for 2024, subject to an additional one-time credit to customers of up to $24 million in 2024 to the extent that those amounts remain unencumbered by wildfire losses as of January 1, 2024.</w:t>
            </w:r>
          </w:p>
        </w:tc>
      </w:tr>
    </w:tbl>
    <w:p w:rsidRPr="007F620E" w:rsidR="00A92D0B" w:rsidP="00880855" w:rsidRDefault="005A63D4" w14:paraId="2FBF046C" w14:textId="341FDB9B">
      <w:pPr>
        <w:keepNext/>
        <w:numPr>
          <w:ilvl w:val="0"/>
          <w:numId w:val="5"/>
        </w:numPr>
        <w:spacing w:before="240" w:after="240"/>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4"/>
      </w:r>
      <w:r w:rsidRPr="007F620E" w:rsidR="00A92D0B">
        <w:rPr>
          <w:b/>
          <w:color w:val="000000"/>
        </w:rPr>
        <w:t>:</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631"/>
      </w:tblGrid>
      <w:tr w:rsidRPr="007F620E" w:rsidR="00A92D0B" w:rsidTr="0040734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631"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407348" w14:paraId="7D83D00D" w14:textId="77777777">
        <w:tc>
          <w:tcPr>
            <w:tcW w:w="971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A92D0B" w:rsidTr="00407348" w14:paraId="160E284A" w14:textId="77777777">
        <w:tc>
          <w:tcPr>
            <w:tcW w:w="4817" w:type="dxa"/>
            <w:tcBorders>
              <w:top w:val="single" w:color="auto" w:sz="4" w:space="0"/>
            </w:tcBorders>
            <w:shd w:val="clear" w:color="auto" w:fill="auto"/>
          </w:tcPr>
          <w:p w:rsidRPr="007F620E" w:rsidR="00A92D0B" w:rsidP="00F028C8" w:rsidRDefault="00A92D0B" w14:paraId="44D1876C" w14:textId="478A95F3">
            <w:pPr>
              <w:keepNext/>
              <w:tabs>
                <w:tab w:val="left" w:pos="360"/>
              </w:tabs>
              <w:ind w:left="360" w:hanging="360"/>
              <w:rPr>
                <w:color w:val="000000"/>
              </w:rPr>
            </w:pPr>
            <w:r w:rsidRPr="007F620E">
              <w:rPr>
                <w:color w:val="000000"/>
              </w:rPr>
              <w:t>1.</w:t>
            </w:r>
            <w:r w:rsidR="001E7EE2">
              <w:rPr>
                <w:color w:val="000000"/>
              </w:rPr>
              <w:tab/>
            </w:r>
            <w:r w:rsidRPr="007F620E">
              <w:rPr>
                <w:color w:val="000000"/>
              </w:rPr>
              <w:t>Date of Prehearing Conference:</w:t>
            </w:r>
          </w:p>
        </w:tc>
        <w:tc>
          <w:tcPr>
            <w:tcW w:w="2267" w:type="dxa"/>
            <w:tcBorders>
              <w:top w:val="single" w:color="auto" w:sz="4" w:space="0"/>
            </w:tcBorders>
            <w:shd w:val="clear" w:color="auto" w:fill="auto"/>
          </w:tcPr>
          <w:p w:rsidRPr="007F620E" w:rsidR="00A92D0B" w:rsidP="00B675D2" w:rsidRDefault="007E01C6" w14:paraId="35450816" w14:textId="5F28A255">
            <w:pPr>
              <w:keepNext/>
              <w:keepLines/>
              <w:tabs>
                <w:tab w:val="left" w:pos="360"/>
              </w:tabs>
              <w:ind w:left="360" w:hanging="360"/>
              <w:jc w:val="center"/>
              <w:rPr>
                <w:color w:val="000000"/>
              </w:rPr>
            </w:pPr>
            <w:r>
              <w:rPr>
                <w:color w:val="000000"/>
              </w:rPr>
              <w:t>10/30/2019</w:t>
            </w:r>
          </w:p>
        </w:tc>
        <w:tc>
          <w:tcPr>
            <w:tcW w:w="2631" w:type="dxa"/>
            <w:tcBorders>
              <w:top w:val="single" w:color="auto" w:sz="4" w:space="0"/>
            </w:tcBorders>
            <w:shd w:val="clear" w:color="auto" w:fill="auto"/>
          </w:tcPr>
          <w:p w:rsidRPr="007F620E" w:rsidR="00A92D0B" w:rsidP="00553062" w:rsidRDefault="00553062" w14:paraId="34540344" w14:textId="533B1CDA">
            <w:pPr>
              <w:keepNext/>
              <w:tabs>
                <w:tab w:val="left" w:pos="360"/>
              </w:tabs>
              <w:jc w:val="center"/>
              <w:rPr>
                <w:color w:val="000000"/>
              </w:rPr>
            </w:pPr>
            <w:r>
              <w:rPr>
                <w:color w:val="000000"/>
              </w:rPr>
              <w:t>Verified</w:t>
            </w:r>
          </w:p>
        </w:tc>
      </w:tr>
      <w:tr w:rsidRPr="007F620E" w:rsidR="00A92D0B" w:rsidTr="00407348" w14:paraId="24C85564" w14:textId="77777777">
        <w:tc>
          <w:tcPr>
            <w:tcW w:w="4817" w:type="dxa"/>
            <w:shd w:val="clear" w:color="auto" w:fill="auto"/>
          </w:tcPr>
          <w:p w:rsidRPr="007F620E" w:rsidR="00A92D0B" w:rsidP="00F028C8" w:rsidRDefault="00A92D0B" w14:paraId="382C5788" w14:textId="49F0E39E">
            <w:pPr>
              <w:tabs>
                <w:tab w:val="left" w:pos="360"/>
              </w:tabs>
              <w:ind w:left="360" w:hanging="360"/>
              <w:rPr>
                <w:color w:val="000000"/>
              </w:rPr>
            </w:pPr>
            <w:r w:rsidRPr="007F620E">
              <w:rPr>
                <w:color w:val="000000"/>
              </w:rPr>
              <w:t>2.</w:t>
            </w:r>
            <w:r w:rsidR="001E7EE2">
              <w:rPr>
                <w:color w:val="000000"/>
              </w:rPr>
              <w:tab/>
            </w:r>
            <w:r w:rsidRPr="007F620E">
              <w:rPr>
                <w:color w:val="000000"/>
              </w:rPr>
              <w:t xml:space="preserve">Other </w:t>
            </w:r>
            <w:r w:rsidRPr="007F620E" w:rsidR="00A319DE">
              <w:rPr>
                <w:color w:val="000000"/>
              </w:rPr>
              <w:t>s</w:t>
            </w:r>
            <w:r w:rsidRPr="007F620E">
              <w:rPr>
                <w:color w:val="000000"/>
              </w:rPr>
              <w:t xml:space="preserve">pecified </w:t>
            </w:r>
            <w:r w:rsidRPr="007F620E" w:rsidR="00A319DE">
              <w:rPr>
                <w:color w:val="000000"/>
              </w:rPr>
              <w:t>d</w:t>
            </w:r>
            <w:r w:rsidRPr="007F620E">
              <w:rPr>
                <w:color w:val="000000"/>
              </w:rPr>
              <w:t>ate for NOI:</w:t>
            </w:r>
          </w:p>
        </w:tc>
        <w:tc>
          <w:tcPr>
            <w:tcW w:w="2267" w:type="dxa"/>
            <w:shd w:val="clear" w:color="auto" w:fill="auto"/>
          </w:tcPr>
          <w:p w:rsidRPr="007F620E" w:rsidR="00A92D0B" w:rsidP="00B675D2" w:rsidRDefault="00A92D0B" w14:paraId="1826BC2C" w14:textId="77777777">
            <w:pPr>
              <w:keepNext/>
              <w:keepLines/>
              <w:tabs>
                <w:tab w:val="left" w:pos="360"/>
              </w:tabs>
              <w:ind w:left="360" w:hanging="360"/>
              <w:jc w:val="center"/>
              <w:rPr>
                <w:color w:val="000000"/>
              </w:rPr>
            </w:pPr>
          </w:p>
        </w:tc>
        <w:tc>
          <w:tcPr>
            <w:tcW w:w="2631" w:type="dxa"/>
            <w:shd w:val="clear" w:color="auto" w:fill="auto"/>
          </w:tcPr>
          <w:p w:rsidRPr="007F620E" w:rsidR="00A92D0B" w:rsidP="00553062" w:rsidRDefault="00A92D0B" w14:paraId="210DAD91" w14:textId="77777777">
            <w:pPr>
              <w:tabs>
                <w:tab w:val="left" w:pos="360"/>
              </w:tabs>
              <w:jc w:val="center"/>
              <w:rPr>
                <w:color w:val="000000"/>
              </w:rPr>
            </w:pPr>
          </w:p>
        </w:tc>
      </w:tr>
      <w:tr w:rsidRPr="007F620E" w:rsidR="00A92D0B" w:rsidTr="00407348" w14:paraId="4836EEA6" w14:textId="77777777">
        <w:tc>
          <w:tcPr>
            <w:tcW w:w="4817" w:type="dxa"/>
            <w:shd w:val="clear" w:color="auto" w:fill="auto"/>
          </w:tcPr>
          <w:p w:rsidRPr="007F620E" w:rsidR="00A92D0B" w:rsidP="00F028C8" w:rsidRDefault="00A92D0B" w14:paraId="34809C45" w14:textId="2501A8A3">
            <w:pPr>
              <w:tabs>
                <w:tab w:val="left" w:pos="360"/>
              </w:tabs>
              <w:ind w:left="360" w:hanging="360"/>
              <w:rPr>
                <w:color w:val="000000"/>
              </w:rPr>
            </w:pPr>
            <w:r w:rsidRPr="007F620E">
              <w:rPr>
                <w:color w:val="000000"/>
              </w:rPr>
              <w:t>3.</w:t>
            </w:r>
            <w:r w:rsidR="001E7EE2">
              <w:rPr>
                <w:color w:val="000000"/>
              </w:rPr>
              <w:tab/>
            </w:r>
            <w:r w:rsidRPr="007F620E">
              <w:rPr>
                <w:color w:val="000000"/>
              </w:rPr>
              <w:t xml:space="preserve">Date NOI </w:t>
            </w:r>
            <w:r w:rsidRPr="007F620E" w:rsidR="00A319DE">
              <w:rPr>
                <w:color w:val="000000"/>
              </w:rPr>
              <w:t>f</w:t>
            </w:r>
            <w:r w:rsidRPr="007F620E">
              <w:rPr>
                <w:color w:val="000000"/>
              </w:rPr>
              <w:t>iled:</w:t>
            </w:r>
          </w:p>
        </w:tc>
        <w:tc>
          <w:tcPr>
            <w:tcW w:w="2267" w:type="dxa"/>
            <w:tcBorders>
              <w:bottom w:val="single" w:color="auto" w:sz="4" w:space="0"/>
            </w:tcBorders>
            <w:shd w:val="clear" w:color="auto" w:fill="auto"/>
          </w:tcPr>
          <w:p w:rsidRPr="007F620E" w:rsidR="00A92D0B" w:rsidP="00B675D2" w:rsidRDefault="007E01C6" w14:paraId="44F7CCB9" w14:textId="234C0CDE">
            <w:pPr>
              <w:keepNext/>
              <w:keepLines/>
              <w:tabs>
                <w:tab w:val="left" w:pos="360"/>
              </w:tabs>
              <w:ind w:left="360" w:hanging="360"/>
              <w:jc w:val="center"/>
              <w:rPr>
                <w:color w:val="000000"/>
              </w:rPr>
            </w:pPr>
            <w:r>
              <w:rPr>
                <w:color w:val="000000"/>
              </w:rPr>
              <w:t>11/26/2019</w:t>
            </w:r>
          </w:p>
        </w:tc>
        <w:tc>
          <w:tcPr>
            <w:tcW w:w="2631" w:type="dxa"/>
            <w:tcBorders>
              <w:bottom w:val="single" w:color="auto" w:sz="4" w:space="0"/>
            </w:tcBorders>
            <w:shd w:val="clear" w:color="auto" w:fill="auto"/>
          </w:tcPr>
          <w:p w:rsidRPr="007F620E" w:rsidR="00A92D0B" w:rsidP="00553062" w:rsidRDefault="00553062" w14:paraId="71759DE3" w14:textId="771E8109">
            <w:pPr>
              <w:tabs>
                <w:tab w:val="left" w:pos="360"/>
              </w:tabs>
              <w:jc w:val="center"/>
              <w:rPr>
                <w:color w:val="000000"/>
              </w:rPr>
            </w:pPr>
            <w:r>
              <w:rPr>
                <w:color w:val="000000"/>
              </w:rPr>
              <w:t>Verified</w:t>
            </w:r>
          </w:p>
        </w:tc>
      </w:tr>
      <w:tr w:rsidRPr="007F620E" w:rsidR="00A92D0B" w:rsidTr="00407348"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631" w:type="dxa"/>
            <w:tcBorders>
              <w:bottom w:val="single" w:color="auto" w:sz="4" w:space="0"/>
            </w:tcBorders>
            <w:shd w:val="clear" w:color="auto" w:fill="auto"/>
          </w:tcPr>
          <w:p w:rsidRPr="007F620E" w:rsidR="00A92D0B" w:rsidP="00553062" w:rsidRDefault="00553062" w14:paraId="61DE2845" w14:textId="4834DF3D">
            <w:pPr>
              <w:tabs>
                <w:tab w:val="left" w:pos="360"/>
              </w:tabs>
              <w:jc w:val="center"/>
              <w:rPr>
                <w:color w:val="000000"/>
              </w:rPr>
            </w:pPr>
            <w:r>
              <w:rPr>
                <w:color w:val="000000"/>
              </w:rPr>
              <w:t>Yes</w:t>
            </w:r>
          </w:p>
        </w:tc>
      </w:tr>
      <w:tr w:rsidRPr="007F620E" w:rsidR="00A92D0B" w:rsidTr="00407348" w14:paraId="4CD7D46A" w14:textId="77777777">
        <w:tc>
          <w:tcPr>
            <w:tcW w:w="9715"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A92D0B" w:rsidTr="00407348" w14:paraId="259EC227" w14:textId="77777777">
        <w:tc>
          <w:tcPr>
            <w:tcW w:w="4817" w:type="dxa"/>
            <w:tcBorders>
              <w:top w:val="single" w:color="auto" w:sz="4" w:space="0"/>
            </w:tcBorders>
            <w:shd w:val="clear" w:color="auto" w:fill="auto"/>
          </w:tcPr>
          <w:p w:rsidRPr="007F620E" w:rsidR="00A92D0B" w:rsidP="00F028C8" w:rsidRDefault="00A92D0B" w14:paraId="0EFCD0E9" w14:textId="1A5E3FBE">
            <w:pPr>
              <w:keepNext/>
              <w:keepLines/>
              <w:ind w:left="360" w:hanging="360"/>
              <w:rPr>
                <w:color w:val="000000"/>
              </w:rPr>
            </w:pPr>
            <w:r w:rsidRPr="007F620E">
              <w:rPr>
                <w:color w:val="000000"/>
              </w:rPr>
              <w:t>5.</w:t>
            </w:r>
            <w:r w:rsidR="001E7EE2">
              <w:rPr>
                <w:color w:val="000000"/>
              </w:rPr>
              <w:tab/>
            </w:r>
            <w:r w:rsidRPr="007F620E">
              <w:rPr>
                <w:color w:val="000000"/>
              </w:rPr>
              <w:t xml:space="preserve">Based on ALJ ruling issued in proceeding </w:t>
            </w:r>
            <w:r w:rsidRPr="007F620E" w:rsidR="00E3786F">
              <w:rPr>
                <w:color w:val="000000"/>
              </w:rPr>
              <w:t xml:space="preserve">  </w:t>
            </w:r>
            <w:r w:rsidRPr="007F620E">
              <w:rPr>
                <w:color w:val="000000"/>
              </w:rPr>
              <w:t>number:</w:t>
            </w:r>
          </w:p>
        </w:tc>
        <w:tc>
          <w:tcPr>
            <w:tcW w:w="2267" w:type="dxa"/>
            <w:tcBorders>
              <w:top w:val="single" w:color="auto" w:sz="4" w:space="0"/>
            </w:tcBorders>
            <w:shd w:val="clear" w:color="auto" w:fill="auto"/>
          </w:tcPr>
          <w:p w:rsidRPr="007F620E" w:rsidR="00A92D0B" w:rsidP="00B675D2" w:rsidRDefault="007E01C6" w14:paraId="13E72B6D" w14:textId="4D42F1B3">
            <w:pPr>
              <w:keepNext/>
              <w:keepLines/>
              <w:tabs>
                <w:tab w:val="left" w:pos="360"/>
              </w:tabs>
              <w:ind w:left="360" w:hanging="360"/>
              <w:jc w:val="center"/>
              <w:rPr>
                <w:color w:val="000000"/>
              </w:rPr>
            </w:pPr>
            <w:r>
              <w:rPr>
                <w:color w:val="000000"/>
              </w:rPr>
              <w:t>R.19-01-011</w:t>
            </w:r>
          </w:p>
        </w:tc>
        <w:tc>
          <w:tcPr>
            <w:tcW w:w="2631" w:type="dxa"/>
            <w:tcBorders>
              <w:top w:val="single" w:color="auto" w:sz="4" w:space="0"/>
            </w:tcBorders>
            <w:shd w:val="clear" w:color="auto" w:fill="auto"/>
          </w:tcPr>
          <w:p w:rsidRPr="007F620E" w:rsidR="00A92D0B" w:rsidP="00553062" w:rsidRDefault="00553062" w14:paraId="2679B197" w14:textId="73D6441F">
            <w:pPr>
              <w:keepNext/>
              <w:keepLines/>
              <w:tabs>
                <w:tab w:val="left" w:pos="360"/>
              </w:tabs>
              <w:jc w:val="center"/>
              <w:rPr>
                <w:color w:val="000000"/>
              </w:rPr>
            </w:pPr>
            <w:r>
              <w:rPr>
                <w:color w:val="000000"/>
              </w:rPr>
              <w:t>Verified</w:t>
            </w:r>
          </w:p>
        </w:tc>
      </w:tr>
      <w:tr w:rsidRPr="007F620E" w:rsidR="00A92D0B" w:rsidTr="00407348" w14:paraId="4E0FB3B6" w14:textId="77777777">
        <w:tc>
          <w:tcPr>
            <w:tcW w:w="4817" w:type="dxa"/>
            <w:shd w:val="clear" w:color="auto" w:fill="auto"/>
          </w:tcPr>
          <w:p w:rsidRPr="007F620E" w:rsidR="00A92D0B" w:rsidP="00F028C8" w:rsidRDefault="00A92D0B" w14:paraId="568B12E8" w14:textId="6121FC05">
            <w:pPr>
              <w:tabs>
                <w:tab w:val="left" w:pos="360"/>
              </w:tabs>
              <w:ind w:left="360" w:hanging="360"/>
              <w:rPr>
                <w:color w:val="000000"/>
              </w:rPr>
            </w:pPr>
            <w:r w:rsidRPr="007F620E">
              <w:rPr>
                <w:color w:val="000000"/>
              </w:rPr>
              <w:t>6.</w:t>
            </w:r>
            <w:r w:rsidR="001E7EE2">
              <w:rPr>
                <w:color w:val="000000"/>
              </w:rPr>
              <w:tab/>
            </w:r>
            <w:r w:rsidRPr="007F620E">
              <w:rPr>
                <w:color w:val="000000"/>
              </w:rPr>
              <w:t>Date of ALJ ruling:</w:t>
            </w:r>
          </w:p>
        </w:tc>
        <w:tc>
          <w:tcPr>
            <w:tcW w:w="2267" w:type="dxa"/>
            <w:shd w:val="clear" w:color="auto" w:fill="auto"/>
          </w:tcPr>
          <w:p w:rsidRPr="007F620E" w:rsidR="00A92D0B" w:rsidP="00B675D2" w:rsidRDefault="007E01C6" w14:paraId="306125B9" w14:textId="2BD01485">
            <w:pPr>
              <w:tabs>
                <w:tab w:val="left" w:pos="360"/>
              </w:tabs>
              <w:ind w:left="360" w:hanging="360"/>
              <w:jc w:val="center"/>
              <w:rPr>
                <w:color w:val="000000"/>
              </w:rPr>
            </w:pPr>
            <w:r>
              <w:rPr>
                <w:color w:val="000000"/>
              </w:rPr>
              <w:t>7/26/2019</w:t>
            </w:r>
          </w:p>
        </w:tc>
        <w:tc>
          <w:tcPr>
            <w:tcW w:w="2631" w:type="dxa"/>
            <w:shd w:val="clear" w:color="auto" w:fill="auto"/>
          </w:tcPr>
          <w:p w:rsidRPr="007F620E" w:rsidR="00A92D0B" w:rsidP="00553062" w:rsidRDefault="00553062" w14:paraId="19F10313" w14:textId="58440EFB">
            <w:pPr>
              <w:tabs>
                <w:tab w:val="left" w:pos="360"/>
              </w:tabs>
              <w:jc w:val="center"/>
              <w:rPr>
                <w:color w:val="000000"/>
              </w:rPr>
            </w:pPr>
            <w:r>
              <w:rPr>
                <w:color w:val="000000"/>
              </w:rPr>
              <w:t>Verified</w:t>
            </w:r>
          </w:p>
        </w:tc>
      </w:tr>
      <w:tr w:rsidRPr="007F620E" w:rsidR="00A92D0B" w:rsidTr="00407348" w14:paraId="7F6C1E54" w14:textId="77777777">
        <w:tc>
          <w:tcPr>
            <w:tcW w:w="4817" w:type="dxa"/>
            <w:shd w:val="clear" w:color="auto" w:fill="auto"/>
          </w:tcPr>
          <w:p w:rsidRPr="007F620E" w:rsidR="00A92D0B" w:rsidP="00F028C8" w:rsidRDefault="00A92D0B" w14:paraId="4B6E35B7" w14:textId="56E59D65">
            <w:pPr>
              <w:tabs>
                <w:tab w:val="left" w:pos="360"/>
              </w:tabs>
              <w:ind w:left="360" w:hanging="360"/>
              <w:rPr>
                <w:color w:val="000000"/>
              </w:rPr>
            </w:pPr>
            <w:r w:rsidRPr="007F620E">
              <w:rPr>
                <w:color w:val="000000"/>
              </w:rPr>
              <w:t>7.</w:t>
            </w:r>
            <w:r w:rsidR="001E7EE2">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A92D0B" w:rsidP="00F028C8" w:rsidRDefault="00A92D0B" w14:paraId="5E0F9D32" w14:textId="77777777">
            <w:pPr>
              <w:tabs>
                <w:tab w:val="left" w:pos="360"/>
              </w:tabs>
              <w:ind w:left="360" w:hanging="360"/>
              <w:rPr>
                <w:color w:val="000000"/>
              </w:rPr>
            </w:pPr>
          </w:p>
        </w:tc>
        <w:tc>
          <w:tcPr>
            <w:tcW w:w="2631" w:type="dxa"/>
            <w:tcBorders>
              <w:bottom w:val="single" w:color="auto" w:sz="4" w:space="0"/>
            </w:tcBorders>
            <w:shd w:val="clear" w:color="auto" w:fill="auto"/>
          </w:tcPr>
          <w:p w:rsidRPr="007F620E" w:rsidR="00A92D0B" w:rsidP="00553062" w:rsidRDefault="00A92D0B" w14:paraId="180E80B3" w14:textId="77777777">
            <w:pPr>
              <w:tabs>
                <w:tab w:val="left" w:pos="360"/>
              </w:tabs>
              <w:jc w:val="center"/>
              <w:rPr>
                <w:color w:val="000000"/>
              </w:rPr>
            </w:pPr>
          </w:p>
        </w:tc>
      </w:tr>
      <w:tr w:rsidRPr="007F620E" w:rsidR="00A92D0B" w:rsidTr="00407348" w14:paraId="397CC4AD" w14:textId="77777777">
        <w:tc>
          <w:tcPr>
            <w:tcW w:w="7084" w:type="dxa"/>
            <w:gridSpan w:val="2"/>
            <w:tcBorders>
              <w:bottom w:val="single" w:color="auto" w:sz="4" w:space="0"/>
            </w:tcBorders>
            <w:shd w:val="clear" w:color="auto" w:fill="auto"/>
          </w:tcPr>
          <w:p w:rsidRPr="007F620E" w:rsidR="00A92D0B" w:rsidP="00F028C8" w:rsidRDefault="00A92D0B" w14:paraId="71D46B68" w14:textId="56857D2E">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Pr="007F620E" w:rsidR="005A63D4">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631" w:type="dxa"/>
            <w:tcBorders>
              <w:bottom w:val="single" w:color="auto" w:sz="4" w:space="0"/>
            </w:tcBorders>
            <w:shd w:val="clear" w:color="auto" w:fill="auto"/>
          </w:tcPr>
          <w:p w:rsidRPr="007F620E" w:rsidR="00A92D0B" w:rsidP="00553062" w:rsidRDefault="00553062" w14:paraId="7D296E63" w14:textId="4B76230D">
            <w:pPr>
              <w:tabs>
                <w:tab w:val="left" w:pos="360"/>
              </w:tabs>
              <w:jc w:val="center"/>
              <w:rPr>
                <w:color w:val="000000"/>
              </w:rPr>
            </w:pPr>
            <w:r>
              <w:rPr>
                <w:color w:val="000000"/>
              </w:rPr>
              <w:t>Yes</w:t>
            </w:r>
          </w:p>
        </w:tc>
      </w:tr>
      <w:tr w:rsidRPr="007F620E" w:rsidR="00A92D0B" w:rsidTr="00407348" w14:paraId="33231C71" w14:textId="77777777">
        <w:tc>
          <w:tcPr>
            <w:tcW w:w="971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F028C8" w:rsidRDefault="00A92D0B" w14:paraId="0291EC4E" w14:textId="77777777">
            <w:pPr>
              <w:keepNext/>
              <w:tabs>
                <w:tab w:val="left" w:pos="360"/>
              </w:tabs>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B675D2" w:rsidTr="00407348" w14:paraId="77F91856" w14:textId="77777777">
        <w:tc>
          <w:tcPr>
            <w:tcW w:w="4817" w:type="dxa"/>
            <w:tcBorders>
              <w:top w:val="single" w:color="auto" w:sz="4" w:space="0"/>
            </w:tcBorders>
            <w:shd w:val="clear" w:color="auto" w:fill="auto"/>
          </w:tcPr>
          <w:p w:rsidRPr="007F620E" w:rsidR="00B675D2" w:rsidP="00B675D2" w:rsidRDefault="00B675D2"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B675D2" w:rsidP="00B675D2" w:rsidRDefault="00B675D2" w14:paraId="54B4911C" w14:textId="531EF043">
            <w:pPr>
              <w:tabs>
                <w:tab w:val="left" w:pos="360"/>
              </w:tabs>
              <w:ind w:left="360" w:hanging="360"/>
              <w:jc w:val="center"/>
              <w:rPr>
                <w:color w:val="000000"/>
              </w:rPr>
            </w:pPr>
            <w:r>
              <w:rPr>
                <w:color w:val="000000"/>
              </w:rPr>
              <w:t>R.19-01-011</w:t>
            </w:r>
          </w:p>
        </w:tc>
        <w:tc>
          <w:tcPr>
            <w:tcW w:w="2631" w:type="dxa"/>
            <w:tcBorders>
              <w:top w:val="single" w:color="auto" w:sz="4" w:space="0"/>
            </w:tcBorders>
            <w:shd w:val="clear" w:color="auto" w:fill="auto"/>
          </w:tcPr>
          <w:p w:rsidRPr="007F620E" w:rsidR="00B675D2" w:rsidP="00553062" w:rsidRDefault="00553062" w14:paraId="2E2FB9D6" w14:textId="73769707">
            <w:pPr>
              <w:tabs>
                <w:tab w:val="left" w:pos="360"/>
              </w:tabs>
              <w:jc w:val="center"/>
              <w:rPr>
                <w:color w:val="000000"/>
              </w:rPr>
            </w:pPr>
            <w:r>
              <w:rPr>
                <w:color w:val="000000"/>
              </w:rPr>
              <w:t>Verified</w:t>
            </w:r>
          </w:p>
        </w:tc>
      </w:tr>
      <w:tr w:rsidRPr="007F620E" w:rsidR="00B675D2" w:rsidTr="00407348" w14:paraId="4AD750C1" w14:textId="77777777">
        <w:tc>
          <w:tcPr>
            <w:tcW w:w="4817" w:type="dxa"/>
            <w:shd w:val="clear" w:color="auto" w:fill="auto"/>
          </w:tcPr>
          <w:p w:rsidRPr="007F620E" w:rsidR="00B675D2" w:rsidP="00B675D2" w:rsidRDefault="00B675D2" w14:paraId="2A279407" w14:textId="1E831EEE">
            <w:pPr>
              <w:ind w:left="360" w:hanging="360"/>
              <w:rPr>
                <w:color w:val="000000"/>
              </w:rPr>
            </w:pPr>
            <w:r w:rsidRPr="007F620E">
              <w:rPr>
                <w:color w:val="000000"/>
              </w:rPr>
              <w:lastRenderedPageBreak/>
              <w:t>10.</w:t>
            </w:r>
            <w:r>
              <w:rPr>
                <w:color w:val="000000"/>
              </w:rPr>
              <w:tab/>
            </w:r>
            <w:r w:rsidRPr="007F620E">
              <w:rPr>
                <w:color w:val="000000"/>
              </w:rPr>
              <w:t>Date of ALJ ruling:</w:t>
            </w:r>
          </w:p>
        </w:tc>
        <w:tc>
          <w:tcPr>
            <w:tcW w:w="2267" w:type="dxa"/>
            <w:shd w:val="clear" w:color="auto" w:fill="auto"/>
          </w:tcPr>
          <w:p w:rsidRPr="007F620E" w:rsidR="00B675D2" w:rsidP="00B675D2" w:rsidRDefault="00B675D2" w14:paraId="4B66A2E4" w14:textId="64F40E8F">
            <w:pPr>
              <w:tabs>
                <w:tab w:val="left" w:pos="360"/>
              </w:tabs>
              <w:ind w:left="360" w:hanging="360"/>
              <w:jc w:val="center"/>
              <w:rPr>
                <w:color w:val="000000"/>
              </w:rPr>
            </w:pPr>
            <w:r>
              <w:rPr>
                <w:color w:val="000000"/>
              </w:rPr>
              <w:t>7/26/2019</w:t>
            </w:r>
          </w:p>
        </w:tc>
        <w:tc>
          <w:tcPr>
            <w:tcW w:w="2631" w:type="dxa"/>
            <w:shd w:val="clear" w:color="auto" w:fill="auto"/>
          </w:tcPr>
          <w:p w:rsidRPr="007F620E" w:rsidR="00B675D2" w:rsidP="00553062" w:rsidRDefault="00553062" w14:paraId="3B83D035" w14:textId="52787311">
            <w:pPr>
              <w:tabs>
                <w:tab w:val="left" w:pos="360"/>
              </w:tabs>
              <w:jc w:val="center"/>
              <w:rPr>
                <w:color w:val="000000"/>
              </w:rPr>
            </w:pPr>
            <w:r>
              <w:rPr>
                <w:color w:val="000000"/>
              </w:rPr>
              <w:t>Verified</w:t>
            </w:r>
          </w:p>
        </w:tc>
      </w:tr>
      <w:tr w:rsidRPr="007F620E" w:rsidR="00357F1A" w:rsidTr="00407348" w14:paraId="7C183C5E" w14:textId="77777777">
        <w:tc>
          <w:tcPr>
            <w:tcW w:w="4817" w:type="dxa"/>
            <w:shd w:val="clear" w:color="auto" w:fill="auto"/>
          </w:tcPr>
          <w:p w:rsidRPr="007F620E" w:rsidR="00357F1A" w:rsidP="00F028C8" w:rsidRDefault="00357F1A" w14:paraId="4141CB3D" w14:textId="2DCA8797">
            <w:pPr>
              <w:ind w:left="360" w:hanging="360"/>
              <w:rPr>
                <w:color w:val="000000"/>
              </w:rPr>
            </w:pPr>
            <w:r w:rsidRPr="007F620E">
              <w:rPr>
                <w:color w:val="000000"/>
              </w:rPr>
              <w:t>11.</w:t>
            </w:r>
            <w:r w:rsidR="001E7EE2">
              <w:rPr>
                <w:color w:val="000000"/>
              </w:rPr>
              <w:tab/>
            </w:r>
            <w:r w:rsidRPr="007F620E">
              <w:rPr>
                <w:color w:val="000000"/>
              </w:rPr>
              <w:t>Based on another CPUC determination (specify):</w:t>
            </w:r>
          </w:p>
        </w:tc>
        <w:tc>
          <w:tcPr>
            <w:tcW w:w="2267" w:type="dxa"/>
            <w:shd w:val="clear" w:color="auto" w:fill="auto"/>
          </w:tcPr>
          <w:p w:rsidRPr="007F620E" w:rsidR="00357F1A" w:rsidP="00F028C8" w:rsidRDefault="00357F1A" w14:paraId="141EB5CF" w14:textId="77777777">
            <w:pPr>
              <w:tabs>
                <w:tab w:val="left" w:pos="360"/>
              </w:tabs>
              <w:ind w:left="360" w:hanging="360"/>
              <w:rPr>
                <w:color w:val="000000"/>
              </w:rPr>
            </w:pPr>
          </w:p>
        </w:tc>
        <w:tc>
          <w:tcPr>
            <w:tcW w:w="2631" w:type="dxa"/>
            <w:shd w:val="clear" w:color="auto" w:fill="auto"/>
          </w:tcPr>
          <w:p w:rsidRPr="007F620E" w:rsidR="00357F1A" w:rsidP="00553062" w:rsidRDefault="00357F1A" w14:paraId="79318715" w14:textId="77777777">
            <w:pPr>
              <w:tabs>
                <w:tab w:val="left" w:pos="360"/>
              </w:tabs>
              <w:jc w:val="center"/>
              <w:rPr>
                <w:color w:val="000000"/>
              </w:rPr>
            </w:pPr>
          </w:p>
        </w:tc>
      </w:tr>
      <w:tr w:rsidRPr="007F620E" w:rsidR="00A92D0B" w:rsidTr="00407348" w14:paraId="4E8D20BF" w14:textId="77777777">
        <w:tc>
          <w:tcPr>
            <w:tcW w:w="7084" w:type="dxa"/>
            <w:gridSpan w:val="2"/>
            <w:tcBorders>
              <w:bottom w:val="single" w:color="auto" w:sz="4" w:space="0"/>
            </w:tcBorders>
            <w:shd w:val="clear" w:color="auto" w:fill="auto"/>
          </w:tcPr>
          <w:p w:rsidRPr="007F620E" w:rsidR="00A92D0B" w:rsidP="00F028C8" w:rsidRDefault="00180E8C" w14:paraId="48D0D936" w14:textId="6A3DF8B8">
            <w:pPr>
              <w:tabs>
                <w:tab w:val="left" w:pos="360"/>
              </w:tabs>
              <w:ind w:left="360" w:hanging="360"/>
              <w:rPr>
                <w:color w:val="000000"/>
              </w:rPr>
            </w:pPr>
            <w:r>
              <w:rPr>
                <w:color w:val="000000"/>
              </w:rPr>
              <w:t>12</w:t>
            </w:r>
            <w:r w:rsidRPr="007F620E" w:rsidR="00A92D0B">
              <w:rPr>
                <w:color w:val="000000"/>
              </w:rPr>
              <w:t>.</w:t>
            </w:r>
            <w:r w:rsidR="001E7EE2">
              <w:rPr>
                <w:color w:val="000000"/>
              </w:rPr>
              <w:tab/>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631" w:type="dxa"/>
            <w:tcBorders>
              <w:bottom w:val="single" w:color="auto" w:sz="4" w:space="0"/>
            </w:tcBorders>
            <w:shd w:val="clear" w:color="auto" w:fill="auto"/>
          </w:tcPr>
          <w:p w:rsidRPr="007F620E" w:rsidR="00A92D0B" w:rsidP="00553062" w:rsidRDefault="00553062" w14:paraId="0F29B839" w14:textId="625849F3">
            <w:pPr>
              <w:tabs>
                <w:tab w:val="left" w:pos="360"/>
              </w:tabs>
              <w:jc w:val="center"/>
              <w:rPr>
                <w:color w:val="000000"/>
              </w:rPr>
            </w:pPr>
            <w:r>
              <w:rPr>
                <w:color w:val="000000"/>
              </w:rPr>
              <w:t>Yes</w:t>
            </w:r>
          </w:p>
        </w:tc>
      </w:tr>
      <w:tr w:rsidRPr="007F620E" w:rsidR="00A92D0B" w:rsidTr="00407348" w14:paraId="60D4FD5C" w14:textId="77777777">
        <w:tc>
          <w:tcPr>
            <w:tcW w:w="971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7056FC" w:rsidRDefault="00A92D0B" w14:paraId="172E2884" w14:textId="77777777">
            <w:pPr>
              <w:keepNext/>
              <w:tabs>
                <w:tab w:val="left" w:pos="360"/>
              </w:tabs>
              <w:jc w:val="center"/>
              <w:rPr>
                <w:color w:val="000000"/>
              </w:rPr>
            </w:pPr>
            <w:r w:rsidRPr="007F620E">
              <w:rPr>
                <w:b/>
                <w:color w:val="000000"/>
              </w:rPr>
              <w:t>Timely request for compensation (§ 1804(c)):</w:t>
            </w:r>
          </w:p>
        </w:tc>
      </w:tr>
      <w:tr w:rsidRPr="007F620E" w:rsidR="00A92D0B" w:rsidTr="00407348" w14:paraId="3E7938B0" w14:textId="77777777">
        <w:tc>
          <w:tcPr>
            <w:tcW w:w="4817" w:type="dxa"/>
            <w:tcBorders>
              <w:top w:val="single" w:color="auto" w:sz="4" w:space="0"/>
            </w:tcBorders>
            <w:shd w:val="clear" w:color="auto" w:fill="auto"/>
          </w:tcPr>
          <w:p w:rsidRPr="007F620E" w:rsidR="00A92D0B" w:rsidP="00F028C8" w:rsidRDefault="00A92D0B" w14:paraId="66088F1B" w14:textId="2DB4A731">
            <w:pPr>
              <w:keepNext/>
              <w:tabs>
                <w:tab w:val="left" w:pos="612"/>
              </w:tabs>
              <w:ind w:left="360" w:hanging="360"/>
              <w:rPr>
                <w:color w:val="000000"/>
              </w:rPr>
            </w:pPr>
            <w:r w:rsidRPr="007F620E">
              <w:rPr>
                <w:color w:val="000000"/>
              </w:rPr>
              <w:t>13.</w:t>
            </w:r>
            <w:r w:rsidR="001E7EE2">
              <w:rPr>
                <w:color w:val="000000"/>
              </w:rPr>
              <w:tab/>
            </w:r>
            <w:r w:rsidRPr="007F620E">
              <w:rPr>
                <w:color w:val="000000"/>
              </w:rPr>
              <w:t>Identify Final Decision:</w:t>
            </w:r>
          </w:p>
        </w:tc>
        <w:tc>
          <w:tcPr>
            <w:tcW w:w="2267" w:type="dxa"/>
            <w:tcBorders>
              <w:top w:val="single" w:color="auto" w:sz="4" w:space="0"/>
            </w:tcBorders>
            <w:shd w:val="clear" w:color="auto" w:fill="auto"/>
          </w:tcPr>
          <w:p w:rsidRPr="007F620E" w:rsidR="00A92D0B" w:rsidP="00B675D2" w:rsidRDefault="00163806" w14:paraId="7166F318" w14:textId="77E9FA2B">
            <w:pPr>
              <w:tabs>
                <w:tab w:val="left" w:pos="360"/>
              </w:tabs>
              <w:jc w:val="center"/>
              <w:rPr>
                <w:color w:val="000000"/>
              </w:rPr>
            </w:pPr>
            <w:r>
              <w:rPr>
                <w:color w:val="000000"/>
              </w:rPr>
              <w:t>D.23-11-096</w:t>
            </w:r>
          </w:p>
        </w:tc>
        <w:tc>
          <w:tcPr>
            <w:tcW w:w="2631" w:type="dxa"/>
            <w:tcBorders>
              <w:top w:val="single" w:color="auto" w:sz="4" w:space="0"/>
            </w:tcBorders>
            <w:shd w:val="clear" w:color="auto" w:fill="auto"/>
          </w:tcPr>
          <w:p w:rsidRPr="007F620E" w:rsidR="00A92D0B" w:rsidP="00553062" w:rsidRDefault="00553062" w14:paraId="1588DC54" w14:textId="601C0D78">
            <w:pPr>
              <w:tabs>
                <w:tab w:val="left" w:pos="360"/>
              </w:tabs>
              <w:jc w:val="center"/>
              <w:rPr>
                <w:color w:val="000000"/>
              </w:rPr>
            </w:pPr>
            <w:r>
              <w:rPr>
                <w:color w:val="000000"/>
              </w:rPr>
              <w:t>Verified</w:t>
            </w:r>
          </w:p>
        </w:tc>
      </w:tr>
      <w:tr w:rsidRPr="007F620E" w:rsidR="00A92D0B" w:rsidTr="00407348" w14:paraId="6360DE59" w14:textId="77777777">
        <w:tc>
          <w:tcPr>
            <w:tcW w:w="4817" w:type="dxa"/>
            <w:shd w:val="clear" w:color="auto" w:fill="auto"/>
          </w:tcPr>
          <w:p w:rsidRPr="007F620E" w:rsidR="00A92D0B" w:rsidP="00F028C8" w:rsidRDefault="00A92D0B" w14:paraId="4B809E4A" w14:textId="4BEED0BB">
            <w:pPr>
              <w:tabs>
                <w:tab w:val="left" w:pos="612"/>
              </w:tabs>
              <w:ind w:left="360" w:hanging="360"/>
              <w:rPr>
                <w:color w:val="000000"/>
              </w:rPr>
            </w:pPr>
            <w:r w:rsidRPr="007F620E">
              <w:rPr>
                <w:color w:val="000000"/>
              </w:rPr>
              <w:t>14.</w:t>
            </w:r>
            <w:r w:rsidR="001E7EE2">
              <w:rPr>
                <w:color w:val="000000"/>
              </w:rPr>
              <w:tab/>
            </w:r>
            <w:r w:rsidRPr="007F620E">
              <w:rPr>
                <w:color w:val="000000"/>
              </w:rPr>
              <w:t xml:space="preserve">Date of </w:t>
            </w:r>
            <w:r w:rsidRPr="007F620E" w:rsidR="00A319DE">
              <w:rPr>
                <w:color w:val="000000"/>
              </w:rPr>
              <w:t>i</w:t>
            </w:r>
            <w:r w:rsidRPr="007F620E">
              <w:rPr>
                <w:color w:val="000000"/>
              </w:rPr>
              <w:t xml:space="preserve">ssuance of Final Order or Decision:    </w:t>
            </w:r>
          </w:p>
        </w:tc>
        <w:tc>
          <w:tcPr>
            <w:tcW w:w="2267" w:type="dxa"/>
            <w:shd w:val="clear" w:color="auto" w:fill="auto"/>
          </w:tcPr>
          <w:p w:rsidRPr="007F620E" w:rsidR="00A92D0B" w:rsidP="00B675D2" w:rsidRDefault="00163806" w14:paraId="20455B5F" w14:textId="704E28B6">
            <w:pPr>
              <w:tabs>
                <w:tab w:val="left" w:pos="360"/>
              </w:tabs>
              <w:jc w:val="center"/>
              <w:rPr>
                <w:color w:val="000000"/>
              </w:rPr>
            </w:pPr>
            <w:r>
              <w:rPr>
                <w:color w:val="000000"/>
              </w:rPr>
              <w:t>12/5/23</w:t>
            </w:r>
          </w:p>
        </w:tc>
        <w:tc>
          <w:tcPr>
            <w:tcW w:w="2631" w:type="dxa"/>
            <w:shd w:val="clear" w:color="auto" w:fill="auto"/>
          </w:tcPr>
          <w:p w:rsidRPr="007F620E" w:rsidR="00A92D0B" w:rsidP="00553062" w:rsidRDefault="00553062" w14:paraId="1FCF00DD" w14:textId="3C18A622">
            <w:pPr>
              <w:tabs>
                <w:tab w:val="left" w:pos="360"/>
              </w:tabs>
              <w:jc w:val="center"/>
              <w:rPr>
                <w:color w:val="000000"/>
              </w:rPr>
            </w:pPr>
            <w:r>
              <w:rPr>
                <w:color w:val="000000"/>
              </w:rPr>
              <w:t>Verified</w:t>
            </w:r>
          </w:p>
        </w:tc>
      </w:tr>
      <w:tr w:rsidRPr="007F620E" w:rsidR="00A92D0B" w:rsidTr="00407348" w14:paraId="723259E3" w14:textId="77777777">
        <w:tc>
          <w:tcPr>
            <w:tcW w:w="4817" w:type="dxa"/>
            <w:shd w:val="clear" w:color="auto" w:fill="auto"/>
          </w:tcPr>
          <w:p w:rsidRPr="007F620E" w:rsidR="00A92D0B" w:rsidP="00F028C8" w:rsidRDefault="00A92D0B" w14:paraId="163EE1CA" w14:textId="2B64EB9E">
            <w:pPr>
              <w:tabs>
                <w:tab w:val="left" w:pos="612"/>
              </w:tabs>
              <w:ind w:left="360" w:hanging="360"/>
              <w:rPr>
                <w:color w:val="000000"/>
              </w:rPr>
            </w:pPr>
            <w:r w:rsidRPr="007F620E">
              <w:rPr>
                <w:color w:val="000000"/>
              </w:rPr>
              <w:t>15.</w:t>
            </w:r>
            <w:r w:rsidR="001E7EE2">
              <w:rPr>
                <w:color w:val="000000"/>
              </w:rPr>
              <w:tab/>
            </w:r>
            <w:r w:rsidRPr="007F620E">
              <w:rPr>
                <w:color w:val="000000"/>
              </w:rPr>
              <w:t>File date of compensation request:</w:t>
            </w:r>
          </w:p>
        </w:tc>
        <w:tc>
          <w:tcPr>
            <w:tcW w:w="2267" w:type="dxa"/>
            <w:shd w:val="clear" w:color="auto" w:fill="auto"/>
          </w:tcPr>
          <w:p w:rsidRPr="007F620E" w:rsidR="00A92D0B" w:rsidP="00B675D2" w:rsidRDefault="00B675D2" w14:paraId="0568B39D" w14:textId="5DBC3954">
            <w:pPr>
              <w:tabs>
                <w:tab w:val="left" w:pos="360"/>
              </w:tabs>
              <w:jc w:val="center"/>
              <w:rPr>
                <w:color w:val="000000"/>
              </w:rPr>
            </w:pPr>
            <w:r w:rsidRPr="002B4419">
              <w:rPr>
                <w:color w:val="000000"/>
              </w:rPr>
              <w:t>2/</w:t>
            </w:r>
            <w:r w:rsidRPr="002B4419" w:rsidR="002B4419">
              <w:rPr>
                <w:color w:val="000000"/>
              </w:rPr>
              <w:t>2</w:t>
            </w:r>
            <w:r w:rsidRPr="002B4419">
              <w:rPr>
                <w:color w:val="000000"/>
              </w:rPr>
              <w:t>/24</w:t>
            </w:r>
          </w:p>
        </w:tc>
        <w:tc>
          <w:tcPr>
            <w:tcW w:w="2631" w:type="dxa"/>
            <w:shd w:val="clear" w:color="auto" w:fill="auto"/>
          </w:tcPr>
          <w:p w:rsidRPr="007F620E" w:rsidR="00A92D0B" w:rsidP="00553062" w:rsidRDefault="00553062" w14:paraId="1CBF4E7A" w14:textId="27F0CDA1">
            <w:pPr>
              <w:tabs>
                <w:tab w:val="left" w:pos="360"/>
              </w:tabs>
              <w:jc w:val="center"/>
              <w:rPr>
                <w:color w:val="000000"/>
              </w:rPr>
            </w:pPr>
            <w:r>
              <w:rPr>
                <w:color w:val="000000"/>
              </w:rPr>
              <w:t>Verified</w:t>
            </w:r>
          </w:p>
        </w:tc>
      </w:tr>
      <w:tr w:rsidRPr="007F620E" w:rsidR="00A92D0B" w:rsidTr="00407348" w14:paraId="406BCA3A" w14:textId="77777777">
        <w:tc>
          <w:tcPr>
            <w:tcW w:w="7084" w:type="dxa"/>
            <w:gridSpan w:val="2"/>
            <w:shd w:val="clear" w:color="auto" w:fill="auto"/>
          </w:tcPr>
          <w:p w:rsidRPr="007F620E" w:rsidR="00A92D0B" w:rsidP="00F028C8" w:rsidRDefault="00A92D0B" w14:paraId="10AF42D1" w14:textId="67695104">
            <w:pPr>
              <w:tabs>
                <w:tab w:val="left" w:pos="360"/>
              </w:tabs>
              <w:ind w:left="360" w:hanging="360"/>
              <w:rPr>
                <w:color w:val="000000"/>
              </w:rPr>
            </w:pPr>
            <w:r w:rsidRPr="007F620E">
              <w:rPr>
                <w:color w:val="000000"/>
              </w:rPr>
              <w:t>16</w:t>
            </w:r>
            <w:r w:rsidR="001E7EE2">
              <w:rPr>
                <w:color w:val="000000"/>
              </w:rPr>
              <w:t>.</w:t>
            </w:r>
            <w:r w:rsidR="001E7EE2">
              <w:rPr>
                <w:color w:val="000000"/>
              </w:rPr>
              <w:tab/>
            </w:r>
            <w:r w:rsidRPr="007F620E">
              <w:rPr>
                <w:color w:val="000000"/>
              </w:rPr>
              <w:t>Was the request for compensation timely?</w:t>
            </w:r>
          </w:p>
        </w:tc>
        <w:tc>
          <w:tcPr>
            <w:tcW w:w="2631" w:type="dxa"/>
            <w:shd w:val="clear" w:color="auto" w:fill="auto"/>
          </w:tcPr>
          <w:p w:rsidRPr="007F620E" w:rsidR="00A92D0B" w:rsidP="00553062" w:rsidRDefault="00553062" w14:paraId="2EA30E63" w14:textId="4BEEB3F0">
            <w:pPr>
              <w:tabs>
                <w:tab w:val="left" w:pos="360"/>
              </w:tabs>
              <w:jc w:val="center"/>
              <w:rPr>
                <w:color w:val="000000"/>
              </w:rPr>
            </w:pPr>
            <w:r>
              <w:rPr>
                <w:color w:val="000000"/>
              </w:rPr>
              <w:t>Yes</w:t>
            </w:r>
          </w:p>
        </w:tc>
      </w:tr>
    </w:tbl>
    <w:p w:rsidRPr="007F620E" w:rsidR="00A92D0B" w:rsidP="00880855" w:rsidRDefault="00A92D0B" w14:paraId="0068592B" w14:textId="4A2D5763">
      <w:pPr>
        <w:keepNext/>
        <w:numPr>
          <w:ilvl w:val="0"/>
          <w:numId w:val="5"/>
        </w:numPr>
        <w:spacing w:before="240" w:after="240"/>
        <w:rPr>
          <w:b/>
          <w:color w:val="000000"/>
        </w:rPr>
      </w:pPr>
      <w:r w:rsidRPr="007F620E">
        <w:rPr>
          <w:b/>
          <w:color w:val="000000"/>
        </w:rPr>
        <w:t>Additional Comments on Part I</w:t>
      </w:r>
      <w:r w:rsidR="00C02649">
        <w:rPr>
          <w:b/>
          <w:color w:val="000000"/>
        </w:rPr>
        <w:t>:</w:t>
      </w:r>
      <w:r w:rsidRPr="007F620E">
        <w:rPr>
          <w:b/>
          <w:color w:val="000000"/>
        </w:rPr>
        <w:t xml:space="preserve"> </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5096"/>
      </w:tblGrid>
      <w:tr w:rsidRPr="007F620E" w:rsidR="003C608A" w:rsidTr="00407348"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5096"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3C608A" w:rsidTr="00407348" w14:paraId="1C6180A4" w14:textId="77777777">
        <w:trPr>
          <w:trHeight w:val="67"/>
        </w:trPr>
        <w:tc>
          <w:tcPr>
            <w:tcW w:w="860" w:type="dxa"/>
            <w:shd w:val="clear" w:color="auto" w:fill="auto"/>
          </w:tcPr>
          <w:p w:rsidRPr="007F620E" w:rsidR="003C608A" w:rsidP="00B675D2" w:rsidRDefault="00B675D2" w14:paraId="4350D384" w14:textId="4FBA6FBE">
            <w:pPr>
              <w:tabs>
                <w:tab w:val="left" w:pos="360"/>
              </w:tabs>
              <w:jc w:val="center"/>
              <w:rPr>
                <w:color w:val="000000"/>
              </w:rPr>
            </w:pPr>
            <w:r>
              <w:rPr>
                <w:color w:val="000000"/>
              </w:rPr>
              <w:t>1</w:t>
            </w:r>
          </w:p>
        </w:tc>
        <w:tc>
          <w:tcPr>
            <w:tcW w:w="3759" w:type="dxa"/>
            <w:shd w:val="clear" w:color="auto" w:fill="auto"/>
          </w:tcPr>
          <w:p w:rsidRPr="007F620E" w:rsidR="003C608A" w:rsidP="007056FC" w:rsidRDefault="00B675D2" w14:paraId="0ECF4A98" w14:textId="66AB2BC1">
            <w:pPr>
              <w:tabs>
                <w:tab w:val="left" w:pos="360"/>
              </w:tabs>
              <w:rPr>
                <w:color w:val="000000"/>
              </w:rPr>
            </w:pPr>
            <w:r>
              <w:rPr>
                <w:color w:val="000000"/>
              </w:rPr>
              <w:t>The Commission verified TURN’s showing of eligible customer status and significant financial hardship in this proceeding in D.22-08-050 and D.24-01-049, which awarded intervenor compensation to TURN for substantial contribution to the Track 1, 2, and 3 decisions.</w:t>
            </w:r>
          </w:p>
        </w:tc>
        <w:tc>
          <w:tcPr>
            <w:tcW w:w="5096" w:type="dxa"/>
            <w:shd w:val="clear" w:color="auto" w:fill="auto"/>
          </w:tcPr>
          <w:p w:rsidRPr="007F620E" w:rsidR="003C608A" w:rsidP="007056FC" w:rsidRDefault="0015331E" w14:paraId="416D6250" w14:textId="494D838B">
            <w:pPr>
              <w:tabs>
                <w:tab w:val="left" w:pos="360"/>
              </w:tabs>
              <w:rPr>
                <w:color w:val="000000"/>
              </w:rPr>
            </w:pPr>
            <w:r w:rsidRPr="00297628">
              <w:rPr>
                <w:color w:val="000000"/>
              </w:rPr>
              <w:t xml:space="preserve">Verified. </w:t>
            </w:r>
            <w:r w:rsidRPr="00297628" w:rsidR="0063159E">
              <w:rPr>
                <w:color w:val="000000"/>
              </w:rPr>
              <w:t xml:space="preserve">D.22-08-050 </w:t>
            </w:r>
            <w:r w:rsidRPr="00297628">
              <w:rPr>
                <w:color w:val="000000"/>
              </w:rPr>
              <w:t xml:space="preserve">and </w:t>
            </w:r>
            <w:r w:rsidRPr="00297628" w:rsidR="0063159E">
              <w:rPr>
                <w:color w:val="000000"/>
              </w:rPr>
              <w:t xml:space="preserve">D.24-01-049 </w:t>
            </w:r>
            <w:r w:rsidRPr="00297628">
              <w:rPr>
                <w:color w:val="000000"/>
              </w:rPr>
              <w:t xml:space="preserve">awarded compensation to TURN in </w:t>
            </w:r>
            <w:r w:rsidRPr="00297628" w:rsidR="004F15C8">
              <w:rPr>
                <w:color w:val="000000"/>
              </w:rPr>
              <w:t>A</w:t>
            </w:r>
            <w:r w:rsidRPr="00297628">
              <w:rPr>
                <w:color w:val="000000"/>
              </w:rPr>
              <w:t>.1</w:t>
            </w:r>
            <w:r w:rsidRPr="00297628" w:rsidR="004F15C8">
              <w:rPr>
                <w:color w:val="000000"/>
              </w:rPr>
              <w:t>9</w:t>
            </w:r>
            <w:r w:rsidRPr="00297628">
              <w:rPr>
                <w:color w:val="000000"/>
              </w:rPr>
              <w:t>-</w:t>
            </w:r>
            <w:r w:rsidRPr="00297628" w:rsidR="004F15C8">
              <w:rPr>
                <w:color w:val="000000"/>
              </w:rPr>
              <w:t>08</w:t>
            </w:r>
            <w:r w:rsidRPr="00297628">
              <w:rPr>
                <w:color w:val="000000"/>
              </w:rPr>
              <w:t>-0</w:t>
            </w:r>
            <w:r w:rsidRPr="00297628" w:rsidR="004F15C8">
              <w:rPr>
                <w:color w:val="000000"/>
              </w:rPr>
              <w:t>13</w:t>
            </w:r>
            <w:r w:rsidRPr="00297628">
              <w:rPr>
                <w:color w:val="000000"/>
              </w:rPr>
              <w:t xml:space="preserve">. Per Rule 17.2 </w:t>
            </w:r>
            <w:r w:rsidRPr="00297628" w:rsidR="00223D31">
              <w:rPr>
                <w:color w:val="000000"/>
              </w:rPr>
              <w:t>of the</w:t>
            </w:r>
            <w:r w:rsidRPr="00297628">
              <w:rPr>
                <w:color w:val="000000"/>
              </w:rPr>
              <w:t xml:space="preserve"> Commission’s Rules of Practice and Procedure states that “A party found eligible for an award of compensation in one phase of a proceeding remains eligible in later phases, including any rehearing, in the same proceeding.”</w:t>
            </w:r>
          </w:p>
        </w:tc>
      </w:tr>
    </w:tbl>
    <w:p w:rsidR="00D957CD" w:rsidP="007D4FC1" w:rsidRDefault="00D957CD" w14:paraId="7913DA2F" w14:textId="77777777">
      <w:pPr>
        <w:keepNext/>
        <w:rPr>
          <w:b/>
          <w:color w:val="000000"/>
        </w:rPr>
      </w:pPr>
    </w:p>
    <w:p w:rsidR="00D957CD" w:rsidP="00D957CD" w:rsidRDefault="00D957CD" w14:paraId="4066DDFE" w14:textId="3C6E9340">
      <w:pPr>
        <w:keepNext/>
        <w:jc w:val="center"/>
        <w:rPr>
          <w:b/>
          <w:color w:val="000000"/>
        </w:rPr>
      </w:pPr>
      <w:r w:rsidRPr="007F620E">
        <w:rPr>
          <w:b/>
          <w:color w:val="000000"/>
        </w:rPr>
        <w:t>PART II:</w:t>
      </w:r>
      <w:r>
        <w:rPr>
          <w:b/>
          <w:color w:val="000000"/>
        </w:rPr>
        <w:t xml:space="preserve">  </w:t>
      </w:r>
      <w:r w:rsidRPr="007F620E">
        <w:rPr>
          <w:b/>
          <w:color w:val="000000"/>
        </w:rPr>
        <w:t>SUBSTANTIAL CONTRIBUTION</w:t>
      </w:r>
    </w:p>
    <w:p w:rsidR="007D4FC1" w:rsidP="00D957CD" w:rsidRDefault="007D4FC1" w14:paraId="7AD0324E" w14:textId="77777777">
      <w:pPr>
        <w:keepNext/>
        <w:jc w:val="center"/>
        <w:rPr>
          <w:b/>
          <w:color w:val="000000"/>
        </w:rPr>
      </w:pPr>
    </w:p>
    <w:p w:rsidR="00D957CD" w:rsidP="007D4FC1" w:rsidRDefault="00D957CD" w14:paraId="7520F139" w14:textId="316EF260">
      <w:pPr>
        <w:keepNext/>
        <w:numPr>
          <w:ilvl w:val="0"/>
          <w:numId w:val="8"/>
        </w:numPr>
        <w:spacing w:after="240"/>
      </w:pPr>
      <w:r w:rsidRPr="00E96714">
        <w:rPr>
          <w:b/>
          <w:color w:val="000000"/>
        </w:rPr>
        <w:t>Did the Intervenor substantially contribute to the final decision (</w:t>
      </w:r>
      <w:r w:rsidRPr="00E96714">
        <w:rPr>
          <w:b/>
          <w:i/>
          <w:color w:val="000000"/>
        </w:rPr>
        <w:t>see</w:t>
      </w:r>
      <w:r w:rsidRPr="00E96714">
        <w:rPr>
          <w:b/>
          <w:color w:val="000000"/>
        </w:rPr>
        <w:t xml:space="preserve"> § 1802(j), </w:t>
      </w:r>
      <w:r w:rsidRPr="00E96714">
        <w:rPr>
          <w:b/>
          <w:color w:val="000000"/>
        </w:rPr>
        <w:br/>
        <w:t xml:space="preserve">§ 1803(a), 1803.1(a) and D.98-04-059):  </w:t>
      </w: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5"/>
        <w:gridCol w:w="3240"/>
        <w:gridCol w:w="1710"/>
      </w:tblGrid>
      <w:tr w:rsidRPr="003349DE" w:rsidR="00D957CD" w:rsidTr="00407348" w14:paraId="693BCBDC" w14:textId="77777777">
        <w:tc>
          <w:tcPr>
            <w:tcW w:w="4675" w:type="dxa"/>
            <w:tcBorders>
              <w:bottom w:val="single" w:color="auto" w:sz="4" w:space="0"/>
            </w:tcBorders>
            <w:shd w:val="pct12" w:color="auto" w:fill="auto"/>
          </w:tcPr>
          <w:p w:rsidRPr="003349DE" w:rsidR="00D957CD" w:rsidP="004C0C7D" w:rsidRDefault="00D957CD" w14:paraId="0BD302C8" w14:textId="77777777">
            <w:pPr>
              <w:spacing w:before="120"/>
              <w:jc w:val="center"/>
              <w:rPr>
                <w:b/>
                <w:color w:val="000000"/>
              </w:rPr>
            </w:pPr>
            <w:r w:rsidRPr="003349DE">
              <w:rPr>
                <w:b/>
                <w:color w:val="000000"/>
              </w:rPr>
              <w:t>Intervenor’s Claimed Contribution(s)</w:t>
            </w:r>
          </w:p>
        </w:tc>
        <w:tc>
          <w:tcPr>
            <w:tcW w:w="3240" w:type="dxa"/>
            <w:tcBorders>
              <w:bottom w:val="single" w:color="auto" w:sz="4" w:space="0"/>
            </w:tcBorders>
            <w:shd w:val="pct12" w:color="auto" w:fill="auto"/>
          </w:tcPr>
          <w:p w:rsidRPr="003349DE" w:rsidR="00D957CD" w:rsidP="004C0C7D" w:rsidRDefault="00D957CD" w14:paraId="391E7BDD" w14:textId="77777777">
            <w:pPr>
              <w:spacing w:before="120"/>
              <w:jc w:val="center"/>
              <w:rPr>
                <w:b/>
                <w:color w:val="000000"/>
              </w:rPr>
            </w:pPr>
            <w:r w:rsidRPr="003349DE">
              <w:rPr>
                <w:b/>
                <w:color w:val="000000"/>
              </w:rPr>
              <w:t>Specific References to Intervenor’s Claimed Contribution(s)</w:t>
            </w:r>
          </w:p>
        </w:tc>
        <w:tc>
          <w:tcPr>
            <w:tcW w:w="1710" w:type="dxa"/>
            <w:shd w:val="pct12" w:color="auto" w:fill="auto"/>
          </w:tcPr>
          <w:p w:rsidRPr="003349DE" w:rsidR="00D957CD" w:rsidP="004C0C7D" w:rsidRDefault="00D957CD" w14:paraId="61829284" w14:textId="77777777">
            <w:pPr>
              <w:spacing w:before="120"/>
              <w:jc w:val="center"/>
              <w:rPr>
                <w:b/>
                <w:color w:val="000000"/>
              </w:rPr>
            </w:pPr>
            <w:r w:rsidRPr="003349DE">
              <w:rPr>
                <w:b/>
                <w:color w:val="000000"/>
              </w:rPr>
              <w:t>CPUC Discussion</w:t>
            </w:r>
          </w:p>
        </w:tc>
      </w:tr>
      <w:tr w:rsidRPr="003349DE" w:rsidR="00D957CD" w:rsidTr="00407348" w14:paraId="07F24E5D" w14:textId="77777777">
        <w:tc>
          <w:tcPr>
            <w:tcW w:w="4675" w:type="dxa"/>
            <w:shd w:val="clear" w:color="auto" w:fill="auto"/>
          </w:tcPr>
          <w:p w:rsidRPr="00F5715A" w:rsidR="00D957CD" w:rsidP="004C0C7D" w:rsidRDefault="00D957CD" w14:paraId="3608A511" w14:textId="77777777">
            <w:pPr>
              <w:spacing w:before="120"/>
              <w:rPr>
                <w:b/>
                <w:bCs/>
                <w:color w:val="000000"/>
                <w:u w:val="single"/>
              </w:rPr>
            </w:pPr>
            <w:r>
              <w:rPr>
                <w:b/>
                <w:bCs/>
                <w:color w:val="000000"/>
              </w:rPr>
              <w:t>D.23-11-096 (Track 4 Decision)</w:t>
            </w:r>
          </w:p>
        </w:tc>
        <w:tc>
          <w:tcPr>
            <w:tcW w:w="3240" w:type="dxa"/>
            <w:shd w:val="clear" w:color="auto" w:fill="auto"/>
          </w:tcPr>
          <w:p w:rsidRPr="00B84531" w:rsidR="00D957CD" w:rsidP="004C0C7D" w:rsidRDefault="00D957CD" w14:paraId="04B15778" w14:textId="77777777">
            <w:pPr>
              <w:spacing w:before="120"/>
            </w:pPr>
          </w:p>
        </w:tc>
        <w:tc>
          <w:tcPr>
            <w:tcW w:w="1710" w:type="dxa"/>
            <w:shd w:val="clear" w:color="auto" w:fill="auto"/>
          </w:tcPr>
          <w:p w:rsidRPr="003349DE" w:rsidR="00D957CD" w:rsidP="004C0C7D" w:rsidRDefault="00D957CD" w14:paraId="2275455A" w14:textId="77777777">
            <w:pPr>
              <w:spacing w:before="120"/>
              <w:rPr>
                <w:color w:val="000000"/>
              </w:rPr>
            </w:pPr>
          </w:p>
        </w:tc>
      </w:tr>
      <w:tr w:rsidRPr="003349DE" w:rsidR="00D957CD" w:rsidTr="00407348" w14:paraId="0ED332FC" w14:textId="77777777">
        <w:tc>
          <w:tcPr>
            <w:tcW w:w="4675" w:type="dxa"/>
            <w:shd w:val="clear" w:color="auto" w:fill="auto"/>
          </w:tcPr>
          <w:p w:rsidR="00D957CD" w:rsidP="004C0C7D" w:rsidRDefault="00D957CD" w14:paraId="75B4EFE4" w14:textId="77777777">
            <w:pPr>
              <w:rPr>
                <w:color w:val="000000"/>
              </w:rPr>
            </w:pPr>
            <w:r w:rsidRPr="00036843">
              <w:rPr>
                <w:b/>
                <w:bCs/>
                <w:color w:val="000000"/>
              </w:rPr>
              <w:t>1.</w:t>
            </w:r>
            <w:r>
              <w:rPr>
                <w:color w:val="000000"/>
              </w:rPr>
              <w:t xml:space="preserve">  </w:t>
            </w:r>
            <w:r w:rsidRPr="004A469E">
              <w:rPr>
                <w:b/>
                <w:bCs/>
                <w:color w:val="000000"/>
              </w:rPr>
              <w:t>Track 4</w:t>
            </w:r>
            <w:r>
              <w:rPr>
                <w:color w:val="000000"/>
              </w:rPr>
              <w:t xml:space="preserve"> </w:t>
            </w:r>
            <w:r w:rsidRPr="00036843">
              <w:rPr>
                <w:b/>
                <w:bCs/>
                <w:color w:val="000000"/>
              </w:rPr>
              <w:t>Settlement - Overall</w:t>
            </w:r>
          </w:p>
          <w:p w:rsidR="00D957CD" w:rsidP="004C0C7D" w:rsidRDefault="00D957CD" w14:paraId="3964012E" w14:textId="77777777">
            <w:pPr>
              <w:rPr>
                <w:color w:val="000000"/>
              </w:rPr>
            </w:pPr>
          </w:p>
          <w:p w:rsidR="00D957CD" w:rsidP="004C0C7D" w:rsidRDefault="00D957CD" w14:paraId="4C8E0539" w14:textId="77777777">
            <w:r>
              <w:rPr>
                <w:color w:val="000000"/>
              </w:rPr>
              <w:t xml:space="preserve">Like any settlement agreement, the settlement agreement adopted in D.23-11-096 reflects a compromise of parties’ litigation positions. </w:t>
            </w:r>
            <w:r>
              <w:t xml:space="preserve">While confidentiality provisions prevent </w:t>
            </w:r>
            <w:r>
              <w:lastRenderedPageBreak/>
              <w:t xml:space="preserve">discussion of how specific settlement provisions were reached, the Commission can ascertain TURN’s contributions in this case by comparing provisions of TURN’s testimony, which was submitted prior to the filing of the Settlement Agreement, with the provisions of the Settlement Agreement. </w:t>
            </w:r>
          </w:p>
          <w:p w:rsidR="00D957CD" w:rsidP="004C0C7D" w:rsidRDefault="00D957CD" w14:paraId="7F6B286E" w14:textId="77777777"/>
          <w:p w:rsidR="00D957CD" w:rsidP="004C0C7D" w:rsidRDefault="00D957CD" w14:paraId="4CFB042A" w14:textId="77777777">
            <w:r>
              <w:t>Overall, TURN recommended a revenue requirement for 2024 that was $487 million lower than SCE’s request.  Cal Advocates recommended a reduction of $198 million to SCE’s request.  The Settlement Agreement adopted an overall reduction of $181 million to SCE’s request, reflecting a compromise between TURN’s, Cal Advocates’ and SCE’s litigation positions.</w:t>
            </w:r>
          </w:p>
          <w:p w:rsidR="00D957CD" w:rsidP="004C0C7D" w:rsidRDefault="00D957CD" w14:paraId="54DB9101" w14:textId="77777777"/>
          <w:p w:rsidRPr="00B84531" w:rsidR="00D957CD" w:rsidP="00920002" w:rsidRDefault="00D957CD" w14:paraId="47398A50" w14:textId="5EAEF435">
            <w:pPr>
              <w:rPr>
                <w:color w:val="000000"/>
              </w:rPr>
            </w:pPr>
            <w:r>
              <w:t>The Commission adopted the settlement agreement without modification in D.23-11-096.</w:t>
            </w:r>
          </w:p>
        </w:tc>
        <w:tc>
          <w:tcPr>
            <w:tcW w:w="3240" w:type="dxa"/>
            <w:shd w:val="clear" w:color="auto" w:fill="auto"/>
          </w:tcPr>
          <w:p w:rsidRPr="0066167E" w:rsidR="00D957CD" w:rsidP="00D957CD" w:rsidRDefault="00D957CD" w14:paraId="057BEB32" w14:textId="77777777">
            <w:pPr>
              <w:pStyle w:val="ListParagraph"/>
              <w:numPr>
                <w:ilvl w:val="0"/>
                <w:numId w:val="11"/>
              </w:numPr>
              <w:rPr>
                <w:rFonts w:eastAsia="Times New Roman"/>
                <w:color w:val="000000"/>
                <w:szCs w:val="24"/>
              </w:rPr>
            </w:pPr>
            <w:r w:rsidRPr="0066167E">
              <w:rPr>
                <w:rFonts w:eastAsia="Times New Roman"/>
                <w:color w:val="000000"/>
                <w:szCs w:val="24"/>
              </w:rPr>
              <w:lastRenderedPageBreak/>
              <w:t>D.23-11-096, p. 1</w:t>
            </w:r>
          </w:p>
          <w:p w:rsidR="00D957CD" w:rsidP="004C0C7D" w:rsidRDefault="00D957CD" w14:paraId="7DFA7F41" w14:textId="77777777">
            <w:pPr>
              <w:rPr>
                <w:color w:val="000000"/>
              </w:rPr>
            </w:pPr>
          </w:p>
          <w:p w:rsidRPr="0066167E" w:rsidR="00D957CD" w:rsidP="00D957CD" w:rsidRDefault="00D957CD" w14:paraId="0DF0D342"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w:t>
            </w:r>
            <w:r w:rsidRPr="0066167E">
              <w:rPr>
                <w:rFonts w:eastAsia="Times New Roman"/>
                <w:color w:val="000000"/>
                <w:szCs w:val="24"/>
              </w:rPr>
              <w:lastRenderedPageBreak/>
              <w:t xml:space="preserve">Appendix B (Comparison Exhibit)  </w:t>
            </w:r>
          </w:p>
          <w:p w:rsidRPr="00B84531" w:rsidR="00D957CD" w:rsidP="004C0C7D" w:rsidRDefault="00D957CD" w14:paraId="6AE53B01" w14:textId="77777777">
            <w:pPr>
              <w:spacing w:before="120"/>
              <w:ind w:left="720"/>
            </w:pPr>
          </w:p>
        </w:tc>
        <w:tc>
          <w:tcPr>
            <w:tcW w:w="1710" w:type="dxa"/>
            <w:shd w:val="clear" w:color="auto" w:fill="auto"/>
          </w:tcPr>
          <w:p w:rsidRPr="003349DE" w:rsidR="00D957CD" w:rsidP="007D7A94" w:rsidRDefault="007D7A94" w14:paraId="77157FC2" w14:textId="7F6A1DF6">
            <w:pPr>
              <w:spacing w:before="120"/>
              <w:jc w:val="center"/>
              <w:rPr>
                <w:color w:val="000000"/>
              </w:rPr>
            </w:pPr>
            <w:r>
              <w:rPr>
                <w:color w:val="000000"/>
              </w:rPr>
              <w:lastRenderedPageBreak/>
              <w:t>Verified</w:t>
            </w:r>
          </w:p>
        </w:tc>
      </w:tr>
      <w:tr w:rsidRPr="003349DE" w:rsidR="00D957CD" w:rsidTr="00407348" w14:paraId="6E5508B2" w14:textId="77777777">
        <w:tc>
          <w:tcPr>
            <w:tcW w:w="4675" w:type="dxa"/>
            <w:shd w:val="clear" w:color="auto" w:fill="auto"/>
          </w:tcPr>
          <w:p w:rsidRPr="00235EF1" w:rsidR="00D957CD" w:rsidP="004C0C7D" w:rsidRDefault="00D957CD" w14:paraId="5757AA9D" w14:textId="77777777">
            <w:pPr>
              <w:rPr>
                <w:b/>
                <w:bCs/>
                <w:color w:val="000000"/>
              </w:rPr>
            </w:pPr>
            <w:r w:rsidRPr="00235EF1">
              <w:rPr>
                <w:b/>
                <w:bCs/>
                <w:color w:val="000000"/>
              </w:rPr>
              <w:t xml:space="preserve">2.  </w:t>
            </w:r>
            <w:r>
              <w:rPr>
                <w:b/>
                <w:bCs/>
                <w:color w:val="000000"/>
              </w:rPr>
              <w:t xml:space="preserve">Track 4 </w:t>
            </w:r>
            <w:r w:rsidRPr="00235EF1">
              <w:rPr>
                <w:b/>
                <w:bCs/>
                <w:color w:val="000000"/>
              </w:rPr>
              <w:t>Settlement – Vegetation Management O&amp;M</w:t>
            </w:r>
          </w:p>
          <w:p w:rsidR="00D957CD" w:rsidP="004C0C7D" w:rsidRDefault="00D957CD" w14:paraId="5939244C" w14:textId="77777777">
            <w:pPr>
              <w:rPr>
                <w:color w:val="000000"/>
              </w:rPr>
            </w:pPr>
          </w:p>
          <w:p w:rsidR="00D957CD" w:rsidP="004C0C7D" w:rsidRDefault="00D957CD" w14:paraId="00325A98" w14:textId="77777777">
            <w:pPr>
              <w:rPr>
                <w:color w:val="000000"/>
              </w:rPr>
            </w:pPr>
            <w:r>
              <w:rPr>
                <w:color w:val="000000"/>
              </w:rPr>
              <w:t>TURN opposed SCE’s request to increase the forecast for 2024 vegetation management O&amp;M by $264 million above the amount resulting from the Track 1 post-test year ratemaking mechanism.  TURN argued that this adjustment was inconsistent with the Track 1 mechanism, which only permitted budget-based adjustments for two capital programs, with the remainder of costs subject to formula adjustment mechanisms for O&amp;M and capital.  TURN noted that SCE can seek to recover incremental vegetation management O&amp;M costs recorded to the two-way Vegetation Management Balancing Account in a separate proceeding.</w:t>
            </w:r>
          </w:p>
          <w:p w:rsidR="00D957CD" w:rsidP="004C0C7D" w:rsidRDefault="00D957CD" w14:paraId="26CA2AAC" w14:textId="77777777">
            <w:pPr>
              <w:rPr>
                <w:color w:val="000000"/>
              </w:rPr>
            </w:pPr>
          </w:p>
          <w:p w:rsidR="00D957CD" w:rsidP="004C0C7D" w:rsidRDefault="00D957CD" w14:paraId="34D3DDD5" w14:textId="77777777">
            <w:pPr>
              <w:rPr>
                <w:color w:val="000000"/>
              </w:rPr>
            </w:pPr>
            <w:r>
              <w:rPr>
                <w:color w:val="000000"/>
              </w:rPr>
              <w:t>Cal Advocates recommended a $207 million increase, based on 2019/2020 recorded costs.</w:t>
            </w:r>
          </w:p>
          <w:p w:rsidR="00D957CD" w:rsidP="004C0C7D" w:rsidRDefault="00D957CD" w14:paraId="3EF1F1F8" w14:textId="77777777">
            <w:pPr>
              <w:rPr>
                <w:color w:val="000000"/>
              </w:rPr>
            </w:pPr>
          </w:p>
          <w:p w:rsidRPr="003349DE" w:rsidR="00D957CD" w:rsidP="00920002" w:rsidRDefault="00D957CD" w14:paraId="44771E10" w14:textId="31307C55">
            <w:pPr>
              <w:spacing w:before="120"/>
              <w:rPr>
                <w:color w:val="000000"/>
              </w:rPr>
            </w:pPr>
            <w:r>
              <w:rPr>
                <w:color w:val="000000"/>
              </w:rPr>
              <w:t xml:space="preserve">The settlement agreement, adopted by the Commission, provided SCE with an </w:t>
            </w:r>
            <w:r>
              <w:rPr>
                <w:color w:val="000000"/>
              </w:rPr>
              <w:lastRenderedPageBreak/>
              <w:t>additional $255 million for vegetation management O&amp;M in 2024, subject to the same two-way Vegetation Management Balancing Account conditions adopted in the Track 1 decision (thus protecting ratepayers from the risk that SCE does not need this level of funding).</w:t>
            </w:r>
          </w:p>
        </w:tc>
        <w:tc>
          <w:tcPr>
            <w:tcW w:w="3240" w:type="dxa"/>
            <w:shd w:val="clear" w:color="auto" w:fill="auto"/>
          </w:tcPr>
          <w:p w:rsidR="00D957CD" w:rsidP="004C0C7D" w:rsidRDefault="00D957CD" w14:paraId="28C92641" w14:textId="77777777">
            <w:pPr>
              <w:spacing w:before="120"/>
            </w:pPr>
          </w:p>
          <w:p w:rsidRPr="00DA06FE" w:rsidR="00D957CD" w:rsidP="00D957CD" w:rsidRDefault="00D957CD" w14:paraId="47CD484E" w14:textId="77777777">
            <w:pPr>
              <w:pStyle w:val="ListParagraph"/>
              <w:numPr>
                <w:ilvl w:val="0"/>
                <w:numId w:val="12"/>
              </w:numPr>
              <w:rPr>
                <w:color w:val="000000"/>
              </w:rPr>
            </w:pPr>
            <w:r w:rsidRPr="00DA06FE">
              <w:rPr>
                <w:color w:val="000000"/>
              </w:rPr>
              <w:t xml:space="preserve">Ex. TURN-Tr.4-01 (Goodson/Hawiger), pp. </w:t>
            </w:r>
            <w:r>
              <w:rPr>
                <w:color w:val="000000"/>
              </w:rPr>
              <w:t>11-14</w:t>
            </w:r>
          </w:p>
          <w:p w:rsidR="00D957CD" w:rsidP="004C0C7D" w:rsidRDefault="00D957CD" w14:paraId="295BB71F" w14:textId="77777777">
            <w:pPr>
              <w:rPr>
                <w:color w:val="000000"/>
              </w:rPr>
            </w:pPr>
          </w:p>
          <w:p w:rsidRPr="0066167E" w:rsidR="00D957CD" w:rsidP="00D957CD" w:rsidRDefault="00D957CD" w14:paraId="3E8CF17C"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4018F7FD" w14:textId="77777777">
            <w:pPr>
              <w:pStyle w:val="ListParagraph"/>
              <w:rPr>
                <w:rFonts w:eastAsia="Times New Roman"/>
                <w:color w:val="000000"/>
                <w:szCs w:val="24"/>
              </w:rPr>
            </w:pPr>
          </w:p>
          <w:p w:rsidRPr="0066167E" w:rsidR="00D957CD" w:rsidP="00D957CD" w:rsidRDefault="00D957CD" w14:paraId="18EE8BDD"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pp. 10-11 </w:t>
            </w:r>
          </w:p>
          <w:p w:rsidR="00D957CD" w:rsidP="004C0C7D" w:rsidRDefault="00D957CD" w14:paraId="127866CB" w14:textId="77777777">
            <w:pPr>
              <w:spacing w:before="120"/>
            </w:pPr>
          </w:p>
          <w:p w:rsidR="00D957CD" w:rsidP="004C0C7D" w:rsidRDefault="00D957CD" w14:paraId="300C347E" w14:textId="77777777">
            <w:pPr>
              <w:spacing w:before="120"/>
            </w:pPr>
          </w:p>
          <w:p w:rsidR="00D957CD" w:rsidP="004C0C7D" w:rsidRDefault="00D957CD" w14:paraId="5F4688D5" w14:textId="77777777">
            <w:pPr>
              <w:spacing w:before="120"/>
            </w:pPr>
          </w:p>
          <w:p w:rsidR="00D957CD" w:rsidP="004C0C7D" w:rsidRDefault="00D957CD" w14:paraId="2FFC4306" w14:textId="77777777">
            <w:pPr>
              <w:spacing w:before="120"/>
            </w:pPr>
          </w:p>
          <w:p w:rsidRPr="003349DE" w:rsidR="00D957CD" w:rsidP="004C0C7D" w:rsidRDefault="00D957CD" w14:paraId="7BA40961" w14:textId="77777777">
            <w:pPr>
              <w:spacing w:before="120"/>
              <w:rPr>
                <w:color w:val="000000"/>
              </w:rPr>
            </w:pPr>
          </w:p>
        </w:tc>
        <w:tc>
          <w:tcPr>
            <w:tcW w:w="1710" w:type="dxa"/>
            <w:shd w:val="clear" w:color="auto" w:fill="auto"/>
          </w:tcPr>
          <w:p w:rsidRPr="003349DE" w:rsidR="00D957CD" w:rsidP="007D7A94" w:rsidRDefault="007D7A94" w14:paraId="5F08C406" w14:textId="469CD41F">
            <w:pPr>
              <w:spacing w:before="120"/>
              <w:jc w:val="center"/>
              <w:rPr>
                <w:color w:val="000000"/>
              </w:rPr>
            </w:pPr>
            <w:r w:rsidRPr="007D7A94">
              <w:rPr>
                <w:color w:val="000000"/>
              </w:rPr>
              <w:t>Verified</w:t>
            </w:r>
          </w:p>
        </w:tc>
      </w:tr>
      <w:tr w:rsidRPr="003349DE" w:rsidR="00D957CD" w:rsidTr="00407348" w14:paraId="157FB75B" w14:textId="77777777">
        <w:tc>
          <w:tcPr>
            <w:tcW w:w="4675" w:type="dxa"/>
            <w:shd w:val="clear" w:color="auto" w:fill="auto"/>
          </w:tcPr>
          <w:p w:rsidRPr="00FD6B8E" w:rsidR="00D957CD" w:rsidP="004C0C7D" w:rsidRDefault="00D957CD" w14:paraId="4F3B91CB" w14:textId="77777777">
            <w:pPr>
              <w:rPr>
                <w:b/>
                <w:bCs/>
                <w:color w:val="000000"/>
              </w:rPr>
            </w:pPr>
            <w:r w:rsidRPr="00FD6B8E">
              <w:rPr>
                <w:b/>
                <w:bCs/>
                <w:color w:val="000000"/>
              </w:rPr>
              <w:t xml:space="preserve">3.  </w:t>
            </w:r>
            <w:r>
              <w:rPr>
                <w:b/>
                <w:bCs/>
                <w:color w:val="000000"/>
              </w:rPr>
              <w:t xml:space="preserve">Track 4 </w:t>
            </w:r>
            <w:r w:rsidRPr="00FD6B8E">
              <w:rPr>
                <w:b/>
                <w:bCs/>
                <w:color w:val="000000"/>
              </w:rPr>
              <w:t>Settlement – Wildfire Mitigation O&amp;M</w:t>
            </w:r>
          </w:p>
          <w:p w:rsidR="00D957CD" w:rsidP="004C0C7D" w:rsidRDefault="00D957CD" w14:paraId="3B54FFA0" w14:textId="77777777">
            <w:pPr>
              <w:rPr>
                <w:color w:val="000000"/>
              </w:rPr>
            </w:pPr>
          </w:p>
          <w:p w:rsidR="00D957CD" w:rsidP="004C0C7D" w:rsidRDefault="00D957CD" w14:paraId="46DF5FA9" w14:textId="77777777">
            <w:pPr>
              <w:rPr>
                <w:color w:val="000000"/>
              </w:rPr>
            </w:pPr>
            <w:r>
              <w:rPr>
                <w:color w:val="000000"/>
              </w:rPr>
              <w:t>TURN opposed SCE’s request to increase the forecast for 2024 wildfire mitigation O&amp;M by $82 million above the amount resulting from the Track 1 post-test year ratemaking mechanism.  TURN argued that this adjustment was inconsistent with the Track 1 mechanism, which only permitted budget-based adjustments for two capital programs, with the remainder of costs subject to formula adjustment mechanisms for O&amp;M and capital.  TURN noted that SCE can seek to recover incremental wildfire mitigation O&amp;M costs recorded to the Fire Risk Mitigation Memorandum Account and the Wildfire Mitigation Plan Memorandum Account in a separate proceeding.</w:t>
            </w:r>
          </w:p>
          <w:p w:rsidR="00D957CD" w:rsidP="004C0C7D" w:rsidRDefault="00D957CD" w14:paraId="0265BBA0" w14:textId="77777777">
            <w:pPr>
              <w:rPr>
                <w:color w:val="000000"/>
              </w:rPr>
            </w:pPr>
          </w:p>
          <w:p w:rsidR="00D957CD" w:rsidP="004C0C7D" w:rsidRDefault="00D957CD" w14:paraId="13DBABD0" w14:textId="77777777">
            <w:pPr>
              <w:rPr>
                <w:color w:val="000000"/>
              </w:rPr>
            </w:pPr>
            <w:r>
              <w:rPr>
                <w:color w:val="000000"/>
              </w:rPr>
              <w:t>Cal Advocates recommended a $72 million increase.</w:t>
            </w:r>
          </w:p>
          <w:p w:rsidR="00D957CD" w:rsidP="004C0C7D" w:rsidRDefault="00D957CD" w14:paraId="6D5B175D" w14:textId="77777777">
            <w:pPr>
              <w:rPr>
                <w:color w:val="000000"/>
              </w:rPr>
            </w:pPr>
          </w:p>
          <w:p w:rsidRPr="00235EF1" w:rsidR="00D957CD" w:rsidP="004C0C7D" w:rsidRDefault="00D957CD" w14:paraId="5A9C4298" w14:textId="77777777">
            <w:pPr>
              <w:rPr>
                <w:b/>
                <w:bCs/>
                <w:color w:val="000000"/>
              </w:rPr>
            </w:pPr>
            <w:r>
              <w:rPr>
                <w:color w:val="000000"/>
              </w:rPr>
              <w:t>The settlement agreement, adopted by the Commission, provided SCE with an additional $52 million for wildfire mitigation O&amp;M in 2024.</w:t>
            </w:r>
          </w:p>
        </w:tc>
        <w:tc>
          <w:tcPr>
            <w:tcW w:w="3240" w:type="dxa"/>
            <w:shd w:val="clear" w:color="auto" w:fill="auto"/>
          </w:tcPr>
          <w:p w:rsidRPr="0066167E" w:rsidR="00D957CD" w:rsidP="00D957CD" w:rsidRDefault="00D957CD" w14:paraId="37B3AC24" w14:textId="77777777">
            <w:pPr>
              <w:pStyle w:val="ListParagraph"/>
              <w:numPr>
                <w:ilvl w:val="0"/>
                <w:numId w:val="12"/>
              </w:numPr>
              <w:rPr>
                <w:rFonts w:eastAsia="Times New Roman"/>
                <w:color w:val="000000"/>
                <w:szCs w:val="24"/>
              </w:rPr>
            </w:pPr>
            <w:r w:rsidRPr="0066167E">
              <w:rPr>
                <w:rFonts w:eastAsia="Times New Roman"/>
                <w:color w:val="000000"/>
                <w:szCs w:val="24"/>
              </w:rPr>
              <w:t>Ex. TURN-Tr.4-01 (Goodson/Hawiger), pp. 11-13</w:t>
            </w:r>
          </w:p>
          <w:p w:rsidR="00D957CD" w:rsidP="004C0C7D" w:rsidRDefault="00D957CD" w14:paraId="02DFC2A4" w14:textId="77777777">
            <w:pPr>
              <w:rPr>
                <w:color w:val="000000"/>
              </w:rPr>
            </w:pPr>
          </w:p>
          <w:p w:rsidRPr="0066167E" w:rsidR="00D957CD" w:rsidP="00D957CD" w:rsidRDefault="00D957CD" w14:paraId="5D3AADB9"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2F276921" w14:textId="77777777">
            <w:pPr>
              <w:pStyle w:val="ListParagraph"/>
              <w:rPr>
                <w:rFonts w:eastAsia="Times New Roman"/>
                <w:color w:val="000000"/>
                <w:szCs w:val="24"/>
              </w:rPr>
            </w:pPr>
          </w:p>
          <w:p w:rsidRPr="0066167E" w:rsidR="00D957CD" w:rsidP="00D957CD" w:rsidRDefault="00D957CD" w14:paraId="15F8D615"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 10 </w:t>
            </w:r>
          </w:p>
          <w:p w:rsidR="00D957CD" w:rsidP="004C0C7D" w:rsidRDefault="00D957CD" w14:paraId="063994DC" w14:textId="77777777">
            <w:pPr>
              <w:spacing w:before="120"/>
            </w:pPr>
          </w:p>
        </w:tc>
        <w:tc>
          <w:tcPr>
            <w:tcW w:w="1710" w:type="dxa"/>
            <w:shd w:val="clear" w:color="auto" w:fill="auto"/>
          </w:tcPr>
          <w:p w:rsidRPr="003349DE" w:rsidR="00D957CD" w:rsidP="007D7A94" w:rsidRDefault="007D7A94" w14:paraId="6A107C5C" w14:textId="5F3A80B1">
            <w:pPr>
              <w:spacing w:before="120"/>
              <w:jc w:val="center"/>
              <w:rPr>
                <w:color w:val="000000"/>
              </w:rPr>
            </w:pPr>
            <w:r w:rsidRPr="007D7A94">
              <w:rPr>
                <w:color w:val="000000"/>
              </w:rPr>
              <w:t>Verified</w:t>
            </w:r>
          </w:p>
        </w:tc>
      </w:tr>
      <w:tr w:rsidRPr="003349DE" w:rsidR="00D957CD" w:rsidTr="00407348" w14:paraId="1101ADFD" w14:textId="77777777">
        <w:tc>
          <w:tcPr>
            <w:tcW w:w="4675" w:type="dxa"/>
            <w:shd w:val="clear" w:color="auto" w:fill="auto"/>
          </w:tcPr>
          <w:p w:rsidRPr="003C72BE" w:rsidR="00D957CD" w:rsidP="004C0C7D" w:rsidRDefault="00D957CD" w14:paraId="5FA9E10B" w14:textId="77777777">
            <w:pPr>
              <w:rPr>
                <w:b/>
                <w:bCs/>
                <w:color w:val="000000"/>
              </w:rPr>
            </w:pPr>
            <w:r w:rsidRPr="003C72BE">
              <w:rPr>
                <w:b/>
                <w:bCs/>
                <w:color w:val="000000"/>
              </w:rPr>
              <w:t xml:space="preserve">4.  </w:t>
            </w:r>
            <w:r>
              <w:rPr>
                <w:b/>
                <w:bCs/>
                <w:color w:val="000000"/>
              </w:rPr>
              <w:t xml:space="preserve">Track 4 </w:t>
            </w:r>
            <w:r w:rsidRPr="003C72BE">
              <w:rPr>
                <w:b/>
                <w:bCs/>
                <w:color w:val="000000"/>
              </w:rPr>
              <w:t>Settlement – Wildfire Mitigation Capital Expenditures</w:t>
            </w:r>
          </w:p>
          <w:p w:rsidR="00D957CD" w:rsidP="004C0C7D" w:rsidRDefault="00D957CD" w14:paraId="132B4BAD" w14:textId="77777777">
            <w:pPr>
              <w:rPr>
                <w:color w:val="000000"/>
              </w:rPr>
            </w:pPr>
          </w:p>
          <w:p w:rsidR="00D957CD" w:rsidP="004C0C7D" w:rsidRDefault="00D957CD" w14:paraId="7F02D5CE" w14:textId="77777777">
            <w:pPr>
              <w:rPr>
                <w:color w:val="000000"/>
              </w:rPr>
            </w:pPr>
            <w:r>
              <w:rPr>
                <w:color w:val="000000"/>
              </w:rPr>
              <w:t xml:space="preserve">TURN partially opposed SCE’s proposed 2024 budgets for wildfire-related capital activities.  For the Wildfire Covered Conductor Program, TURN recommended a reduction of miles from 1,200 to 900, consistent with the annual mileage authorized in the Track 1 decision, and TURN supported SCE’s updated unit cost.  TURN opposed the </w:t>
            </w:r>
            <w:r>
              <w:rPr>
                <w:color w:val="000000"/>
              </w:rPr>
              <w:lastRenderedPageBreak/>
              <w:t xml:space="preserve">adoption of new budgets for wildfire mitigation activities not funded through the Track 1 decision, as inconsistent with the Track 1 post-test year ratemaking mechanism.  </w:t>
            </w:r>
          </w:p>
          <w:p w:rsidR="00D957CD" w:rsidP="004C0C7D" w:rsidRDefault="00D957CD" w14:paraId="2AD13540" w14:textId="77777777">
            <w:pPr>
              <w:rPr>
                <w:color w:val="000000"/>
              </w:rPr>
            </w:pPr>
          </w:p>
          <w:p w:rsidR="00D957CD" w:rsidP="004C0C7D" w:rsidRDefault="00D957CD" w14:paraId="36F4A401" w14:textId="77777777">
            <w:pPr>
              <w:rPr>
                <w:color w:val="000000"/>
              </w:rPr>
            </w:pPr>
            <w:r>
              <w:rPr>
                <w:color w:val="000000"/>
              </w:rPr>
              <w:t>Cal Advocates also recommended 900 miles for the Wildfire Covered Conductor Program.</w:t>
            </w:r>
          </w:p>
          <w:p w:rsidR="00D957CD" w:rsidP="004C0C7D" w:rsidRDefault="00D957CD" w14:paraId="62448657" w14:textId="77777777">
            <w:pPr>
              <w:rPr>
                <w:color w:val="000000"/>
              </w:rPr>
            </w:pPr>
          </w:p>
          <w:p w:rsidRPr="00FD6B8E" w:rsidR="00D957CD" w:rsidP="004C0C7D" w:rsidRDefault="00D957CD" w14:paraId="79E2987C" w14:textId="77777777">
            <w:pPr>
              <w:rPr>
                <w:b/>
                <w:bCs/>
                <w:color w:val="000000"/>
              </w:rPr>
            </w:pPr>
            <w:r>
              <w:rPr>
                <w:color w:val="000000"/>
              </w:rPr>
              <w:t xml:space="preserve">The settlement agreement, adopted by the Commission, authorized SCE to implement 1,050 miles through the Wildfire Covered Conductor Program in 2024.  It also incorporated SCE’s requested capital budgets for other wildfire mitigation activities.  </w:t>
            </w:r>
          </w:p>
        </w:tc>
        <w:tc>
          <w:tcPr>
            <w:tcW w:w="3240" w:type="dxa"/>
            <w:shd w:val="clear" w:color="auto" w:fill="auto"/>
          </w:tcPr>
          <w:p w:rsidRPr="0066167E" w:rsidR="00D957CD" w:rsidP="00D957CD" w:rsidRDefault="00D957CD" w14:paraId="0500C7EF" w14:textId="77777777">
            <w:pPr>
              <w:pStyle w:val="ListParagraph"/>
              <w:numPr>
                <w:ilvl w:val="0"/>
                <w:numId w:val="12"/>
              </w:numPr>
              <w:rPr>
                <w:rFonts w:eastAsia="Times New Roman"/>
                <w:color w:val="000000"/>
                <w:szCs w:val="24"/>
              </w:rPr>
            </w:pPr>
            <w:r w:rsidRPr="0066167E">
              <w:rPr>
                <w:rFonts w:eastAsia="Times New Roman"/>
                <w:color w:val="000000"/>
                <w:szCs w:val="24"/>
              </w:rPr>
              <w:lastRenderedPageBreak/>
              <w:t>Ex. TURN-Tr.4-01 (Goodson/Hawiger), pp. 19-27</w:t>
            </w:r>
          </w:p>
          <w:p w:rsidR="00D957CD" w:rsidP="004C0C7D" w:rsidRDefault="00D957CD" w14:paraId="0A02CB1C" w14:textId="77777777">
            <w:pPr>
              <w:rPr>
                <w:color w:val="000000"/>
              </w:rPr>
            </w:pPr>
          </w:p>
          <w:p w:rsidRPr="0066167E" w:rsidR="00D957CD" w:rsidP="00D957CD" w:rsidRDefault="00D957CD" w14:paraId="283695E3"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5120FF74" w14:textId="77777777">
            <w:pPr>
              <w:pStyle w:val="ListParagraph"/>
              <w:rPr>
                <w:rFonts w:eastAsia="Times New Roman"/>
                <w:color w:val="000000"/>
                <w:szCs w:val="24"/>
              </w:rPr>
            </w:pPr>
          </w:p>
          <w:p w:rsidRPr="0066167E" w:rsidR="00D957CD" w:rsidP="00D957CD" w:rsidRDefault="00D957CD" w14:paraId="79F4E4BF" w14:textId="77777777">
            <w:pPr>
              <w:pStyle w:val="ListParagraph"/>
              <w:numPr>
                <w:ilvl w:val="0"/>
                <w:numId w:val="11"/>
              </w:numPr>
              <w:rPr>
                <w:rFonts w:eastAsia="Times New Roman"/>
                <w:color w:val="000000"/>
                <w:szCs w:val="24"/>
              </w:rPr>
            </w:pPr>
            <w:r w:rsidRPr="0066167E">
              <w:rPr>
                <w:rFonts w:eastAsia="Times New Roman"/>
                <w:color w:val="000000"/>
                <w:szCs w:val="24"/>
              </w:rPr>
              <w:lastRenderedPageBreak/>
              <w:t xml:space="preserve">D.23-11-096, p. 10 </w:t>
            </w:r>
          </w:p>
          <w:p w:rsidRPr="0066167E" w:rsidR="00D957CD" w:rsidP="004C0C7D" w:rsidRDefault="00D957CD" w14:paraId="42F86AE6" w14:textId="77777777">
            <w:pPr>
              <w:pStyle w:val="ListParagraph"/>
              <w:rPr>
                <w:rFonts w:eastAsia="Times New Roman"/>
                <w:color w:val="000000"/>
                <w:szCs w:val="24"/>
              </w:rPr>
            </w:pPr>
          </w:p>
        </w:tc>
        <w:tc>
          <w:tcPr>
            <w:tcW w:w="1710" w:type="dxa"/>
            <w:shd w:val="clear" w:color="auto" w:fill="auto"/>
          </w:tcPr>
          <w:p w:rsidRPr="003349DE" w:rsidR="00D957CD" w:rsidP="007D7A94" w:rsidRDefault="007D7A94" w14:paraId="4F29C89A" w14:textId="0BD1271C">
            <w:pPr>
              <w:spacing w:before="120"/>
              <w:jc w:val="center"/>
              <w:rPr>
                <w:color w:val="000000"/>
              </w:rPr>
            </w:pPr>
            <w:r w:rsidRPr="007D7A94">
              <w:rPr>
                <w:color w:val="000000"/>
              </w:rPr>
              <w:lastRenderedPageBreak/>
              <w:t>Verified</w:t>
            </w:r>
          </w:p>
        </w:tc>
      </w:tr>
      <w:tr w:rsidRPr="003349DE" w:rsidR="00D957CD" w:rsidTr="00407348" w14:paraId="7D066ED0" w14:textId="77777777">
        <w:tc>
          <w:tcPr>
            <w:tcW w:w="4675" w:type="dxa"/>
            <w:shd w:val="clear" w:color="auto" w:fill="auto"/>
          </w:tcPr>
          <w:p w:rsidRPr="003C72BE" w:rsidR="00D957CD" w:rsidP="004C0C7D" w:rsidRDefault="00D957CD" w14:paraId="087C87EC" w14:textId="77777777">
            <w:pPr>
              <w:rPr>
                <w:b/>
                <w:bCs/>
                <w:color w:val="000000"/>
              </w:rPr>
            </w:pPr>
            <w:r>
              <w:rPr>
                <w:b/>
                <w:bCs/>
                <w:color w:val="000000"/>
              </w:rPr>
              <w:t>5</w:t>
            </w:r>
            <w:r w:rsidRPr="003C72BE">
              <w:rPr>
                <w:b/>
                <w:bCs/>
                <w:color w:val="000000"/>
              </w:rPr>
              <w:t xml:space="preserve">.  </w:t>
            </w:r>
            <w:r>
              <w:rPr>
                <w:b/>
                <w:bCs/>
                <w:color w:val="000000"/>
              </w:rPr>
              <w:t xml:space="preserve">Track 4 </w:t>
            </w:r>
            <w:r w:rsidRPr="003C72BE">
              <w:rPr>
                <w:b/>
                <w:bCs/>
                <w:color w:val="000000"/>
              </w:rPr>
              <w:t>Settlement – Capital Additions Escalation</w:t>
            </w:r>
          </w:p>
          <w:p w:rsidR="00D957CD" w:rsidP="004C0C7D" w:rsidRDefault="00D957CD" w14:paraId="2C772760" w14:textId="77777777">
            <w:pPr>
              <w:rPr>
                <w:color w:val="000000"/>
              </w:rPr>
            </w:pPr>
          </w:p>
          <w:p w:rsidR="00D957CD" w:rsidP="004C0C7D" w:rsidRDefault="00D957CD" w14:paraId="722E6204" w14:textId="77777777">
            <w:pPr>
              <w:rPr>
                <w:color w:val="000000"/>
              </w:rPr>
            </w:pPr>
            <w:r>
              <w:rPr>
                <w:color w:val="000000"/>
              </w:rPr>
              <w:t xml:space="preserve">TURN opposed SCE’s proposed to increase the post-test year escalation rate of 0% adopted in the Track 1 decision for non-wildfire mitigation capital additions.  SCE requested to escalate capital additions based on the S&amp;P Global forecast weighted average capital escalation rate.  </w:t>
            </w:r>
          </w:p>
          <w:p w:rsidR="00D957CD" w:rsidP="004C0C7D" w:rsidRDefault="00D957CD" w14:paraId="787332FA" w14:textId="77777777">
            <w:pPr>
              <w:rPr>
                <w:color w:val="000000"/>
              </w:rPr>
            </w:pPr>
          </w:p>
          <w:p w:rsidR="00D957CD" w:rsidP="004C0C7D" w:rsidRDefault="00D957CD" w14:paraId="7677A6DD" w14:textId="77777777">
            <w:pPr>
              <w:rPr>
                <w:color w:val="000000"/>
              </w:rPr>
            </w:pPr>
            <w:r>
              <w:rPr>
                <w:color w:val="000000"/>
              </w:rPr>
              <w:t>Cal Advocates also opposed SCE’s proposal.</w:t>
            </w:r>
          </w:p>
          <w:p w:rsidR="00D957CD" w:rsidP="004C0C7D" w:rsidRDefault="00D957CD" w14:paraId="67496AD6" w14:textId="77777777">
            <w:pPr>
              <w:rPr>
                <w:color w:val="000000"/>
              </w:rPr>
            </w:pPr>
          </w:p>
          <w:p w:rsidR="00D957CD" w:rsidP="004C0C7D" w:rsidRDefault="00D957CD" w14:paraId="06948C02" w14:textId="77777777">
            <w:pPr>
              <w:rPr>
                <w:color w:val="000000"/>
              </w:rPr>
            </w:pPr>
            <w:r>
              <w:rPr>
                <w:color w:val="000000"/>
              </w:rPr>
              <w:t xml:space="preserve">The settlement agreement, adopted by the Commission, authorized a 1.5% escalation rate in 2024 for capital additions.  </w:t>
            </w:r>
          </w:p>
          <w:p w:rsidRPr="003C72BE" w:rsidR="00D957CD" w:rsidP="004C0C7D" w:rsidRDefault="00D957CD" w14:paraId="0BCBCA4C" w14:textId="77777777">
            <w:pPr>
              <w:rPr>
                <w:b/>
                <w:bCs/>
                <w:color w:val="000000"/>
              </w:rPr>
            </w:pPr>
          </w:p>
        </w:tc>
        <w:tc>
          <w:tcPr>
            <w:tcW w:w="3240" w:type="dxa"/>
            <w:shd w:val="clear" w:color="auto" w:fill="auto"/>
          </w:tcPr>
          <w:p w:rsidRPr="0066167E" w:rsidR="00D957CD" w:rsidP="00D957CD" w:rsidRDefault="00D957CD" w14:paraId="241C8779" w14:textId="77777777">
            <w:pPr>
              <w:pStyle w:val="ListParagraph"/>
              <w:numPr>
                <w:ilvl w:val="0"/>
                <w:numId w:val="12"/>
              </w:numPr>
              <w:rPr>
                <w:rFonts w:eastAsia="Times New Roman"/>
                <w:color w:val="000000"/>
                <w:szCs w:val="24"/>
              </w:rPr>
            </w:pPr>
            <w:r w:rsidRPr="0066167E">
              <w:rPr>
                <w:rFonts w:eastAsia="Times New Roman"/>
                <w:color w:val="000000"/>
                <w:szCs w:val="24"/>
              </w:rPr>
              <w:t>Ex. TURN-Tr.4-01 (Goodson/Hawiger), pp. 29-31</w:t>
            </w:r>
          </w:p>
          <w:p w:rsidR="00D957CD" w:rsidP="004C0C7D" w:rsidRDefault="00D957CD" w14:paraId="7585F9D5" w14:textId="77777777">
            <w:pPr>
              <w:rPr>
                <w:color w:val="000000"/>
              </w:rPr>
            </w:pPr>
          </w:p>
          <w:p w:rsidRPr="0066167E" w:rsidR="00D957CD" w:rsidP="00D957CD" w:rsidRDefault="00D957CD" w14:paraId="2FCE4828"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17B2F00A" w14:textId="77777777">
            <w:pPr>
              <w:pStyle w:val="ListParagraph"/>
              <w:rPr>
                <w:rFonts w:eastAsia="Times New Roman"/>
                <w:color w:val="000000"/>
                <w:szCs w:val="24"/>
              </w:rPr>
            </w:pPr>
          </w:p>
          <w:p w:rsidRPr="0066167E" w:rsidR="00D957CD" w:rsidP="00D957CD" w:rsidRDefault="00D957CD" w14:paraId="46AF6A60"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 10 </w:t>
            </w:r>
          </w:p>
          <w:p w:rsidRPr="0066167E" w:rsidR="00D957CD" w:rsidP="004C0C7D" w:rsidRDefault="00D957CD" w14:paraId="5290CE4C" w14:textId="77777777">
            <w:pPr>
              <w:pStyle w:val="ListParagraph"/>
              <w:rPr>
                <w:rFonts w:eastAsia="Times New Roman"/>
                <w:color w:val="000000"/>
                <w:szCs w:val="24"/>
              </w:rPr>
            </w:pPr>
          </w:p>
        </w:tc>
        <w:tc>
          <w:tcPr>
            <w:tcW w:w="1710" w:type="dxa"/>
            <w:shd w:val="clear" w:color="auto" w:fill="auto"/>
          </w:tcPr>
          <w:p w:rsidRPr="003349DE" w:rsidR="00D957CD" w:rsidP="007D7A94" w:rsidRDefault="007D7A94" w14:paraId="18472941" w14:textId="60142754">
            <w:pPr>
              <w:spacing w:before="120"/>
              <w:jc w:val="center"/>
              <w:rPr>
                <w:color w:val="000000"/>
              </w:rPr>
            </w:pPr>
            <w:r w:rsidRPr="007D7A94">
              <w:rPr>
                <w:color w:val="000000"/>
              </w:rPr>
              <w:t>Verified</w:t>
            </w:r>
          </w:p>
        </w:tc>
      </w:tr>
      <w:tr w:rsidRPr="003349DE" w:rsidR="00D957CD" w:rsidTr="00407348" w14:paraId="76780E74" w14:textId="77777777">
        <w:tc>
          <w:tcPr>
            <w:tcW w:w="4675" w:type="dxa"/>
            <w:shd w:val="clear" w:color="auto" w:fill="auto"/>
          </w:tcPr>
          <w:p w:rsidRPr="00235EF1" w:rsidR="00D957CD" w:rsidP="004C0C7D" w:rsidRDefault="00D957CD" w14:paraId="7AD61759" w14:textId="77777777">
            <w:pPr>
              <w:rPr>
                <w:b/>
                <w:bCs/>
                <w:color w:val="000000"/>
              </w:rPr>
            </w:pPr>
            <w:r>
              <w:rPr>
                <w:b/>
                <w:bCs/>
                <w:color w:val="000000"/>
              </w:rPr>
              <w:t>6</w:t>
            </w:r>
            <w:r w:rsidRPr="00235EF1">
              <w:rPr>
                <w:b/>
                <w:bCs/>
                <w:color w:val="000000"/>
              </w:rPr>
              <w:t xml:space="preserve">.  </w:t>
            </w:r>
            <w:r>
              <w:rPr>
                <w:b/>
                <w:bCs/>
                <w:color w:val="000000"/>
              </w:rPr>
              <w:t xml:space="preserve">Track 4 </w:t>
            </w:r>
            <w:r w:rsidRPr="00235EF1">
              <w:rPr>
                <w:b/>
                <w:bCs/>
                <w:color w:val="000000"/>
              </w:rPr>
              <w:t>Settlement – Customer Deposits True-Up</w:t>
            </w:r>
          </w:p>
          <w:p w:rsidR="00D957CD" w:rsidP="004C0C7D" w:rsidRDefault="00D957CD" w14:paraId="024A9FDB" w14:textId="77777777">
            <w:pPr>
              <w:rPr>
                <w:color w:val="000000"/>
              </w:rPr>
            </w:pPr>
          </w:p>
          <w:p w:rsidR="00D957CD" w:rsidP="004C0C7D" w:rsidRDefault="00D957CD" w14:paraId="03E3450B" w14:textId="77777777">
            <w:pPr>
              <w:rPr>
                <w:color w:val="000000"/>
              </w:rPr>
            </w:pPr>
            <w:r>
              <w:rPr>
                <w:color w:val="000000"/>
              </w:rPr>
              <w:t xml:space="preserve">TURN opposed SCE’s request to update the customer deposits balance for 2024, arguing that this change was beyond the scope of Track 4.  This change would have added $7 million to the 2024 revenue requirement.  </w:t>
            </w:r>
          </w:p>
          <w:p w:rsidR="00D957CD" w:rsidP="004C0C7D" w:rsidRDefault="00D957CD" w14:paraId="40DC581E" w14:textId="77777777">
            <w:pPr>
              <w:rPr>
                <w:color w:val="000000"/>
              </w:rPr>
            </w:pPr>
          </w:p>
          <w:p w:rsidR="00D957CD" w:rsidP="004C0C7D" w:rsidRDefault="00D957CD" w14:paraId="602D4C4F" w14:textId="77777777">
            <w:pPr>
              <w:rPr>
                <w:color w:val="000000"/>
              </w:rPr>
            </w:pPr>
            <w:r>
              <w:rPr>
                <w:color w:val="000000"/>
              </w:rPr>
              <w:t>Cal Advocates did not oppose SCE’s request.</w:t>
            </w:r>
          </w:p>
          <w:p w:rsidR="00D957CD" w:rsidP="004C0C7D" w:rsidRDefault="00D957CD" w14:paraId="44D56DF5" w14:textId="77777777">
            <w:pPr>
              <w:rPr>
                <w:color w:val="000000"/>
              </w:rPr>
            </w:pPr>
          </w:p>
          <w:p w:rsidR="00D957CD" w:rsidP="004C0C7D" w:rsidRDefault="00D957CD" w14:paraId="4AE82220" w14:textId="77777777">
            <w:pPr>
              <w:rPr>
                <w:color w:val="000000"/>
              </w:rPr>
            </w:pPr>
            <w:r>
              <w:rPr>
                <w:color w:val="000000"/>
              </w:rPr>
              <w:t>The Settlement agreement, adopted by the Commission, rejected SCE’s request for a true-up of customer deposits.</w:t>
            </w:r>
          </w:p>
          <w:p w:rsidR="00D957CD" w:rsidP="004C0C7D" w:rsidRDefault="00D957CD" w14:paraId="46720276" w14:textId="77777777">
            <w:pPr>
              <w:rPr>
                <w:b/>
                <w:bCs/>
                <w:color w:val="000000"/>
              </w:rPr>
            </w:pPr>
          </w:p>
        </w:tc>
        <w:tc>
          <w:tcPr>
            <w:tcW w:w="3240" w:type="dxa"/>
            <w:shd w:val="clear" w:color="auto" w:fill="auto"/>
          </w:tcPr>
          <w:p w:rsidRPr="0066167E" w:rsidR="00D957CD" w:rsidP="00D957CD" w:rsidRDefault="00D957CD" w14:paraId="1ED544BB" w14:textId="77777777">
            <w:pPr>
              <w:pStyle w:val="ListParagraph"/>
              <w:numPr>
                <w:ilvl w:val="0"/>
                <w:numId w:val="12"/>
              </w:numPr>
              <w:rPr>
                <w:rFonts w:eastAsia="Times New Roman"/>
                <w:color w:val="000000"/>
                <w:szCs w:val="24"/>
              </w:rPr>
            </w:pPr>
            <w:r w:rsidRPr="0066167E">
              <w:rPr>
                <w:rFonts w:eastAsia="Times New Roman"/>
                <w:color w:val="000000"/>
                <w:szCs w:val="24"/>
              </w:rPr>
              <w:lastRenderedPageBreak/>
              <w:t>Ex. TURN-Tr.4-01 (Goodson/Hawiger), pp. 31-32</w:t>
            </w:r>
          </w:p>
          <w:p w:rsidR="00D957CD" w:rsidP="004C0C7D" w:rsidRDefault="00D957CD" w14:paraId="76BA87EE" w14:textId="77777777">
            <w:pPr>
              <w:rPr>
                <w:color w:val="000000"/>
              </w:rPr>
            </w:pPr>
          </w:p>
          <w:p w:rsidRPr="0066167E" w:rsidR="00D957CD" w:rsidP="00D957CD" w:rsidRDefault="00D957CD" w14:paraId="6CFDB908"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5CB0669C" w14:textId="77777777">
            <w:pPr>
              <w:pStyle w:val="ListParagraph"/>
              <w:rPr>
                <w:rFonts w:eastAsia="Times New Roman"/>
                <w:color w:val="000000"/>
                <w:szCs w:val="24"/>
              </w:rPr>
            </w:pPr>
          </w:p>
          <w:p w:rsidRPr="0066167E" w:rsidR="00D957CD" w:rsidP="00D957CD" w:rsidRDefault="00D957CD" w14:paraId="765D4E81"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 11 </w:t>
            </w:r>
          </w:p>
          <w:p w:rsidRPr="0066167E" w:rsidR="00D957CD" w:rsidP="004C0C7D" w:rsidRDefault="00D957CD" w14:paraId="749990EA" w14:textId="77777777">
            <w:pPr>
              <w:pStyle w:val="ListParagraph"/>
              <w:rPr>
                <w:rFonts w:eastAsia="Times New Roman"/>
                <w:color w:val="000000"/>
                <w:szCs w:val="24"/>
              </w:rPr>
            </w:pPr>
          </w:p>
        </w:tc>
        <w:tc>
          <w:tcPr>
            <w:tcW w:w="1710" w:type="dxa"/>
            <w:shd w:val="clear" w:color="auto" w:fill="auto"/>
          </w:tcPr>
          <w:p w:rsidRPr="003349DE" w:rsidR="00D957CD" w:rsidP="007D7A94" w:rsidRDefault="007D7A94" w14:paraId="425949FC" w14:textId="74EE006F">
            <w:pPr>
              <w:spacing w:before="120"/>
              <w:jc w:val="center"/>
              <w:rPr>
                <w:color w:val="000000"/>
              </w:rPr>
            </w:pPr>
            <w:r w:rsidRPr="007D7A94">
              <w:rPr>
                <w:color w:val="000000"/>
              </w:rPr>
              <w:t>Verified</w:t>
            </w:r>
          </w:p>
        </w:tc>
      </w:tr>
      <w:tr w:rsidRPr="003349DE" w:rsidR="00D957CD" w:rsidTr="00407348" w14:paraId="32DCE6B6" w14:textId="77777777">
        <w:tc>
          <w:tcPr>
            <w:tcW w:w="4675" w:type="dxa"/>
            <w:shd w:val="clear" w:color="auto" w:fill="auto"/>
          </w:tcPr>
          <w:p w:rsidRPr="00235EF1" w:rsidR="00D957CD" w:rsidP="004C0C7D" w:rsidRDefault="00D957CD" w14:paraId="76CF6409" w14:textId="77777777">
            <w:pPr>
              <w:rPr>
                <w:b/>
                <w:bCs/>
                <w:color w:val="000000"/>
              </w:rPr>
            </w:pPr>
            <w:r>
              <w:rPr>
                <w:b/>
                <w:bCs/>
                <w:color w:val="000000"/>
              </w:rPr>
              <w:t>7</w:t>
            </w:r>
            <w:r w:rsidRPr="00235EF1">
              <w:rPr>
                <w:b/>
                <w:bCs/>
                <w:color w:val="000000"/>
              </w:rPr>
              <w:t xml:space="preserve">.  </w:t>
            </w:r>
            <w:r>
              <w:rPr>
                <w:b/>
                <w:bCs/>
                <w:color w:val="000000"/>
              </w:rPr>
              <w:t xml:space="preserve">Track 4 </w:t>
            </w:r>
            <w:r w:rsidRPr="00235EF1">
              <w:rPr>
                <w:b/>
                <w:bCs/>
                <w:color w:val="000000"/>
              </w:rPr>
              <w:t>Settlement – True-Up of 2020 Recorded Non-Wildfire Capital</w:t>
            </w:r>
          </w:p>
          <w:p w:rsidR="00D957CD" w:rsidP="004C0C7D" w:rsidRDefault="00D957CD" w14:paraId="0D3D9CB1" w14:textId="77777777">
            <w:pPr>
              <w:rPr>
                <w:color w:val="000000"/>
              </w:rPr>
            </w:pPr>
          </w:p>
          <w:p w:rsidR="00D957CD" w:rsidP="004C0C7D" w:rsidRDefault="00D957CD" w14:paraId="0FB0E9AD" w14:textId="77777777">
            <w:pPr>
              <w:rPr>
                <w:color w:val="000000"/>
              </w:rPr>
            </w:pPr>
            <w:r>
              <w:rPr>
                <w:color w:val="000000"/>
              </w:rPr>
              <w:t xml:space="preserve">TURN opposed SCE’s request to true-up recorded 2020 non-wildfire capital expenditures and reflect that trued-up balance in 2024 rate base, arguing that this change was beyond the scope of Track 4.  This change would have added $41 million to the 2024 revenue requirement.  </w:t>
            </w:r>
          </w:p>
          <w:p w:rsidR="00D957CD" w:rsidP="004C0C7D" w:rsidRDefault="00D957CD" w14:paraId="11014E3E" w14:textId="77777777">
            <w:pPr>
              <w:rPr>
                <w:color w:val="000000"/>
              </w:rPr>
            </w:pPr>
          </w:p>
          <w:p w:rsidR="00D957CD" w:rsidP="004C0C7D" w:rsidRDefault="00D957CD" w14:paraId="7A23636E" w14:textId="77777777">
            <w:pPr>
              <w:rPr>
                <w:color w:val="000000"/>
              </w:rPr>
            </w:pPr>
            <w:r>
              <w:rPr>
                <w:color w:val="000000"/>
              </w:rPr>
              <w:t>Cal Advocates also opposed SCE’s request.</w:t>
            </w:r>
          </w:p>
          <w:p w:rsidR="00D957CD" w:rsidP="004C0C7D" w:rsidRDefault="00D957CD" w14:paraId="3AAA7B08" w14:textId="77777777">
            <w:pPr>
              <w:rPr>
                <w:color w:val="000000"/>
              </w:rPr>
            </w:pPr>
          </w:p>
          <w:p w:rsidR="00D957CD" w:rsidP="004C0C7D" w:rsidRDefault="00D957CD" w14:paraId="393EB65A" w14:textId="77777777">
            <w:pPr>
              <w:rPr>
                <w:color w:val="000000"/>
              </w:rPr>
            </w:pPr>
            <w:r>
              <w:rPr>
                <w:color w:val="000000"/>
              </w:rPr>
              <w:t>The Settlement agreement, adopted by the Commission, rejected SCE’s request to true-up 2020 recorded capital expenditures.</w:t>
            </w:r>
          </w:p>
          <w:p w:rsidR="00D957CD" w:rsidP="004C0C7D" w:rsidRDefault="00D957CD" w14:paraId="35E6695F" w14:textId="77777777">
            <w:pPr>
              <w:rPr>
                <w:b/>
                <w:bCs/>
                <w:color w:val="000000"/>
              </w:rPr>
            </w:pPr>
          </w:p>
        </w:tc>
        <w:tc>
          <w:tcPr>
            <w:tcW w:w="3240" w:type="dxa"/>
            <w:shd w:val="clear" w:color="auto" w:fill="auto"/>
          </w:tcPr>
          <w:p w:rsidRPr="0066167E" w:rsidR="00D957CD" w:rsidP="00D957CD" w:rsidRDefault="00D957CD" w14:paraId="636530B6" w14:textId="77777777">
            <w:pPr>
              <w:pStyle w:val="ListParagraph"/>
              <w:numPr>
                <w:ilvl w:val="0"/>
                <w:numId w:val="12"/>
              </w:numPr>
              <w:rPr>
                <w:rFonts w:eastAsia="Times New Roman"/>
                <w:color w:val="000000"/>
                <w:szCs w:val="24"/>
              </w:rPr>
            </w:pPr>
            <w:r w:rsidRPr="0066167E">
              <w:rPr>
                <w:rFonts w:eastAsia="Times New Roman"/>
                <w:color w:val="000000"/>
                <w:szCs w:val="24"/>
              </w:rPr>
              <w:t>Ex. TURN-Tr.4-01 (Goodson/Hawiger), p. 32</w:t>
            </w:r>
          </w:p>
          <w:p w:rsidR="00D957CD" w:rsidP="004C0C7D" w:rsidRDefault="00D957CD" w14:paraId="3C0A8FBB" w14:textId="77777777">
            <w:pPr>
              <w:rPr>
                <w:color w:val="000000"/>
              </w:rPr>
            </w:pPr>
          </w:p>
          <w:p w:rsidRPr="0066167E" w:rsidR="00D957CD" w:rsidP="00D957CD" w:rsidRDefault="00D957CD" w14:paraId="7C38DC0F"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2C5F3791" w14:textId="77777777">
            <w:pPr>
              <w:pStyle w:val="ListParagraph"/>
              <w:rPr>
                <w:rFonts w:eastAsia="Times New Roman"/>
                <w:color w:val="000000"/>
                <w:szCs w:val="24"/>
              </w:rPr>
            </w:pPr>
          </w:p>
          <w:p w:rsidRPr="0066167E" w:rsidR="00D957CD" w:rsidP="00D957CD" w:rsidRDefault="00D957CD" w14:paraId="5BE382C7"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 11 </w:t>
            </w:r>
          </w:p>
          <w:p w:rsidRPr="0066167E" w:rsidR="00D957CD" w:rsidP="004C0C7D" w:rsidRDefault="00D957CD" w14:paraId="421CE29C" w14:textId="77777777">
            <w:pPr>
              <w:pStyle w:val="ListParagraph"/>
              <w:rPr>
                <w:rFonts w:eastAsia="Times New Roman"/>
                <w:color w:val="000000"/>
                <w:szCs w:val="24"/>
              </w:rPr>
            </w:pPr>
          </w:p>
        </w:tc>
        <w:tc>
          <w:tcPr>
            <w:tcW w:w="1710" w:type="dxa"/>
            <w:shd w:val="clear" w:color="auto" w:fill="auto"/>
          </w:tcPr>
          <w:p w:rsidRPr="003349DE" w:rsidR="00D957CD" w:rsidP="007D7A94" w:rsidRDefault="007D7A94" w14:paraId="692E5E19" w14:textId="589F79F1">
            <w:pPr>
              <w:spacing w:before="120"/>
              <w:jc w:val="center"/>
              <w:rPr>
                <w:color w:val="000000"/>
              </w:rPr>
            </w:pPr>
            <w:r w:rsidRPr="007D7A94">
              <w:rPr>
                <w:color w:val="000000"/>
              </w:rPr>
              <w:t>Verified</w:t>
            </w:r>
          </w:p>
        </w:tc>
      </w:tr>
      <w:tr w:rsidRPr="003349DE" w:rsidR="00D957CD" w:rsidTr="00407348" w14:paraId="51B2914A" w14:textId="77777777">
        <w:tc>
          <w:tcPr>
            <w:tcW w:w="4675" w:type="dxa"/>
            <w:shd w:val="clear" w:color="auto" w:fill="auto"/>
          </w:tcPr>
          <w:p w:rsidRPr="00235EF1" w:rsidR="00D957CD" w:rsidP="004C0C7D" w:rsidRDefault="00D957CD" w14:paraId="5F8B90BC" w14:textId="77777777">
            <w:pPr>
              <w:rPr>
                <w:b/>
                <w:bCs/>
                <w:color w:val="000000"/>
              </w:rPr>
            </w:pPr>
            <w:r w:rsidRPr="00235EF1">
              <w:rPr>
                <w:b/>
                <w:bCs/>
                <w:color w:val="000000"/>
              </w:rPr>
              <w:t xml:space="preserve">8.  </w:t>
            </w:r>
            <w:r>
              <w:rPr>
                <w:b/>
                <w:bCs/>
                <w:color w:val="000000"/>
              </w:rPr>
              <w:t xml:space="preserve">Track 4 </w:t>
            </w:r>
            <w:r w:rsidRPr="00235EF1">
              <w:rPr>
                <w:b/>
                <w:bCs/>
                <w:color w:val="000000"/>
              </w:rPr>
              <w:t>Settlement – Impact of 2021 Inflation in 2024</w:t>
            </w:r>
          </w:p>
          <w:p w:rsidR="00D957CD" w:rsidP="004C0C7D" w:rsidRDefault="00D957CD" w14:paraId="083C541E" w14:textId="77777777">
            <w:pPr>
              <w:rPr>
                <w:color w:val="000000"/>
              </w:rPr>
            </w:pPr>
          </w:p>
          <w:p w:rsidR="00D957CD" w:rsidP="004C0C7D" w:rsidRDefault="00D957CD" w14:paraId="0D73B1E2" w14:textId="77777777">
            <w:pPr>
              <w:rPr>
                <w:color w:val="000000"/>
              </w:rPr>
            </w:pPr>
            <w:r>
              <w:rPr>
                <w:color w:val="000000"/>
              </w:rPr>
              <w:t xml:space="preserve">TURN opposed SCE’s request to apply the actual 2021 O&amp;M escalation rates in calculating 2024 escalation, as this approach is different than the Track 1 O&amp;M expense attrition mechanism.  TURN also pointed out that SCE did not present evidence that its financial health and credit standing require the attrition mechanism SCE proposed.  SCE’s proposal would have added $94 million to the 2024 revenue requirement.  </w:t>
            </w:r>
          </w:p>
          <w:p w:rsidR="00D957CD" w:rsidP="004C0C7D" w:rsidRDefault="00D957CD" w14:paraId="2A7BDA4F" w14:textId="77777777">
            <w:pPr>
              <w:rPr>
                <w:color w:val="000000"/>
              </w:rPr>
            </w:pPr>
          </w:p>
          <w:p w:rsidR="00D957CD" w:rsidP="004C0C7D" w:rsidRDefault="00D957CD" w14:paraId="6C72CCCF" w14:textId="77777777">
            <w:pPr>
              <w:rPr>
                <w:color w:val="000000"/>
              </w:rPr>
            </w:pPr>
            <w:r>
              <w:rPr>
                <w:color w:val="000000"/>
              </w:rPr>
              <w:t>Cal Advocates also opposed SCE’s request.</w:t>
            </w:r>
          </w:p>
          <w:p w:rsidR="00D957CD" w:rsidP="004C0C7D" w:rsidRDefault="00D957CD" w14:paraId="0B27FF50" w14:textId="77777777">
            <w:pPr>
              <w:rPr>
                <w:color w:val="000000"/>
              </w:rPr>
            </w:pPr>
          </w:p>
          <w:p w:rsidR="00D957CD" w:rsidP="004C0C7D" w:rsidRDefault="00D957CD" w14:paraId="187A58F0" w14:textId="77777777">
            <w:pPr>
              <w:rPr>
                <w:color w:val="000000"/>
              </w:rPr>
            </w:pPr>
            <w:r>
              <w:rPr>
                <w:color w:val="000000"/>
              </w:rPr>
              <w:t>The Settlement agreement, adopted by the Commission, rejected SCE’s request for additional O&amp;M escalation in 2024 to account for 2021 inflation.</w:t>
            </w:r>
          </w:p>
          <w:p w:rsidR="00D957CD" w:rsidP="004C0C7D" w:rsidRDefault="00D957CD" w14:paraId="28B29D7F" w14:textId="77777777">
            <w:pPr>
              <w:rPr>
                <w:b/>
                <w:bCs/>
                <w:color w:val="000000"/>
              </w:rPr>
            </w:pPr>
          </w:p>
        </w:tc>
        <w:tc>
          <w:tcPr>
            <w:tcW w:w="3240" w:type="dxa"/>
            <w:shd w:val="clear" w:color="auto" w:fill="auto"/>
          </w:tcPr>
          <w:p w:rsidRPr="0066167E" w:rsidR="00D957CD" w:rsidP="00D957CD" w:rsidRDefault="00D957CD" w14:paraId="6750CE5A" w14:textId="77777777">
            <w:pPr>
              <w:pStyle w:val="ListParagraph"/>
              <w:numPr>
                <w:ilvl w:val="0"/>
                <w:numId w:val="12"/>
              </w:numPr>
              <w:rPr>
                <w:rFonts w:eastAsia="Times New Roman"/>
                <w:color w:val="000000"/>
                <w:szCs w:val="24"/>
              </w:rPr>
            </w:pPr>
            <w:r w:rsidRPr="0066167E">
              <w:rPr>
                <w:rFonts w:eastAsia="Times New Roman"/>
                <w:color w:val="000000"/>
                <w:szCs w:val="24"/>
              </w:rPr>
              <w:t>Ex. TURN-Tr.4-01 (Goodson/Hawiger), pp. 15-17</w:t>
            </w:r>
          </w:p>
          <w:p w:rsidR="00D957CD" w:rsidP="004C0C7D" w:rsidRDefault="00D957CD" w14:paraId="22093BE6" w14:textId="77777777">
            <w:pPr>
              <w:rPr>
                <w:color w:val="000000"/>
              </w:rPr>
            </w:pPr>
          </w:p>
          <w:p w:rsidRPr="0066167E" w:rsidR="00D957CD" w:rsidP="00D957CD" w:rsidRDefault="00D957CD" w14:paraId="574B9AEE"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Track 4 Settlement Agreement (attached to D.23-11-096 as Appendix A), Appendix B (Comparison Exhibit) </w:t>
            </w:r>
          </w:p>
          <w:p w:rsidRPr="0066167E" w:rsidR="00D957CD" w:rsidP="004C0C7D" w:rsidRDefault="00D957CD" w14:paraId="0A837508" w14:textId="77777777">
            <w:pPr>
              <w:pStyle w:val="ListParagraph"/>
              <w:rPr>
                <w:rFonts w:eastAsia="Times New Roman"/>
                <w:color w:val="000000"/>
                <w:szCs w:val="24"/>
              </w:rPr>
            </w:pPr>
          </w:p>
          <w:p w:rsidRPr="0066167E" w:rsidR="00D957CD" w:rsidP="00D957CD" w:rsidRDefault="00D957CD" w14:paraId="702D5BD7" w14:textId="77777777">
            <w:pPr>
              <w:pStyle w:val="ListParagraph"/>
              <w:numPr>
                <w:ilvl w:val="0"/>
                <w:numId w:val="11"/>
              </w:numPr>
              <w:rPr>
                <w:rFonts w:eastAsia="Times New Roman"/>
                <w:color w:val="000000"/>
                <w:szCs w:val="24"/>
              </w:rPr>
            </w:pPr>
            <w:r w:rsidRPr="0066167E">
              <w:rPr>
                <w:rFonts w:eastAsia="Times New Roman"/>
                <w:color w:val="000000"/>
                <w:szCs w:val="24"/>
              </w:rPr>
              <w:t xml:space="preserve">D.23-11-096, p. 11 </w:t>
            </w:r>
          </w:p>
          <w:p w:rsidRPr="0066167E" w:rsidR="00D957CD" w:rsidP="004C0C7D" w:rsidRDefault="00D957CD" w14:paraId="17294031" w14:textId="77777777">
            <w:pPr>
              <w:pStyle w:val="ListParagraph"/>
              <w:rPr>
                <w:rFonts w:eastAsia="Times New Roman"/>
                <w:color w:val="000000"/>
                <w:szCs w:val="24"/>
              </w:rPr>
            </w:pPr>
          </w:p>
        </w:tc>
        <w:tc>
          <w:tcPr>
            <w:tcW w:w="1710" w:type="dxa"/>
            <w:shd w:val="clear" w:color="auto" w:fill="auto"/>
          </w:tcPr>
          <w:p w:rsidRPr="003349DE" w:rsidR="00D957CD" w:rsidP="00F55D48" w:rsidRDefault="00F55D48" w14:paraId="24905FA9" w14:textId="2529FC99">
            <w:pPr>
              <w:spacing w:before="120"/>
              <w:jc w:val="center"/>
              <w:rPr>
                <w:color w:val="000000"/>
              </w:rPr>
            </w:pPr>
            <w:r w:rsidRPr="00F55D48">
              <w:rPr>
                <w:color w:val="000000"/>
              </w:rPr>
              <w:t>Verified</w:t>
            </w:r>
          </w:p>
        </w:tc>
      </w:tr>
      <w:tr w:rsidRPr="003349DE" w:rsidR="00D957CD" w:rsidTr="00407348" w14:paraId="4C22E049" w14:textId="77777777">
        <w:tc>
          <w:tcPr>
            <w:tcW w:w="4675" w:type="dxa"/>
            <w:shd w:val="clear" w:color="auto" w:fill="auto"/>
          </w:tcPr>
          <w:p w:rsidRPr="00235EF1" w:rsidR="00D957CD" w:rsidP="004C0C7D" w:rsidRDefault="00D957CD" w14:paraId="4A7C94E1" w14:textId="77777777">
            <w:pPr>
              <w:rPr>
                <w:b/>
                <w:bCs/>
                <w:color w:val="000000"/>
              </w:rPr>
            </w:pPr>
            <w:r>
              <w:rPr>
                <w:b/>
                <w:bCs/>
                <w:color w:val="000000"/>
              </w:rPr>
              <w:t>D.23-05-013 (Insurance Decision)</w:t>
            </w:r>
          </w:p>
        </w:tc>
        <w:tc>
          <w:tcPr>
            <w:tcW w:w="3240" w:type="dxa"/>
            <w:shd w:val="clear" w:color="auto" w:fill="auto"/>
          </w:tcPr>
          <w:p w:rsidRPr="0066167E" w:rsidR="00D957CD" w:rsidP="004C0C7D" w:rsidRDefault="00D957CD" w14:paraId="28686324" w14:textId="77777777">
            <w:pPr>
              <w:pStyle w:val="ListParagraph"/>
              <w:rPr>
                <w:rFonts w:eastAsia="Times New Roman"/>
                <w:color w:val="000000"/>
                <w:szCs w:val="24"/>
              </w:rPr>
            </w:pPr>
          </w:p>
        </w:tc>
        <w:tc>
          <w:tcPr>
            <w:tcW w:w="1710" w:type="dxa"/>
            <w:shd w:val="clear" w:color="auto" w:fill="auto"/>
          </w:tcPr>
          <w:p w:rsidRPr="003349DE" w:rsidR="00D957CD" w:rsidP="004C0C7D" w:rsidRDefault="00D957CD" w14:paraId="47B02908" w14:textId="77777777">
            <w:pPr>
              <w:spacing w:before="120"/>
              <w:rPr>
                <w:color w:val="000000"/>
              </w:rPr>
            </w:pPr>
          </w:p>
        </w:tc>
      </w:tr>
      <w:tr w:rsidRPr="003349DE" w:rsidR="00D957CD" w:rsidTr="00407348" w14:paraId="4C8FE5A0" w14:textId="77777777">
        <w:tc>
          <w:tcPr>
            <w:tcW w:w="4675" w:type="dxa"/>
            <w:tcBorders>
              <w:bottom w:val="single" w:color="auto" w:sz="4" w:space="0"/>
            </w:tcBorders>
            <w:shd w:val="clear" w:color="auto" w:fill="auto"/>
          </w:tcPr>
          <w:p w:rsidR="00D957CD" w:rsidP="004C0C7D" w:rsidRDefault="00D957CD" w14:paraId="71033C30" w14:textId="77777777">
            <w:pPr>
              <w:rPr>
                <w:b/>
                <w:bCs/>
                <w:color w:val="000000"/>
              </w:rPr>
            </w:pPr>
            <w:r w:rsidRPr="003272B0">
              <w:rPr>
                <w:b/>
                <w:bCs/>
                <w:color w:val="000000"/>
              </w:rPr>
              <w:t xml:space="preserve">1.  Self-Insurance Settlement – Overall:  </w:t>
            </w:r>
          </w:p>
          <w:p w:rsidR="00D957CD" w:rsidP="004C0C7D" w:rsidRDefault="00D957CD" w14:paraId="2428FE51" w14:textId="77777777">
            <w:pPr>
              <w:rPr>
                <w:color w:val="000000"/>
              </w:rPr>
            </w:pPr>
          </w:p>
          <w:p w:rsidR="00D957CD" w:rsidP="004C0C7D" w:rsidRDefault="00D957CD" w14:paraId="53B12D16" w14:textId="77777777">
            <w:pPr>
              <w:rPr>
                <w:color w:val="000000"/>
              </w:rPr>
            </w:pPr>
            <w:r>
              <w:rPr>
                <w:color w:val="000000"/>
              </w:rPr>
              <w:t xml:space="preserve">In D.23-05-013, the Commission adopted a Petition for Modification (PFM) that very significantly changed the treatment of wildfire </w:t>
            </w:r>
            <w:r>
              <w:rPr>
                <w:color w:val="000000"/>
              </w:rPr>
              <w:lastRenderedPageBreak/>
              <w:t xml:space="preserve">liability insurance to shift from reliance on commercial insurance to a fully self-insured model.  As with the Track 4 settlement agreement adopted in D.23-11-096, the PFM reflected a negotiated outcome incorporating a compromise of the settling parties’ original positions.  And given that the agreement was reached and presented after the original Track 1 decision had issued, there is no opportunity to compare the agreed-upon outcome with TURN’s litigation position.  However, the Commission should find TURN’s participation in the development and presentation of the negotiated proposal constitutes a substantial contribution to D.23-05-013.  </w:t>
            </w:r>
          </w:p>
          <w:p w:rsidR="00D957CD" w:rsidP="004C0C7D" w:rsidRDefault="00D957CD" w14:paraId="4F1B7FA8" w14:textId="77777777">
            <w:pPr>
              <w:rPr>
                <w:color w:val="000000"/>
              </w:rPr>
            </w:pPr>
          </w:p>
          <w:p w:rsidR="00D957CD" w:rsidP="004C0C7D" w:rsidRDefault="00D957CD" w14:paraId="6CFD21A0" w14:textId="77777777">
            <w:pPr>
              <w:rPr>
                <w:color w:val="000000"/>
              </w:rPr>
            </w:pPr>
            <w:r>
              <w:rPr>
                <w:color w:val="000000"/>
              </w:rPr>
              <w:t>In the Track 1 decision, the Commission authorized a forecast for the purchase of wildfire liability insurance from commercial providers during the 2021 GRC period, but did not foreclose SCE from using alternative risk transfer instruments such as self-insurance.</w:t>
            </w:r>
            <w:r>
              <w:rPr>
                <w:rStyle w:val="FootnoteReference"/>
                <w:color w:val="000000"/>
              </w:rPr>
              <w:footnoteReference w:id="5"/>
            </w:r>
            <w:r>
              <w:rPr>
                <w:color w:val="000000"/>
              </w:rPr>
              <w:t xml:space="preserve">  The PFM explained that several factors had emerged since the Track 1 decision issued that warranted a shift to a fully self-insured framework for wildfire liabilities.</w:t>
            </w:r>
            <w:r>
              <w:rPr>
                <w:rStyle w:val="FootnoteReference"/>
                <w:color w:val="000000"/>
              </w:rPr>
              <w:footnoteReference w:id="6"/>
            </w:r>
            <w:r>
              <w:rPr>
                <w:color w:val="000000"/>
              </w:rPr>
              <w:t xml:space="preserve">  First, the cost of commercial insurance had continued to increase since 2021, and future increases seemed likely.  </w:t>
            </w:r>
          </w:p>
          <w:p w:rsidR="00D957CD" w:rsidP="004C0C7D" w:rsidRDefault="00D957CD" w14:paraId="45FFEFE9" w14:textId="77777777">
            <w:pPr>
              <w:rPr>
                <w:color w:val="000000"/>
              </w:rPr>
            </w:pPr>
          </w:p>
          <w:p w:rsidR="00D957CD" w:rsidP="004C0C7D" w:rsidRDefault="00D957CD" w14:paraId="06A38FFF" w14:textId="77777777">
            <w:pPr>
              <w:rPr>
                <w:color w:val="000000"/>
              </w:rPr>
            </w:pPr>
            <w:r>
              <w:rPr>
                <w:color w:val="000000"/>
              </w:rPr>
              <w:t xml:space="preserve">Second, a self-insurance template of sorts had been established in the PG&amp;E test year 2023 GRC where, in light of even higher expected wildfire liability insurance costs facing the utility, the active parties in that proceeding had negotiated a multi-year 100% self-insurance program, with the Commission adopting the resulting proposed settlement without modification in D.23-01-005.  </w:t>
            </w:r>
          </w:p>
          <w:p w:rsidR="00D957CD" w:rsidP="004C0C7D" w:rsidRDefault="00D957CD" w14:paraId="4BD7CEA7" w14:textId="77777777">
            <w:pPr>
              <w:rPr>
                <w:color w:val="000000"/>
              </w:rPr>
            </w:pPr>
          </w:p>
          <w:p w:rsidR="00D957CD" w:rsidP="004C0C7D" w:rsidRDefault="00D957CD" w14:paraId="311FAC2B" w14:textId="77777777">
            <w:r>
              <w:rPr>
                <w:color w:val="000000"/>
              </w:rPr>
              <w:lastRenderedPageBreak/>
              <w:t xml:space="preserve">As with the Track 4 Settlement discussed above, </w:t>
            </w:r>
            <w:r>
              <w:t xml:space="preserve">confidentiality provisions prevent discussion of how the specific agreed-upon settlement provisions were reached.  Under the circumstances, the Commission should assess TURN’s substantial contribution based on the decision’s discussion of the outcomes achieved through adoption of the settlement. </w:t>
            </w:r>
          </w:p>
          <w:p w:rsidR="00D957CD" w:rsidP="004C0C7D" w:rsidRDefault="00D957CD" w14:paraId="271CBCBF" w14:textId="77777777">
            <w:pPr>
              <w:rPr>
                <w:b/>
                <w:bCs/>
                <w:color w:val="000000"/>
              </w:rPr>
            </w:pPr>
          </w:p>
        </w:tc>
        <w:tc>
          <w:tcPr>
            <w:tcW w:w="3240" w:type="dxa"/>
            <w:tcBorders>
              <w:bottom w:val="single" w:color="auto" w:sz="4" w:space="0"/>
            </w:tcBorders>
            <w:shd w:val="clear" w:color="auto" w:fill="auto"/>
          </w:tcPr>
          <w:p w:rsidRPr="0066167E" w:rsidR="00D957CD" w:rsidP="00D957CD" w:rsidRDefault="00D957CD" w14:paraId="1481BE09" w14:textId="77777777">
            <w:pPr>
              <w:pStyle w:val="ListParagraph"/>
              <w:numPr>
                <w:ilvl w:val="0"/>
                <w:numId w:val="12"/>
              </w:numPr>
              <w:rPr>
                <w:rFonts w:eastAsia="Times New Roman"/>
                <w:color w:val="000000"/>
                <w:szCs w:val="24"/>
              </w:rPr>
            </w:pPr>
            <w:r w:rsidRPr="0066167E">
              <w:rPr>
                <w:rFonts w:eastAsia="Times New Roman"/>
                <w:color w:val="000000"/>
                <w:szCs w:val="24"/>
              </w:rPr>
              <w:lastRenderedPageBreak/>
              <w:t>D.23-05-013, p. 1</w:t>
            </w:r>
          </w:p>
          <w:p w:rsidR="00D957CD" w:rsidP="004C0C7D" w:rsidRDefault="00D957CD" w14:paraId="50642028" w14:textId="77777777">
            <w:pPr>
              <w:rPr>
                <w:color w:val="000000"/>
              </w:rPr>
            </w:pPr>
          </w:p>
          <w:p w:rsidRPr="0066167E" w:rsidR="00D957CD" w:rsidP="00D957CD" w:rsidRDefault="00D957CD" w14:paraId="2C3283E9" w14:textId="77777777">
            <w:pPr>
              <w:pStyle w:val="ListParagraph"/>
              <w:numPr>
                <w:ilvl w:val="0"/>
                <w:numId w:val="12"/>
              </w:numPr>
              <w:rPr>
                <w:rFonts w:eastAsia="Times New Roman"/>
                <w:color w:val="000000"/>
                <w:szCs w:val="24"/>
              </w:rPr>
            </w:pPr>
            <w:r w:rsidRPr="0066167E">
              <w:rPr>
                <w:rFonts w:eastAsia="Times New Roman"/>
                <w:color w:val="000000"/>
                <w:szCs w:val="24"/>
              </w:rPr>
              <w:t xml:space="preserve">Agreement Between Southern California </w:t>
            </w:r>
            <w:r w:rsidRPr="0066167E">
              <w:rPr>
                <w:rFonts w:eastAsia="Times New Roman"/>
                <w:color w:val="000000"/>
                <w:szCs w:val="24"/>
              </w:rPr>
              <w:lastRenderedPageBreak/>
              <w:t>Edison Company (SCE), The Utility Reform Network, and the Public Advocates Office at the California Public Utilities Commission to Jointly Petition to Modify D.21-08-036 on Wildfire Liability Insurance Issues (“PFM Agreement”)(attached to D.23-05-013).</w:t>
            </w:r>
          </w:p>
        </w:tc>
        <w:tc>
          <w:tcPr>
            <w:tcW w:w="1710" w:type="dxa"/>
            <w:shd w:val="clear" w:color="auto" w:fill="auto"/>
          </w:tcPr>
          <w:p w:rsidRPr="003349DE" w:rsidR="00D957CD" w:rsidP="00F55D48" w:rsidRDefault="00F55D48" w14:paraId="28FB5245" w14:textId="76C5F7CC">
            <w:pPr>
              <w:spacing w:before="120"/>
              <w:jc w:val="center"/>
              <w:rPr>
                <w:color w:val="000000"/>
              </w:rPr>
            </w:pPr>
            <w:r w:rsidRPr="00F55D48">
              <w:rPr>
                <w:color w:val="000000"/>
              </w:rPr>
              <w:lastRenderedPageBreak/>
              <w:t>Verified</w:t>
            </w:r>
          </w:p>
        </w:tc>
      </w:tr>
      <w:tr w:rsidRPr="003349DE" w:rsidR="00D957CD" w:rsidTr="00407348" w14:paraId="43A4AE40" w14:textId="77777777">
        <w:tc>
          <w:tcPr>
            <w:tcW w:w="4675" w:type="dxa"/>
            <w:shd w:val="clear" w:color="auto" w:fill="auto"/>
          </w:tcPr>
          <w:p w:rsidR="00D957CD" w:rsidP="004C0C7D" w:rsidRDefault="00D957CD" w14:paraId="47690CAE" w14:textId="77777777">
            <w:pPr>
              <w:rPr>
                <w:b/>
                <w:bCs/>
                <w:color w:val="000000"/>
              </w:rPr>
            </w:pPr>
            <w:r>
              <w:rPr>
                <w:b/>
                <w:bCs/>
                <w:color w:val="000000"/>
              </w:rPr>
              <w:lastRenderedPageBreak/>
              <w:t xml:space="preserve">2.  Revenue Requirement Reduction:  </w:t>
            </w:r>
          </w:p>
          <w:p w:rsidR="00D957CD" w:rsidP="004C0C7D" w:rsidRDefault="00D957CD" w14:paraId="24185C15" w14:textId="77777777">
            <w:pPr>
              <w:rPr>
                <w:b/>
                <w:bCs/>
                <w:color w:val="000000"/>
              </w:rPr>
            </w:pPr>
          </w:p>
          <w:p w:rsidR="00D957CD" w:rsidP="004C0C7D" w:rsidRDefault="00D957CD" w14:paraId="5591688B" w14:textId="77777777">
            <w:pPr>
              <w:rPr>
                <w:color w:val="000000"/>
              </w:rPr>
            </w:pPr>
            <w:r>
              <w:rPr>
                <w:color w:val="000000"/>
              </w:rPr>
              <w:t>In the Track 1 decision, the Commission authorized a 2021 test year forecast of $460 million for wildfire liability insurance costs to obtain $1 billion of coverage.  Under the self-insurance framework proposed in the PFM, the authorized revenue requirement was reduced $80 million in the second half of 2023, and would increase to $160 million per year for 2024 if the amount of wildfire liability claims for that year do not trigger the “Adjustment Mechanism.”  The PFM Agreement could achieve further revenue requirement reductions based on the potential $24 million one-time credit for previously collected insurance amounts, any returns earned from the investment of accrued self-insurance funds, and the potential for funds collected through the FERC-authorized rates to be applied toward a self-insurance accrual amount.</w:t>
            </w:r>
          </w:p>
          <w:p w:rsidRPr="003272B0" w:rsidR="00D957CD" w:rsidP="004C0C7D" w:rsidRDefault="00D957CD" w14:paraId="4664914F" w14:textId="77777777">
            <w:pPr>
              <w:rPr>
                <w:b/>
                <w:bCs/>
                <w:color w:val="000000"/>
              </w:rPr>
            </w:pPr>
          </w:p>
        </w:tc>
        <w:tc>
          <w:tcPr>
            <w:tcW w:w="3240" w:type="dxa"/>
            <w:shd w:val="clear" w:color="auto" w:fill="auto"/>
          </w:tcPr>
          <w:p w:rsidRPr="0066167E" w:rsidR="00D957CD" w:rsidP="00D957CD" w:rsidRDefault="00D957CD" w14:paraId="1B27645C" w14:textId="77777777">
            <w:pPr>
              <w:pStyle w:val="ListParagraph"/>
              <w:numPr>
                <w:ilvl w:val="0"/>
                <w:numId w:val="12"/>
              </w:numPr>
              <w:rPr>
                <w:rFonts w:eastAsia="Times New Roman"/>
                <w:color w:val="000000"/>
                <w:szCs w:val="24"/>
              </w:rPr>
            </w:pPr>
            <w:r w:rsidRPr="0066167E">
              <w:rPr>
                <w:rFonts w:eastAsia="Times New Roman"/>
                <w:color w:val="000000"/>
                <w:szCs w:val="24"/>
              </w:rPr>
              <w:t>D.23-05-013, pp. 11-12 and Findings of Fact 6-9 and 11.</w:t>
            </w:r>
          </w:p>
          <w:p w:rsidRPr="002C63E3" w:rsidR="00D957CD" w:rsidP="004C0C7D" w:rsidRDefault="00D957CD" w14:paraId="5141DD09" w14:textId="77777777">
            <w:pPr>
              <w:ind w:left="360"/>
              <w:rPr>
                <w:color w:val="000000"/>
              </w:rPr>
            </w:pPr>
          </w:p>
          <w:p w:rsidRPr="0066167E" w:rsidR="00D957CD" w:rsidP="00D957CD" w:rsidRDefault="00D957CD" w14:paraId="66C98446" w14:textId="77777777">
            <w:pPr>
              <w:pStyle w:val="ListParagraph"/>
              <w:numPr>
                <w:ilvl w:val="0"/>
                <w:numId w:val="12"/>
              </w:numPr>
              <w:rPr>
                <w:rFonts w:eastAsia="Times New Roman"/>
                <w:color w:val="000000"/>
                <w:szCs w:val="24"/>
              </w:rPr>
            </w:pPr>
            <w:r w:rsidRPr="0066167E">
              <w:rPr>
                <w:rFonts w:eastAsia="Times New Roman"/>
                <w:color w:val="000000"/>
                <w:szCs w:val="24"/>
              </w:rPr>
              <w:t>PFM , pp. 10-11; PFM Agreement, pp. 3-4 and 9.</w:t>
            </w:r>
          </w:p>
          <w:p w:rsidRPr="0066167E" w:rsidR="00D957CD" w:rsidP="004C0C7D" w:rsidRDefault="00D957CD" w14:paraId="5BE461BF" w14:textId="77777777">
            <w:pPr>
              <w:pStyle w:val="ListParagraph"/>
              <w:rPr>
                <w:rFonts w:eastAsia="Times New Roman"/>
                <w:color w:val="000000"/>
                <w:szCs w:val="24"/>
              </w:rPr>
            </w:pPr>
          </w:p>
        </w:tc>
        <w:tc>
          <w:tcPr>
            <w:tcW w:w="1710" w:type="dxa"/>
            <w:shd w:val="clear" w:color="auto" w:fill="auto"/>
          </w:tcPr>
          <w:p w:rsidRPr="003349DE" w:rsidR="00D957CD" w:rsidP="00F55D48" w:rsidRDefault="00F55D48" w14:paraId="6386C0F0" w14:textId="0459C845">
            <w:pPr>
              <w:spacing w:before="120"/>
              <w:jc w:val="center"/>
              <w:rPr>
                <w:color w:val="000000"/>
              </w:rPr>
            </w:pPr>
            <w:r w:rsidRPr="00F55D48">
              <w:rPr>
                <w:color w:val="000000"/>
              </w:rPr>
              <w:t>Verified</w:t>
            </w:r>
          </w:p>
        </w:tc>
      </w:tr>
      <w:tr w:rsidRPr="003349DE" w:rsidR="00D957CD" w:rsidTr="00407348" w14:paraId="0A451845" w14:textId="77777777">
        <w:tc>
          <w:tcPr>
            <w:tcW w:w="4675" w:type="dxa"/>
            <w:shd w:val="clear" w:color="auto" w:fill="auto"/>
          </w:tcPr>
          <w:p w:rsidR="00D957CD" w:rsidP="004C0C7D" w:rsidRDefault="00D957CD" w14:paraId="1FBD98C8" w14:textId="77777777">
            <w:pPr>
              <w:rPr>
                <w:b/>
                <w:bCs/>
                <w:color w:val="000000"/>
              </w:rPr>
            </w:pPr>
            <w:r>
              <w:rPr>
                <w:b/>
                <w:bCs/>
                <w:color w:val="000000"/>
              </w:rPr>
              <w:t xml:space="preserve">3.  SCE Shareholders’ Potential Share of Self-Insurance Costs:  </w:t>
            </w:r>
          </w:p>
          <w:p w:rsidR="00D957CD" w:rsidP="004C0C7D" w:rsidRDefault="00D957CD" w14:paraId="479AE7BA" w14:textId="77777777">
            <w:pPr>
              <w:rPr>
                <w:b/>
                <w:bCs/>
                <w:color w:val="000000"/>
              </w:rPr>
            </w:pPr>
          </w:p>
          <w:p w:rsidR="00D957CD" w:rsidP="004C0C7D" w:rsidRDefault="00D957CD" w14:paraId="1CB8B7D1" w14:textId="77777777">
            <w:pPr>
              <w:rPr>
                <w:b/>
                <w:bCs/>
                <w:color w:val="000000"/>
              </w:rPr>
            </w:pPr>
            <w:r>
              <w:rPr>
                <w:color w:val="000000"/>
              </w:rPr>
              <w:t>SCE shareholders will contribute 2.5 percent of any self-insurance costs ultimately paid for wildfire events that result in claims that exceed $500 million, up to $1 billion.  While all interested parties hope that this provision is never triggered, should such circumstances arise during the term of the PFM Agreement, the provision will provide a small amount of incremental benefit to SCE’s customers.</w:t>
            </w:r>
          </w:p>
        </w:tc>
        <w:tc>
          <w:tcPr>
            <w:tcW w:w="3240" w:type="dxa"/>
            <w:shd w:val="clear" w:color="auto" w:fill="auto"/>
          </w:tcPr>
          <w:p w:rsidRPr="0066167E" w:rsidR="00D957CD" w:rsidP="00D957CD" w:rsidRDefault="00D957CD" w14:paraId="7570A051" w14:textId="77777777">
            <w:pPr>
              <w:pStyle w:val="ListParagraph"/>
              <w:numPr>
                <w:ilvl w:val="0"/>
                <w:numId w:val="12"/>
              </w:numPr>
              <w:rPr>
                <w:rFonts w:eastAsia="Times New Roman"/>
                <w:color w:val="000000"/>
                <w:szCs w:val="24"/>
              </w:rPr>
            </w:pPr>
            <w:r w:rsidRPr="0066167E">
              <w:rPr>
                <w:rFonts w:eastAsia="Times New Roman"/>
                <w:color w:val="000000"/>
                <w:szCs w:val="24"/>
              </w:rPr>
              <w:t>D.23-05-013, p. 11-12 and Finding of Fact 10.</w:t>
            </w:r>
          </w:p>
          <w:p w:rsidRPr="00B018E6" w:rsidR="00D957CD" w:rsidP="004C0C7D" w:rsidRDefault="00D957CD" w14:paraId="7CC349FE" w14:textId="77777777">
            <w:pPr>
              <w:ind w:left="360"/>
              <w:rPr>
                <w:color w:val="000000"/>
              </w:rPr>
            </w:pPr>
          </w:p>
          <w:p w:rsidRPr="0066167E" w:rsidR="00D957CD" w:rsidP="00D957CD" w:rsidRDefault="00D957CD" w14:paraId="6AFA9E2A" w14:textId="77777777">
            <w:pPr>
              <w:pStyle w:val="ListParagraph"/>
              <w:numPr>
                <w:ilvl w:val="0"/>
                <w:numId w:val="12"/>
              </w:numPr>
              <w:rPr>
                <w:rFonts w:eastAsia="Times New Roman"/>
                <w:color w:val="000000"/>
                <w:szCs w:val="24"/>
              </w:rPr>
            </w:pPr>
            <w:r w:rsidRPr="0066167E">
              <w:rPr>
                <w:rFonts w:eastAsia="Times New Roman"/>
                <w:color w:val="000000"/>
                <w:szCs w:val="24"/>
              </w:rPr>
              <w:t xml:space="preserve">PFM , p. 11; PFM Agreement, p. 6. </w:t>
            </w:r>
          </w:p>
          <w:p w:rsidRPr="0066167E" w:rsidR="00D957CD" w:rsidP="004C0C7D" w:rsidRDefault="00D957CD" w14:paraId="2B92AC11" w14:textId="77777777">
            <w:pPr>
              <w:pStyle w:val="ListParagraph"/>
              <w:rPr>
                <w:rFonts w:eastAsia="Times New Roman"/>
                <w:color w:val="000000"/>
                <w:szCs w:val="24"/>
              </w:rPr>
            </w:pPr>
          </w:p>
        </w:tc>
        <w:tc>
          <w:tcPr>
            <w:tcW w:w="1710" w:type="dxa"/>
            <w:shd w:val="clear" w:color="auto" w:fill="auto"/>
          </w:tcPr>
          <w:p w:rsidRPr="003349DE" w:rsidR="00D957CD" w:rsidP="00F55D48" w:rsidRDefault="00F55D48" w14:paraId="34DFD6ED" w14:textId="6F2F8F2C">
            <w:pPr>
              <w:spacing w:before="120"/>
              <w:jc w:val="center"/>
              <w:rPr>
                <w:color w:val="000000"/>
              </w:rPr>
            </w:pPr>
            <w:r w:rsidRPr="00F55D48">
              <w:rPr>
                <w:color w:val="000000"/>
              </w:rPr>
              <w:t>Verified</w:t>
            </w:r>
          </w:p>
        </w:tc>
      </w:tr>
    </w:tbl>
    <w:p w:rsidR="00D957CD" w:rsidP="00B45A29" w:rsidRDefault="00D957CD" w14:paraId="0182D04C" w14:textId="77777777">
      <w:pPr>
        <w:keepNext/>
        <w:rPr>
          <w:b/>
          <w:color w:val="000000"/>
        </w:rPr>
      </w:pPr>
    </w:p>
    <w:p w:rsidRPr="007F620E" w:rsidR="00A92D0B" w:rsidP="00B45A29" w:rsidRDefault="00A92D0B" w14:paraId="0D4BCD3A" w14:textId="70F1A639">
      <w:pPr>
        <w:keepNext/>
        <w:numPr>
          <w:ilvl w:val="0"/>
          <w:numId w:val="8"/>
        </w:numPr>
        <w:spacing w:after="240"/>
        <w:rPr>
          <w:b/>
          <w:color w:val="000000"/>
        </w:rPr>
      </w:pPr>
      <w:r w:rsidRPr="007F620E">
        <w:rPr>
          <w:b/>
          <w:color w:val="000000"/>
        </w:rPr>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597"/>
        <w:gridCol w:w="2093"/>
      </w:tblGrid>
      <w:tr w:rsidRPr="007F620E" w:rsidR="00A92D0B" w:rsidTr="00E13F85" w14:paraId="76F3266C" w14:textId="77777777">
        <w:tc>
          <w:tcPr>
            <w:tcW w:w="6048" w:type="dxa"/>
            <w:shd w:val="clear" w:color="auto" w:fill="D9D9D9" w:themeFill="background1" w:themeFillShade="D9"/>
          </w:tcPr>
          <w:p w:rsidRPr="007F620E" w:rsidR="00A92D0B" w:rsidP="00073262" w:rsidRDefault="00A92D0B" w14:paraId="300CEDBC" w14:textId="77777777">
            <w:pPr>
              <w:keepNext/>
              <w:keepLines/>
              <w:rPr>
                <w:color w:val="000000"/>
              </w:rPr>
            </w:pPr>
          </w:p>
        </w:tc>
        <w:tc>
          <w:tcPr>
            <w:tcW w:w="1597" w:type="dxa"/>
            <w:tcBorders>
              <w:bottom w:val="single" w:color="auto" w:sz="4" w:space="0"/>
            </w:tcBorders>
            <w:shd w:val="clear" w:color="auto" w:fill="D9D9D9" w:themeFill="background1" w:themeFillShade="D9"/>
          </w:tcPr>
          <w:p w:rsidRPr="007F620E" w:rsidR="00A92D0B" w:rsidP="00073262" w:rsidRDefault="005A63D4" w14:paraId="7B091096" w14:textId="77777777">
            <w:pPr>
              <w:keepNext/>
              <w:keepLines/>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2093" w:type="dxa"/>
            <w:shd w:val="clear" w:color="auto" w:fill="D9D9D9" w:themeFill="background1" w:themeFillShade="D9"/>
          </w:tcPr>
          <w:p w:rsidRPr="007F620E" w:rsidR="00A92D0B" w:rsidP="00073262" w:rsidRDefault="00A92D0B" w14:paraId="25CE5081" w14:textId="77777777">
            <w:pPr>
              <w:keepNext/>
              <w:keepLines/>
              <w:jc w:val="center"/>
              <w:rPr>
                <w:b/>
                <w:color w:val="000000"/>
              </w:rPr>
            </w:pPr>
            <w:r w:rsidRPr="007F620E">
              <w:rPr>
                <w:b/>
                <w:color w:val="000000"/>
              </w:rPr>
              <w:t xml:space="preserve">CPUC </w:t>
            </w:r>
            <w:r w:rsidRPr="007F620E" w:rsidR="00D075B1">
              <w:rPr>
                <w:b/>
                <w:color w:val="000000"/>
              </w:rPr>
              <w:t>Discussion</w:t>
            </w:r>
          </w:p>
        </w:tc>
      </w:tr>
      <w:tr w:rsidRPr="007F620E" w:rsidR="00A92D0B" w:rsidTr="00E13F85" w14:paraId="24A12BE1" w14:textId="77777777">
        <w:trPr>
          <w:tblHeader/>
        </w:trPr>
        <w:tc>
          <w:tcPr>
            <w:tcW w:w="6048" w:type="dxa"/>
            <w:shd w:val="clear" w:color="auto" w:fill="auto"/>
          </w:tcPr>
          <w:p w:rsidRPr="007F620E" w:rsidR="00A92D0B" w:rsidP="00073262" w:rsidRDefault="00A92D0B" w14:paraId="6915FAF6" w14:textId="36F3128B">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597" w:type="dxa"/>
            <w:shd w:val="clear" w:color="auto" w:fill="auto"/>
          </w:tcPr>
          <w:p w:rsidRPr="00E25078" w:rsidR="00A92D0B" w:rsidP="00E13F85" w:rsidRDefault="00235EF1" w14:paraId="0B49A7C8" w14:textId="000F19A6">
            <w:pPr>
              <w:keepNext/>
              <w:keepLines/>
              <w:jc w:val="center"/>
              <w:rPr>
                <w:color w:val="000000"/>
              </w:rPr>
            </w:pPr>
            <w:r>
              <w:rPr>
                <w:color w:val="000000"/>
              </w:rPr>
              <w:t>Yes</w:t>
            </w:r>
          </w:p>
        </w:tc>
        <w:tc>
          <w:tcPr>
            <w:tcW w:w="2093" w:type="dxa"/>
            <w:shd w:val="clear" w:color="auto" w:fill="auto"/>
          </w:tcPr>
          <w:p w:rsidRPr="00E25078" w:rsidR="00A92D0B" w:rsidP="00E13F85" w:rsidRDefault="00BE52CD" w14:paraId="23B6532A" w14:textId="5E041747">
            <w:pPr>
              <w:keepNext/>
              <w:keepLines/>
              <w:jc w:val="center"/>
              <w:rPr>
                <w:color w:val="000000"/>
              </w:rPr>
            </w:pPr>
            <w:r>
              <w:rPr>
                <w:color w:val="000000"/>
              </w:rPr>
              <w:t>Verified</w:t>
            </w:r>
          </w:p>
        </w:tc>
      </w:tr>
      <w:tr w:rsidRPr="007F620E" w:rsidR="00A92D0B" w:rsidTr="00E13F85" w14:paraId="3317BD71" w14:textId="77777777">
        <w:tc>
          <w:tcPr>
            <w:tcW w:w="6048" w:type="dxa"/>
            <w:shd w:val="clear" w:color="auto" w:fill="auto"/>
          </w:tcPr>
          <w:p w:rsidRPr="007F620E" w:rsidR="00A92D0B" w:rsidP="00073262"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597" w:type="dxa"/>
            <w:shd w:val="clear" w:color="auto" w:fill="auto"/>
          </w:tcPr>
          <w:p w:rsidRPr="00E25078" w:rsidR="00A92D0B" w:rsidP="00E13F85" w:rsidRDefault="00C16E5B" w14:paraId="3708E485" w14:textId="78DFBC17">
            <w:pPr>
              <w:jc w:val="center"/>
              <w:rPr>
                <w:color w:val="000000"/>
              </w:rPr>
            </w:pPr>
            <w:r>
              <w:rPr>
                <w:color w:val="000000"/>
              </w:rPr>
              <w:t>No</w:t>
            </w:r>
          </w:p>
        </w:tc>
        <w:tc>
          <w:tcPr>
            <w:tcW w:w="2093" w:type="dxa"/>
            <w:shd w:val="clear" w:color="auto" w:fill="auto"/>
          </w:tcPr>
          <w:p w:rsidRPr="00E25078" w:rsidR="00A92D0B" w:rsidP="00E13F85" w:rsidRDefault="00035E19" w14:paraId="6B3388E6" w14:textId="123B86B8">
            <w:pPr>
              <w:jc w:val="center"/>
              <w:rPr>
                <w:color w:val="000000"/>
              </w:rPr>
            </w:pPr>
            <w:r>
              <w:rPr>
                <w:color w:val="000000"/>
              </w:rPr>
              <w:t>Verified</w:t>
            </w:r>
          </w:p>
        </w:tc>
      </w:tr>
      <w:tr w:rsidRPr="007F620E" w:rsidR="00A92D0B" w:rsidTr="00E13F85" w14:paraId="0A51B7D4" w14:textId="77777777">
        <w:tc>
          <w:tcPr>
            <w:tcW w:w="7645" w:type="dxa"/>
            <w:gridSpan w:val="2"/>
            <w:shd w:val="clear" w:color="auto" w:fill="auto"/>
          </w:tcPr>
          <w:p w:rsidRPr="00E25078" w:rsidR="00A92D0B" w:rsidP="00073262" w:rsidRDefault="00A92D0B" w14:paraId="30CB6275" w14:textId="7D63B4F2">
            <w:pPr>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p>
          <w:p w:rsidRPr="00E25078" w:rsidR="00691528" w:rsidP="00073262" w:rsidRDefault="00691528" w14:paraId="058CE425" w14:textId="77777777">
            <w:pPr>
              <w:ind w:left="360" w:hanging="360"/>
              <w:rPr>
                <w:color w:val="000000"/>
              </w:rPr>
            </w:pPr>
          </w:p>
          <w:p w:rsidRPr="00E25078" w:rsidR="00A92D0B" w:rsidP="00073262" w:rsidRDefault="00A92D0B" w14:paraId="0919176B" w14:textId="77777777">
            <w:pPr>
              <w:ind w:left="360" w:hanging="360"/>
              <w:rPr>
                <w:color w:val="000000"/>
              </w:rPr>
            </w:pPr>
          </w:p>
        </w:tc>
        <w:tc>
          <w:tcPr>
            <w:tcW w:w="2093" w:type="dxa"/>
            <w:shd w:val="clear" w:color="auto" w:fill="auto"/>
          </w:tcPr>
          <w:p w:rsidRPr="00E25078" w:rsidR="00A92D0B" w:rsidP="00820D86" w:rsidRDefault="00A92D0B" w14:paraId="22A40B49" w14:textId="6A37E69B">
            <w:pPr>
              <w:jc w:val="center"/>
              <w:rPr>
                <w:color w:val="000000"/>
              </w:rPr>
            </w:pPr>
          </w:p>
        </w:tc>
      </w:tr>
      <w:tr w:rsidRPr="007F620E" w:rsidR="00A92D0B" w:rsidTr="00E13F85" w14:paraId="744830F5" w14:textId="77777777">
        <w:tc>
          <w:tcPr>
            <w:tcW w:w="7645" w:type="dxa"/>
            <w:gridSpan w:val="2"/>
            <w:shd w:val="clear" w:color="auto" w:fill="auto"/>
          </w:tcPr>
          <w:p w:rsidR="00A92D0B" w:rsidP="00073262" w:rsidRDefault="00A92D0B" w14:paraId="7C05FE5A" w14:textId="7521972E">
            <w:pPr>
              <w:tabs>
                <w:tab w:val="left" w:pos="360"/>
              </w:tabs>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00F414F2" w:rsidP="00073262" w:rsidRDefault="00F414F2" w14:paraId="214F18AF" w14:textId="77777777">
            <w:pPr>
              <w:tabs>
                <w:tab w:val="left" w:pos="360"/>
              </w:tabs>
              <w:ind w:left="360" w:hanging="360"/>
              <w:rPr>
                <w:color w:val="000000"/>
              </w:rPr>
            </w:pPr>
          </w:p>
          <w:p w:rsidR="002C683D" w:rsidP="00781A01" w:rsidRDefault="002C683D" w14:paraId="1EB3E609" w14:textId="6F5C463C">
            <w:pPr>
              <w:tabs>
                <w:tab w:val="left" w:pos="0"/>
              </w:tabs>
              <w:rPr>
                <w:b/>
                <w:bCs/>
                <w:color w:val="000000"/>
                <w:u w:val="single"/>
              </w:rPr>
            </w:pPr>
            <w:r w:rsidRPr="002C683D">
              <w:rPr>
                <w:b/>
                <w:bCs/>
                <w:color w:val="000000"/>
                <w:u w:val="single"/>
              </w:rPr>
              <w:t>Track 4</w:t>
            </w:r>
            <w:r>
              <w:rPr>
                <w:b/>
                <w:bCs/>
                <w:color w:val="000000"/>
                <w:u w:val="single"/>
              </w:rPr>
              <w:t xml:space="preserve"> Decision</w:t>
            </w:r>
          </w:p>
          <w:p w:rsidRPr="002C683D" w:rsidR="002C683D" w:rsidP="00781A01" w:rsidRDefault="002C683D" w14:paraId="7F3829A9" w14:textId="77777777">
            <w:pPr>
              <w:tabs>
                <w:tab w:val="left" w:pos="0"/>
              </w:tabs>
              <w:rPr>
                <w:b/>
                <w:bCs/>
                <w:color w:val="000000"/>
                <w:u w:val="single"/>
              </w:rPr>
            </w:pPr>
          </w:p>
          <w:p w:rsidR="00F414F2" w:rsidP="00781A01" w:rsidRDefault="00781A01" w14:paraId="34100B70" w14:textId="1A353EF6">
            <w:pPr>
              <w:tabs>
                <w:tab w:val="left" w:pos="0"/>
              </w:tabs>
              <w:rPr>
                <w:color w:val="000000"/>
              </w:rPr>
            </w:pPr>
            <w:r>
              <w:rPr>
                <w:color w:val="000000"/>
              </w:rPr>
              <w:t xml:space="preserve">TURN coordinated with Cal Advocates from the outset of Track 4.  This coordination allowed TURN to focus on developing complementary showings in our testimony where our recommendations aligned with Cal Advocates’.  </w:t>
            </w:r>
            <w:r w:rsidR="00410EC1">
              <w:rPr>
                <w:color w:val="000000"/>
              </w:rPr>
              <w:t xml:space="preserve">For instance, </w:t>
            </w:r>
            <w:r w:rsidR="005E05EB">
              <w:rPr>
                <w:color w:val="000000"/>
              </w:rPr>
              <w:t xml:space="preserve">TURN and Cal Advocates both opposed additional escalation for O&amp;M and capital additions as beyond the scope of Track 4.  </w:t>
            </w:r>
            <w:r w:rsidR="00410EC1">
              <w:rPr>
                <w:color w:val="000000"/>
              </w:rPr>
              <w:t xml:space="preserve">TURN </w:t>
            </w:r>
            <w:r w:rsidR="005E05EB">
              <w:rPr>
                <w:color w:val="000000"/>
              </w:rPr>
              <w:t xml:space="preserve">also </w:t>
            </w:r>
            <w:r w:rsidR="00410EC1">
              <w:rPr>
                <w:color w:val="000000"/>
              </w:rPr>
              <w:t xml:space="preserve">demonstrated that the policy concerns underlying the Commission’s conclusions regarding escalation of capital additions in Track 1 persist today. (Ex. TURN-Tr.4-01, pp. 29-31).  </w:t>
            </w:r>
            <w:r w:rsidR="005E05EB">
              <w:rPr>
                <w:color w:val="000000"/>
              </w:rPr>
              <w:t xml:space="preserve">Likewise, </w:t>
            </w:r>
            <w:r w:rsidR="00410EC1">
              <w:rPr>
                <w:color w:val="000000"/>
              </w:rPr>
              <w:t>TURN refuted SCE’s claims that additional O&amp;M escalation was necessary to address “credit pressures” by discussi</w:t>
            </w:r>
            <w:r w:rsidR="000129D2">
              <w:rPr>
                <w:color w:val="000000"/>
              </w:rPr>
              <w:t>ng</w:t>
            </w:r>
            <w:r w:rsidR="00410EC1">
              <w:rPr>
                <w:color w:val="000000"/>
              </w:rPr>
              <w:t xml:space="preserve"> rating agency comments and the Commission’s findings in its recent cost of capital decision. (Ex. TURN-Tr.4-01, pp. 16-17).  Cal Advocates</w:t>
            </w:r>
            <w:r w:rsidR="005E05EB">
              <w:rPr>
                <w:color w:val="000000"/>
              </w:rPr>
              <w:t xml:space="preserve"> did not address these </w:t>
            </w:r>
            <w:r w:rsidR="000129D2">
              <w:rPr>
                <w:color w:val="000000"/>
              </w:rPr>
              <w:t>points</w:t>
            </w:r>
            <w:r w:rsidR="005E05EB">
              <w:rPr>
                <w:color w:val="000000"/>
              </w:rPr>
              <w:t xml:space="preserve">. (Ex. CA Tr.4-01, pp. 5-7).  </w:t>
            </w:r>
            <w:r w:rsidR="00410EC1">
              <w:rPr>
                <w:color w:val="000000"/>
              </w:rPr>
              <w:t>TURN</w:t>
            </w:r>
            <w:r>
              <w:rPr>
                <w:color w:val="000000"/>
              </w:rPr>
              <w:t xml:space="preserve"> also presented different recommendations on some issues, including additional funding for vegegation management (TURN opposed, Cal Advocates recommended a smaller increase than SCE); additional funding for wildfire mitigation O&amp;M (TURN opposed, Cal Advocates recommended a smaller increase than SCE); budgets for wildfire mitigation activities not funded in Track 1 (TURN opposed, Cal Advocates did not); and a true-up of customer deposits (TURN opposed, Cal Advocates did not).</w:t>
            </w:r>
            <w:r w:rsidR="005E05EB">
              <w:rPr>
                <w:color w:val="000000"/>
              </w:rPr>
              <w:t xml:space="preserve">  </w:t>
            </w:r>
          </w:p>
          <w:p w:rsidR="005E05EB" w:rsidP="00781A01" w:rsidRDefault="005E05EB" w14:paraId="0A8313E6" w14:textId="2C55E7AB">
            <w:pPr>
              <w:tabs>
                <w:tab w:val="left" w:pos="0"/>
              </w:tabs>
              <w:rPr>
                <w:color w:val="000000"/>
              </w:rPr>
            </w:pPr>
          </w:p>
          <w:p w:rsidR="005E05EB" w:rsidP="00781A01" w:rsidRDefault="005E05EB" w14:paraId="41220E6C" w14:textId="0ED16DEB">
            <w:pPr>
              <w:tabs>
                <w:tab w:val="left" w:pos="0"/>
              </w:tabs>
              <w:rPr>
                <w:color w:val="000000"/>
              </w:rPr>
            </w:pPr>
            <w:r>
              <w:rPr>
                <w:color w:val="000000"/>
              </w:rPr>
              <w:t xml:space="preserve">During Track 4 settlement negotiations, TURN coordinated closely with Cal Advocations.  As TURN’s timesheets reflect, TURN took the lead on preparing settlement counter-offers on behalf of TURN and Cal Advocates (with input from Cal Advocates), presenting those offers to SCE, and addressing questions from SCE.  TURN also took the lead on closely </w:t>
            </w:r>
            <w:r>
              <w:rPr>
                <w:color w:val="000000"/>
              </w:rPr>
              <w:lastRenderedPageBreak/>
              <w:t xml:space="preserve">reviewing </w:t>
            </w:r>
            <w:r w:rsidR="002C683D">
              <w:rPr>
                <w:color w:val="000000"/>
              </w:rPr>
              <w:t xml:space="preserve">SCE’s </w:t>
            </w:r>
            <w:r>
              <w:rPr>
                <w:color w:val="000000"/>
              </w:rPr>
              <w:t xml:space="preserve">drafts of settlement-related documents, which often resulted in the need for further substantive discussions and document modifications.  </w:t>
            </w:r>
          </w:p>
          <w:p w:rsidR="002C683D" w:rsidP="00781A01" w:rsidRDefault="002C683D" w14:paraId="2DB710CC" w14:textId="77777777">
            <w:pPr>
              <w:tabs>
                <w:tab w:val="left" w:pos="0"/>
              </w:tabs>
              <w:rPr>
                <w:color w:val="000000"/>
              </w:rPr>
            </w:pPr>
          </w:p>
          <w:p w:rsidRPr="00E25078" w:rsidR="002C683D" w:rsidP="00781A01" w:rsidRDefault="002C683D" w14:paraId="6273E3DA" w14:textId="23A6E058">
            <w:pPr>
              <w:tabs>
                <w:tab w:val="left" w:pos="0"/>
              </w:tabs>
              <w:rPr>
                <w:color w:val="000000"/>
              </w:rPr>
            </w:pPr>
            <w:r>
              <w:rPr>
                <w:color w:val="000000"/>
              </w:rPr>
              <w:t>In sum, TURN submits that the Commission should find that TURN’s efforts did not result in undue duplication with Cal Advocates’ work.  Instead, TURN’s contributions to Track 4 on behalf of SCE’s ratepayers served to complement and supplement those of Cal Advocates.</w:t>
            </w:r>
          </w:p>
          <w:p w:rsidRPr="00E25078" w:rsidR="00691528" w:rsidP="00073262" w:rsidRDefault="00691528" w14:paraId="0CFBC7B2" w14:textId="77777777">
            <w:pPr>
              <w:tabs>
                <w:tab w:val="left" w:pos="360"/>
              </w:tabs>
              <w:ind w:left="360" w:hanging="360"/>
              <w:rPr>
                <w:color w:val="000000"/>
              </w:rPr>
            </w:pPr>
          </w:p>
          <w:p w:rsidR="00A92D0B" w:rsidP="00073262" w:rsidRDefault="002C683D" w14:paraId="516AD842" w14:textId="14EF97C1">
            <w:pPr>
              <w:tabs>
                <w:tab w:val="left" w:pos="360"/>
              </w:tabs>
              <w:ind w:left="360" w:hanging="360"/>
              <w:rPr>
                <w:b/>
                <w:bCs/>
                <w:color w:val="000000"/>
                <w:u w:val="single"/>
              </w:rPr>
            </w:pPr>
            <w:r w:rsidRPr="002C683D">
              <w:rPr>
                <w:b/>
                <w:bCs/>
                <w:color w:val="000000"/>
                <w:u w:val="single"/>
              </w:rPr>
              <w:t>Insurance Decision</w:t>
            </w:r>
            <w:r>
              <w:rPr>
                <w:b/>
                <w:bCs/>
                <w:color w:val="000000"/>
                <w:u w:val="single"/>
              </w:rPr>
              <w:t xml:space="preserve"> </w:t>
            </w:r>
          </w:p>
          <w:p w:rsidR="004F6C46" w:rsidP="00073262" w:rsidRDefault="004F6C46" w14:paraId="01830A2F" w14:textId="77777777">
            <w:pPr>
              <w:tabs>
                <w:tab w:val="left" w:pos="360"/>
              </w:tabs>
              <w:ind w:left="360" w:hanging="360"/>
              <w:rPr>
                <w:b/>
                <w:bCs/>
                <w:color w:val="000000"/>
                <w:u w:val="single"/>
              </w:rPr>
            </w:pPr>
          </w:p>
          <w:p w:rsidRPr="001F419F" w:rsidR="004F6C46" w:rsidP="004F6C46" w:rsidRDefault="004F6C46" w14:paraId="3460298E" w14:textId="53450410">
            <w:pPr>
              <w:pStyle w:val="NormalWeb"/>
              <w:rPr>
                <w:color w:val="000000"/>
              </w:rPr>
            </w:pPr>
            <w:r w:rsidRPr="001F419F">
              <w:rPr>
                <w:color w:val="000000"/>
              </w:rPr>
              <w:t xml:space="preserve">TURN and Cal Advocates were the only intervenors whose prepared Track 1 testimony had addressed issues regarding SCE’s wildfire liability insurance.  As had been the case with the PG&amp;E GRC insurance settlement, here TURN coordinated with Cal Advocates on wildfire self-insurance issues from the initial discussions through the drafting and revising of the PFM and, ultimately, the Commission’s adoption of the PFM and the underlying agreement.  </w:t>
            </w:r>
          </w:p>
          <w:p w:rsidRPr="001F419F" w:rsidR="004F6C46" w:rsidP="004F6C46" w:rsidRDefault="004F6C46" w14:paraId="261B92E1" w14:textId="79AE7234">
            <w:pPr>
              <w:pStyle w:val="NormalWeb"/>
              <w:rPr>
                <w:color w:val="000000"/>
              </w:rPr>
            </w:pPr>
            <w:r w:rsidRPr="001F419F">
              <w:rPr>
                <w:color w:val="000000"/>
              </w:rPr>
              <w:t xml:space="preserve">    </w:t>
            </w:r>
          </w:p>
          <w:p w:rsidRPr="00E25078" w:rsidR="002C683D" w:rsidP="009132ED" w:rsidRDefault="004F6C46" w14:paraId="3228BB07" w14:textId="0C845AAE">
            <w:pPr>
              <w:tabs>
                <w:tab w:val="left" w:pos="360"/>
              </w:tabs>
              <w:rPr>
                <w:color w:val="000000"/>
              </w:rPr>
            </w:pPr>
            <w:r w:rsidRPr="001F419F">
              <w:t>The Commission should find that TURN's participation was reasonably coordinated with the participation of Cal Advocates under the circumstances so as to avoid undue duplication, and to ensure that, whenever duplication occurred, it served to supplement, complement, or contribute to the showing of the other intervenors. And consistent with such a finding, the Commission should determine that all of TURN’s work is compensable consistent with the conditions set forth in Section 1802.5.</w:t>
            </w:r>
          </w:p>
        </w:tc>
        <w:tc>
          <w:tcPr>
            <w:tcW w:w="2093" w:type="dxa"/>
            <w:shd w:val="clear" w:color="auto" w:fill="auto"/>
          </w:tcPr>
          <w:p w:rsidRPr="00E25078" w:rsidR="00A92D0B" w:rsidP="003914A3" w:rsidRDefault="003914A3" w14:paraId="5F9BBA55" w14:textId="3A9E21F3">
            <w:pPr>
              <w:tabs>
                <w:tab w:val="left" w:pos="360"/>
              </w:tabs>
              <w:ind w:left="360" w:hanging="360"/>
              <w:jc w:val="center"/>
              <w:rPr>
                <w:color w:val="000000"/>
              </w:rPr>
            </w:pPr>
            <w:r w:rsidRPr="00570BDD">
              <w:rPr>
                <w:color w:val="000000"/>
              </w:rPr>
              <w:lastRenderedPageBreak/>
              <w:t>Noted</w:t>
            </w:r>
          </w:p>
        </w:tc>
      </w:tr>
    </w:tbl>
    <w:p w:rsidR="00B45A29" w:rsidP="00B45A29" w:rsidRDefault="00B45A29" w14:paraId="5E630C10" w14:textId="77777777">
      <w:pPr>
        <w:keepNext/>
        <w:tabs>
          <w:tab w:val="left" w:pos="1260"/>
        </w:tabs>
        <w:ind w:left="1267" w:hanging="1267"/>
        <w:jc w:val="center"/>
        <w:rPr>
          <w:b/>
          <w:color w:val="000000"/>
        </w:rPr>
      </w:pPr>
    </w:p>
    <w:p w:rsidRPr="007F620E" w:rsidR="00B312DA" w:rsidP="00B45A29" w:rsidRDefault="00A92D0B" w14:paraId="175C3F89" w14:textId="37C6BD90">
      <w:pPr>
        <w:keepNext/>
        <w:tabs>
          <w:tab w:val="left" w:pos="1260"/>
        </w:tabs>
        <w:ind w:left="1267" w:hanging="1267"/>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645"/>
        <w:gridCol w:w="2093"/>
      </w:tblGrid>
      <w:tr w:rsidRPr="007F620E" w:rsidR="00FE3BAE" w:rsidTr="003914A3" w14:paraId="4078AC87" w14:textId="77777777">
        <w:trPr>
          <w:tblHeader/>
        </w:trPr>
        <w:tc>
          <w:tcPr>
            <w:tcW w:w="7645"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093"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3914A3" w14:paraId="5708510E" w14:textId="77777777">
        <w:tc>
          <w:tcPr>
            <w:tcW w:w="7645" w:type="dxa"/>
            <w:tcBorders>
              <w:bottom w:val="single" w:color="auto" w:sz="4" w:space="0"/>
            </w:tcBorders>
            <w:shd w:val="clear" w:color="auto" w:fill="auto"/>
          </w:tcPr>
          <w:p w:rsidRPr="00E25078" w:rsidR="00FE3BAE" w:rsidP="00EC6387" w:rsidRDefault="00FE3BAE" w14:paraId="707F9932" w14:textId="24B1B5E0">
            <w:pPr>
              <w:rPr>
                <w:color w:val="000000"/>
              </w:rPr>
            </w:pPr>
            <w:r w:rsidRPr="007F620E">
              <w:rPr>
                <w:b/>
                <w:color w:val="000000"/>
              </w:rPr>
              <w:t>a. Intervenor’s claim of cost reasonableness:</w:t>
            </w:r>
            <w:r w:rsidRPr="00E25078" w:rsidR="00E25078">
              <w:rPr>
                <w:color w:val="000000"/>
              </w:rPr>
              <w:t xml:space="preserve"> </w:t>
            </w:r>
          </w:p>
          <w:p w:rsidRPr="00691528" w:rsidR="00691528" w:rsidP="00EC6387" w:rsidRDefault="00691528" w14:paraId="6A25116A" w14:textId="77777777">
            <w:pPr>
              <w:rPr>
                <w:color w:val="000000"/>
              </w:rPr>
            </w:pPr>
          </w:p>
          <w:p w:rsidR="000F5CA6" w:rsidP="000F5CA6" w:rsidRDefault="000F5CA6" w14:paraId="3E2DDE19" w14:textId="76E8817B">
            <w:pPr>
              <w:rPr>
                <w:color w:val="000000"/>
              </w:rPr>
            </w:pPr>
            <w:r w:rsidRPr="000F5CA6">
              <w:rPr>
                <w:color w:val="000000"/>
              </w:rPr>
              <w:t xml:space="preserve">TURN’s request for intervenor compensation seeks an award of </w:t>
            </w:r>
            <w:r w:rsidR="00EF1057">
              <w:t>$</w:t>
            </w:r>
            <w:r w:rsidR="00411D78">
              <w:t>84,075</w:t>
            </w:r>
            <w:r w:rsidR="00EF1057">
              <w:t>.00</w:t>
            </w:r>
            <w:r w:rsidRPr="000F5CA6">
              <w:rPr>
                <w:color w:val="000000"/>
              </w:rPr>
              <w:t xml:space="preserve"> as the reasonable cost of our participation in </w:t>
            </w:r>
            <w:r>
              <w:rPr>
                <w:color w:val="000000"/>
              </w:rPr>
              <w:t>Track 4 of</w:t>
            </w:r>
            <w:r w:rsidRPr="000F5CA6">
              <w:rPr>
                <w:color w:val="000000"/>
              </w:rPr>
              <w:t xml:space="preserve"> SCE’s </w:t>
            </w:r>
            <w:r>
              <w:rPr>
                <w:color w:val="000000"/>
              </w:rPr>
              <w:t xml:space="preserve">TY </w:t>
            </w:r>
            <w:r w:rsidRPr="000F5CA6">
              <w:rPr>
                <w:color w:val="000000"/>
              </w:rPr>
              <w:t>2021</w:t>
            </w:r>
            <w:r>
              <w:rPr>
                <w:color w:val="000000"/>
              </w:rPr>
              <w:t xml:space="preserve"> GRC, as well as our successful efforts to modify the treatment of wildfire liability insurance in the Track 1 decision.  </w:t>
            </w:r>
          </w:p>
          <w:p w:rsidR="000F5CA6" w:rsidP="000F5CA6" w:rsidRDefault="000F5CA6" w14:paraId="3862ED64" w14:textId="77777777">
            <w:pPr>
              <w:rPr>
                <w:color w:val="000000"/>
              </w:rPr>
            </w:pPr>
          </w:p>
          <w:p w:rsidR="00E85F70" w:rsidP="000F5CA6" w:rsidRDefault="000F5CA6" w14:paraId="021271DA" w14:textId="77777777">
            <w:pPr>
              <w:rPr>
                <w:color w:val="000000"/>
              </w:rPr>
            </w:pPr>
            <w:r w:rsidRPr="000F5CA6">
              <w:rPr>
                <w:color w:val="000000"/>
              </w:rPr>
              <w:t xml:space="preserve">Because both </w:t>
            </w:r>
            <w:r>
              <w:rPr>
                <w:color w:val="000000"/>
              </w:rPr>
              <w:t xml:space="preserve">of these efforts </w:t>
            </w:r>
            <w:r w:rsidRPr="000F5CA6">
              <w:rPr>
                <w:color w:val="000000"/>
              </w:rPr>
              <w:t>addressed cost recovery requests, the reasonableness of</w:t>
            </w:r>
            <w:r>
              <w:rPr>
                <w:color w:val="000000"/>
              </w:rPr>
              <w:t xml:space="preserve"> </w:t>
            </w:r>
            <w:r w:rsidRPr="000F5CA6">
              <w:rPr>
                <w:color w:val="000000"/>
              </w:rPr>
              <w:t>TURN’s request can be evaluated by comparing the benefits to ratepayers due to</w:t>
            </w:r>
            <w:r>
              <w:rPr>
                <w:color w:val="000000"/>
              </w:rPr>
              <w:t xml:space="preserve"> </w:t>
            </w:r>
            <w:r w:rsidRPr="000F5CA6">
              <w:rPr>
                <w:color w:val="000000"/>
              </w:rPr>
              <w:t>TURN’s participation to the costs to ratepayers due to the amount requested in this</w:t>
            </w:r>
            <w:r>
              <w:rPr>
                <w:color w:val="000000"/>
              </w:rPr>
              <w:t xml:space="preserve"> </w:t>
            </w:r>
            <w:r w:rsidRPr="000F5CA6">
              <w:rPr>
                <w:color w:val="000000"/>
              </w:rPr>
              <w:t xml:space="preserve">claim. </w:t>
            </w:r>
            <w:r>
              <w:rPr>
                <w:color w:val="000000"/>
              </w:rPr>
              <w:t xml:space="preserve"> </w:t>
            </w:r>
          </w:p>
          <w:p w:rsidR="00E85F70" w:rsidP="000F5CA6" w:rsidRDefault="00E85F70" w14:paraId="45B69D8D" w14:textId="77777777">
            <w:pPr>
              <w:rPr>
                <w:color w:val="000000"/>
              </w:rPr>
            </w:pPr>
          </w:p>
          <w:p w:rsidR="00E85F70" w:rsidP="00E85F70" w:rsidRDefault="000F5CA6" w14:paraId="454F8C5D" w14:textId="2DF5E2FE">
            <w:pPr>
              <w:rPr>
                <w:color w:val="000000"/>
              </w:rPr>
            </w:pPr>
            <w:r w:rsidRPr="000F5CA6">
              <w:rPr>
                <w:color w:val="000000"/>
              </w:rPr>
              <w:lastRenderedPageBreak/>
              <w:t xml:space="preserve">TURN’s work in </w:t>
            </w:r>
            <w:r w:rsidR="00E85F70">
              <w:rPr>
                <w:color w:val="000000"/>
              </w:rPr>
              <w:t>D.23-11-096</w:t>
            </w:r>
            <w:r w:rsidRPr="000F5CA6">
              <w:rPr>
                <w:color w:val="000000"/>
              </w:rPr>
              <w:t xml:space="preserve"> </w:t>
            </w:r>
            <w:r w:rsidR="00E85F70">
              <w:rPr>
                <w:color w:val="000000"/>
              </w:rPr>
              <w:t xml:space="preserve">(Track 4) </w:t>
            </w:r>
            <w:r w:rsidRPr="000F5CA6">
              <w:rPr>
                <w:color w:val="000000"/>
              </w:rPr>
              <w:t xml:space="preserve">contributed to </w:t>
            </w:r>
            <w:r w:rsidR="00EF1057">
              <w:rPr>
                <w:color w:val="000000"/>
              </w:rPr>
              <w:t xml:space="preserve">O&amp;M </w:t>
            </w:r>
            <w:r w:rsidRPr="000F5CA6">
              <w:rPr>
                <w:color w:val="000000"/>
              </w:rPr>
              <w:t xml:space="preserve">expense reductions </w:t>
            </w:r>
            <w:r>
              <w:rPr>
                <w:color w:val="000000"/>
              </w:rPr>
              <w:t xml:space="preserve">of $9 million </w:t>
            </w:r>
            <w:r w:rsidRPr="000F5CA6">
              <w:rPr>
                <w:color w:val="000000"/>
              </w:rPr>
              <w:t>for vegetation</w:t>
            </w:r>
            <w:r w:rsidR="00E85F70">
              <w:rPr>
                <w:color w:val="000000"/>
              </w:rPr>
              <w:t xml:space="preserve"> </w:t>
            </w:r>
            <w:r w:rsidRPr="000F5CA6">
              <w:rPr>
                <w:color w:val="000000"/>
              </w:rPr>
              <w:t xml:space="preserve">management, </w:t>
            </w:r>
            <w:r>
              <w:rPr>
                <w:color w:val="000000"/>
              </w:rPr>
              <w:t xml:space="preserve">$30 million for wildfire mitigation O&amp;M, and $94 million for 2021 inflation (in total, $133 million), </w:t>
            </w:r>
            <w:r w:rsidRPr="000F5CA6">
              <w:rPr>
                <w:color w:val="000000"/>
              </w:rPr>
              <w:t>which directly reduce</w:t>
            </w:r>
            <w:r>
              <w:rPr>
                <w:color w:val="000000"/>
              </w:rPr>
              <w:t>s</w:t>
            </w:r>
            <w:r w:rsidRPr="000F5CA6">
              <w:rPr>
                <w:color w:val="000000"/>
              </w:rPr>
              <w:t xml:space="preserve"> the amount</w:t>
            </w:r>
            <w:r>
              <w:rPr>
                <w:color w:val="000000"/>
              </w:rPr>
              <w:t xml:space="preserve"> </w:t>
            </w:r>
            <w:r w:rsidRPr="000F5CA6">
              <w:rPr>
                <w:color w:val="000000"/>
              </w:rPr>
              <w:t xml:space="preserve">of money that would otherwise have been collected from SCE’s customers. </w:t>
            </w:r>
            <w:r w:rsidR="00E85F70">
              <w:rPr>
                <w:color w:val="000000"/>
              </w:rPr>
              <w:t xml:space="preserve"> Similarly, TURN contributed to a further revenue requirement reduction of $48 million associated with SCE’s rate base adjustment proposals re: customer deposits and 2020 recorded non-wildfire capital expenditures.  Finally</w:t>
            </w:r>
            <w:r w:rsidRPr="000F5CA6">
              <w:rPr>
                <w:color w:val="000000"/>
              </w:rPr>
              <w:t xml:space="preserve">, TURN’s work contributed to </w:t>
            </w:r>
            <w:r>
              <w:rPr>
                <w:color w:val="000000"/>
              </w:rPr>
              <w:t>a reduction of roughly $100 million in capital spending for the Wildfire Covered Conductor Program</w:t>
            </w:r>
            <w:r w:rsidR="009D7C2C">
              <w:rPr>
                <w:color w:val="000000"/>
              </w:rPr>
              <w:t>, plus a reduced escalation rate for non-wildfire capital additions</w:t>
            </w:r>
            <w:r w:rsidR="00E85F70">
              <w:rPr>
                <w:color w:val="000000"/>
              </w:rPr>
              <w:t xml:space="preserve">.  </w:t>
            </w:r>
            <w:r w:rsidRPr="000F5CA6" w:rsidR="00E85F70">
              <w:rPr>
                <w:color w:val="000000"/>
              </w:rPr>
              <w:t>While</w:t>
            </w:r>
            <w:r w:rsidR="00E85F70">
              <w:rPr>
                <w:color w:val="000000"/>
              </w:rPr>
              <w:t xml:space="preserve"> </w:t>
            </w:r>
            <w:r w:rsidRPr="000F5CA6" w:rsidR="00E85F70">
              <w:rPr>
                <w:color w:val="000000"/>
              </w:rPr>
              <w:t xml:space="preserve">TURN cannot claim sole credit for </w:t>
            </w:r>
            <w:r w:rsidR="00E85F70">
              <w:rPr>
                <w:color w:val="000000"/>
              </w:rPr>
              <w:t>the entirety of these amounts</w:t>
            </w:r>
            <w:r w:rsidRPr="000F5CA6" w:rsidR="00E85F70">
              <w:rPr>
                <w:color w:val="000000"/>
              </w:rPr>
              <w:t xml:space="preserve">, </w:t>
            </w:r>
            <w:r w:rsidR="00E85F70">
              <w:rPr>
                <w:color w:val="000000"/>
              </w:rPr>
              <w:t>the Commission should find that TURN’s productive efforts and collaboration with Cal Advocates were instrumental to this success in Track 4.</w:t>
            </w:r>
          </w:p>
          <w:p w:rsidR="00E85F70" w:rsidP="00E85F70" w:rsidRDefault="00E85F70" w14:paraId="14F13352" w14:textId="77777777">
            <w:pPr>
              <w:rPr>
                <w:color w:val="000000"/>
              </w:rPr>
            </w:pPr>
          </w:p>
          <w:p w:rsidR="00E85F70" w:rsidP="00E85F70" w:rsidRDefault="00E85F70" w14:paraId="0D2B57D9" w14:textId="6F4ADB81">
            <w:pPr>
              <w:rPr>
                <w:color w:val="000000"/>
              </w:rPr>
            </w:pPr>
            <w:r>
              <w:rPr>
                <w:color w:val="000000"/>
              </w:rPr>
              <w:t xml:space="preserve">TURN’s work culminating in D.23-05-013 (Insurance) reduced SCE’s 2023 revenue requirement by $80 million and </w:t>
            </w:r>
            <w:r w:rsidR="00CC1116">
              <w:rPr>
                <w:color w:val="000000"/>
              </w:rPr>
              <w:t xml:space="preserve">may reduce </w:t>
            </w:r>
            <w:r>
              <w:rPr>
                <w:color w:val="000000"/>
              </w:rPr>
              <w:t xml:space="preserve">SCE’s 2024 revenue requirement </w:t>
            </w:r>
            <w:r w:rsidRPr="00CC1116">
              <w:rPr>
                <w:color w:val="000000"/>
              </w:rPr>
              <w:t>by $160 million, if not more</w:t>
            </w:r>
            <w:r>
              <w:rPr>
                <w:color w:val="000000"/>
              </w:rPr>
              <w:t>.  Once again, w</w:t>
            </w:r>
            <w:r w:rsidRPr="000F5CA6">
              <w:rPr>
                <w:color w:val="000000"/>
              </w:rPr>
              <w:t>hile</w:t>
            </w:r>
            <w:r>
              <w:rPr>
                <w:color w:val="000000"/>
              </w:rPr>
              <w:t xml:space="preserve"> </w:t>
            </w:r>
            <w:r w:rsidRPr="000F5CA6">
              <w:rPr>
                <w:color w:val="000000"/>
              </w:rPr>
              <w:t xml:space="preserve">TURN cannot claim sole credit for </w:t>
            </w:r>
            <w:r>
              <w:rPr>
                <w:color w:val="000000"/>
              </w:rPr>
              <w:t>the entirety of these amounts</w:t>
            </w:r>
            <w:r w:rsidRPr="000F5CA6">
              <w:rPr>
                <w:color w:val="000000"/>
              </w:rPr>
              <w:t xml:space="preserve">, </w:t>
            </w:r>
            <w:r>
              <w:rPr>
                <w:color w:val="000000"/>
              </w:rPr>
              <w:t>the Commission should find that TURN’s productive efforts and collaboration with Cal Advocates were instrumental to this success on wildfire liability insurance costs.</w:t>
            </w:r>
          </w:p>
          <w:p w:rsidRPr="000F5CA6" w:rsidR="00E85F70" w:rsidP="00E85F70" w:rsidRDefault="00E85F70" w14:paraId="3D478DC4" w14:textId="52D5DBD9">
            <w:pPr>
              <w:rPr>
                <w:color w:val="000000"/>
              </w:rPr>
            </w:pPr>
          </w:p>
          <w:p w:rsidRPr="003D4455" w:rsidR="000F5CA6" w:rsidP="000F5CA6" w:rsidRDefault="000F5CA6" w14:paraId="2B1A1242" w14:textId="69E6D5BA">
            <w:pPr>
              <w:rPr>
                <w:color w:val="000000"/>
              </w:rPr>
            </w:pPr>
            <w:r w:rsidRPr="000F5CA6">
              <w:rPr>
                <w:color w:val="000000"/>
              </w:rPr>
              <w:t>TURN thus suggests that the requested compensation is entirely reasonable in light of</w:t>
            </w:r>
            <w:r w:rsidR="00E85F70">
              <w:rPr>
                <w:color w:val="000000"/>
              </w:rPr>
              <w:t xml:space="preserve"> </w:t>
            </w:r>
            <w:r w:rsidRPr="000F5CA6">
              <w:rPr>
                <w:color w:val="000000"/>
              </w:rPr>
              <w:t>TURN’s contributions to the decisions and the ensuing financial benefits to ratepayers.</w:t>
            </w:r>
          </w:p>
        </w:tc>
        <w:tc>
          <w:tcPr>
            <w:tcW w:w="2093" w:type="dxa"/>
            <w:shd w:val="clear" w:color="auto" w:fill="auto"/>
          </w:tcPr>
          <w:p w:rsidRPr="00FE3BAE" w:rsidR="00FE3BAE" w:rsidP="003914A3" w:rsidRDefault="003914A3" w14:paraId="223B4665" w14:textId="217FA013">
            <w:pPr>
              <w:jc w:val="center"/>
              <w:rPr>
                <w:color w:val="000000"/>
              </w:rPr>
            </w:pPr>
            <w:r>
              <w:rPr>
                <w:color w:val="000000"/>
              </w:rPr>
              <w:lastRenderedPageBreak/>
              <w:t>Noted</w:t>
            </w:r>
          </w:p>
        </w:tc>
      </w:tr>
      <w:tr w:rsidRPr="007F620E" w:rsidR="00FE3BAE" w:rsidTr="003914A3" w14:paraId="5548029C" w14:textId="77777777">
        <w:tc>
          <w:tcPr>
            <w:tcW w:w="7645" w:type="dxa"/>
            <w:shd w:val="clear" w:color="auto" w:fill="auto"/>
          </w:tcPr>
          <w:p w:rsidRPr="00E25078" w:rsidR="00FE3BAE" w:rsidP="00EC6387" w:rsidRDefault="00FE3BAE" w14:paraId="751A610C" w14:textId="509B1715">
            <w:pPr>
              <w:rPr>
                <w:color w:val="000000"/>
              </w:rPr>
            </w:pPr>
            <w:r w:rsidRPr="007F620E">
              <w:rPr>
                <w:b/>
                <w:color w:val="000000"/>
              </w:rPr>
              <w:t>b. Reasonableness of hours claimed:</w:t>
            </w:r>
            <w:r w:rsidRPr="00E25078" w:rsidR="00E25078">
              <w:rPr>
                <w:color w:val="000000"/>
              </w:rPr>
              <w:t xml:space="preserve"> </w:t>
            </w:r>
          </w:p>
          <w:p w:rsidR="00FE3BAE" w:rsidP="00EC6387" w:rsidRDefault="00FE3BAE" w14:paraId="1009F6D5" w14:textId="77777777">
            <w:pPr>
              <w:rPr>
                <w:color w:val="000000"/>
              </w:rPr>
            </w:pPr>
          </w:p>
          <w:p w:rsidR="000129D2" w:rsidP="00EC6387" w:rsidRDefault="000129D2" w14:paraId="59A8D43D" w14:textId="77777777">
            <w:pPr>
              <w:rPr>
                <w:color w:val="000000"/>
              </w:rPr>
            </w:pPr>
            <w:r>
              <w:rPr>
                <w:color w:val="000000"/>
              </w:rPr>
              <w:t xml:space="preserve">This request for compensation includes approximately 170 hours of TURN’s attorney and expert time since May 2022, when SCE submitted its Track 4 filing.  </w:t>
            </w:r>
          </w:p>
          <w:p w:rsidR="000129D2" w:rsidP="00EC6387" w:rsidRDefault="000129D2" w14:paraId="437B2263" w14:textId="77777777">
            <w:pPr>
              <w:rPr>
                <w:color w:val="000000"/>
              </w:rPr>
            </w:pPr>
          </w:p>
          <w:p w:rsidRPr="00865C0B" w:rsidR="000129D2" w:rsidP="00EC6387" w:rsidRDefault="000129D2" w14:paraId="30526C6A" w14:textId="5D03770D">
            <w:pPr>
              <w:rPr>
                <w:color w:val="000000"/>
              </w:rPr>
            </w:pPr>
            <w:r>
              <w:rPr>
                <w:color w:val="000000"/>
              </w:rPr>
              <w:t xml:space="preserve">TURN General Counsel Robert Finkelstein represented TURN during negotiations leading to the PFM and settlement agreement on wildfire liability insurance.  Mr. Finkestein </w:t>
            </w:r>
            <w:r w:rsidR="00263EFF">
              <w:rPr>
                <w:color w:val="000000"/>
              </w:rPr>
              <w:t xml:space="preserve">has covered insurance issues for TURN in a number of proceedings </w:t>
            </w:r>
            <w:r w:rsidRPr="00865C0B" w:rsidR="00263EFF">
              <w:rPr>
                <w:color w:val="000000"/>
              </w:rPr>
              <w:t xml:space="preserve">and, shortly before commencing this work here, </w:t>
            </w:r>
            <w:r w:rsidRPr="00865C0B">
              <w:rPr>
                <w:color w:val="000000"/>
              </w:rPr>
              <w:t xml:space="preserve">represented TURN in </w:t>
            </w:r>
            <w:r w:rsidRPr="00865C0B" w:rsidR="00263EFF">
              <w:rPr>
                <w:color w:val="000000"/>
              </w:rPr>
              <w:t xml:space="preserve">successful </w:t>
            </w:r>
            <w:r w:rsidRPr="00865C0B">
              <w:rPr>
                <w:color w:val="000000"/>
              </w:rPr>
              <w:t>settlement negotiations with PG&amp;E covering wildfire liability insurance</w:t>
            </w:r>
            <w:r w:rsidRPr="00865C0B" w:rsidR="00263EFF">
              <w:rPr>
                <w:color w:val="000000"/>
              </w:rPr>
              <w:t xml:space="preserve"> in PG&amp;E’s Test Year 2023 GRC.  He was the most reasonable person to cover wildfire liability insurance for TURN in this proceeding.  </w:t>
            </w:r>
            <w:r w:rsidRPr="00865C0B">
              <w:rPr>
                <w:color w:val="000000"/>
              </w:rPr>
              <w:t xml:space="preserve"> </w:t>
            </w:r>
          </w:p>
          <w:p w:rsidRPr="00865C0B" w:rsidR="00263EFF" w:rsidP="00EC6387" w:rsidRDefault="00263EFF" w14:paraId="01247393" w14:textId="77777777">
            <w:pPr>
              <w:rPr>
                <w:color w:val="000000"/>
              </w:rPr>
            </w:pPr>
          </w:p>
          <w:p w:rsidR="00263EFF" w:rsidP="00EC6387" w:rsidRDefault="00263EFF" w14:paraId="2D307714" w14:textId="5BA61EAC">
            <w:pPr>
              <w:rPr>
                <w:color w:val="000000"/>
              </w:rPr>
            </w:pPr>
            <w:r w:rsidRPr="00865C0B">
              <w:rPr>
                <w:color w:val="000000"/>
              </w:rPr>
              <w:t>TURN Managing Attorney Hayley Goodson represent</w:t>
            </w:r>
            <w:r w:rsidRPr="00865C0B" w:rsidR="00F64F4B">
              <w:rPr>
                <w:color w:val="000000"/>
              </w:rPr>
              <w:t>ed</w:t>
            </w:r>
            <w:r w:rsidRPr="00865C0B">
              <w:rPr>
                <w:color w:val="000000"/>
              </w:rPr>
              <w:t xml:space="preserve"> TURN in Track 4.  Ms. Goodson was TURN’s attorney on post-test year ratemaking issues in Track 1, making her an efficient choice to lead TURN’s</w:t>
            </w:r>
            <w:r>
              <w:rPr>
                <w:color w:val="000000"/>
              </w:rPr>
              <w:t xml:space="preserve"> efforts in Track 4</w:t>
            </w:r>
            <w:r w:rsidR="00EA446C">
              <w:rPr>
                <w:color w:val="000000"/>
              </w:rPr>
              <w:t xml:space="preserve">, </w:t>
            </w:r>
            <w:r w:rsidR="00EA446C">
              <w:rPr>
                <w:color w:val="000000"/>
              </w:rPr>
              <w:lastRenderedPageBreak/>
              <w:t>which addressed the addition of 2024 as the third post-test year</w:t>
            </w:r>
            <w:r>
              <w:rPr>
                <w:color w:val="000000"/>
              </w:rPr>
              <w:t>.  Ms. Goodson also has decades of experience working on GRCs and, for this reason, could offer efficiencies by serving as TURN’s attorney and an expert witnesses sponsoring testimony.</w:t>
            </w:r>
            <w:r w:rsidR="0042751A">
              <w:rPr>
                <w:color w:val="000000"/>
              </w:rPr>
              <w:t xml:space="preserve">  Ms. Goodson incurred roughly 110 hours working on Track 4, the vast majority of TURN’s hours.  </w:t>
            </w:r>
          </w:p>
          <w:p w:rsidR="00263EFF" w:rsidP="00EC6387" w:rsidRDefault="00263EFF" w14:paraId="24759F63" w14:textId="77777777">
            <w:pPr>
              <w:rPr>
                <w:color w:val="000000"/>
              </w:rPr>
            </w:pPr>
          </w:p>
          <w:p w:rsidR="00EA446C" w:rsidP="0042751A" w:rsidRDefault="00263EFF" w14:paraId="00004501" w14:textId="20314BB2">
            <w:pPr>
              <w:rPr>
                <w:color w:val="000000"/>
              </w:rPr>
            </w:pPr>
            <w:r>
              <w:rPr>
                <w:color w:val="000000"/>
              </w:rPr>
              <w:t>Ms. Goodson recruited three other TURN staff members to assist with initial issue spotting</w:t>
            </w:r>
            <w:r w:rsidR="00112BAE">
              <w:rPr>
                <w:color w:val="000000"/>
              </w:rPr>
              <w:t>, particularly around wildfire-related capital programs.</w:t>
            </w:r>
            <w:r w:rsidR="00EA446C">
              <w:rPr>
                <w:color w:val="000000"/>
              </w:rPr>
              <w:t xml:space="preserve">  </w:t>
            </w:r>
            <w:r w:rsidR="00112BAE">
              <w:rPr>
                <w:color w:val="000000"/>
              </w:rPr>
              <w:t xml:space="preserve">TURN Attorneys Marcel Hawiger and Elise Torres shared lead counsel roles in Tracks 1, 2, and 3, and brought greater familiarity with SCE’s wildfire-related programs.  Mr. Hawiger, who worked on SCE’s Wildfire Covered Conductor Program in prior Tracks, reviewed SCE’s Wildfire Covered Conductor Program proposal for 2024.  Ms. Torres conducted TURN’s initial review of SCE’s other proposed wildfire-related capital budgets.  Based on Ms. Torres’ preliminary analysis, Ms. Goodson asked TURN’s in-house energy analyst Jennifer Dowdell to conduct a deeper review of </w:t>
            </w:r>
            <w:r w:rsidR="00EA446C">
              <w:rPr>
                <w:color w:val="000000"/>
              </w:rPr>
              <w:t xml:space="preserve">specific </w:t>
            </w:r>
            <w:r w:rsidR="00112BAE">
              <w:rPr>
                <w:color w:val="000000"/>
              </w:rPr>
              <w:t>wildfire-related capital proposals (other than Covered Conductor)</w:t>
            </w:r>
            <w:r w:rsidR="0042751A">
              <w:rPr>
                <w:color w:val="000000"/>
              </w:rPr>
              <w:t xml:space="preserve"> to inform </w:t>
            </w:r>
            <w:r w:rsidR="00EA446C">
              <w:rPr>
                <w:color w:val="000000"/>
              </w:rPr>
              <w:t xml:space="preserve">the scope and contents of </w:t>
            </w:r>
            <w:r w:rsidR="0042751A">
              <w:rPr>
                <w:color w:val="000000"/>
              </w:rPr>
              <w:t>TURN’s testimony</w:t>
            </w:r>
            <w:r w:rsidR="00112BAE">
              <w:rPr>
                <w:color w:val="000000"/>
              </w:rPr>
              <w:t xml:space="preserve">.  </w:t>
            </w:r>
            <w:r w:rsidR="0042751A">
              <w:rPr>
                <w:color w:val="000000"/>
              </w:rPr>
              <w:t xml:space="preserve">Ms. Dowdell had sponsored testimony for TURN in Track 3 and was familiar with SCE’s wildfire-related </w:t>
            </w:r>
            <w:r w:rsidRPr="00865C0B" w:rsidR="0042751A">
              <w:rPr>
                <w:color w:val="000000"/>
              </w:rPr>
              <w:t>programs.  Prior to joining TURN in 2019,</w:t>
            </w:r>
            <w:r w:rsidR="0042751A">
              <w:rPr>
                <w:color w:val="000000"/>
              </w:rPr>
              <w:t xml:space="preserve"> </w:t>
            </w:r>
            <w:r w:rsidRPr="0042751A" w:rsidR="0042751A">
              <w:rPr>
                <w:color w:val="000000"/>
              </w:rPr>
              <w:t xml:space="preserve">Ms. Dowdell worked for </w:t>
            </w:r>
            <w:r w:rsidR="0042751A">
              <w:rPr>
                <w:color w:val="000000"/>
              </w:rPr>
              <w:t>forty</w:t>
            </w:r>
            <w:r w:rsidRPr="0042751A" w:rsidR="0042751A">
              <w:rPr>
                <w:color w:val="000000"/>
              </w:rPr>
              <w:t xml:space="preserve"> years in energy and finance with</w:t>
            </w:r>
            <w:r w:rsidR="0042751A">
              <w:rPr>
                <w:color w:val="000000"/>
              </w:rPr>
              <w:t xml:space="preserve"> </w:t>
            </w:r>
            <w:r w:rsidRPr="0042751A" w:rsidR="0042751A">
              <w:rPr>
                <w:color w:val="000000"/>
              </w:rPr>
              <w:t>major companies such as Exelon, Calpine and PG&amp;E, in roles ranging from design</w:t>
            </w:r>
            <w:r w:rsidR="0042751A">
              <w:rPr>
                <w:color w:val="000000"/>
              </w:rPr>
              <w:t xml:space="preserve"> </w:t>
            </w:r>
            <w:r w:rsidRPr="0042751A" w:rsidR="0042751A">
              <w:rPr>
                <w:color w:val="000000"/>
              </w:rPr>
              <w:t>engineering to finance and strategic planning.</w:t>
            </w:r>
            <w:r w:rsidR="0042751A">
              <w:rPr>
                <w:color w:val="000000"/>
              </w:rPr>
              <w:t xml:space="preserve">  </w:t>
            </w:r>
          </w:p>
          <w:p w:rsidR="00EA446C" w:rsidP="0042751A" w:rsidRDefault="00EA446C" w14:paraId="04D90FEC" w14:textId="77777777">
            <w:pPr>
              <w:rPr>
                <w:color w:val="000000"/>
              </w:rPr>
            </w:pPr>
          </w:p>
          <w:p w:rsidR="00EA446C" w:rsidP="0042751A" w:rsidRDefault="0042751A" w14:paraId="5C54AB83" w14:textId="77777777">
            <w:pPr>
              <w:rPr>
                <w:color w:val="000000"/>
              </w:rPr>
            </w:pPr>
            <w:r>
              <w:rPr>
                <w:color w:val="000000"/>
              </w:rPr>
              <w:t xml:space="preserve">Based on this initial team effort, Mr. Hawiger and Ms. Goodson jointly sponsored TURN’s Track 4 testimony.  Mr. Hawiger prepared the portion of TURN’s testimony addressing SCE’s Wildfire Covered Conductor Program and Ms. Goodson addressed all other aspects of SCE’s 2024 revenue requirement proposal.  </w:t>
            </w:r>
          </w:p>
          <w:p w:rsidR="00EA446C" w:rsidP="0042751A" w:rsidRDefault="00EA446C" w14:paraId="62858A59" w14:textId="77777777">
            <w:pPr>
              <w:rPr>
                <w:color w:val="000000"/>
              </w:rPr>
            </w:pPr>
          </w:p>
          <w:p w:rsidR="0042751A" w:rsidP="0042751A" w:rsidRDefault="00EA446C" w14:paraId="57E6D2DA" w14:textId="3744B94D">
            <w:pPr>
              <w:rPr>
                <w:color w:val="000000"/>
              </w:rPr>
            </w:pPr>
            <w:r>
              <w:rPr>
                <w:color w:val="000000"/>
              </w:rPr>
              <w:t>Together, Mr. Hawiger, Ms. Torres, and Ms. Dowdell devoted 19 hours to Track 4.</w:t>
            </w:r>
          </w:p>
          <w:p w:rsidR="0042751A" w:rsidP="0042751A" w:rsidRDefault="0042751A" w14:paraId="10B4FF13" w14:textId="77777777">
            <w:pPr>
              <w:rPr>
                <w:color w:val="000000"/>
              </w:rPr>
            </w:pPr>
          </w:p>
          <w:p w:rsidRPr="007F620E" w:rsidR="00691528" w:rsidP="003F6D50" w:rsidRDefault="0042751A" w14:paraId="694F0B63" w14:textId="175A7D55">
            <w:pPr>
              <w:rPr>
                <w:color w:val="000000"/>
              </w:rPr>
            </w:pPr>
            <w:r>
              <w:rPr>
                <w:color w:val="000000"/>
              </w:rPr>
              <w:t>Finally, Ms. Goodson consulted TURN’s Directory of Regulatory Strategy, Thomas Long, during the preparation of her testimony and settlement negotiations</w:t>
            </w:r>
            <w:r w:rsidR="00EA446C">
              <w:rPr>
                <w:color w:val="000000"/>
              </w:rPr>
              <w:t xml:space="preserve"> on issues within his expertise.  Mr. Long devoted 1.75 hours to assisting Ms. Goodson</w:t>
            </w:r>
            <w:r>
              <w:rPr>
                <w:color w:val="000000"/>
              </w:rPr>
              <w:t xml:space="preserve">.  </w:t>
            </w:r>
            <w:r w:rsidR="00263EFF">
              <w:rPr>
                <w:color w:val="000000"/>
              </w:rPr>
              <w:t xml:space="preserve">  </w:t>
            </w:r>
          </w:p>
        </w:tc>
        <w:tc>
          <w:tcPr>
            <w:tcW w:w="2093" w:type="dxa"/>
            <w:shd w:val="clear" w:color="auto" w:fill="auto"/>
          </w:tcPr>
          <w:p w:rsidRPr="007F620E" w:rsidR="00FE3BAE" w:rsidP="003914A3" w:rsidRDefault="003914A3" w14:paraId="1874D625" w14:textId="568E7C0F">
            <w:pPr>
              <w:jc w:val="center"/>
              <w:rPr>
                <w:color w:val="000000"/>
              </w:rPr>
            </w:pPr>
            <w:r>
              <w:rPr>
                <w:color w:val="000000"/>
              </w:rPr>
              <w:lastRenderedPageBreak/>
              <w:t>Noted</w:t>
            </w:r>
          </w:p>
        </w:tc>
      </w:tr>
      <w:tr w:rsidRPr="007F620E" w:rsidR="00FE3BAE" w:rsidTr="003914A3" w14:paraId="3FD38B74" w14:textId="77777777">
        <w:tc>
          <w:tcPr>
            <w:tcW w:w="7645" w:type="dxa"/>
            <w:shd w:val="clear" w:color="auto" w:fill="auto"/>
          </w:tcPr>
          <w:p w:rsidRPr="00E25078" w:rsidR="00FE3BAE" w:rsidP="00EC6387" w:rsidRDefault="00FE3BAE" w14:paraId="46990B37" w14:textId="569E5E0F">
            <w:pPr>
              <w:rPr>
                <w:color w:val="000000"/>
              </w:rPr>
            </w:pPr>
            <w:r w:rsidRPr="007F620E">
              <w:rPr>
                <w:b/>
                <w:color w:val="000000"/>
              </w:rPr>
              <w:t>c. Allocation of hours by issue:</w:t>
            </w:r>
            <w:r w:rsidRPr="00E25078" w:rsidR="00E25078">
              <w:rPr>
                <w:color w:val="000000"/>
              </w:rPr>
              <w:t xml:space="preserve"> </w:t>
            </w:r>
          </w:p>
          <w:p w:rsidR="00FE3BAE" w:rsidP="00EC6387" w:rsidRDefault="00FE3BAE" w14:paraId="78501013" w14:textId="77777777">
            <w:pPr>
              <w:rPr>
                <w:color w:val="000000"/>
              </w:rPr>
            </w:pPr>
          </w:p>
          <w:p w:rsidRPr="009B6B0A" w:rsidR="000129D2" w:rsidP="000129D2" w:rsidRDefault="000129D2" w14:paraId="00DD0F72" w14:textId="1A9C69AF">
            <w:pPr>
              <w:autoSpaceDE w:val="0"/>
              <w:autoSpaceDN w:val="0"/>
              <w:adjustRightInd w:val="0"/>
            </w:pPr>
            <w:r w:rsidRPr="006F2565">
              <w:t xml:space="preserve">TURN has allocated all of our </w:t>
            </w:r>
            <w:r>
              <w:t>staff</w:t>
            </w:r>
            <w:r w:rsidRPr="006F2565">
              <w:t xml:space="preserve"> time by issue area, as is evident on our </w:t>
            </w:r>
            <w:r w:rsidRPr="0046433B">
              <w:t xml:space="preserve">attached timesheets (Attachment 2) and in Attachment </w:t>
            </w:r>
            <w:r>
              <w:t>3</w:t>
            </w:r>
            <w:r w:rsidRPr="0046433B">
              <w:t xml:space="preserve">, which shows the allocation of TURN’s time included in this request by attorney or expert and </w:t>
            </w:r>
            <w:r w:rsidRPr="0046433B">
              <w:lastRenderedPageBreak/>
              <w:t>issue</w:t>
            </w:r>
            <w:r w:rsidRPr="006F2565">
              <w:t xml:space="preserve"> area. The following codes relate</w:t>
            </w:r>
            <w:r>
              <w:t xml:space="preserve"> </w:t>
            </w:r>
            <w:r w:rsidRPr="006F2565">
              <w:t>to specific substantive issue and activity areas addressed by TURN.</w:t>
            </w:r>
          </w:p>
          <w:p w:rsidRPr="00691528" w:rsidR="000129D2" w:rsidP="00EC6387" w:rsidRDefault="000129D2" w14:paraId="06157959" w14:textId="77777777">
            <w:pPr>
              <w:rPr>
                <w:color w:val="000000"/>
              </w:rPr>
            </w:pPr>
          </w:p>
          <w:tbl>
            <w:tblPr>
              <w:tblW w:w="6620" w:type="dxa"/>
              <w:tblLayout w:type="fixed"/>
              <w:tblLook w:val="04A0" w:firstRow="1" w:lastRow="0" w:firstColumn="1" w:lastColumn="0" w:noHBand="0" w:noVBand="1"/>
            </w:tblPr>
            <w:tblGrid>
              <w:gridCol w:w="1540"/>
              <w:gridCol w:w="3820"/>
              <w:gridCol w:w="1260"/>
            </w:tblGrid>
            <w:tr w:rsidR="000129D2" w:rsidTr="000129D2" w14:paraId="766448B2" w14:textId="77777777">
              <w:trPr>
                <w:trHeight w:val="560"/>
              </w:trPr>
              <w:tc>
                <w:tcPr>
                  <w:tcW w:w="1540" w:type="dxa"/>
                  <w:tcBorders>
                    <w:top w:val="single" w:color="auto" w:sz="4" w:space="0"/>
                    <w:left w:val="single" w:color="auto" w:sz="4" w:space="0"/>
                    <w:bottom w:val="single" w:color="auto" w:sz="4" w:space="0"/>
                    <w:right w:val="single" w:color="auto" w:sz="4" w:space="0"/>
                  </w:tcBorders>
                  <w:shd w:val="clear" w:color="auto" w:fill="auto"/>
                  <w:hideMark/>
                </w:tcPr>
                <w:p w:rsidR="000129D2" w:rsidP="000129D2" w:rsidRDefault="000129D2" w14:paraId="3C3C1F2E" w14:textId="77777777">
                  <w:pPr>
                    <w:rPr>
                      <w:b/>
                      <w:bCs/>
                      <w:color w:val="000000"/>
                      <w:sz w:val="20"/>
                      <w:szCs w:val="20"/>
                    </w:rPr>
                  </w:pPr>
                  <w:r>
                    <w:rPr>
                      <w:b/>
                      <w:bCs/>
                      <w:color w:val="000000"/>
                      <w:sz w:val="20"/>
                      <w:szCs w:val="20"/>
                    </w:rPr>
                    <w:t>Code</w:t>
                  </w:r>
                </w:p>
              </w:tc>
              <w:tc>
                <w:tcPr>
                  <w:tcW w:w="3820" w:type="dxa"/>
                  <w:tcBorders>
                    <w:top w:val="single" w:color="auto" w:sz="4" w:space="0"/>
                    <w:left w:val="nil"/>
                    <w:bottom w:val="single" w:color="auto" w:sz="4" w:space="0"/>
                    <w:right w:val="single" w:color="auto" w:sz="4" w:space="0"/>
                  </w:tcBorders>
                  <w:shd w:val="clear" w:color="auto" w:fill="auto"/>
                  <w:hideMark/>
                </w:tcPr>
                <w:p w:rsidR="000129D2" w:rsidP="000129D2" w:rsidRDefault="000129D2" w14:paraId="6984EEF7" w14:textId="77777777">
                  <w:pPr>
                    <w:rPr>
                      <w:b/>
                      <w:bCs/>
                      <w:color w:val="000000"/>
                      <w:sz w:val="20"/>
                      <w:szCs w:val="20"/>
                    </w:rPr>
                  </w:pPr>
                  <w:r>
                    <w:rPr>
                      <w:b/>
                      <w:bCs/>
                      <w:color w:val="000000"/>
                      <w:sz w:val="20"/>
                      <w:szCs w:val="20"/>
                    </w:rPr>
                    <w:t>Description</w:t>
                  </w:r>
                </w:p>
              </w:tc>
              <w:tc>
                <w:tcPr>
                  <w:tcW w:w="1260" w:type="dxa"/>
                  <w:tcBorders>
                    <w:top w:val="single" w:color="auto" w:sz="4" w:space="0"/>
                    <w:left w:val="nil"/>
                    <w:bottom w:val="single" w:color="auto" w:sz="4" w:space="0"/>
                    <w:right w:val="single" w:color="auto" w:sz="4" w:space="0"/>
                  </w:tcBorders>
                  <w:shd w:val="clear" w:color="auto" w:fill="auto"/>
                  <w:hideMark/>
                </w:tcPr>
                <w:p w:rsidR="000129D2" w:rsidP="000129D2" w:rsidRDefault="000129D2" w14:paraId="2BD06FF8" w14:textId="77777777">
                  <w:pPr>
                    <w:rPr>
                      <w:b/>
                      <w:bCs/>
                      <w:color w:val="000000"/>
                      <w:sz w:val="20"/>
                      <w:szCs w:val="20"/>
                    </w:rPr>
                  </w:pPr>
                  <w:r>
                    <w:rPr>
                      <w:b/>
                      <w:bCs/>
                      <w:color w:val="000000"/>
                      <w:sz w:val="20"/>
                      <w:szCs w:val="20"/>
                    </w:rPr>
                    <w:t>Allocation of Time</w:t>
                  </w:r>
                </w:p>
              </w:tc>
            </w:tr>
            <w:tr w:rsidR="000129D2" w:rsidTr="000129D2" w14:paraId="7939A713"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0129D2" w:rsidP="000129D2" w:rsidRDefault="000129D2" w14:paraId="0045B912" w14:textId="77777777">
                  <w:pPr>
                    <w:rPr>
                      <w:color w:val="000000"/>
                      <w:sz w:val="20"/>
                      <w:szCs w:val="20"/>
                    </w:rPr>
                  </w:pPr>
                  <w:r>
                    <w:rPr>
                      <w:color w:val="000000"/>
                      <w:sz w:val="20"/>
                      <w:szCs w:val="20"/>
                    </w:rPr>
                    <w:t>Track4</w:t>
                  </w:r>
                </w:p>
              </w:tc>
              <w:tc>
                <w:tcPr>
                  <w:tcW w:w="3820" w:type="dxa"/>
                  <w:tcBorders>
                    <w:top w:val="nil"/>
                    <w:left w:val="nil"/>
                    <w:bottom w:val="single" w:color="auto" w:sz="4" w:space="0"/>
                    <w:right w:val="single" w:color="auto" w:sz="4" w:space="0"/>
                  </w:tcBorders>
                  <w:shd w:val="clear" w:color="auto" w:fill="auto"/>
                  <w:hideMark/>
                </w:tcPr>
                <w:p w:rsidR="000129D2" w:rsidP="000129D2" w:rsidRDefault="000129D2" w14:paraId="431AAC34" w14:textId="77777777">
                  <w:pPr>
                    <w:rPr>
                      <w:color w:val="000000"/>
                      <w:sz w:val="20"/>
                      <w:szCs w:val="20"/>
                    </w:rPr>
                  </w:pPr>
                  <w:r>
                    <w:rPr>
                      <w:color w:val="000000"/>
                      <w:sz w:val="20"/>
                      <w:szCs w:val="20"/>
                    </w:rPr>
                    <w:t>Work related to developing TURN's Track 4 testimony</w:t>
                  </w:r>
                  <w:r w:rsidR="00EA446C">
                    <w:rPr>
                      <w:color w:val="000000"/>
                      <w:sz w:val="20"/>
                      <w:szCs w:val="20"/>
                    </w:rPr>
                    <w:t xml:space="preserve"> responding to SCE’s 2024 revenue requirement request</w:t>
                  </w:r>
                </w:p>
                <w:p w:rsidR="00903338" w:rsidP="000129D2" w:rsidRDefault="00903338" w14:paraId="0DD9AA4E" w14:textId="66E0661E">
                  <w:pPr>
                    <w:rPr>
                      <w:color w:val="000000"/>
                      <w:sz w:val="20"/>
                      <w:szCs w:val="20"/>
                    </w:rPr>
                  </w:pPr>
                </w:p>
              </w:tc>
              <w:tc>
                <w:tcPr>
                  <w:tcW w:w="1260" w:type="dxa"/>
                  <w:tcBorders>
                    <w:top w:val="nil"/>
                    <w:left w:val="nil"/>
                    <w:bottom w:val="single" w:color="auto" w:sz="4" w:space="0"/>
                    <w:right w:val="single" w:color="auto" w:sz="4" w:space="0"/>
                  </w:tcBorders>
                  <w:shd w:val="clear" w:color="auto" w:fill="auto"/>
                  <w:hideMark/>
                </w:tcPr>
                <w:p w:rsidR="000129D2" w:rsidP="000129D2" w:rsidRDefault="00B16D36" w14:paraId="72671FBE" w14:textId="12FBB2CD">
                  <w:pPr>
                    <w:jc w:val="right"/>
                    <w:rPr>
                      <w:color w:val="000000"/>
                      <w:sz w:val="20"/>
                      <w:szCs w:val="20"/>
                    </w:rPr>
                  </w:pPr>
                  <w:r>
                    <w:rPr>
                      <w:color w:val="000000"/>
                      <w:sz w:val="20"/>
                      <w:szCs w:val="20"/>
                    </w:rPr>
                    <w:t>49.5</w:t>
                  </w:r>
                  <w:r w:rsidR="000129D2">
                    <w:rPr>
                      <w:color w:val="000000"/>
                      <w:sz w:val="20"/>
                      <w:szCs w:val="20"/>
                    </w:rPr>
                    <w:t>%</w:t>
                  </w:r>
                </w:p>
              </w:tc>
            </w:tr>
            <w:tr w:rsidR="000129D2" w:rsidTr="000129D2" w14:paraId="67B65A17"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0129D2" w:rsidP="000129D2" w:rsidRDefault="000129D2" w14:paraId="33CB7B44" w14:textId="77777777">
                  <w:pPr>
                    <w:rPr>
                      <w:color w:val="000000"/>
                      <w:sz w:val="20"/>
                      <w:szCs w:val="20"/>
                    </w:rPr>
                  </w:pPr>
                  <w:r>
                    <w:rPr>
                      <w:color w:val="000000"/>
                      <w:sz w:val="20"/>
                      <w:szCs w:val="20"/>
                    </w:rPr>
                    <w:t>Track4-Disc</w:t>
                  </w:r>
                </w:p>
              </w:tc>
              <w:tc>
                <w:tcPr>
                  <w:tcW w:w="3820" w:type="dxa"/>
                  <w:tcBorders>
                    <w:top w:val="nil"/>
                    <w:left w:val="nil"/>
                    <w:bottom w:val="single" w:color="auto" w:sz="4" w:space="0"/>
                    <w:right w:val="single" w:color="auto" w:sz="4" w:space="0"/>
                  </w:tcBorders>
                  <w:shd w:val="clear" w:color="auto" w:fill="auto"/>
                  <w:hideMark/>
                </w:tcPr>
                <w:p w:rsidR="000129D2" w:rsidP="000129D2" w:rsidRDefault="000129D2" w14:paraId="2044A0D1" w14:textId="77777777">
                  <w:pPr>
                    <w:rPr>
                      <w:color w:val="000000"/>
                      <w:sz w:val="20"/>
                      <w:szCs w:val="20"/>
                    </w:rPr>
                  </w:pPr>
                  <w:r>
                    <w:rPr>
                      <w:color w:val="000000"/>
                      <w:sz w:val="20"/>
                      <w:szCs w:val="20"/>
                    </w:rPr>
                    <w:t>Work related to responding to discovery on TURN's Track 4 testimony</w:t>
                  </w:r>
                </w:p>
              </w:tc>
              <w:tc>
                <w:tcPr>
                  <w:tcW w:w="1260" w:type="dxa"/>
                  <w:tcBorders>
                    <w:top w:val="nil"/>
                    <w:left w:val="nil"/>
                    <w:bottom w:val="single" w:color="auto" w:sz="4" w:space="0"/>
                    <w:right w:val="single" w:color="auto" w:sz="4" w:space="0"/>
                  </w:tcBorders>
                  <w:shd w:val="clear" w:color="auto" w:fill="auto"/>
                  <w:hideMark/>
                </w:tcPr>
                <w:p w:rsidR="000129D2" w:rsidP="000129D2" w:rsidRDefault="000129D2" w14:paraId="03DA45D9" w14:textId="77777777">
                  <w:pPr>
                    <w:jc w:val="right"/>
                    <w:rPr>
                      <w:color w:val="000000"/>
                      <w:sz w:val="20"/>
                      <w:szCs w:val="20"/>
                    </w:rPr>
                  </w:pPr>
                  <w:r>
                    <w:rPr>
                      <w:color w:val="000000"/>
                      <w:sz w:val="20"/>
                      <w:szCs w:val="20"/>
                    </w:rPr>
                    <w:t>2.2%</w:t>
                  </w:r>
                </w:p>
              </w:tc>
            </w:tr>
            <w:tr w:rsidR="000129D2" w:rsidTr="000129D2" w14:paraId="29C163DA"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0129D2" w:rsidP="000129D2" w:rsidRDefault="000129D2" w14:paraId="59AB1067" w14:textId="77777777">
                  <w:pPr>
                    <w:rPr>
                      <w:color w:val="000000"/>
                      <w:sz w:val="20"/>
                      <w:szCs w:val="20"/>
                    </w:rPr>
                  </w:pPr>
                  <w:r>
                    <w:rPr>
                      <w:color w:val="000000"/>
                      <w:sz w:val="20"/>
                      <w:szCs w:val="20"/>
                    </w:rPr>
                    <w:t>Track4-Sett</w:t>
                  </w:r>
                </w:p>
              </w:tc>
              <w:tc>
                <w:tcPr>
                  <w:tcW w:w="3820" w:type="dxa"/>
                  <w:tcBorders>
                    <w:top w:val="nil"/>
                    <w:left w:val="nil"/>
                    <w:bottom w:val="single" w:color="auto" w:sz="4" w:space="0"/>
                    <w:right w:val="single" w:color="auto" w:sz="4" w:space="0"/>
                  </w:tcBorders>
                  <w:shd w:val="clear" w:color="auto" w:fill="auto"/>
                  <w:hideMark/>
                </w:tcPr>
                <w:p w:rsidR="000129D2" w:rsidP="000129D2" w:rsidRDefault="000129D2" w14:paraId="12A1166A" w14:textId="77777777">
                  <w:pPr>
                    <w:rPr>
                      <w:color w:val="000000"/>
                      <w:sz w:val="20"/>
                      <w:szCs w:val="20"/>
                    </w:rPr>
                  </w:pPr>
                  <w:r>
                    <w:rPr>
                      <w:color w:val="000000"/>
                      <w:sz w:val="20"/>
                      <w:szCs w:val="20"/>
                    </w:rPr>
                    <w:t>Work related to Track 4 settlement negotiations</w:t>
                  </w:r>
                </w:p>
              </w:tc>
              <w:tc>
                <w:tcPr>
                  <w:tcW w:w="1260" w:type="dxa"/>
                  <w:tcBorders>
                    <w:top w:val="nil"/>
                    <w:left w:val="nil"/>
                    <w:bottom w:val="single" w:color="auto" w:sz="4" w:space="0"/>
                    <w:right w:val="single" w:color="auto" w:sz="4" w:space="0"/>
                  </w:tcBorders>
                  <w:shd w:val="clear" w:color="auto" w:fill="auto"/>
                  <w:hideMark/>
                </w:tcPr>
                <w:p w:rsidR="000129D2" w:rsidP="000129D2" w:rsidRDefault="00B16D36" w14:paraId="48E58F90" w14:textId="4110DFEA">
                  <w:pPr>
                    <w:jc w:val="right"/>
                    <w:rPr>
                      <w:color w:val="000000"/>
                      <w:sz w:val="20"/>
                      <w:szCs w:val="20"/>
                    </w:rPr>
                  </w:pPr>
                  <w:r>
                    <w:rPr>
                      <w:color w:val="000000"/>
                      <w:sz w:val="20"/>
                      <w:szCs w:val="20"/>
                    </w:rPr>
                    <w:t>19.7</w:t>
                  </w:r>
                  <w:r w:rsidR="000129D2">
                    <w:rPr>
                      <w:color w:val="000000"/>
                      <w:sz w:val="20"/>
                      <w:szCs w:val="20"/>
                    </w:rPr>
                    <w:t>%</w:t>
                  </w:r>
                </w:p>
              </w:tc>
            </w:tr>
            <w:tr w:rsidR="000129D2" w:rsidTr="000129D2" w14:paraId="544C79B1" w14:textId="77777777">
              <w:trPr>
                <w:trHeight w:val="1680"/>
              </w:trPr>
              <w:tc>
                <w:tcPr>
                  <w:tcW w:w="1540" w:type="dxa"/>
                  <w:tcBorders>
                    <w:top w:val="nil"/>
                    <w:left w:val="single" w:color="auto" w:sz="4" w:space="0"/>
                    <w:bottom w:val="single" w:color="auto" w:sz="4" w:space="0"/>
                    <w:right w:val="single" w:color="auto" w:sz="4" w:space="0"/>
                  </w:tcBorders>
                  <w:shd w:val="clear" w:color="auto" w:fill="auto"/>
                  <w:hideMark/>
                </w:tcPr>
                <w:p w:rsidR="000129D2" w:rsidP="000129D2" w:rsidRDefault="000129D2" w14:paraId="7B20622E" w14:textId="77777777">
                  <w:pPr>
                    <w:rPr>
                      <w:color w:val="000000"/>
                      <w:sz w:val="20"/>
                      <w:szCs w:val="20"/>
                    </w:rPr>
                  </w:pPr>
                  <w:r>
                    <w:rPr>
                      <w:color w:val="000000"/>
                      <w:sz w:val="20"/>
                      <w:szCs w:val="20"/>
                    </w:rPr>
                    <w:t>Track4-GP</w:t>
                  </w:r>
                </w:p>
              </w:tc>
              <w:tc>
                <w:tcPr>
                  <w:tcW w:w="3820" w:type="dxa"/>
                  <w:tcBorders>
                    <w:top w:val="nil"/>
                    <w:left w:val="nil"/>
                    <w:bottom w:val="single" w:color="auto" w:sz="4" w:space="0"/>
                    <w:right w:val="single" w:color="auto" w:sz="4" w:space="0"/>
                  </w:tcBorders>
                  <w:shd w:val="clear" w:color="auto" w:fill="auto"/>
                  <w:hideMark/>
                </w:tcPr>
                <w:p w:rsidR="000129D2" w:rsidP="000129D2" w:rsidRDefault="000129D2" w14:paraId="24638390" w14:textId="7619E43D">
                  <w:pPr>
                    <w:rPr>
                      <w:color w:val="000000"/>
                      <w:sz w:val="20"/>
                      <w:szCs w:val="20"/>
                    </w:rPr>
                  </w:pPr>
                  <w:r>
                    <w:rPr>
                      <w:color w:val="000000"/>
                      <w:sz w:val="20"/>
                      <w:szCs w:val="20"/>
                    </w:rPr>
                    <w:t xml:space="preserve">General work related to Track 4, including initial review of SCE's testimony and workpapers; meetings with SCE to preview the Track 4 filings and procedural issues; reviewing ALJ rulings; attending </w:t>
                  </w:r>
                  <w:r w:rsidR="00535F36">
                    <w:rPr>
                      <w:color w:val="000000"/>
                      <w:sz w:val="20"/>
                      <w:szCs w:val="20"/>
                    </w:rPr>
                    <w:t xml:space="preserve">a </w:t>
                  </w:r>
                  <w:r>
                    <w:rPr>
                      <w:color w:val="000000"/>
                      <w:sz w:val="20"/>
                      <w:szCs w:val="20"/>
                    </w:rPr>
                    <w:t>mandatory meet and confer</w:t>
                  </w:r>
                </w:p>
              </w:tc>
              <w:tc>
                <w:tcPr>
                  <w:tcW w:w="1260" w:type="dxa"/>
                  <w:tcBorders>
                    <w:top w:val="nil"/>
                    <w:left w:val="nil"/>
                    <w:bottom w:val="single" w:color="auto" w:sz="4" w:space="0"/>
                    <w:right w:val="single" w:color="auto" w:sz="4" w:space="0"/>
                  </w:tcBorders>
                  <w:shd w:val="clear" w:color="auto" w:fill="auto"/>
                  <w:hideMark/>
                </w:tcPr>
                <w:p w:rsidR="000129D2" w:rsidP="000129D2" w:rsidRDefault="000129D2" w14:paraId="18BAE0BD" w14:textId="013C91A6">
                  <w:pPr>
                    <w:jc w:val="right"/>
                    <w:rPr>
                      <w:color w:val="000000"/>
                      <w:sz w:val="20"/>
                      <w:szCs w:val="20"/>
                    </w:rPr>
                  </w:pPr>
                  <w:r>
                    <w:rPr>
                      <w:color w:val="000000"/>
                      <w:sz w:val="20"/>
                      <w:szCs w:val="20"/>
                    </w:rPr>
                    <w:t>4.</w:t>
                  </w:r>
                  <w:r w:rsidR="00B16D36">
                    <w:rPr>
                      <w:color w:val="000000"/>
                      <w:sz w:val="20"/>
                      <w:szCs w:val="20"/>
                    </w:rPr>
                    <w:t>2</w:t>
                  </w:r>
                  <w:r>
                    <w:rPr>
                      <w:color w:val="000000"/>
                      <w:sz w:val="20"/>
                      <w:szCs w:val="20"/>
                    </w:rPr>
                    <w:t>%</w:t>
                  </w:r>
                </w:p>
              </w:tc>
            </w:tr>
            <w:tr w:rsidR="000129D2" w:rsidTr="000129D2" w14:paraId="0FA75995" w14:textId="77777777">
              <w:trPr>
                <w:trHeight w:val="840"/>
              </w:trPr>
              <w:tc>
                <w:tcPr>
                  <w:tcW w:w="1540" w:type="dxa"/>
                  <w:tcBorders>
                    <w:top w:val="nil"/>
                    <w:left w:val="single" w:color="auto" w:sz="4" w:space="0"/>
                    <w:bottom w:val="nil"/>
                    <w:right w:val="single" w:color="auto" w:sz="4" w:space="0"/>
                  </w:tcBorders>
                  <w:shd w:val="clear" w:color="auto" w:fill="auto"/>
                  <w:hideMark/>
                </w:tcPr>
                <w:p w:rsidR="000129D2" w:rsidP="000129D2" w:rsidRDefault="000129D2" w14:paraId="14E55CA3" w14:textId="77777777">
                  <w:pPr>
                    <w:rPr>
                      <w:color w:val="000000"/>
                      <w:sz w:val="20"/>
                      <w:szCs w:val="20"/>
                    </w:rPr>
                  </w:pPr>
                  <w:r>
                    <w:rPr>
                      <w:color w:val="000000"/>
                      <w:sz w:val="20"/>
                      <w:szCs w:val="20"/>
                    </w:rPr>
                    <w:t>Ins</w:t>
                  </w:r>
                </w:p>
              </w:tc>
              <w:tc>
                <w:tcPr>
                  <w:tcW w:w="3820" w:type="dxa"/>
                  <w:tcBorders>
                    <w:top w:val="nil"/>
                    <w:left w:val="nil"/>
                    <w:bottom w:val="nil"/>
                    <w:right w:val="single" w:color="auto" w:sz="4" w:space="0"/>
                  </w:tcBorders>
                  <w:shd w:val="clear" w:color="auto" w:fill="auto"/>
                  <w:hideMark/>
                </w:tcPr>
                <w:p w:rsidR="000129D2" w:rsidP="000129D2" w:rsidRDefault="000129D2" w14:paraId="3E1F8AD1" w14:textId="77777777">
                  <w:pPr>
                    <w:rPr>
                      <w:color w:val="000000"/>
                      <w:sz w:val="20"/>
                      <w:szCs w:val="20"/>
                    </w:rPr>
                  </w:pPr>
                  <w:r>
                    <w:rPr>
                      <w:color w:val="000000"/>
                      <w:sz w:val="20"/>
                      <w:szCs w:val="20"/>
                    </w:rPr>
                    <w:t>Work related to the settlement agreement  and PFM of D.21-08-036 on wildfire liability insurance</w:t>
                  </w:r>
                </w:p>
              </w:tc>
              <w:tc>
                <w:tcPr>
                  <w:tcW w:w="1260" w:type="dxa"/>
                  <w:tcBorders>
                    <w:top w:val="nil"/>
                    <w:left w:val="nil"/>
                    <w:bottom w:val="nil"/>
                    <w:right w:val="single" w:color="auto" w:sz="4" w:space="0"/>
                  </w:tcBorders>
                  <w:shd w:val="clear" w:color="auto" w:fill="auto"/>
                  <w:hideMark/>
                </w:tcPr>
                <w:p w:rsidR="000129D2" w:rsidP="000129D2" w:rsidRDefault="000129D2" w14:paraId="5B1D5734" w14:textId="6C3DB34F">
                  <w:pPr>
                    <w:jc w:val="right"/>
                    <w:rPr>
                      <w:color w:val="000000"/>
                      <w:sz w:val="20"/>
                      <w:szCs w:val="20"/>
                    </w:rPr>
                  </w:pPr>
                  <w:r>
                    <w:rPr>
                      <w:color w:val="000000"/>
                      <w:sz w:val="20"/>
                      <w:szCs w:val="20"/>
                    </w:rPr>
                    <w:t>18.</w:t>
                  </w:r>
                  <w:r w:rsidR="00B16D36">
                    <w:rPr>
                      <w:color w:val="000000"/>
                      <w:sz w:val="20"/>
                      <w:szCs w:val="20"/>
                    </w:rPr>
                    <w:t>1</w:t>
                  </w:r>
                  <w:r>
                    <w:rPr>
                      <w:color w:val="000000"/>
                      <w:sz w:val="20"/>
                      <w:szCs w:val="20"/>
                    </w:rPr>
                    <w:t>%</w:t>
                  </w:r>
                </w:p>
              </w:tc>
            </w:tr>
            <w:tr w:rsidR="000129D2" w:rsidTr="000129D2" w14:paraId="7E25D1AA" w14:textId="77777777">
              <w:trPr>
                <w:trHeight w:val="560"/>
              </w:trPr>
              <w:tc>
                <w:tcPr>
                  <w:tcW w:w="1540" w:type="dxa"/>
                  <w:tcBorders>
                    <w:top w:val="single" w:color="auto" w:sz="4" w:space="0"/>
                    <w:left w:val="single" w:color="auto" w:sz="4" w:space="0"/>
                    <w:bottom w:val="nil"/>
                    <w:right w:val="single" w:color="auto" w:sz="4" w:space="0"/>
                  </w:tcBorders>
                  <w:shd w:val="clear" w:color="auto" w:fill="auto"/>
                  <w:hideMark/>
                </w:tcPr>
                <w:p w:rsidR="000129D2" w:rsidP="000129D2" w:rsidRDefault="000129D2" w14:paraId="22246DFD" w14:textId="77777777">
                  <w:pPr>
                    <w:rPr>
                      <w:color w:val="000000"/>
                      <w:sz w:val="20"/>
                      <w:szCs w:val="20"/>
                    </w:rPr>
                  </w:pPr>
                  <w:r>
                    <w:rPr>
                      <w:color w:val="000000"/>
                      <w:sz w:val="20"/>
                      <w:szCs w:val="20"/>
                    </w:rPr>
                    <w:t>Comp</w:t>
                  </w:r>
                </w:p>
              </w:tc>
              <w:tc>
                <w:tcPr>
                  <w:tcW w:w="3820" w:type="dxa"/>
                  <w:tcBorders>
                    <w:top w:val="single" w:color="auto" w:sz="4" w:space="0"/>
                    <w:left w:val="nil"/>
                    <w:bottom w:val="nil"/>
                    <w:right w:val="single" w:color="auto" w:sz="4" w:space="0"/>
                  </w:tcBorders>
                  <w:shd w:val="clear" w:color="auto" w:fill="auto"/>
                  <w:hideMark/>
                </w:tcPr>
                <w:p w:rsidR="000129D2" w:rsidP="000129D2" w:rsidRDefault="000129D2" w14:paraId="6A9C59F9" w14:textId="77777777">
                  <w:pPr>
                    <w:rPr>
                      <w:color w:val="000000"/>
                      <w:sz w:val="20"/>
                      <w:szCs w:val="20"/>
                    </w:rPr>
                  </w:pPr>
                  <w:r>
                    <w:rPr>
                      <w:color w:val="000000"/>
                      <w:sz w:val="20"/>
                      <w:szCs w:val="20"/>
                    </w:rPr>
                    <w:t>Work preparing TURN's request for intervenor compensation</w:t>
                  </w:r>
                </w:p>
              </w:tc>
              <w:tc>
                <w:tcPr>
                  <w:tcW w:w="1260" w:type="dxa"/>
                  <w:tcBorders>
                    <w:top w:val="single" w:color="auto" w:sz="4" w:space="0"/>
                    <w:left w:val="nil"/>
                    <w:bottom w:val="nil"/>
                    <w:right w:val="single" w:color="auto" w:sz="4" w:space="0"/>
                  </w:tcBorders>
                  <w:shd w:val="clear" w:color="auto" w:fill="auto"/>
                  <w:hideMark/>
                </w:tcPr>
                <w:p w:rsidR="000129D2" w:rsidP="000129D2" w:rsidRDefault="00B16D36" w14:paraId="0B34A836" w14:textId="559035B0">
                  <w:pPr>
                    <w:jc w:val="right"/>
                    <w:rPr>
                      <w:color w:val="000000"/>
                      <w:sz w:val="20"/>
                      <w:szCs w:val="20"/>
                    </w:rPr>
                  </w:pPr>
                  <w:r>
                    <w:rPr>
                      <w:color w:val="000000"/>
                      <w:sz w:val="20"/>
                      <w:szCs w:val="20"/>
                    </w:rPr>
                    <w:t>6.2</w:t>
                  </w:r>
                  <w:r w:rsidR="000129D2">
                    <w:rPr>
                      <w:color w:val="000000"/>
                      <w:sz w:val="20"/>
                      <w:szCs w:val="20"/>
                    </w:rPr>
                    <w:t>%</w:t>
                  </w:r>
                </w:p>
              </w:tc>
            </w:tr>
            <w:tr w:rsidR="000129D2" w:rsidTr="000129D2" w14:paraId="747ABB2B" w14:textId="77777777">
              <w:trPr>
                <w:trHeight w:val="280"/>
              </w:trPr>
              <w:tc>
                <w:tcPr>
                  <w:tcW w:w="1540" w:type="dxa"/>
                  <w:tcBorders>
                    <w:top w:val="single" w:color="auto" w:sz="4" w:space="0"/>
                    <w:left w:val="single" w:color="auto" w:sz="4" w:space="0"/>
                    <w:bottom w:val="single" w:color="auto" w:sz="4" w:space="0"/>
                    <w:right w:val="single" w:color="auto" w:sz="4" w:space="0"/>
                  </w:tcBorders>
                  <w:shd w:val="clear" w:color="auto" w:fill="auto"/>
                  <w:hideMark/>
                </w:tcPr>
                <w:p w:rsidR="000129D2" w:rsidP="000129D2" w:rsidRDefault="000129D2" w14:paraId="0BE973DA" w14:textId="77777777">
                  <w:pPr>
                    <w:rPr>
                      <w:b/>
                      <w:bCs/>
                      <w:color w:val="000000"/>
                      <w:sz w:val="20"/>
                      <w:szCs w:val="20"/>
                    </w:rPr>
                  </w:pPr>
                  <w:r>
                    <w:rPr>
                      <w:b/>
                      <w:bCs/>
                      <w:color w:val="000000"/>
                      <w:sz w:val="20"/>
                      <w:szCs w:val="20"/>
                    </w:rPr>
                    <w:t>TOTAL</w:t>
                  </w:r>
                </w:p>
              </w:tc>
              <w:tc>
                <w:tcPr>
                  <w:tcW w:w="3820" w:type="dxa"/>
                  <w:tcBorders>
                    <w:top w:val="single" w:color="auto" w:sz="4" w:space="0"/>
                    <w:left w:val="nil"/>
                    <w:bottom w:val="single" w:color="auto" w:sz="4" w:space="0"/>
                    <w:right w:val="single" w:color="auto" w:sz="4" w:space="0"/>
                  </w:tcBorders>
                  <w:shd w:val="clear" w:color="auto" w:fill="auto"/>
                  <w:hideMark/>
                </w:tcPr>
                <w:p w:rsidR="000129D2" w:rsidP="000129D2" w:rsidRDefault="000129D2" w14:paraId="160E26DF" w14:textId="77777777">
                  <w:pPr>
                    <w:rPr>
                      <w:b/>
                      <w:bCs/>
                      <w:color w:val="000000"/>
                      <w:sz w:val="20"/>
                      <w:szCs w:val="20"/>
                    </w:rPr>
                  </w:pPr>
                  <w:r>
                    <w:rPr>
                      <w:b/>
                      <w:bCs/>
                      <w:color w:val="000000"/>
                      <w:sz w:val="20"/>
                      <w:szCs w:val="20"/>
                    </w:rPr>
                    <w:t> </w:t>
                  </w:r>
                </w:p>
              </w:tc>
              <w:tc>
                <w:tcPr>
                  <w:tcW w:w="1260" w:type="dxa"/>
                  <w:tcBorders>
                    <w:top w:val="single" w:color="auto" w:sz="4" w:space="0"/>
                    <w:left w:val="nil"/>
                    <w:bottom w:val="single" w:color="auto" w:sz="4" w:space="0"/>
                    <w:right w:val="single" w:color="auto" w:sz="4" w:space="0"/>
                  </w:tcBorders>
                  <w:shd w:val="clear" w:color="auto" w:fill="auto"/>
                  <w:hideMark/>
                </w:tcPr>
                <w:p w:rsidR="000129D2" w:rsidP="000129D2" w:rsidRDefault="000129D2" w14:paraId="37F60716" w14:textId="77777777">
                  <w:pPr>
                    <w:jc w:val="right"/>
                    <w:rPr>
                      <w:b/>
                      <w:bCs/>
                      <w:color w:val="000000"/>
                      <w:sz w:val="20"/>
                      <w:szCs w:val="20"/>
                    </w:rPr>
                  </w:pPr>
                  <w:r>
                    <w:rPr>
                      <w:b/>
                      <w:bCs/>
                      <w:color w:val="000000"/>
                      <w:sz w:val="20"/>
                      <w:szCs w:val="20"/>
                    </w:rPr>
                    <w:t>100%</w:t>
                  </w:r>
                </w:p>
              </w:tc>
            </w:tr>
          </w:tbl>
          <w:p w:rsidR="00691528" w:rsidP="00EC6387" w:rsidRDefault="00691528" w14:paraId="74010537" w14:textId="77777777">
            <w:pPr>
              <w:rPr>
                <w:color w:val="000000"/>
              </w:rPr>
            </w:pPr>
          </w:p>
          <w:p w:rsidRPr="006F2565" w:rsidR="000129D2" w:rsidP="000129D2" w:rsidRDefault="000129D2" w14:paraId="6631F4E2" w14:textId="77777777">
            <w:pPr>
              <w:autoSpaceDE w:val="0"/>
              <w:autoSpaceDN w:val="0"/>
              <w:adjustRightInd w:val="0"/>
            </w:pPr>
            <w:r w:rsidRPr="006F2565">
              <w:t>If the Commission believes that a different approach to issue-specific allocation is</w:t>
            </w:r>
            <w:r>
              <w:t xml:space="preserve"> </w:t>
            </w:r>
            <w:r w:rsidRPr="006F2565">
              <w:t>warranted here, TURN requests the opportunity to supplement this section of the</w:t>
            </w:r>
            <w:r>
              <w:t xml:space="preserve"> </w:t>
            </w:r>
            <w:r w:rsidRPr="006F2565">
              <w:t>request.</w:t>
            </w:r>
          </w:p>
          <w:p w:rsidRPr="003D4455" w:rsidR="000129D2" w:rsidP="00EC6387" w:rsidRDefault="000129D2" w14:paraId="3285939A" w14:textId="77777777">
            <w:pPr>
              <w:rPr>
                <w:color w:val="000000"/>
              </w:rPr>
            </w:pPr>
          </w:p>
        </w:tc>
        <w:tc>
          <w:tcPr>
            <w:tcW w:w="2093" w:type="dxa"/>
            <w:shd w:val="clear" w:color="auto" w:fill="auto"/>
          </w:tcPr>
          <w:p w:rsidRPr="007F620E" w:rsidR="00FE3BAE" w:rsidP="003914A3" w:rsidRDefault="003914A3" w14:paraId="497C4799" w14:textId="5AE68A6F">
            <w:pPr>
              <w:jc w:val="center"/>
              <w:rPr>
                <w:color w:val="000000"/>
              </w:rPr>
            </w:pPr>
            <w:r>
              <w:rPr>
                <w:color w:val="000000"/>
              </w:rPr>
              <w:lastRenderedPageBreak/>
              <w:t>Noted</w:t>
            </w:r>
            <w:r w:rsidR="003E4AB9">
              <w:rPr>
                <w:color w:val="000000"/>
              </w:rPr>
              <w:t>; totals 99.9</w:t>
            </w:r>
            <w:r w:rsidR="000D71D3">
              <w:rPr>
                <w:color w:val="000000"/>
              </w:rPr>
              <w:t>0</w:t>
            </w:r>
            <w:r w:rsidR="003E4AB9">
              <w:rPr>
                <w:color w:val="000000"/>
              </w:rPr>
              <w:t>%</w:t>
            </w:r>
            <w:r w:rsidR="002F4F7F">
              <w:rPr>
                <w:color w:val="000000"/>
              </w:rPr>
              <w:t>.</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t>Specific Claim</w:t>
      </w:r>
      <w:r w:rsidR="00C02649">
        <w:rPr>
          <w:b/>
          <w:color w:val="000000"/>
        </w:rPr>
        <w:t>:</w:t>
      </w:r>
      <w:r w:rsidRPr="007F620E" w:rsidR="00D075B1">
        <w:rPr>
          <w:b/>
          <w:color w:val="000000"/>
        </w:rPr>
        <w:t>*</w:t>
      </w:r>
    </w:p>
    <w:tbl>
      <w:tblPr>
        <w:tblW w:w="11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95"/>
        <w:gridCol w:w="720"/>
        <w:gridCol w:w="177"/>
        <w:gridCol w:w="723"/>
        <w:gridCol w:w="1080"/>
        <w:gridCol w:w="106"/>
        <w:gridCol w:w="1334"/>
        <w:gridCol w:w="957"/>
        <w:gridCol w:w="286"/>
        <w:gridCol w:w="955"/>
        <w:gridCol w:w="1132"/>
        <w:gridCol w:w="2065"/>
        <w:gridCol w:w="12"/>
      </w:tblGrid>
      <w:tr w:rsidRPr="007F620E" w:rsidR="00A92D0B" w:rsidTr="000B0858" w14:paraId="780664A2" w14:textId="77777777">
        <w:trPr>
          <w:tblHeader/>
          <w:jc w:val="center"/>
        </w:trPr>
        <w:tc>
          <w:tcPr>
            <w:tcW w:w="7178" w:type="dxa"/>
            <w:gridSpan w:val="9"/>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4164" w:type="dxa"/>
            <w:gridSpan w:val="4"/>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0B0858" w14:paraId="0F5B6CAA" w14:textId="77777777">
        <w:trPr>
          <w:jc w:val="center"/>
        </w:trPr>
        <w:tc>
          <w:tcPr>
            <w:tcW w:w="11342" w:type="dxa"/>
            <w:gridSpan w:val="13"/>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046D0F" w14:paraId="5A70C962" w14:textId="77777777">
        <w:trPr>
          <w:gridAfter w:val="1"/>
          <w:wAfter w:w="12" w:type="dxa"/>
          <w:jc w:val="center"/>
        </w:trPr>
        <w:tc>
          <w:tcPr>
            <w:tcW w:w="1795"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900"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440"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32"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2065"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CF070F" w:rsidTr="00046D0F" w14:paraId="62E8A168" w14:textId="77777777">
        <w:trPr>
          <w:gridAfter w:val="1"/>
          <w:wAfter w:w="12" w:type="dxa"/>
          <w:jc w:val="center"/>
        </w:trPr>
        <w:tc>
          <w:tcPr>
            <w:tcW w:w="1795" w:type="dxa"/>
            <w:shd w:val="clear" w:color="auto" w:fill="auto"/>
            <w:vAlign w:val="bottom"/>
          </w:tcPr>
          <w:p w:rsidRPr="00046D0F" w:rsidR="00CF070F" w:rsidP="00CF070F" w:rsidRDefault="00CF070F" w14:paraId="33EA8B38" w14:textId="15C44D95">
            <w:pPr>
              <w:spacing w:before="60" w:after="60"/>
              <w:rPr>
                <w:color w:val="000000"/>
              </w:rPr>
            </w:pPr>
            <w:r w:rsidRPr="00046D0F">
              <w:rPr>
                <w:color w:val="000000"/>
              </w:rPr>
              <w:t xml:space="preserve">Hayley Goodson, </w:t>
            </w:r>
            <w:r w:rsidRPr="00046D0F">
              <w:rPr>
                <w:color w:val="000000"/>
              </w:rPr>
              <w:br/>
              <w:t>TURN Attorney</w:t>
            </w:r>
          </w:p>
        </w:tc>
        <w:tc>
          <w:tcPr>
            <w:tcW w:w="720" w:type="dxa"/>
            <w:shd w:val="clear" w:color="auto" w:fill="auto"/>
            <w:vAlign w:val="bottom"/>
          </w:tcPr>
          <w:p w:rsidRPr="00046D0F" w:rsidR="00CF070F" w:rsidP="00CF070F" w:rsidRDefault="00CF070F" w14:paraId="47EBBC49" w14:textId="26E0FDC2">
            <w:pPr>
              <w:spacing w:before="60" w:after="60"/>
              <w:jc w:val="center"/>
              <w:rPr>
                <w:color w:val="000000"/>
              </w:rPr>
            </w:pPr>
            <w:r w:rsidRPr="00046D0F">
              <w:rPr>
                <w:color w:val="000000"/>
              </w:rPr>
              <w:t>2022</w:t>
            </w:r>
          </w:p>
        </w:tc>
        <w:tc>
          <w:tcPr>
            <w:tcW w:w="900" w:type="dxa"/>
            <w:gridSpan w:val="2"/>
            <w:shd w:val="clear" w:color="auto" w:fill="auto"/>
            <w:vAlign w:val="bottom"/>
          </w:tcPr>
          <w:p w:rsidRPr="00046D0F" w:rsidR="00CF070F" w:rsidP="00CF070F" w:rsidRDefault="00CF070F" w14:paraId="39A3074C" w14:textId="2073D0E6">
            <w:pPr>
              <w:spacing w:before="60" w:after="60"/>
              <w:jc w:val="center"/>
              <w:rPr>
                <w:color w:val="000000"/>
              </w:rPr>
            </w:pPr>
            <w:r w:rsidRPr="00046D0F">
              <w:rPr>
                <w:color w:val="000000"/>
              </w:rPr>
              <w:t xml:space="preserve">            1.50 </w:t>
            </w:r>
          </w:p>
        </w:tc>
        <w:tc>
          <w:tcPr>
            <w:tcW w:w="1080" w:type="dxa"/>
            <w:shd w:val="clear" w:color="auto" w:fill="auto"/>
            <w:vAlign w:val="bottom"/>
          </w:tcPr>
          <w:p w:rsidRPr="00046D0F" w:rsidR="00CF070F" w:rsidP="00CF070F" w:rsidRDefault="00CF070F" w14:paraId="3E5BD317" w14:textId="1621BDBB">
            <w:pPr>
              <w:spacing w:before="60" w:after="60"/>
              <w:jc w:val="right"/>
              <w:rPr>
                <w:color w:val="000000"/>
              </w:rPr>
            </w:pPr>
            <w:r w:rsidRPr="00046D0F">
              <w:rPr>
                <w:color w:val="000000"/>
              </w:rPr>
              <w:t>$570.00</w:t>
            </w:r>
          </w:p>
        </w:tc>
        <w:tc>
          <w:tcPr>
            <w:tcW w:w="1440" w:type="dxa"/>
            <w:gridSpan w:val="2"/>
            <w:tcBorders>
              <w:right w:val="single" w:color="auto" w:sz="4" w:space="0"/>
            </w:tcBorders>
            <w:shd w:val="clear" w:color="auto" w:fill="auto"/>
            <w:vAlign w:val="bottom"/>
          </w:tcPr>
          <w:p w:rsidRPr="00046D0F" w:rsidR="00CF070F" w:rsidP="00CF070F" w:rsidRDefault="00CF070F" w14:paraId="63BDE315" w14:textId="27786EED">
            <w:pPr>
              <w:spacing w:before="60" w:after="60"/>
              <w:rPr>
                <w:color w:val="000000"/>
              </w:rPr>
            </w:pPr>
            <w:r w:rsidRPr="00046D0F">
              <w:rPr>
                <w:color w:val="000000"/>
              </w:rPr>
              <w:t>D.23-01-015</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6D0F" w:rsidR="00CF070F" w:rsidP="00CF070F" w:rsidRDefault="00CF070F" w14:paraId="06BD92A5" w14:textId="52443238">
            <w:pPr>
              <w:spacing w:before="60" w:after="60"/>
              <w:jc w:val="right"/>
              <w:rPr>
                <w:color w:val="000000"/>
              </w:rPr>
            </w:pPr>
            <w:r w:rsidRPr="00046D0F">
              <w:rPr>
                <w:color w:val="000000"/>
              </w:rPr>
              <w:t>$855.00</w:t>
            </w:r>
          </w:p>
        </w:tc>
        <w:tc>
          <w:tcPr>
            <w:tcW w:w="955" w:type="dxa"/>
            <w:tcBorders>
              <w:left w:val="single" w:color="auto" w:sz="4" w:space="0"/>
            </w:tcBorders>
            <w:shd w:val="clear" w:color="auto" w:fill="auto"/>
            <w:vAlign w:val="center"/>
          </w:tcPr>
          <w:p w:rsidRPr="00A97185" w:rsidR="005E6104" w:rsidP="00F93782" w:rsidRDefault="004F0274" w14:paraId="31AF7AA4" w14:textId="288C34B5">
            <w:pPr>
              <w:spacing w:before="60" w:after="60"/>
              <w:jc w:val="center"/>
              <w:rPr>
                <w:color w:val="000000"/>
              </w:rPr>
            </w:pPr>
            <w:r w:rsidRPr="00A97185">
              <w:t>1.</w:t>
            </w:r>
            <w:r w:rsidR="00F93782">
              <w:t>50</w:t>
            </w:r>
          </w:p>
        </w:tc>
        <w:tc>
          <w:tcPr>
            <w:tcW w:w="1132" w:type="dxa"/>
            <w:shd w:val="clear" w:color="auto" w:fill="auto"/>
            <w:vAlign w:val="center"/>
          </w:tcPr>
          <w:p w:rsidR="00552949" w:rsidP="00CA7A45" w:rsidRDefault="00552949" w14:paraId="350C5D06" w14:textId="77777777">
            <w:pPr>
              <w:spacing w:before="60" w:after="60"/>
              <w:jc w:val="center"/>
              <w:rPr>
                <w:color w:val="000000"/>
              </w:rPr>
            </w:pPr>
          </w:p>
          <w:p w:rsidRPr="00A97185" w:rsidR="00CF070F" w:rsidP="00CA7A45" w:rsidRDefault="00CF070F" w14:paraId="7C1597D8" w14:textId="46C60075">
            <w:pPr>
              <w:spacing w:before="60" w:after="60"/>
              <w:jc w:val="center"/>
              <w:rPr>
                <w:color w:val="000000"/>
              </w:rPr>
            </w:pPr>
            <w:r w:rsidRPr="00A97185">
              <w:rPr>
                <w:color w:val="000000"/>
              </w:rPr>
              <w:t>$570.00</w:t>
            </w:r>
          </w:p>
          <w:p w:rsidRPr="00A97185" w:rsidR="00114410" w:rsidP="00CA7A45" w:rsidRDefault="00114410" w14:paraId="3400AFFC" w14:textId="7D946C0A">
            <w:pPr>
              <w:spacing w:before="60" w:after="60"/>
              <w:jc w:val="center"/>
              <w:rPr>
                <w:color w:val="000000"/>
              </w:rPr>
            </w:pPr>
          </w:p>
        </w:tc>
        <w:tc>
          <w:tcPr>
            <w:tcW w:w="2065" w:type="dxa"/>
            <w:shd w:val="clear" w:color="auto" w:fill="auto"/>
            <w:vAlign w:val="center"/>
          </w:tcPr>
          <w:p w:rsidRPr="00A97185" w:rsidR="00CF070F" w:rsidP="00CA7A45" w:rsidRDefault="009E3D55" w14:paraId="196C1830" w14:textId="33FD9D97">
            <w:pPr>
              <w:spacing w:before="60" w:after="60"/>
              <w:jc w:val="center"/>
              <w:rPr>
                <w:color w:val="000000"/>
              </w:rPr>
            </w:pPr>
            <w:r w:rsidRPr="00A97185">
              <w:rPr>
                <w:color w:val="000000"/>
              </w:rPr>
              <w:t>$</w:t>
            </w:r>
            <w:r w:rsidR="00F93782">
              <w:rPr>
                <w:color w:val="000000"/>
              </w:rPr>
              <w:t>855.00</w:t>
            </w:r>
          </w:p>
        </w:tc>
      </w:tr>
      <w:tr w:rsidRPr="007F620E" w:rsidR="00CF070F" w:rsidTr="00046D0F" w14:paraId="5BF6A154" w14:textId="77777777">
        <w:trPr>
          <w:gridAfter w:val="1"/>
          <w:wAfter w:w="12" w:type="dxa"/>
          <w:jc w:val="center"/>
        </w:trPr>
        <w:tc>
          <w:tcPr>
            <w:tcW w:w="1795" w:type="dxa"/>
            <w:shd w:val="clear" w:color="auto" w:fill="auto"/>
            <w:vAlign w:val="bottom"/>
          </w:tcPr>
          <w:p w:rsidRPr="00046D0F" w:rsidR="00CF070F" w:rsidP="00CF070F" w:rsidRDefault="00CF070F" w14:paraId="118506EC" w14:textId="32D041EF">
            <w:pPr>
              <w:spacing w:before="60" w:after="60"/>
              <w:rPr>
                <w:color w:val="000000"/>
              </w:rPr>
            </w:pPr>
            <w:r w:rsidRPr="00046D0F">
              <w:rPr>
                <w:color w:val="000000"/>
              </w:rPr>
              <w:lastRenderedPageBreak/>
              <w:t xml:space="preserve">Hayley Goodson, </w:t>
            </w:r>
            <w:r w:rsidRPr="00046D0F">
              <w:rPr>
                <w:color w:val="000000"/>
              </w:rPr>
              <w:br/>
              <w:t>TURN Attorney</w:t>
            </w:r>
          </w:p>
        </w:tc>
        <w:tc>
          <w:tcPr>
            <w:tcW w:w="720" w:type="dxa"/>
            <w:shd w:val="clear" w:color="auto" w:fill="auto"/>
            <w:vAlign w:val="bottom"/>
          </w:tcPr>
          <w:p w:rsidRPr="00046D0F" w:rsidR="00CF070F" w:rsidP="00CF070F" w:rsidRDefault="00CF070F" w14:paraId="3767540B" w14:textId="75C1640A">
            <w:pPr>
              <w:spacing w:before="60" w:after="60"/>
              <w:jc w:val="center"/>
              <w:rPr>
                <w:color w:val="000000"/>
              </w:rPr>
            </w:pPr>
            <w:r w:rsidRPr="00046D0F">
              <w:rPr>
                <w:color w:val="000000"/>
              </w:rPr>
              <w:t>2023</w:t>
            </w:r>
          </w:p>
        </w:tc>
        <w:tc>
          <w:tcPr>
            <w:tcW w:w="900" w:type="dxa"/>
            <w:gridSpan w:val="2"/>
            <w:shd w:val="clear" w:color="auto" w:fill="auto"/>
            <w:vAlign w:val="bottom"/>
          </w:tcPr>
          <w:p w:rsidRPr="00046D0F" w:rsidR="00CF070F" w:rsidP="00CF070F" w:rsidRDefault="00CF070F" w14:paraId="120FE857" w14:textId="1727D197">
            <w:pPr>
              <w:spacing w:before="60" w:after="60"/>
              <w:jc w:val="center"/>
              <w:rPr>
                <w:color w:val="000000"/>
              </w:rPr>
            </w:pPr>
            <w:r w:rsidRPr="00046D0F">
              <w:rPr>
                <w:color w:val="000000"/>
              </w:rPr>
              <w:t xml:space="preserve">      107.25 </w:t>
            </w:r>
          </w:p>
        </w:tc>
        <w:tc>
          <w:tcPr>
            <w:tcW w:w="1080" w:type="dxa"/>
            <w:shd w:val="clear" w:color="auto" w:fill="auto"/>
            <w:vAlign w:val="bottom"/>
          </w:tcPr>
          <w:p w:rsidRPr="00046D0F" w:rsidR="00CF070F" w:rsidP="00CF070F" w:rsidRDefault="00CF070F" w14:paraId="075109E1" w14:textId="6DA04E5E">
            <w:pPr>
              <w:spacing w:before="60" w:after="60"/>
              <w:jc w:val="right"/>
              <w:rPr>
                <w:color w:val="000000"/>
              </w:rPr>
            </w:pPr>
            <w:r w:rsidRPr="00046D0F">
              <w:rPr>
                <w:color w:val="000000"/>
              </w:rPr>
              <w:t>$625.00</w:t>
            </w:r>
          </w:p>
        </w:tc>
        <w:tc>
          <w:tcPr>
            <w:tcW w:w="1440" w:type="dxa"/>
            <w:gridSpan w:val="2"/>
            <w:tcBorders>
              <w:right w:val="single" w:color="auto" w:sz="4" w:space="0"/>
            </w:tcBorders>
            <w:shd w:val="clear" w:color="auto" w:fill="auto"/>
            <w:vAlign w:val="bottom"/>
          </w:tcPr>
          <w:p w:rsidRPr="00046D0F" w:rsidR="00CF070F" w:rsidP="00CF070F" w:rsidRDefault="00CF070F" w14:paraId="4AF4C006" w14:textId="39EB550C">
            <w:pPr>
              <w:spacing w:before="60" w:after="60"/>
              <w:rPr>
                <w:color w:val="000000"/>
              </w:rPr>
            </w:pPr>
            <w:r w:rsidRPr="00046D0F">
              <w:rPr>
                <w:color w:val="000000"/>
              </w:rPr>
              <w:t>See Comment #1 - Res. ALJ-393, 2022 Rate + 4.5% COLA, 5% step increase</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6D0F" w:rsidR="00CF070F" w:rsidP="00CF070F" w:rsidRDefault="00CF070F" w14:paraId="2A77845E" w14:textId="142A9297">
            <w:pPr>
              <w:spacing w:before="60" w:after="60"/>
              <w:jc w:val="right"/>
              <w:rPr>
                <w:color w:val="000000"/>
              </w:rPr>
            </w:pPr>
            <w:r w:rsidRPr="00046D0F">
              <w:rPr>
                <w:color w:val="000000"/>
              </w:rPr>
              <w:t>$67,031.25</w:t>
            </w:r>
          </w:p>
        </w:tc>
        <w:tc>
          <w:tcPr>
            <w:tcW w:w="955" w:type="dxa"/>
            <w:tcBorders>
              <w:left w:val="single" w:color="auto" w:sz="4" w:space="0"/>
            </w:tcBorders>
            <w:shd w:val="clear" w:color="auto" w:fill="auto"/>
            <w:vAlign w:val="center"/>
          </w:tcPr>
          <w:p w:rsidRPr="00A97185" w:rsidR="00CF070F" w:rsidP="00CA7A45" w:rsidRDefault="00CF070F" w14:paraId="390F676E" w14:textId="504F4835">
            <w:pPr>
              <w:spacing w:before="60" w:after="60"/>
              <w:jc w:val="center"/>
            </w:pPr>
          </w:p>
          <w:p w:rsidR="00552949" w:rsidP="00CA7A45" w:rsidRDefault="00552949" w14:paraId="1163C3D7" w14:textId="77777777">
            <w:pPr>
              <w:spacing w:before="60" w:after="60"/>
              <w:jc w:val="center"/>
            </w:pPr>
          </w:p>
          <w:p w:rsidRPr="00A97185" w:rsidR="005E6104" w:rsidP="00CA7A45" w:rsidRDefault="008608D2" w14:paraId="09F37A0C" w14:textId="54A32232">
            <w:pPr>
              <w:spacing w:before="60" w:after="60"/>
              <w:jc w:val="center"/>
            </w:pPr>
            <w:r>
              <w:t>106.25</w:t>
            </w:r>
            <w:r w:rsidRPr="00A97185" w:rsidR="00647C7F">
              <w:t xml:space="preserve"> [</w:t>
            </w:r>
            <w:r w:rsidR="005724D0">
              <w:t>5</w:t>
            </w:r>
            <w:r w:rsidRPr="00A97185" w:rsidR="00647C7F">
              <w:t>]</w:t>
            </w:r>
          </w:p>
          <w:p w:rsidRPr="00A97185" w:rsidR="00D14286" w:rsidP="00CA7A45" w:rsidRDefault="00D14286" w14:paraId="461DC9FD" w14:textId="7ED5009D">
            <w:pPr>
              <w:spacing w:before="60" w:after="60"/>
              <w:jc w:val="center"/>
              <w:rPr>
                <w:color w:val="000000"/>
              </w:rPr>
            </w:pPr>
          </w:p>
        </w:tc>
        <w:tc>
          <w:tcPr>
            <w:tcW w:w="1132" w:type="dxa"/>
            <w:shd w:val="clear" w:color="auto" w:fill="auto"/>
            <w:vAlign w:val="center"/>
          </w:tcPr>
          <w:p w:rsidR="00552949" w:rsidP="00CA7A45" w:rsidRDefault="00552949" w14:paraId="2B0AD646" w14:textId="77777777">
            <w:pPr>
              <w:spacing w:before="60" w:after="60"/>
              <w:jc w:val="center"/>
              <w:rPr>
                <w:color w:val="000000"/>
              </w:rPr>
            </w:pPr>
          </w:p>
          <w:p w:rsidRPr="00A97185" w:rsidR="00CF070F" w:rsidP="00CA7A45" w:rsidRDefault="00CF070F" w14:paraId="2FBB3D0D" w14:textId="0D73B59C">
            <w:pPr>
              <w:spacing w:before="60" w:after="60"/>
              <w:jc w:val="center"/>
              <w:rPr>
                <w:color w:val="000000"/>
              </w:rPr>
            </w:pPr>
            <w:r w:rsidRPr="00A97185">
              <w:rPr>
                <w:color w:val="000000"/>
              </w:rPr>
              <w:t>$625.00</w:t>
            </w:r>
          </w:p>
          <w:p w:rsidRPr="00A97185" w:rsidR="00CF070F" w:rsidP="00CA7A45" w:rsidRDefault="00CF070F" w14:paraId="7FDABF74" w14:textId="27B0A9D2">
            <w:pPr>
              <w:spacing w:before="60" w:after="60"/>
              <w:jc w:val="center"/>
              <w:rPr>
                <w:color w:val="000000"/>
              </w:rPr>
            </w:pPr>
            <w:r w:rsidRPr="00A97185">
              <w:rPr>
                <w:color w:val="000000"/>
              </w:rPr>
              <w:t>[1]</w:t>
            </w:r>
          </w:p>
        </w:tc>
        <w:tc>
          <w:tcPr>
            <w:tcW w:w="2065" w:type="dxa"/>
            <w:shd w:val="clear" w:color="auto" w:fill="auto"/>
            <w:vAlign w:val="center"/>
          </w:tcPr>
          <w:p w:rsidRPr="00A97185" w:rsidR="00CF070F" w:rsidP="00CA7A45" w:rsidRDefault="00F96715" w14:paraId="05EFCF76" w14:textId="76CF3409">
            <w:pPr>
              <w:spacing w:before="60" w:after="60"/>
              <w:jc w:val="center"/>
              <w:rPr>
                <w:color w:val="000000"/>
              </w:rPr>
            </w:pPr>
            <w:r w:rsidRPr="00A97185">
              <w:rPr>
                <w:color w:val="000000"/>
              </w:rPr>
              <w:t>$</w:t>
            </w:r>
            <w:r w:rsidR="00516C53">
              <w:rPr>
                <w:color w:val="000000"/>
              </w:rPr>
              <w:t>66,406.25</w:t>
            </w:r>
          </w:p>
        </w:tc>
      </w:tr>
      <w:tr w:rsidRPr="007F620E" w:rsidR="00F2307C" w:rsidTr="00046D0F" w14:paraId="38E0B4EA" w14:textId="77777777">
        <w:trPr>
          <w:gridAfter w:val="1"/>
          <w:wAfter w:w="12" w:type="dxa"/>
          <w:jc w:val="center"/>
        </w:trPr>
        <w:tc>
          <w:tcPr>
            <w:tcW w:w="1795" w:type="dxa"/>
            <w:shd w:val="clear" w:color="auto" w:fill="auto"/>
          </w:tcPr>
          <w:p w:rsidRPr="001E3B2C" w:rsidR="00F2307C" w:rsidP="00F2307C" w:rsidRDefault="00F2307C" w14:paraId="1F980DF3" w14:textId="1370A5B5">
            <w:pPr>
              <w:spacing w:before="60" w:after="60"/>
              <w:rPr>
                <w:color w:val="000000"/>
              </w:rPr>
            </w:pPr>
            <w:r w:rsidRPr="003A2613">
              <w:rPr>
                <w:color w:val="000000"/>
              </w:rPr>
              <w:t xml:space="preserve">Robert Finkestein, </w:t>
            </w:r>
            <w:r w:rsidRPr="001E3B2C" w:rsidR="00800822">
              <w:rPr>
                <w:rStyle w:val="FootnoteReference"/>
                <w:color w:val="000000"/>
              </w:rPr>
              <w:footnoteReference w:id="7"/>
            </w:r>
            <w:r w:rsidRPr="001E3B2C">
              <w:rPr>
                <w:color w:val="000000"/>
              </w:rPr>
              <w:t>TURN General Counsel</w:t>
            </w:r>
          </w:p>
        </w:tc>
        <w:tc>
          <w:tcPr>
            <w:tcW w:w="720" w:type="dxa"/>
            <w:shd w:val="clear" w:color="auto" w:fill="auto"/>
            <w:vAlign w:val="bottom"/>
          </w:tcPr>
          <w:p w:rsidRPr="001E3B2C" w:rsidR="00F2307C" w:rsidP="00F2307C" w:rsidRDefault="00F2307C" w14:paraId="275BF57A" w14:textId="3CFA566B">
            <w:pPr>
              <w:spacing w:before="60" w:after="60"/>
              <w:jc w:val="center"/>
              <w:rPr>
                <w:color w:val="000000"/>
              </w:rPr>
            </w:pPr>
            <w:r w:rsidRPr="001E3B2C">
              <w:rPr>
                <w:color w:val="000000"/>
              </w:rPr>
              <w:t>2023</w:t>
            </w:r>
          </w:p>
        </w:tc>
        <w:tc>
          <w:tcPr>
            <w:tcW w:w="900" w:type="dxa"/>
            <w:gridSpan w:val="2"/>
            <w:shd w:val="clear" w:color="auto" w:fill="auto"/>
            <w:vAlign w:val="bottom"/>
          </w:tcPr>
          <w:p w:rsidRPr="001E3B2C" w:rsidR="00F2307C" w:rsidP="00F2307C" w:rsidRDefault="00F2307C" w14:paraId="0DE506C4" w14:textId="6AD2146B">
            <w:pPr>
              <w:spacing w:before="60" w:after="60"/>
              <w:jc w:val="center"/>
              <w:rPr>
                <w:color w:val="000000"/>
              </w:rPr>
            </w:pPr>
            <w:r w:rsidRPr="001E3B2C">
              <w:rPr>
                <w:color w:val="000000"/>
              </w:rPr>
              <w:t>32.00</w:t>
            </w:r>
          </w:p>
        </w:tc>
        <w:tc>
          <w:tcPr>
            <w:tcW w:w="1080" w:type="dxa"/>
            <w:shd w:val="clear" w:color="auto" w:fill="auto"/>
            <w:vAlign w:val="bottom"/>
          </w:tcPr>
          <w:p w:rsidRPr="001E3B2C" w:rsidR="00F2307C" w:rsidP="00F2307C" w:rsidRDefault="00F2307C" w14:paraId="26413E95" w14:textId="18664D00">
            <w:pPr>
              <w:spacing w:before="60" w:after="60"/>
              <w:jc w:val="right"/>
              <w:rPr>
                <w:color w:val="000000"/>
              </w:rPr>
            </w:pPr>
            <w:r w:rsidRPr="001E3B2C">
              <w:rPr>
                <w:color w:val="000000"/>
              </w:rPr>
              <w:t>$840.00</w:t>
            </w:r>
          </w:p>
        </w:tc>
        <w:tc>
          <w:tcPr>
            <w:tcW w:w="1440" w:type="dxa"/>
            <w:gridSpan w:val="2"/>
            <w:tcBorders>
              <w:right w:val="single" w:color="auto" w:sz="4" w:space="0"/>
            </w:tcBorders>
            <w:shd w:val="clear" w:color="auto" w:fill="auto"/>
            <w:vAlign w:val="bottom"/>
          </w:tcPr>
          <w:p w:rsidRPr="001E3B2C" w:rsidR="00F2307C" w:rsidP="00F2307C" w:rsidRDefault="00F2307C" w14:paraId="300AA881" w14:textId="27A4C3B5">
            <w:pPr>
              <w:spacing w:before="60" w:after="60"/>
              <w:rPr>
                <w:color w:val="000000"/>
              </w:rPr>
            </w:pPr>
            <w:r w:rsidRPr="001E3B2C">
              <w:rPr>
                <w:color w:val="000000"/>
              </w:rPr>
              <w:t>See Comment #2 - Res. ALJ-393, 2022 Rate + 4.5% COLA</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1E3B2C" w:rsidR="00F2307C" w:rsidP="00F2307C" w:rsidRDefault="008E673F" w14:paraId="23EF368E" w14:textId="0FA04A1F">
            <w:pPr>
              <w:spacing w:before="60" w:after="60"/>
              <w:jc w:val="right"/>
              <w:rPr>
                <w:color w:val="000000"/>
              </w:rPr>
            </w:pPr>
            <w:r w:rsidRPr="001E3B2C">
              <w:rPr>
                <w:rStyle w:val="FootnoteReference"/>
                <w:color w:val="000000"/>
              </w:rPr>
              <w:footnoteReference w:id="8"/>
            </w:r>
          </w:p>
        </w:tc>
        <w:tc>
          <w:tcPr>
            <w:tcW w:w="955" w:type="dxa"/>
            <w:tcBorders>
              <w:left w:val="single" w:color="auto" w:sz="4" w:space="0"/>
            </w:tcBorders>
            <w:shd w:val="clear" w:color="auto" w:fill="auto"/>
            <w:vAlign w:val="center"/>
          </w:tcPr>
          <w:p w:rsidR="00552949" w:rsidP="00CA7A45" w:rsidRDefault="00552949" w14:paraId="1192120A" w14:textId="77777777">
            <w:pPr>
              <w:spacing w:before="60" w:after="60"/>
              <w:jc w:val="center"/>
            </w:pPr>
          </w:p>
          <w:p w:rsidR="008608D2" w:rsidP="00CA7A45" w:rsidRDefault="00A3188A" w14:paraId="75CB5E00" w14:textId="12B70045">
            <w:pPr>
              <w:spacing w:before="60" w:after="60"/>
              <w:jc w:val="center"/>
            </w:pPr>
            <w:r>
              <w:t>24.95</w:t>
            </w:r>
          </w:p>
          <w:p w:rsidRPr="00A97185" w:rsidR="00F2307C" w:rsidP="00CA7A45" w:rsidRDefault="0036370A" w14:paraId="2B0CA953" w14:textId="4913918B">
            <w:pPr>
              <w:spacing w:before="60" w:after="60"/>
              <w:jc w:val="center"/>
              <w:rPr>
                <w:color w:val="000000"/>
              </w:rPr>
            </w:pPr>
            <w:r w:rsidRPr="00A97185">
              <w:t>[</w:t>
            </w:r>
            <w:r w:rsidR="005724D0">
              <w:t>6</w:t>
            </w:r>
            <w:r w:rsidRPr="00A97185">
              <w:t>]</w:t>
            </w:r>
          </w:p>
        </w:tc>
        <w:tc>
          <w:tcPr>
            <w:tcW w:w="1132" w:type="dxa"/>
            <w:shd w:val="clear" w:color="auto" w:fill="auto"/>
            <w:vAlign w:val="center"/>
          </w:tcPr>
          <w:p w:rsidR="00552949" w:rsidP="007E01E9" w:rsidRDefault="00552949" w14:paraId="35F9F35D" w14:textId="77777777">
            <w:pPr>
              <w:spacing w:before="60" w:after="60"/>
              <w:jc w:val="center"/>
              <w:rPr>
                <w:color w:val="000000"/>
              </w:rPr>
            </w:pPr>
          </w:p>
          <w:p w:rsidRPr="00A97185" w:rsidR="00F2307C" w:rsidP="007E01E9" w:rsidRDefault="00F2307C" w14:paraId="13A1D3D9" w14:textId="455A584A">
            <w:pPr>
              <w:spacing w:before="60" w:after="60"/>
              <w:jc w:val="center"/>
              <w:rPr>
                <w:color w:val="000000"/>
              </w:rPr>
            </w:pPr>
            <w:r w:rsidRPr="00A97185">
              <w:rPr>
                <w:color w:val="000000"/>
              </w:rPr>
              <w:t>$8</w:t>
            </w:r>
            <w:r w:rsidRPr="00A97185" w:rsidR="006B746A">
              <w:rPr>
                <w:color w:val="000000"/>
              </w:rPr>
              <w:t>4</w:t>
            </w:r>
            <w:r w:rsidRPr="00A97185" w:rsidR="006C725D">
              <w:rPr>
                <w:color w:val="000000"/>
              </w:rPr>
              <w:t>0</w:t>
            </w:r>
            <w:r w:rsidRPr="00A97185">
              <w:rPr>
                <w:color w:val="000000"/>
              </w:rPr>
              <w:t>.00</w:t>
            </w:r>
          </w:p>
          <w:p w:rsidRPr="00A97185" w:rsidR="00F2307C" w:rsidP="00CA7A45" w:rsidRDefault="00F2307C" w14:paraId="1FC8906C" w14:textId="1F7FCAB3">
            <w:pPr>
              <w:spacing w:before="60" w:after="60"/>
              <w:jc w:val="center"/>
              <w:rPr>
                <w:color w:val="000000"/>
              </w:rPr>
            </w:pPr>
            <w:r w:rsidRPr="00A97185">
              <w:rPr>
                <w:color w:val="000000"/>
              </w:rPr>
              <w:t>[2]</w:t>
            </w:r>
          </w:p>
        </w:tc>
        <w:tc>
          <w:tcPr>
            <w:tcW w:w="2065" w:type="dxa"/>
            <w:shd w:val="clear" w:color="auto" w:fill="auto"/>
            <w:vAlign w:val="center"/>
          </w:tcPr>
          <w:p w:rsidRPr="00A97185" w:rsidR="00F2307C" w:rsidP="00CA7A45" w:rsidRDefault="00C5617E" w14:paraId="6C594CB5" w14:textId="3C01F9CD">
            <w:pPr>
              <w:spacing w:before="60" w:after="60"/>
              <w:jc w:val="center"/>
              <w:rPr>
                <w:color w:val="000000"/>
              </w:rPr>
            </w:pPr>
            <w:r w:rsidRPr="00A97185">
              <w:rPr>
                <w:color w:val="000000"/>
              </w:rPr>
              <w:t>$</w:t>
            </w:r>
            <w:r w:rsidR="00DD3379">
              <w:rPr>
                <w:color w:val="000000"/>
              </w:rPr>
              <w:t>20,958.00</w:t>
            </w:r>
          </w:p>
        </w:tc>
      </w:tr>
      <w:tr w:rsidRPr="007F620E" w:rsidR="00F2307C" w:rsidTr="00046D0F" w14:paraId="78FC5ECE" w14:textId="77777777">
        <w:trPr>
          <w:gridAfter w:val="1"/>
          <w:wAfter w:w="12" w:type="dxa"/>
          <w:jc w:val="center"/>
        </w:trPr>
        <w:tc>
          <w:tcPr>
            <w:tcW w:w="1795" w:type="dxa"/>
            <w:shd w:val="clear" w:color="auto" w:fill="auto"/>
            <w:vAlign w:val="bottom"/>
          </w:tcPr>
          <w:p w:rsidRPr="003B1EFF" w:rsidR="00F2307C" w:rsidP="00F2307C" w:rsidRDefault="00F2307C" w14:paraId="1F8943E9" w14:textId="23C044C5">
            <w:pPr>
              <w:spacing w:before="60" w:after="60"/>
              <w:rPr>
                <w:color w:val="000000"/>
              </w:rPr>
            </w:pPr>
            <w:r w:rsidRPr="003B1EFF">
              <w:t>Marcel Hawiger, TURN Attorney</w:t>
            </w:r>
          </w:p>
        </w:tc>
        <w:tc>
          <w:tcPr>
            <w:tcW w:w="720" w:type="dxa"/>
            <w:shd w:val="clear" w:color="auto" w:fill="auto"/>
            <w:vAlign w:val="bottom"/>
          </w:tcPr>
          <w:p w:rsidRPr="003B1EFF" w:rsidR="00F2307C" w:rsidP="00F2307C" w:rsidRDefault="00F2307C" w14:paraId="6FFEFF62" w14:textId="221B08EB">
            <w:pPr>
              <w:spacing w:before="60" w:after="60"/>
              <w:jc w:val="center"/>
              <w:rPr>
                <w:color w:val="000000"/>
              </w:rPr>
            </w:pPr>
            <w:r w:rsidRPr="003B1EFF">
              <w:rPr>
                <w:color w:val="000000"/>
              </w:rPr>
              <w:t>2023</w:t>
            </w:r>
          </w:p>
        </w:tc>
        <w:tc>
          <w:tcPr>
            <w:tcW w:w="900" w:type="dxa"/>
            <w:gridSpan w:val="2"/>
            <w:shd w:val="clear" w:color="auto" w:fill="auto"/>
            <w:vAlign w:val="bottom"/>
          </w:tcPr>
          <w:p w:rsidRPr="003B1EFF" w:rsidR="00F2307C" w:rsidP="00F2307C" w:rsidRDefault="00F2307C" w14:paraId="24984638" w14:textId="0231E090">
            <w:pPr>
              <w:spacing w:before="60" w:after="60"/>
              <w:jc w:val="center"/>
              <w:rPr>
                <w:color w:val="000000"/>
              </w:rPr>
            </w:pPr>
            <w:r w:rsidRPr="003B1EFF">
              <w:rPr>
                <w:color w:val="000000"/>
              </w:rPr>
              <w:t xml:space="preserve">            8.00 </w:t>
            </w:r>
          </w:p>
        </w:tc>
        <w:tc>
          <w:tcPr>
            <w:tcW w:w="1080" w:type="dxa"/>
            <w:shd w:val="clear" w:color="auto" w:fill="auto"/>
            <w:vAlign w:val="bottom"/>
          </w:tcPr>
          <w:p w:rsidRPr="003B1EFF" w:rsidR="00F2307C" w:rsidP="00F2307C" w:rsidRDefault="00F2307C" w14:paraId="00CA9050" w14:textId="4E80A8D6">
            <w:pPr>
              <w:spacing w:before="60" w:after="60"/>
              <w:jc w:val="right"/>
              <w:rPr>
                <w:color w:val="000000"/>
              </w:rPr>
            </w:pPr>
            <w:r w:rsidRPr="003B1EFF">
              <w:rPr>
                <w:color w:val="000000"/>
              </w:rPr>
              <w:t>$735.00</w:t>
            </w:r>
          </w:p>
        </w:tc>
        <w:tc>
          <w:tcPr>
            <w:tcW w:w="1440" w:type="dxa"/>
            <w:gridSpan w:val="2"/>
            <w:tcBorders>
              <w:right w:val="single" w:color="auto" w:sz="4" w:space="0"/>
            </w:tcBorders>
            <w:shd w:val="clear" w:color="auto" w:fill="auto"/>
            <w:vAlign w:val="bottom"/>
          </w:tcPr>
          <w:p w:rsidRPr="003B1EFF" w:rsidR="00F2307C" w:rsidP="00F2307C" w:rsidRDefault="00F2307C" w14:paraId="760F08DA" w14:textId="38DA003F">
            <w:pPr>
              <w:spacing w:before="60" w:after="60"/>
              <w:rPr>
                <w:color w:val="000000"/>
              </w:rPr>
            </w:pPr>
            <w:r w:rsidRPr="003B1EFF">
              <w:rPr>
                <w:color w:val="000000"/>
              </w:rPr>
              <w:t>D.23-10-017</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F2307C" w:rsidP="00F2307C" w:rsidRDefault="00F2307C" w14:paraId="39D39174" w14:textId="1E484DF3">
            <w:pPr>
              <w:spacing w:before="60" w:after="60"/>
              <w:jc w:val="right"/>
              <w:rPr>
                <w:color w:val="000000"/>
              </w:rPr>
            </w:pPr>
            <w:r w:rsidRPr="003B1EFF">
              <w:rPr>
                <w:color w:val="000000"/>
              </w:rPr>
              <w:t>$5,880.00</w:t>
            </w:r>
          </w:p>
        </w:tc>
        <w:tc>
          <w:tcPr>
            <w:tcW w:w="955" w:type="dxa"/>
            <w:tcBorders>
              <w:left w:val="single" w:color="auto" w:sz="4" w:space="0"/>
            </w:tcBorders>
            <w:shd w:val="clear" w:color="auto" w:fill="auto"/>
            <w:vAlign w:val="center"/>
          </w:tcPr>
          <w:p w:rsidR="00552949" w:rsidP="00CA7A45" w:rsidRDefault="00552949" w14:paraId="505D827E" w14:textId="77777777">
            <w:pPr>
              <w:spacing w:before="60" w:after="60"/>
              <w:jc w:val="center"/>
            </w:pPr>
          </w:p>
          <w:p w:rsidR="004C1FD3" w:rsidP="00CA7A45" w:rsidRDefault="008608D2" w14:paraId="58755CAD" w14:textId="13F24569">
            <w:pPr>
              <w:spacing w:before="60" w:after="60"/>
              <w:jc w:val="center"/>
            </w:pPr>
            <w:r>
              <w:t>7.75</w:t>
            </w:r>
          </w:p>
          <w:p w:rsidRPr="00A97185" w:rsidR="00F2307C" w:rsidP="00CA7A45" w:rsidRDefault="004C1FD3" w14:paraId="047FD0B5" w14:textId="77FB3F41">
            <w:pPr>
              <w:spacing w:before="60" w:after="60"/>
              <w:jc w:val="center"/>
              <w:rPr>
                <w:color w:val="000000"/>
              </w:rPr>
            </w:pPr>
            <w:r>
              <w:t>[</w:t>
            </w:r>
            <w:r w:rsidR="005724D0">
              <w:t>7</w:t>
            </w:r>
            <w:r>
              <w:t>]</w:t>
            </w:r>
            <w:r w:rsidRPr="00A97185" w:rsidR="00647C7F">
              <w:t xml:space="preserve"> </w:t>
            </w:r>
          </w:p>
        </w:tc>
        <w:tc>
          <w:tcPr>
            <w:tcW w:w="1132" w:type="dxa"/>
            <w:shd w:val="clear" w:color="auto" w:fill="auto"/>
            <w:vAlign w:val="center"/>
          </w:tcPr>
          <w:p w:rsidRPr="00A97185" w:rsidR="001D1613" w:rsidP="000B5DE7" w:rsidRDefault="00F2307C" w14:paraId="367660C2" w14:textId="0811AB85">
            <w:pPr>
              <w:spacing w:before="60" w:after="60"/>
              <w:jc w:val="center"/>
              <w:rPr>
                <w:color w:val="000000"/>
              </w:rPr>
            </w:pPr>
            <w:r w:rsidRPr="00A97185">
              <w:rPr>
                <w:color w:val="000000"/>
              </w:rPr>
              <w:t>$735.00</w:t>
            </w:r>
          </w:p>
        </w:tc>
        <w:tc>
          <w:tcPr>
            <w:tcW w:w="2065" w:type="dxa"/>
            <w:shd w:val="clear" w:color="auto" w:fill="auto"/>
            <w:vAlign w:val="center"/>
          </w:tcPr>
          <w:p w:rsidRPr="00A97185" w:rsidR="00F2307C" w:rsidP="00CA7A45" w:rsidRDefault="00C32536" w14:paraId="766AC45F" w14:textId="0CC5A662">
            <w:pPr>
              <w:spacing w:before="60" w:after="60"/>
              <w:jc w:val="center"/>
              <w:rPr>
                <w:color w:val="000000"/>
              </w:rPr>
            </w:pPr>
            <w:r w:rsidRPr="00A97185">
              <w:rPr>
                <w:color w:val="000000"/>
              </w:rPr>
              <w:t>$</w:t>
            </w:r>
            <w:r w:rsidRPr="00A97185" w:rsidR="003B401B">
              <w:rPr>
                <w:color w:val="000000"/>
              </w:rPr>
              <w:t>5,</w:t>
            </w:r>
            <w:r w:rsidR="00516C53">
              <w:rPr>
                <w:color w:val="000000"/>
              </w:rPr>
              <w:t>696.25</w:t>
            </w:r>
          </w:p>
        </w:tc>
      </w:tr>
      <w:tr w:rsidRPr="007F620E" w:rsidR="00F2307C" w:rsidTr="00046D0F" w14:paraId="4E698889" w14:textId="77777777">
        <w:trPr>
          <w:gridAfter w:val="1"/>
          <w:wAfter w:w="12" w:type="dxa"/>
          <w:jc w:val="center"/>
        </w:trPr>
        <w:tc>
          <w:tcPr>
            <w:tcW w:w="1795" w:type="dxa"/>
            <w:shd w:val="clear" w:color="auto" w:fill="auto"/>
            <w:vAlign w:val="bottom"/>
          </w:tcPr>
          <w:p w:rsidRPr="003B1EFF" w:rsidR="00F2307C" w:rsidP="00F2307C" w:rsidRDefault="00F2307C" w14:paraId="04CDED11" w14:textId="645C5436">
            <w:pPr>
              <w:spacing w:before="60" w:after="60"/>
              <w:rPr>
                <w:color w:val="000000"/>
              </w:rPr>
            </w:pPr>
            <w:r w:rsidRPr="003B1EFF">
              <w:t>Thomas Long, TURN Legal Director</w:t>
            </w:r>
          </w:p>
        </w:tc>
        <w:tc>
          <w:tcPr>
            <w:tcW w:w="720" w:type="dxa"/>
            <w:shd w:val="clear" w:color="auto" w:fill="auto"/>
            <w:vAlign w:val="bottom"/>
          </w:tcPr>
          <w:p w:rsidRPr="003B1EFF" w:rsidR="00F2307C" w:rsidP="00F2307C" w:rsidRDefault="00F2307C" w14:paraId="6B0C4BC3" w14:textId="451779F4">
            <w:pPr>
              <w:spacing w:before="60" w:after="60"/>
              <w:jc w:val="center"/>
              <w:rPr>
                <w:color w:val="000000"/>
              </w:rPr>
            </w:pPr>
            <w:r w:rsidRPr="003B1EFF">
              <w:rPr>
                <w:color w:val="000000"/>
              </w:rPr>
              <w:t>2023</w:t>
            </w:r>
          </w:p>
        </w:tc>
        <w:tc>
          <w:tcPr>
            <w:tcW w:w="900" w:type="dxa"/>
            <w:gridSpan w:val="2"/>
            <w:shd w:val="clear" w:color="auto" w:fill="auto"/>
            <w:vAlign w:val="bottom"/>
          </w:tcPr>
          <w:p w:rsidRPr="003B1EFF" w:rsidR="00F2307C" w:rsidP="00F2307C" w:rsidRDefault="00F2307C" w14:paraId="51C36695" w14:textId="30AE536B">
            <w:pPr>
              <w:spacing w:before="60" w:after="60"/>
              <w:jc w:val="center"/>
              <w:rPr>
                <w:color w:val="000000"/>
              </w:rPr>
            </w:pPr>
            <w:r w:rsidRPr="003B1EFF">
              <w:rPr>
                <w:color w:val="000000"/>
              </w:rPr>
              <w:t xml:space="preserve">            1.75 </w:t>
            </w:r>
          </w:p>
        </w:tc>
        <w:tc>
          <w:tcPr>
            <w:tcW w:w="1080" w:type="dxa"/>
            <w:shd w:val="clear" w:color="auto" w:fill="auto"/>
            <w:vAlign w:val="bottom"/>
          </w:tcPr>
          <w:p w:rsidRPr="003B1EFF" w:rsidR="00F2307C" w:rsidP="00F2307C" w:rsidRDefault="00F2307C" w14:paraId="50434DF3" w14:textId="2AC2F82E">
            <w:pPr>
              <w:spacing w:before="60" w:after="60"/>
              <w:jc w:val="right"/>
              <w:rPr>
                <w:color w:val="000000"/>
              </w:rPr>
            </w:pPr>
            <w:r w:rsidRPr="003B1EFF">
              <w:rPr>
                <w:color w:val="000000"/>
              </w:rPr>
              <w:t>$840.00</w:t>
            </w:r>
          </w:p>
        </w:tc>
        <w:tc>
          <w:tcPr>
            <w:tcW w:w="1440" w:type="dxa"/>
            <w:gridSpan w:val="2"/>
            <w:tcBorders>
              <w:right w:val="single" w:color="auto" w:sz="4" w:space="0"/>
            </w:tcBorders>
            <w:shd w:val="clear" w:color="auto" w:fill="auto"/>
            <w:vAlign w:val="bottom"/>
          </w:tcPr>
          <w:p w:rsidRPr="003B1EFF" w:rsidR="00F2307C" w:rsidP="00F2307C" w:rsidRDefault="00F2307C" w14:paraId="41124BBA" w14:textId="14B7BB0E">
            <w:pPr>
              <w:spacing w:before="60" w:after="60"/>
              <w:rPr>
                <w:color w:val="000000"/>
              </w:rPr>
            </w:pPr>
            <w:r w:rsidRPr="003B1EFF">
              <w:rPr>
                <w:color w:val="000000"/>
              </w:rPr>
              <w:t>D.23-05-032</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F2307C" w:rsidP="00F2307C" w:rsidRDefault="00F2307C" w14:paraId="75F00059" w14:textId="678FC05B">
            <w:pPr>
              <w:spacing w:before="60" w:after="60"/>
              <w:jc w:val="right"/>
              <w:rPr>
                <w:color w:val="000000"/>
              </w:rPr>
            </w:pPr>
            <w:r w:rsidRPr="003B1EFF">
              <w:rPr>
                <w:color w:val="000000"/>
              </w:rPr>
              <w:t>$1,470.00</w:t>
            </w:r>
          </w:p>
        </w:tc>
        <w:tc>
          <w:tcPr>
            <w:tcW w:w="955" w:type="dxa"/>
            <w:tcBorders>
              <w:left w:val="single" w:color="auto" w:sz="4" w:space="0"/>
            </w:tcBorders>
            <w:shd w:val="clear" w:color="auto" w:fill="auto"/>
            <w:vAlign w:val="center"/>
          </w:tcPr>
          <w:p w:rsidRPr="00A97185" w:rsidR="00F2307C" w:rsidP="00CA7A45" w:rsidRDefault="00F2307C" w14:paraId="134A581C" w14:textId="7E0135E4">
            <w:pPr>
              <w:spacing w:before="60" w:after="60"/>
              <w:jc w:val="center"/>
              <w:rPr>
                <w:color w:val="000000"/>
              </w:rPr>
            </w:pPr>
            <w:r w:rsidRPr="00A97185">
              <w:t>1.</w:t>
            </w:r>
            <w:r w:rsidRPr="00A97185" w:rsidR="005D225F">
              <w:t>75</w:t>
            </w:r>
            <w:r w:rsidRPr="00A97185" w:rsidR="009931E2">
              <w:t xml:space="preserve"> </w:t>
            </w:r>
          </w:p>
        </w:tc>
        <w:tc>
          <w:tcPr>
            <w:tcW w:w="1132" w:type="dxa"/>
            <w:shd w:val="clear" w:color="auto" w:fill="auto"/>
            <w:vAlign w:val="center"/>
          </w:tcPr>
          <w:p w:rsidR="00552949" w:rsidP="00CA7A45" w:rsidRDefault="00552949" w14:paraId="55B08232" w14:textId="77777777">
            <w:pPr>
              <w:spacing w:before="60" w:after="60"/>
              <w:jc w:val="center"/>
              <w:rPr>
                <w:color w:val="000000"/>
              </w:rPr>
            </w:pPr>
          </w:p>
          <w:p w:rsidRPr="00A97185" w:rsidR="00F2307C" w:rsidP="00CA7A45" w:rsidRDefault="000B0858" w14:paraId="2622F4BA" w14:textId="36B8415E">
            <w:pPr>
              <w:spacing w:before="60" w:after="60"/>
              <w:jc w:val="center"/>
              <w:rPr>
                <w:color w:val="000000"/>
              </w:rPr>
            </w:pPr>
            <w:r w:rsidRPr="00A97185">
              <w:rPr>
                <w:color w:val="000000"/>
              </w:rPr>
              <w:t>$83</w:t>
            </w:r>
            <w:r w:rsidRPr="00A97185" w:rsidR="00DC3E6E">
              <w:rPr>
                <w:color w:val="000000"/>
              </w:rPr>
              <w:t>0.00</w:t>
            </w:r>
            <w:r w:rsidRPr="00A97185" w:rsidR="004C5B7B">
              <w:rPr>
                <w:color w:val="000000"/>
              </w:rPr>
              <w:t xml:space="preserve"> [</w:t>
            </w:r>
            <w:r w:rsidR="00EA58A5">
              <w:rPr>
                <w:color w:val="000000"/>
              </w:rPr>
              <w:t>3</w:t>
            </w:r>
            <w:r w:rsidRPr="00A97185" w:rsidR="004C5B7B">
              <w:rPr>
                <w:color w:val="000000"/>
              </w:rPr>
              <w:t>]</w:t>
            </w:r>
          </w:p>
        </w:tc>
        <w:tc>
          <w:tcPr>
            <w:tcW w:w="2065" w:type="dxa"/>
            <w:shd w:val="clear" w:color="auto" w:fill="auto"/>
            <w:vAlign w:val="center"/>
          </w:tcPr>
          <w:p w:rsidRPr="00A97185" w:rsidR="00F2307C" w:rsidP="00CA7A45" w:rsidRDefault="00B5615D" w14:paraId="26135325" w14:textId="13FBE3A7">
            <w:pPr>
              <w:spacing w:before="60" w:after="60"/>
              <w:jc w:val="center"/>
              <w:rPr>
                <w:color w:val="000000"/>
              </w:rPr>
            </w:pPr>
            <w:r w:rsidRPr="00A97185">
              <w:rPr>
                <w:color w:val="000000"/>
              </w:rPr>
              <w:t>$1,</w:t>
            </w:r>
            <w:r w:rsidRPr="00A97185" w:rsidR="00B30DA5">
              <w:rPr>
                <w:color w:val="000000"/>
              </w:rPr>
              <w:t>452.50</w:t>
            </w:r>
          </w:p>
        </w:tc>
      </w:tr>
      <w:tr w:rsidRPr="007F620E" w:rsidR="00F2307C" w:rsidTr="00046D0F" w14:paraId="541B1A43" w14:textId="77777777">
        <w:trPr>
          <w:gridAfter w:val="1"/>
          <w:wAfter w:w="12" w:type="dxa"/>
          <w:jc w:val="center"/>
        </w:trPr>
        <w:tc>
          <w:tcPr>
            <w:tcW w:w="1795" w:type="dxa"/>
            <w:shd w:val="clear" w:color="auto" w:fill="auto"/>
            <w:vAlign w:val="bottom"/>
          </w:tcPr>
          <w:p w:rsidRPr="003B1EFF" w:rsidR="00F2307C" w:rsidP="00F2307C" w:rsidRDefault="00F2307C" w14:paraId="41A7BE4B" w14:textId="153299F1">
            <w:pPr>
              <w:spacing w:before="60" w:after="60"/>
              <w:rPr>
                <w:color w:val="000000"/>
              </w:rPr>
            </w:pPr>
            <w:r w:rsidRPr="003B1EFF">
              <w:t>Elise Torres, TURN Attorney</w:t>
            </w:r>
          </w:p>
        </w:tc>
        <w:tc>
          <w:tcPr>
            <w:tcW w:w="720" w:type="dxa"/>
            <w:shd w:val="clear" w:color="auto" w:fill="auto"/>
            <w:vAlign w:val="bottom"/>
          </w:tcPr>
          <w:p w:rsidRPr="003B1EFF" w:rsidR="00F2307C" w:rsidP="00F2307C" w:rsidRDefault="00F2307C" w14:paraId="5B3C2ADF" w14:textId="51487264">
            <w:pPr>
              <w:spacing w:before="60" w:after="60"/>
              <w:jc w:val="center"/>
              <w:rPr>
                <w:color w:val="000000"/>
              </w:rPr>
            </w:pPr>
            <w:r w:rsidRPr="003B1EFF">
              <w:rPr>
                <w:color w:val="000000"/>
              </w:rPr>
              <w:t>2023</w:t>
            </w:r>
          </w:p>
        </w:tc>
        <w:tc>
          <w:tcPr>
            <w:tcW w:w="900" w:type="dxa"/>
            <w:gridSpan w:val="2"/>
            <w:shd w:val="clear" w:color="auto" w:fill="auto"/>
            <w:vAlign w:val="bottom"/>
          </w:tcPr>
          <w:p w:rsidRPr="003B1EFF" w:rsidR="00F2307C" w:rsidP="00F2307C" w:rsidRDefault="00F2307C" w14:paraId="2E458EDF" w14:textId="635936E0">
            <w:pPr>
              <w:spacing w:before="60" w:after="60"/>
              <w:jc w:val="center"/>
              <w:rPr>
                <w:color w:val="000000"/>
              </w:rPr>
            </w:pPr>
            <w:r w:rsidRPr="003B1EFF">
              <w:rPr>
                <w:color w:val="000000"/>
              </w:rPr>
              <w:t xml:space="preserve">            3.25 </w:t>
            </w:r>
          </w:p>
        </w:tc>
        <w:tc>
          <w:tcPr>
            <w:tcW w:w="1080" w:type="dxa"/>
            <w:shd w:val="clear" w:color="auto" w:fill="auto"/>
            <w:vAlign w:val="bottom"/>
          </w:tcPr>
          <w:p w:rsidRPr="003B1EFF" w:rsidR="00F2307C" w:rsidP="00F2307C" w:rsidRDefault="00F2307C" w14:paraId="3D86BD08" w14:textId="709B1354">
            <w:pPr>
              <w:spacing w:before="60" w:after="60"/>
              <w:jc w:val="right"/>
              <w:rPr>
                <w:color w:val="000000"/>
              </w:rPr>
            </w:pPr>
            <w:r w:rsidRPr="003B1EFF">
              <w:rPr>
                <w:color w:val="000000"/>
              </w:rPr>
              <w:t>$510.00</w:t>
            </w:r>
          </w:p>
        </w:tc>
        <w:tc>
          <w:tcPr>
            <w:tcW w:w="1440" w:type="dxa"/>
            <w:gridSpan w:val="2"/>
            <w:tcBorders>
              <w:right w:val="single" w:color="auto" w:sz="4" w:space="0"/>
            </w:tcBorders>
            <w:shd w:val="clear" w:color="auto" w:fill="auto"/>
            <w:vAlign w:val="bottom"/>
          </w:tcPr>
          <w:p w:rsidRPr="003B1EFF" w:rsidR="00F2307C" w:rsidP="00F2307C" w:rsidRDefault="00F2307C" w14:paraId="750EA256" w14:textId="08416332">
            <w:pPr>
              <w:spacing w:before="60" w:after="60"/>
              <w:rPr>
                <w:color w:val="000000"/>
              </w:rPr>
            </w:pPr>
            <w:r w:rsidRPr="003B1EFF">
              <w:rPr>
                <w:color w:val="000000"/>
              </w:rPr>
              <w:t>D.24-01-045</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F2307C" w:rsidP="00F2307C" w:rsidRDefault="00F2307C" w14:paraId="4D76B38E" w14:textId="4F873B5F">
            <w:pPr>
              <w:spacing w:before="60" w:after="60"/>
              <w:jc w:val="right"/>
              <w:rPr>
                <w:color w:val="000000"/>
              </w:rPr>
            </w:pPr>
            <w:r w:rsidRPr="003B1EFF">
              <w:rPr>
                <w:color w:val="000000"/>
              </w:rPr>
              <w:t>$1,657.50</w:t>
            </w:r>
          </w:p>
        </w:tc>
        <w:tc>
          <w:tcPr>
            <w:tcW w:w="955" w:type="dxa"/>
            <w:tcBorders>
              <w:left w:val="single" w:color="auto" w:sz="4" w:space="0"/>
            </w:tcBorders>
            <w:shd w:val="clear" w:color="auto" w:fill="auto"/>
            <w:vAlign w:val="center"/>
          </w:tcPr>
          <w:p w:rsidRPr="00A97185" w:rsidR="00F2307C" w:rsidP="00CA7A45" w:rsidRDefault="00F2307C" w14:paraId="5DD3213B" w14:textId="20F888BC">
            <w:pPr>
              <w:spacing w:before="60" w:after="60"/>
              <w:jc w:val="center"/>
              <w:rPr>
                <w:color w:val="000000"/>
              </w:rPr>
            </w:pPr>
            <w:r w:rsidRPr="00A97185">
              <w:t>3.25</w:t>
            </w:r>
          </w:p>
        </w:tc>
        <w:tc>
          <w:tcPr>
            <w:tcW w:w="1132" w:type="dxa"/>
            <w:shd w:val="clear" w:color="auto" w:fill="auto"/>
            <w:vAlign w:val="center"/>
          </w:tcPr>
          <w:p w:rsidRPr="00A97185" w:rsidR="00F2307C" w:rsidP="00CA7A45" w:rsidRDefault="00F2307C" w14:paraId="07AEBBB0" w14:textId="4982DBB3">
            <w:pPr>
              <w:spacing w:before="60" w:after="60"/>
              <w:jc w:val="center"/>
              <w:rPr>
                <w:color w:val="000000"/>
              </w:rPr>
            </w:pPr>
            <w:r w:rsidRPr="00A97185">
              <w:rPr>
                <w:color w:val="000000"/>
              </w:rPr>
              <w:t>$510.00</w:t>
            </w:r>
            <w:r w:rsidRPr="00A97185" w:rsidR="001A32D3">
              <w:rPr>
                <w:color w:val="000000"/>
              </w:rPr>
              <w:t xml:space="preserve"> </w:t>
            </w:r>
          </w:p>
        </w:tc>
        <w:tc>
          <w:tcPr>
            <w:tcW w:w="2065" w:type="dxa"/>
            <w:shd w:val="clear" w:color="auto" w:fill="auto"/>
            <w:vAlign w:val="center"/>
          </w:tcPr>
          <w:p w:rsidRPr="00A97185" w:rsidR="00F2307C" w:rsidP="00CA7A45" w:rsidRDefault="00B5615D" w14:paraId="55630DF4" w14:textId="4EA36F14">
            <w:pPr>
              <w:spacing w:before="60" w:after="60"/>
              <w:jc w:val="center"/>
              <w:rPr>
                <w:color w:val="000000"/>
              </w:rPr>
            </w:pPr>
            <w:r w:rsidRPr="00A97185">
              <w:rPr>
                <w:color w:val="000000"/>
              </w:rPr>
              <w:t>$1,657.50</w:t>
            </w:r>
          </w:p>
        </w:tc>
      </w:tr>
      <w:tr w:rsidRPr="007F620E" w:rsidR="00F2307C" w:rsidTr="00046D0F" w14:paraId="204C822B" w14:textId="77777777">
        <w:trPr>
          <w:gridAfter w:val="1"/>
          <w:wAfter w:w="12" w:type="dxa"/>
          <w:jc w:val="center"/>
        </w:trPr>
        <w:tc>
          <w:tcPr>
            <w:tcW w:w="1795" w:type="dxa"/>
            <w:shd w:val="clear" w:color="auto" w:fill="auto"/>
            <w:vAlign w:val="bottom"/>
          </w:tcPr>
          <w:p w:rsidRPr="003B1EFF" w:rsidR="00F2307C" w:rsidP="00F2307C" w:rsidRDefault="00F2307C" w14:paraId="3045C84A" w14:textId="11FD8CEC">
            <w:pPr>
              <w:spacing w:before="60" w:after="60"/>
              <w:rPr>
                <w:color w:val="000000"/>
              </w:rPr>
            </w:pPr>
            <w:r w:rsidRPr="003B1EFF">
              <w:t>Jennifer Dowdell, TURN Senior Energy Policy Expert</w:t>
            </w:r>
          </w:p>
        </w:tc>
        <w:tc>
          <w:tcPr>
            <w:tcW w:w="720" w:type="dxa"/>
            <w:shd w:val="clear" w:color="auto" w:fill="auto"/>
            <w:vAlign w:val="bottom"/>
          </w:tcPr>
          <w:p w:rsidRPr="003B1EFF" w:rsidR="00F2307C" w:rsidP="00F2307C" w:rsidRDefault="00F2307C" w14:paraId="0021889E" w14:textId="4713F24E">
            <w:pPr>
              <w:spacing w:before="60" w:after="60"/>
              <w:jc w:val="center"/>
              <w:rPr>
                <w:color w:val="000000"/>
              </w:rPr>
            </w:pPr>
            <w:r w:rsidRPr="003B1EFF">
              <w:rPr>
                <w:color w:val="000000"/>
              </w:rPr>
              <w:t>2023</w:t>
            </w:r>
          </w:p>
        </w:tc>
        <w:tc>
          <w:tcPr>
            <w:tcW w:w="900" w:type="dxa"/>
            <w:gridSpan w:val="2"/>
            <w:shd w:val="clear" w:color="auto" w:fill="auto"/>
            <w:vAlign w:val="bottom"/>
          </w:tcPr>
          <w:p w:rsidRPr="003B1EFF" w:rsidR="00F2307C" w:rsidP="00F2307C" w:rsidRDefault="00F2307C" w14:paraId="2182BEB0" w14:textId="6343797E">
            <w:pPr>
              <w:spacing w:before="60" w:after="60"/>
              <w:jc w:val="center"/>
              <w:rPr>
                <w:color w:val="000000"/>
              </w:rPr>
            </w:pPr>
            <w:r w:rsidRPr="003B1EFF">
              <w:rPr>
                <w:color w:val="000000"/>
              </w:rPr>
              <w:t xml:space="preserve">            7.75 </w:t>
            </w:r>
          </w:p>
        </w:tc>
        <w:tc>
          <w:tcPr>
            <w:tcW w:w="1080" w:type="dxa"/>
            <w:shd w:val="clear" w:color="auto" w:fill="auto"/>
            <w:vAlign w:val="bottom"/>
          </w:tcPr>
          <w:p w:rsidRPr="003B1EFF" w:rsidR="00F2307C" w:rsidP="00F2307C" w:rsidRDefault="00F2307C" w14:paraId="2FDA1CA3" w14:textId="2E98CAD7">
            <w:pPr>
              <w:spacing w:before="60" w:after="60"/>
              <w:jc w:val="right"/>
              <w:rPr>
                <w:color w:val="000000"/>
              </w:rPr>
            </w:pPr>
            <w:r w:rsidRPr="003B1EFF">
              <w:rPr>
                <w:color w:val="000000"/>
              </w:rPr>
              <w:t>$455.00</w:t>
            </w:r>
          </w:p>
        </w:tc>
        <w:tc>
          <w:tcPr>
            <w:tcW w:w="1440" w:type="dxa"/>
            <w:gridSpan w:val="2"/>
            <w:tcBorders>
              <w:right w:val="single" w:color="auto" w:sz="4" w:space="0"/>
            </w:tcBorders>
            <w:shd w:val="clear" w:color="auto" w:fill="auto"/>
            <w:vAlign w:val="bottom"/>
          </w:tcPr>
          <w:p w:rsidRPr="003B1EFF" w:rsidR="00F2307C" w:rsidP="00F2307C" w:rsidRDefault="00F2307C" w14:paraId="5D897201" w14:textId="36AA5B72">
            <w:pPr>
              <w:spacing w:before="60" w:after="60"/>
              <w:rPr>
                <w:color w:val="000000"/>
              </w:rPr>
            </w:pPr>
            <w:r w:rsidRPr="003B1EFF">
              <w:rPr>
                <w:color w:val="000000"/>
              </w:rPr>
              <w:t>See Comment #3 - Res. ALJ-393, 2022 Rate + 4.5% COLA, 5% step increase</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F2307C" w:rsidP="00F2307C" w:rsidRDefault="00F2307C" w14:paraId="7CE77391" w14:textId="4082E6E0">
            <w:pPr>
              <w:spacing w:before="60" w:after="60"/>
              <w:jc w:val="right"/>
              <w:rPr>
                <w:color w:val="000000"/>
              </w:rPr>
            </w:pPr>
            <w:r w:rsidRPr="003B1EFF">
              <w:rPr>
                <w:color w:val="000000"/>
              </w:rPr>
              <w:t>$3,526.25</w:t>
            </w:r>
          </w:p>
        </w:tc>
        <w:tc>
          <w:tcPr>
            <w:tcW w:w="955" w:type="dxa"/>
            <w:tcBorders>
              <w:left w:val="single" w:color="auto" w:sz="4" w:space="0"/>
            </w:tcBorders>
            <w:shd w:val="clear" w:color="auto" w:fill="auto"/>
            <w:vAlign w:val="center"/>
          </w:tcPr>
          <w:p w:rsidRPr="00A97185" w:rsidR="00F2307C" w:rsidP="0020218B" w:rsidRDefault="00F2307C" w14:paraId="56496E65" w14:textId="4626F069">
            <w:pPr>
              <w:spacing w:before="60" w:after="60"/>
              <w:jc w:val="center"/>
              <w:rPr>
                <w:color w:val="000000"/>
              </w:rPr>
            </w:pPr>
            <w:r w:rsidRPr="00A97185">
              <w:t>7.75</w:t>
            </w:r>
          </w:p>
        </w:tc>
        <w:tc>
          <w:tcPr>
            <w:tcW w:w="1132" w:type="dxa"/>
            <w:shd w:val="clear" w:color="auto" w:fill="auto"/>
            <w:vAlign w:val="center"/>
          </w:tcPr>
          <w:p w:rsidR="00552949" w:rsidP="00650C06" w:rsidRDefault="00552949" w14:paraId="5E8CB27A" w14:textId="77777777">
            <w:pPr>
              <w:spacing w:before="60" w:after="60"/>
              <w:jc w:val="center"/>
              <w:rPr>
                <w:color w:val="000000"/>
              </w:rPr>
            </w:pPr>
          </w:p>
          <w:p w:rsidRPr="00A97185" w:rsidR="00F2307C" w:rsidP="00650C06" w:rsidRDefault="00F2307C" w14:paraId="1C348385" w14:textId="751916CD">
            <w:pPr>
              <w:spacing w:before="60" w:after="60"/>
              <w:jc w:val="center"/>
              <w:rPr>
                <w:color w:val="000000"/>
              </w:rPr>
            </w:pPr>
            <w:r w:rsidRPr="00A97185">
              <w:rPr>
                <w:color w:val="000000"/>
              </w:rPr>
              <w:t>$455.00</w:t>
            </w:r>
          </w:p>
          <w:p w:rsidRPr="00A97185" w:rsidR="00F2307C" w:rsidP="0020218B" w:rsidRDefault="00F2307C" w14:paraId="5A1D081C" w14:textId="31CB6F59">
            <w:pPr>
              <w:spacing w:before="60" w:after="60"/>
              <w:jc w:val="center"/>
              <w:rPr>
                <w:color w:val="000000"/>
              </w:rPr>
            </w:pPr>
            <w:r w:rsidRPr="00A97185">
              <w:rPr>
                <w:color w:val="000000"/>
              </w:rPr>
              <w:t>[</w:t>
            </w:r>
            <w:r w:rsidR="005724D0">
              <w:rPr>
                <w:color w:val="000000"/>
              </w:rPr>
              <w:t>4</w:t>
            </w:r>
            <w:r w:rsidRPr="00A97185">
              <w:rPr>
                <w:color w:val="000000"/>
              </w:rPr>
              <w:t>]</w:t>
            </w:r>
          </w:p>
        </w:tc>
        <w:tc>
          <w:tcPr>
            <w:tcW w:w="2065" w:type="dxa"/>
            <w:shd w:val="clear" w:color="auto" w:fill="auto"/>
            <w:vAlign w:val="center"/>
          </w:tcPr>
          <w:p w:rsidRPr="00A97185" w:rsidR="00F2307C" w:rsidP="0020218B" w:rsidRDefault="00B5615D" w14:paraId="26CCF7D6" w14:textId="5A0E728A">
            <w:pPr>
              <w:spacing w:before="60" w:after="60"/>
              <w:jc w:val="center"/>
              <w:rPr>
                <w:color w:val="000000"/>
              </w:rPr>
            </w:pPr>
            <w:r w:rsidRPr="00A97185">
              <w:rPr>
                <w:color w:val="000000"/>
              </w:rPr>
              <w:t>$</w:t>
            </w:r>
            <w:r w:rsidRPr="00A97185" w:rsidR="009D5E44">
              <w:rPr>
                <w:color w:val="000000"/>
              </w:rPr>
              <w:t>3,526.</w:t>
            </w:r>
            <w:r w:rsidRPr="00A97185" w:rsidR="00F12058">
              <w:rPr>
                <w:color w:val="000000"/>
              </w:rPr>
              <w:t>25</w:t>
            </w:r>
          </w:p>
        </w:tc>
      </w:tr>
      <w:tr w:rsidRPr="007F620E" w:rsidR="00E3786F" w:rsidTr="000B0858" w14:paraId="1B237C11" w14:textId="77777777">
        <w:trPr>
          <w:jc w:val="center"/>
        </w:trPr>
        <w:tc>
          <w:tcPr>
            <w:tcW w:w="7178" w:type="dxa"/>
            <w:gridSpan w:val="9"/>
            <w:tcBorders>
              <w:bottom w:val="single" w:color="auto" w:sz="4" w:space="0"/>
              <w:right w:val="single" w:color="auto" w:sz="24" w:space="0"/>
            </w:tcBorders>
            <w:shd w:val="clear" w:color="auto" w:fill="auto"/>
            <w:vAlign w:val="bottom"/>
          </w:tcPr>
          <w:p w:rsidRPr="00374FD1" w:rsidR="00E3786F" w:rsidP="00691528" w:rsidRDefault="00E3786F" w14:paraId="2ECB6744" w14:textId="787C9F1A">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EF1057">
              <w:rPr>
                <w:b/>
                <w:i/>
                <w:color w:val="000000"/>
              </w:rPr>
              <w:t>80,420.00</w:t>
            </w:r>
            <w:r w:rsidR="0075616A">
              <w:rPr>
                <w:rStyle w:val="FootnoteReference"/>
                <w:b/>
                <w:i/>
                <w:color w:val="000000"/>
              </w:rPr>
              <w:footnoteReference w:id="9"/>
            </w:r>
          </w:p>
        </w:tc>
        <w:tc>
          <w:tcPr>
            <w:tcW w:w="4164" w:type="dxa"/>
            <w:gridSpan w:val="4"/>
            <w:tcBorders>
              <w:left w:val="single" w:color="auto" w:sz="24" w:space="0"/>
              <w:bottom w:val="single" w:color="auto" w:sz="4" w:space="0"/>
            </w:tcBorders>
            <w:shd w:val="clear" w:color="auto" w:fill="auto"/>
            <w:vAlign w:val="bottom"/>
          </w:tcPr>
          <w:p w:rsidRPr="00CF68CC" w:rsidR="00E3786F" w:rsidP="009548D1" w:rsidRDefault="00E3786F" w14:paraId="4C4556E5" w14:textId="0C18FB25">
            <w:pPr>
              <w:tabs>
                <w:tab w:val="left" w:pos="957"/>
              </w:tabs>
              <w:spacing w:before="60" w:after="60"/>
              <w:ind w:right="162"/>
              <w:jc w:val="right"/>
              <w:rPr>
                <w:i/>
                <w:color w:val="000000"/>
              </w:rPr>
            </w:pPr>
            <w:r w:rsidRPr="001A25C6">
              <w:rPr>
                <w:b/>
                <w:i/>
                <w:color w:val="000000"/>
              </w:rPr>
              <w:t xml:space="preserve">Subtotal: </w:t>
            </w:r>
            <w:r w:rsidRPr="00CF68CC" w:rsidR="000036BB">
              <w:rPr>
                <w:b/>
                <w:i/>
                <w:color w:val="000000"/>
              </w:rPr>
              <w:t>$</w:t>
            </w:r>
            <w:r w:rsidRPr="00CF68CC" w:rsidR="00DD3379">
              <w:rPr>
                <w:b/>
                <w:i/>
                <w:color w:val="000000"/>
              </w:rPr>
              <w:t>100</w:t>
            </w:r>
            <w:r w:rsidRPr="00CF68CC" w:rsidR="00527B09">
              <w:rPr>
                <w:b/>
                <w:i/>
                <w:color w:val="000000"/>
              </w:rPr>
              <w:t>,551.75</w:t>
            </w:r>
          </w:p>
        </w:tc>
      </w:tr>
      <w:tr w:rsidRPr="007F620E" w:rsidR="00A92D0B" w:rsidTr="000B0858" w14:paraId="4F8FAF05" w14:textId="77777777">
        <w:trPr>
          <w:jc w:val="center"/>
        </w:trPr>
        <w:tc>
          <w:tcPr>
            <w:tcW w:w="11342" w:type="dxa"/>
            <w:gridSpan w:val="13"/>
            <w:tcBorders>
              <w:top w:val="single" w:color="auto" w:sz="4" w:space="0"/>
              <w:left w:val="single" w:color="auto" w:sz="4" w:space="0"/>
              <w:bottom w:val="single" w:color="auto" w:sz="4" w:space="0"/>
              <w:right w:val="single" w:color="auto" w:sz="4" w:space="0"/>
            </w:tcBorders>
            <w:shd w:val="clear" w:color="auto" w:fill="E6E6E6"/>
          </w:tcPr>
          <w:p w:rsidRPr="007F620E" w:rsidR="00A92D0B" w:rsidP="00B72D49" w:rsidRDefault="00A92D0B" w14:paraId="41FE304C" w14:textId="77777777">
            <w:pPr>
              <w:keepNext/>
              <w:spacing w:before="60" w:after="60"/>
              <w:jc w:val="center"/>
              <w:rPr>
                <w:color w:val="000000"/>
              </w:rPr>
            </w:pPr>
            <w:r w:rsidRPr="007F620E">
              <w:rPr>
                <w:b/>
                <w:color w:val="000000"/>
              </w:rPr>
              <w:lastRenderedPageBreak/>
              <w:t xml:space="preserve">INTERVENOR COMPENSATION CLAIM PREPARATION </w:t>
            </w:r>
            <w:r w:rsidRPr="007F620E">
              <w:rPr>
                <w:b/>
                <w:smallCaps/>
                <w:color w:val="000000"/>
              </w:rPr>
              <w:t xml:space="preserve"> **</w:t>
            </w:r>
          </w:p>
        </w:tc>
      </w:tr>
      <w:tr w:rsidRPr="00260518" w:rsidR="00A92D0B" w:rsidTr="003B1EFF" w14:paraId="48B3E535" w14:textId="77777777">
        <w:trPr>
          <w:gridAfter w:val="1"/>
          <w:wAfter w:w="12" w:type="dxa"/>
          <w:jc w:val="center"/>
        </w:trPr>
        <w:tc>
          <w:tcPr>
            <w:tcW w:w="1795" w:type="dxa"/>
            <w:tcBorders>
              <w:top w:val="single" w:color="auto" w:sz="4" w:space="0"/>
              <w:bottom w:val="single" w:color="auto" w:sz="4" w:space="0"/>
            </w:tcBorders>
            <w:shd w:val="clear" w:color="auto" w:fill="auto"/>
            <w:vAlign w:val="bottom"/>
          </w:tcPr>
          <w:p w:rsidRPr="00260518" w:rsidR="00A92D0B" w:rsidP="004A6FD4" w:rsidRDefault="00A92D0B" w14:paraId="563A43BB" w14:textId="77777777">
            <w:pPr>
              <w:keepNext/>
              <w:spacing w:before="60" w:after="60"/>
              <w:jc w:val="center"/>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A92D0B" w:rsidP="004A6FD4" w:rsidRDefault="00A92D0B" w14:paraId="144552E0" w14:textId="77777777">
            <w:pPr>
              <w:keepNext/>
              <w:spacing w:before="60" w:after="60"/>
              <w:jc w:val="center"/>
              <w:rPr>
                <w:b/>
                <w:color w:val="000000"/>
                <w:sz w:val="22"/>
                <w:szCs w:val="22"/>
              </w:rPr>
            </w:pPr>
            <w:r w:rsidRPr="00260518">
              <w:rPr>
                <w:b/>
                <w:color w:val="000000"/>
                <w:sz w:val="22"/>
                <w:szCs w:val="22"/>
              </w:rPr>
              <w:t>Year</w:t>
            </w:r>
          </w:p>
        </w:tc>
        <w:tc>
          <w:tcPr>
            <w:tcW w:w="900" w:type="dxa"/>
            <w:gridSpan w:val="2"/>
            <w:tcBorders>
              <w:top w:val="single" w:color="auto" w:sz="4" w:space="0"/>
              <w:bottom w:val="single" w:color="auto" w:sz="4" w:space="0"/>
            </w:tcBorders>
            <w:shd w:val="clear" w:color="auto" w:fill="auto"/>
            <w:vAlign w:val="bottom"/>
          </w:tcPr>
          <w:p w:rsidRPr="00260518" w:rsidR="00A92D0B" w:rsidP="004A6FD4" w:rsidRDefault="00A92D0B" w14:paraId="42890B1B" w14:textId="77777777">
            <w:pPr>
              <w:keepNext/>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bottom w:val="single" w:color="auto" w:sz="4" w:space="0"/>
            </w:tcBorders>
            <w:shd w:val="clear" w:color="auto" w:fill="auto"/>
            <w:vAlign w:val="bottom"/>
          </w:tcPr>
          <w:p w:rsidRPr="00260518" w:rsidR="00A92D0B" w:rsidP="004A6FD4" w:rsidRDefault="00A92D0B" w14:paraId="1E7BD956" w14:textId="243077B9">
            <w:pPr>
              <w:keepNext/>
              <w:spacing w:before="60" w:after="60"/>
              <w:jc w:val="center"/>
              <w:rPr>
                <w:b/>
                <w:color w:val="000000"/>
                <w:sz w:val="22"/>
                <w:szCs w:val="22"/>
              </w:rPr>
            </w:pPr>
            <w:r w:rsidRPr="00260518">
              <w:rPr>
                <w:b/>
                <w:color w:val="000000"/>
                <w:sz w:val="22"/>
                <w:szCs w:val="22"/>
              </w:rPr>
              <w:t>Rate</w:t>
            </w:r>
            <w:r w:rsidRPr="00260518" w:rsidR="00380703">
              <w:rPr>
                <w:b/>
                <w:color w:val="000000"/>
                <w:sz w:val="22"/>
                <w:szCs w:val="22"/>
              </w:rPr>
              <w:t xml:space="preserve"> $</w:t>
            </w:r>
          </w:p>
        </w:tc>
        <w:tc>
          <w:tcPr>
            <w:tcW w:w="1440" w:type="dxa"/>
            <w:gridSpan w:val="2"/>
            <w:tcBorders>
              <w:top w:val="single" w:color="auto" w:sz="4" w:space="0"/>
              <w:bottom w:val="single" w:color="auto" w:sz="4" w:space="0"/>
              <w:right w:val="single" w:color="auto" w:sz="4" w:space="0"/>
            </w:tcBorders>
            <w:shd w:val="clear" w:color="auto" w:fill="auto"/>
            <w:vAlign w:val="bottom"/>
          </w:tcPr>
          <w:p w:rsidRPr="00260518" w:rsidR="00A92D0B" w:rsidP="004A6FD4" w:rsidRDefault="00A92D0B" w14:paraId="104D7982" w14:textId="77777777">
            <w:pPr>
              <w:keepNext/>
              <w:spacing w:before="60" w:after="60"/>
              <w:jc w:val="center"/>
              <w:rPr>
                <w:b/>
                <w:color w:val="000000"/>
                <w:sz w:val="22"/>
                <w:szCs w:val="22"/>
              </w:rPr>
            </w:pPr>
            <w:r w:rsidRPr="00260518">
              <w:rPr>
                <w:b/>
                <w:color w:val="000000"/>
                <w:sz w:val="22"/>
                <w:szCs w:val="22"/>
              </w:rPr>
              <w:t>Basis for Rate*</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4A6FD4" w:rsidRDefault="00A92D0B"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B72D49" w:rsidRDefault="00A92D0B" w14:paraId="0409143B" w14:textId="77777777">
            <w:pPr>
              <w:keepNext/>
              <w:spacing w:before="60" w:after="60"/>
              <w:jc w:val="center"/>
              <w:rPr>
                <w:b/>
                <w:color w:val="000000"/>
                <w:sz w:val="22"/>
                <w:szCs w:val="22"/>
              </w:rPr>
            </w:pPr>
            <w:r w:rsidRPr="00260518">
              <w:rPr>
                <w:b/>
                <w:color w:val="000000"/>
                <w:sz w:val="22"/>
                <w:szCs w:val="22"/>
              </w:rPr>
              <w:t>Hours</w:t>
            </w:r>
          </w:p>
        </w:tc>
        <w:tc>
          <w:tcPr>
            <w:tcW w:w="1132" w:type="dxa"/>
            <w:tcBorders>
              <w:top w:val="single" w:color="auto" w:sz="4" w:space="0"/>
            </w:tcBorders>
            <w:shd w:val="clear" w:color="auto" w:fill="auto"/>
            <w:vAlign w:val="bottom"/>
          </w:tcPr>
          <w:p w:rsidRPr="00260518" w:rsidR="00A92D0B" w:rsidP="00B72D49" w:rsidRDefault="00A92D0B" w14:paraId="6B59BB80" w14:textId="2C791D8E">
            <w:pPr>
              <w:keepNext/>
              <w:spacing w:before="60" w:after="60"/>
              <w:jc w:val="center"/>
              <w:rPr>
                <w:b/>
                <w:color w:val="000000"/>
                <w:sz w:val="22"/>
                <w:szCs w:val="22"/>
              </w:rPr>
            </w:pPr>
            <w:r w:rsidRPr="00260518">
              <w:rPr>
                <w:b/>
                <w:color w:val="000000"/>
                <w:sz w:val="22"/>
                <w:szCs w:val="22"/>
              </w:rPr>
              <w:t xml:space="preserve">Rate </w:t>
            </w:r>
            <w:r w:rsidR="00B17005">
              <w:rPr>
                <w:b/>
                <w:color w:val="000000"/>
                <w:sz w:val="22"/>
                <w:szCs w:val="22"/>
              </w:rPr>
              <w:t>$</w:t>
            </w:r>
          </w:p>
        </w:tc>
        <w:tc>
          <w:tcPr>
            <w:tcW w:w="2065" w:type="dxa"/>
            <w:tcBorders>
              <w:top w:val="single" w:color="auto" w:sz="4" w:space="0"/>
            </w:tcBorders>
            <w:shd w:val="clear" w:color="auto" w:fill="auto"/>
            <w:vAlign w:val="bottom"/>
          </w:tcPr>
          <w:p w:rsidRPr="00260518" w:rsidR="00A92D0B" w:rsidP="004A6FD4" w:rsidRDefault="00A92D0B" w14:paraId="6C7B13CF" w14:textId="77777777">
            <w:pPr>
              <w:keepNext/>
              <w:spacing w:before="60" w:after="60"/>
              <w:jc w:val="center"/>
              <w:rPr>
                <w:b/>
                <w:color w:val="000000"/>
                <w:sz w:val="22"/>
                <w:szCs w:val="22"/>
              </w:rPr>
            </w:pPr>
            <w:r w:rsidRPr="00260518">
              <w:rPr>
                <w:b/>
                <w:color w:val="000000"/>
                <w:sz w:val="22"/>
                <w:szCs w:val="22"/>
              </w:rPr>
              <w:t>Total $</w:t>
            </w:r>
          </w:p>
        </w:tc>
      </w:tr>
      <w:tr w:rsidRPr="00260518" w:rsidR="00230B00" w:rsidTr="003B1EFF" w14:paraId="24BA2BFA" w14:textId="77777777">
        <w:trPr>
          <w:gridAfter w:val="1"/>
          <w:wAfter w:w="12" w:type="dxa"/>
          <w:jc w:val="center"/>
        </w:trPr>
        <w:tc>
          <w:tcPr>
            <w:tcW w:w="1795" w:type="dxa"/>
            <w:tcBorders>
              <w:top w:val="single" w:color="auto" w:sz="4" w:space="0"/>
              <w:bottom w:val="single" w:color="auto" w:sz="4" w:space="0"/>
            </w:tcBorders>
            <w:shd w:val="clear" w:color="auto" w:fill="auto"/>
            <w:vAlign w:val="bottom"/>
          </w:tcPr>
          <w:p w:rsidRPr="003B1EFF" w:rsidR="00230B00" w:rsidP="004A6FD4" w:rsidRDefault="003B1BBE" w14:paraId="29F63D05" w14:textId="71BD6790">
            <w:pPr>
              <w:keepNext/>
              <w:spacing w:before="60" w:after="60"/>
              <w:jc w:val="center"/>
              <w:rPr>
                <w:b/>
                <w:color w:val="000000"/>
              </w:rPr>
            </w:pPr>
            <w:r w:rsidRPr="003B1EFF">
              <w:rPr>
                <w:color w:val="000000"/>
              </w:rPr>
              <w:t xml:space="preserve">Hayley Goodson, </w:t>
            </w:r>
            <w:r w:rsidRPr="003B1EFF">
              <w:rPr>
                <w:color w:val="000000"/>
              </w:rPr>
              <w:br/>
              <w:t>TURN Attorney</w:t>
            </w:r>
            <w:bookmarkStart w:name="_Ref169525528" w:id="0"/>
            <w:r w:rsidRPr="005C1711" w:rsidR="00A82884">
              <w:rPr>
                <w:rStyle w:val="FootnoteReference"/>
                <w:bCs/>
                <w:color w:val="000000"/>
              </w:rPr>
              <w:footnoteReference w:id="10"/>
            </w:r>
            <w:bookmarkEnd w:id="0"/>
          </w:p>
        </w:tc>
        <w:tc>
          <w:tcPr>
            <w:tcW w:w="720" w:type="dxa"/>
            <w:tcBorders>
              <w:top w:val="single" w:color="auto" w:sz="4" w:space="0"/>
              <w:bottom w:val="single" w:color="auto" w:sz="4" w:space="0"/>
            </w:tcBorders>
            <w:shd w:val="clear" w:color="auto" w:fill="auto"/>
            <w:vAlign w:val="bottom"/>
          </w:tcPr>
          <w:p w:rsidRPr="003B1EFF" w:rsidR="00230B00" w:rsidP="004A6FD4" w:rsidRDefault="003B1BBE" w14:paraId="668FB1A5" w14:textId="45C1ED78">
            <w:pPr>
              <w:keepNext/>
              <w:spacing w:before="60" w:after="60"/>
              <w:jc w:val="center"/>
              <w:rPr>
                <w:bCs/>
                <w:color w:val="000000"/>
              </w:rPr>
            </w:pPr>
            <w:r w:rsidRPr="003B1EFF">
              <w:rPr>
                <w:bCs/>
                <w:color w:val="000000"/>
              </w:rPr>
              <w:t>2023</w:t>
            </w:r>
            <w:r w:rsidRPr="003B1EFF" w:rsidR="00F94DFB">
              <w:rPr>
                <w:bCs/>
                <w:color w:val="000000"/>
              </w:rPr>
              <w:fldChar w:fldCharType="begin"/>
            </w:r>
            <w:r w:rsidRPr="003B1EFF" w:rsidR="00F94DFB">
              <w:rPr>
                <w:bCs/>
                <w:color w:val="000000"/>
              </w:rPr>
              <w:instrText xml:space="preserve"> NOTEREF _Ref169525528 \f \h </w:instrText>
            </w:r>
            <w:r w:rsidRPr="003B1EFF" w:rsidR="00E323A0">
              <w:rPr>
                <w:bCs/>
                <w:color w:val="000000"/>
              </w:rPr>
              <w:instrText xml:space="preserve"> \* MERGEFORMAT </w:instrText>
            </w:r>
            <w:r w:rsidRPr="003B1EFF" w:rsidR="00F94DFB">
              <w:rPr>
                <w:bCs/>
                <w:color w:val="000000"/>
              </w:rPr>
            </w:r>
            <w:r w:rsidRPr="003B1EFF" w:rsidR="00F94DFB">
              <w:rPr>
                <w:bCs/>
                <w:color w:val="000000"/>
              </w:rPr>
              <w:fldChar w:fldCharType="separate"/>
            </w:r>
            <w:r w:rsidRPr="00A97185" w:rsidR="00F94DFB">
              <w:rPr>
                <w:rStyle w:val="FootnoteReference"/>
              </w:rPr>
              <w:t>11</w:t>
            </w:r>
            <w:r w:rsidRPr="003B1EFF" w:rsidR="00F94DFB">
              <w:rPr>
                <w:bCs/>
                <w:color w:val="000000"/>
              </w:rPr>
              <w:fldChar w:fldCharType="end"/>
            </w:r>
          </w:p>
        </w:tc>
        <w:tc>
          <w:tcPr>
            <w:tcW w:w="900" w:type="dxa"/>
            <w:gridSpan w:val="2"/>
            <w:tcBorders>
              <w:top w:val="single" w:color="auto" w:sz="4" w:space="0"/>
              <w:bottom w:val="single" w:color="auto" w:sz="4" w:space="0"/>
            </w:tcBorders>
            <w:shd w:val="clear" w:color="auto" w:fill="auto"/>
            <w:vAlign w:val="bottom"/>
          </w:tcPr>
          <w:p w:rsidRPr="003B1EFF" w:rsidR="008F4619" w:rsidP="004A6FD4" w:rsidRDefault="000927C0" w14:paraId="319EF610" w14:textId="48A8435E">
            <w:pPr>
              <w:keepNext/>
              <w:spacing w:before="60" w:after="60"/>
              <w:jc w:val="center"/>
              <w:rPr>
                <w:bCs/>
                <w:color w:val="000000"/>
              </w:rPr>
            </w:pPr>
            <w:r w:rsidRPr="003B1EFF">
              <w:rPr>
                <w:bCs/>
                <w:color w:val="000000"/>
              </w:rPr>
              <w:t>1.00</w:t>
            </w:r>
            <w:r w:rsidRPr="00121552" w:rsidR="001C0650">
              <w:rPr>
                <w:bCs/>
                <w:color w:val="000000"/>
                <w:sz w:val="22"/>
                <w:szCs w:val="22"/>
              </w:rPr>
              <w:fldChar w:fldCharType="begin"/>
            </w:r>
            <w:r w:rsidRPr="003B1EFF" w:rsidR="001C0650">
              <w:rPr>
                <w:bCs/>
                <w:color w:val="000000"/>
              </w:rPr>
              <w:instrText xml:space="preserve"> NOTEREF _Ref169525528 \f \h </w:instrText>
            </w:r>
            <w:r w:rsidRPr="003B1EFF" w:rsidR="00E323A0">
              <w:rPr>
                <w:bCs/>
                <w:color w:val="000000"/>
              </w:rPr>
              <w:instrText xml:space="preserve"> \* MERGEFORMAT </w:instrText>
            </w:r>
            <w:r w:rsidRPr="00121552" w:rsidR="001C0650">
              <w:rPr>
                <w:bCs/>
                <w:color w:val="000000"/>
                <w:sz w:val="22"/>
                <w:szCs w:val="22"/>
              </w:rPr>
            </w:r>
            <w:r w:rsidRPr="00121552" w:rsidR="001C0650">
              <w:rPr>
                <w:bCs/>
                <w:color w:val="000000"/>
                <w:sz w:val="22"/>
                <w:szCs w:val="22"/>
              </w:rPr>
              <w:fldChar w:fldCharType="separate"/>
            </w:r>
            <w:r w:rsidRPr="00A97185" w:rsidR="001C0650">
              <w:rPr>
                <w:rStyle w:val="FootnoteReference"/>
              </w:rPr>
              <w:t>11</w:t>
            </w:r>
            <w:r w:rsidRPr="00121552" w:rsidR="001C0650">
              <w:rPr>
                <w:bCs/>
                <w:color w:val="000000"/>
                <w:sz w:val="22"/>
                <w:szCs w:val="22"/>
              </w:rPr>
              <w:fldChar w:fldCharType="end"/>
            </w:r>
          </w:p>
        </w:tc>
        <w:tc>
          <w:tcPr>
            <w:tcW w:w="1080" w:type="dxa"/>
            <w:tcBorders>
              <w:top w:val="single" w:color="auto" w:sz="4" w:space="0"/>
              <w:bottom w:val="single" w:color="auto" w:sz="4" w:space="0"/>
            </w:tcBorders>
            <w:shd w:val="clear" w:color="auto" w:fill="auto"/>
            <w:vAlign w:val="bottom"/>
          </w:tcPr>
          <w:p w:rsidRPr="003B1EFF" w:rsidR="00230B00" w:rsidP="004A6FD4" w:rsidRDefault="00230B00" w14:paraId="3A52859A" w14:textId="7F9F4A70">
            <w:pPr>
              <w:keepNext/>
              <w:spacing w:before="60" w:after="60"/>
              <w:jc w:val="center"/>
              <w:rPr>
                <w:bCs/>
                <w:color w:val="000000"/>
              </w:rPr>
            </w:pPr>
          </w:p>
        </w:tc>
        <w:tc>
          <w:tcPr>
            <w:tcW w:w="1440" w:type="dxa"/>
            <w:gridSpan w:val="2"/>
            <w:tcBorders>
              <w:top w:val="single" w:color="auto" w:sz="4" w:space="0"/>
              <w:bottom w:val="single" w:color="auto" w:sz="4" w:space="0"/>
              <w:right w:val="single" w:color="auto" w:sz="4" w:space="0"/>
            </w:tcBorders>
            <w:shd w:val="clear" w:color="auto" w:fill="auto"/>
            <w:vAlign w:val="bottom"/>
          </w:tcPr>
          <w:p w:rsidRPr="003B1EFF" w:rsidR="00230B00" w:rsidP="00ED617C" w:rsidRDefault="00230B00" w14:paraId="0ADC2ADB" w14:textId="1CF7B874">
            <w:pPr>
              <w:keepNext/>
              <w:spacing w:before="60" w:after="60"/>
              <w:rPr>
                <w:bCs/>
                <w:color w:val="000000"/>
              </w:rPr>
            </w:pP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230B00" w:rsidP="004A6FD4" w:rsidRDefault="00230B00" w14:paraId="3B64D918" w14:textId="4C15AB5B">
            <w:pPr>
              <w:keepNext/>
              <w:spacing w:before="60" w:after="60"/>
              <w:jc w:val="center"/>
              <w:rPr>
                <w:bCs/>
                <w:color w:val="000000"/>
              </w:rPr>
            </w:pPr>
          </w:p>
        </w:tc>
        <w:tc>
          <w:tcPr>
            <w:tcW w:w="955" w:type="dxa"/>
            <w:tcBorders>
              <w:top w:val="single" w:color="auto" w:sz="4" w:space="0"/>
              <w:left w:val="single" w:color="auto" w:sz="4" w:space="0"/>
            </w:tcBorders>
            <w:shd w:val="clear" w:color="auto" w:fill="auto"/>
            <w:vAlign w:val="center"/>
          </w:tcPr>
          <w:p w:rsidR="00552949" w:rsidP="00B72D49" w:rsidRDefault="00552949" w14:paraId="02B70046" w14:textId="77777777">
            <w:pPr>
              <w:keepNext/>
              <w:spacing w:before="60" w:after="60"/>
              <w:jc w:val="center"/>
              <w:rPr>
                <w:bCs/>
                <w:color w:val="000000"/>
              </w:rPr>
            </w:pPr>
          </w:p>
          <w:p w:rsidR="00230B00" w:rsidP="00B72D49" w:rsidRDefault="00E16F10" w14:paraId="4A15C5C0" w14:textId="025E9CEE">
            <w:pPr>
              <w:keepNext/>
              <w:spacing w:before="60" w:after="60"/>
              <w:jc w:val="center"/>
              <w:rPr>
                <w:bCs/>
                <w:color w:val="000000"/>
              </w:rPr>
            </w:pPr>
            <w:r w:rsidRPr="00A97185">
              <w:rPr>
                <w:bCs/>
                <w:color w:val="000000"/>
              </w:rPr>
              <w:t>1.00</w:t>
            </w:r>
          </w:p>
          <w:p w:rsidRPr="00A97185" w:rsidR="004A3BC7" w:rsidP="00B72D49" w:rsidRDefault="004A3BC7" w14:paraId="26E936C7" w14:textId="550455F2">
            <w:pPr>
              <w:keepNext/>
              <w:spacing w:before="60" w:after="60"/>
              <w:jc w:val="center"/>
              <w:rPr>
                <w:bCs/>
                <w:color w:val="000000"/>
              </w:rPr>
            </w:pPr>
            <w:r>
              <w:rPr>
                <w:bCs/>
                <w:color w:val="000000"/>
              </w:rPr>
              <w:t>[</w:t>
            </w:r>
            <w:r w:rsidR="00516069">
              <w:rPr>
                <w:bCs/>
                <w:color w:val="000000"/>
              </w:rPr>
              <w:t>8</w:t>
            </w:r>
            <w:r>
              <w:rPr>
                <w:bCs/>
                <w:color w:val="000000"/>
              </w:rPr>
              <w:t>]</w:t>
            </w:r>
          </w:p>
        </w:tc>
        <w:tc>
          <w:tcPr>
            <w:tcW w:w="1132" w:type="dxa"/>
            <w:tcBorders>
              <w:top w:val="single" w:color="auto" w:sz="4" w:space="0"/>
            </w:tcBorders>
            <w:shd w:val="clear" w:color="auto" w:fill="auto"/>
            <w:vAlign w:val="center"/>
          </w:tcPr>
          <w:p w:rsidR="00552949" w:rsidP="00B72D49" w:rsidRDefault="00552949" w14:paraId="2D408FFC" w14:textId="77777777">
            <w:pPr>
              <w:keepNext/>
              <w:spacing w:before="60" w:after="60"/>
              <w:jc w:val="center"/>
              <w:rPr>
                <w:bCs/>
                <w:color w:val="000000"/>
              </w:rPr>
            </w:pPr>
          </w:p>
          <w:p w:rsidRPr="00A97185" w:rsidR="00230B00" w:rsidP="00B72D49" w:rsidRDefault="00311304" w14:paraId="043AF5F5" w14:textId="45CB8F2D">
            <w:pPr>
              <w:keepNext/>
              <w:spacing w:before="60" w:after="60"/>
              <w:jc w:val="center"/>
              <w:rPr>
                <w:bCs/>
                <w:color w:val="000000"/>
              </w:rPr>
            </w:pPr>
            <w:r w:rsidRPr="00A97185">
              <w:rPr>
                <w:bCs/>
                <w:color w:val="000000"/>
              </w:rPr>
              <w:t>$312.50</w:t>
            </w:r>
          </w:p>
          <w:p w:rsidRPr="00A97185" w:rsidR="00AE61E7" w:rsidP="00B72D49" w:rsidRDefault="00AE61E7" w14:paraId="5BE72797" w14:textId="3F300B1E">
            <w:pPr>
              <w:keepNext/>
              <w:spacing w:before="60" w:after="60"/>
              <w:jc w:val="center"/>
              <w:rPr>
                <w:bCs/>
                <w:color w:val="000000"/>
              </w:rPr>
            </w:pPr>
            <w:r w:rsidRPr="00A97185">
              <w:rPr>
                <w:bCs/>
                <w:color w:val="000000"/>
              </w:rPr>
              <w:t>[1]</w:t>
            </w:r>
          </w:p>
        </w:tc>
        <w:tc>
          <w:tcPr>
            <w:tcW w:w="2065" w:type="dxa"/>
            <w:tcBorders>
              <w:top w:val="single" w:color="auto" w:sz="4" w:space="0"/>
            </w:tcBorders>
            <w:shd w:val="clear" w:color="auto" w:fill="auto"/>
            <w:vAlign w:val="center"/>
          </w:tcPr>
          <w:p w:rsidRPr="00A97185" w:rsidR="00230B00" w:rsidP="004A6FD4" w:rsidRDefault="00ED617C" w14:paraId="4DE6A7A4" w14:textId="7CD2F5CD">
            <w:pPr>
              <w:keepNext/>
              <w:spacing w:before="60" w:after="60"/>
              <w:jc w:val="center"/>
              <w:rPr>
                <w:bCs/>
                <w:color w:val="000000"/>
              </w:rPr>
            </w:pPr>
            <w:r w:rsidRPr="00A97185">
              <w:rPr>
                <w:bCs/>
                <w:color w:val="000000"/>
              </w:rPr>
              <w:t>$</w:t>
            </w:r>
            <w:r w:rsidRPr="00A97185" w:rsidR="00E16F10">
              <w:rPr>
                <w:bCs/>
                <w:color w:val="000000"/>
              </w:rPr>
              <w:t>312.50</w:t>
            </w:r>
          </w:p>
        </w:tc>
      </w:tr>
      <w:tr w:rsidRPr="007F620E" w:rsidR="00EF1057" w:rsidTr="003B1EFF" w14:paraId="25086E67" w14:textId="77777777">
        <w:trPr>
          <w:gridAfter w:val="1"/>
          <w:wAfter w:w="12" w:type="dxa"/>
          <w:jc w:val="center"/>
        </w:trPr>
        <w:tc>
          <w:tcPr>
            <w:tcW w:w="1795" w:type="dxa"/>
            <w:shd w:val="clear" w:color="auto" w:fill="auto"/>
            <w:vAlign w:val="bottom"/>
          </w:tcPr>
          <w:p w:rsidRPr="003B1EFF" w:rsidR="00EF1057" w:rsidP="0023641D" w:rsidRDefault="00EF1057" w14:paraId="386D0995" w14:textId="7991F82A">
            <w:pPr>
              <w:rPr>
                <w:color w:val="000000"/>
              </w:rPr>
            </w:pPr>
            <w:r w:rsidRPr="003B1EFF">
              <w:rPr>
                <w:color w:val="000000"/>
              </w:rPr>
              <w:t xml:space="preserve">Hayley Goodson, </w:t>
            </w:r>
            <w:r w:rsidRPr="003B1EFF">
              <w:rPr>
                <w:color w:val="000000"/>
              </w:rPr>
              <w:br/>
              <w:t>TURN Attorney</w:t>
            </w:r>
          </w:p>
        </w:tc>
        <w:tc>
          <w:tcPr>
            <w:tcW w:w="720" w:type="dxa"/>
            <w:shd w:val="clear" w:color="auto" w:fill="auto"/>
            <w:vAlign w:val="bottom"/>
          </w:tcPr>
          <w:p w:rsidRPr="003B1EFF" w:rsidR="00EF1057" w:rsidP="0023641D" w:rsidRDefault="00EF1057" w14:paraId="4A155F1D" w14:textId="6FEA590B">
            <w:pPr>
              <w:jc w:val="center"/>
              <w:rPr>
                <w:color w:val="000000"/>
              </w:rPr>
            </w:pPr>
            <w:r w:rsidRPr="003B1EFF">
              <w:t>2024</w:t>
            </w:r>
          </w:p>
        </w:tc>
        <w:tc>
          <w:tcPr>
            <w:tcW w:w="900" w:type="dxa"/>
            <w:gridSpan w:val="2"/>
            <w:shd w:val="clear" w:color="auto" w:fill="auto"/>
            <w:vAlign w:val="bottom"/>
          </w:tcPr>
          <w:p w:rsidRPr="003B1EFF" w:rsidR="00EF1057" w:rsidP="0023641D" w:rsidRDefault="00E60FB2" w14:paraId="30EEA80A" w14:textId="45D898DA">
            <w:pPr>
              <w:jc w:val="center"/>
              <w:rPr>
                <w:color w:val="000000"/>
              </w:rPr>
            </w:pPr>
            <w:r w:rsidRPr="003B1EFF">
              <w:t>10</w:t>
            </w:r>
            <w:r w:rsidRPr="003B1EFF" w:rsidR="00EF1057">
              <w:t>.75</w:t>
            </w:r>
            <w:r w:rsidR="00F346F4">
              <w:rPr>
                <w:rStyle w:val="FootnoteReference"/>
              </w:rPr>
              <w:footnoteReference w:id="11"/>
            </w:r>
          </w:p>
        </w:tc>
        <w:tc>
          <w:tcPr>
            <w:tcW w:w="1080" w:type="dxa"/>
            <w:shd w:val="clear" w:color="auto" w:fill="auto"/>
            <w:vAlign w:val="bottom"/>
          </w:tcPr>
          <w:p w:rsidRPr="003B1EFF" w:rsidR="00EF1057" w:rsidP="0023641D" w:rsidRDefault="00EF1057" w14:paraId="4EB14C91" w14:textId="7491D604">
            <w:pPr>
              <w:rPr>
                <w:color w:val="000000"/>
              </w:rPr>
            </w:pPr>
            <w:r w:rsidRPr="003B1EFF">
              <w:t>$340.</w:t>
            </w:r>
            <w:r w:rsidRPr="003B1EFF" w:rsidR="008F306E">
              <w:t>0</w:t>
            </w:r>
            <w:r w:rsidRPr="003B1EFF">
              <w:t>0</w:t>
            </w:r>
          </w:p>
        </w:tc>
        <w:tc>
          <w:tcPr>
            <w:tcW w:w="1440" w:type="dxa"/>
            <w:gridSpan w:val="2"/>
            <w:tcBorders>
              <w:right w:val="single" w:color="auto" w:sz="4" w:space="0"/>
            </w:tcBorders>
            <w:shd w:val="clear" w:color="auto" w:fill="auto"/>
            <w:vAlign w:val="bottom"/>
          </w:tcPr>
          <w:p w:rsidRPr="003B1EFF" w:rsidR="00EF1057" w:rsidP="0023641D" w:rsidRDefault="00EF1057" w14:paraId="02D334B7" w14:textId="206F9712">
            <w:pPr>
              <w:rPr>
                <w:color w:val="000000"/>
              </w:rPr>
            </w:pPr>
            <w:r w:rsidRPr="003B1EFF">
              <w:rPr>
                <w:color w:val="000000"/>
              </w:rPr>
              <w:t xml:space="preserve">1/2 of rate </w:t>
            </w:r>
            <w:r w:rsidRPr="003B1EFF" w:rsidR="0023641D">
              <w:rPr>
                <w:color w:val="000000"/>
              </w:rPr>
              <w:t>r</w:t>
            </w:r>
            <w:r w:rsidRPr="003B1EFF">
              <w:rPr>
                <w:color w:val="000000"/>
              </w:rPr>
              <w:t>equested for 2024 (See Comment #1 - Res. ALJ-393, 2023 Rate + 4.1% COLA, 5% step increase)</w:t>
            </w:r>
          </w:p>
        </w:tc>
        <w:tc>
          <w:tcPr>
            <w:tcW w:w="124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3B1EFF" w:rsidR="00EF1057" w:rsidP="0023641D" w:rsidRDefault="00EF1057" w14:paraId="7B9A0261" w14:textId="15040155">
            <w:pPr>
              <w:jc w:val="right"/>
              <w:rPr>
                <w:color w:val="000000"/>
              </w:rPr>
            </w:pPr>
            <w:r w:rsidRPr="003B1EFF">
              <w:t>$</w:t>
            </w:r>
            <w:r w:rsidRPr="003B1EFF" w:rsidR="00E60FB2">
              <w:t>3,655</w:t>
            </w:r>
            <w:r w:rsidRPr="003B1EFF">
              <w:t>.00</w:t>
            </w:r>
            <w:r w:rsidR="004D2A4A">
              <w:rPr>
                <w:rStyle w:val="FootnoteReference"/>
              </w:rPr>
              <w:footnoteReference w:id="12"/>
            </w:r>
          </w:p>
        </w:tc>
        <w:tc>
          <w:tcPr>
            <w:tcW w:w="955" w:type="dxa"/>
            <w:tcBorders>
              <w:left w:val="single" w:color="auto" w:sz="4" w:space="0"/>
              <w:right w:val="single" w:color="auto" w:sz="4" w:space="0"/>
            </w:tcBorders>
            <w:shd w:val="clear" w:color="auto" w:fill="auto"/>
            <w:vAlign w:val="center"/>
          </w:tcPr>
          <w:p w:rsidR="00552949" w:rsidP="0020218B" w:rsidRDefault="00552949" w14:paraId="25EAC0E9" w14:textId="77777777">
            <w:pPr>
              <w:jc w:val="center"/>
              <w:rPr>
                <w:color w:val="000000"/>
              </w:rPr>
            </w:pPr>
          </w:p>
          <w:p w:rsidR="00EF1057" w:rsidP="0020218B" w:rsidRDefault="00145FB9" w14:paraId="714CCB43" w14:textId="274890E1">
            <w:pPr>
              <w:jc w:val="center"/>
              <w:rPr>
                <w:color w:val="000000"/>
              </w:rPr>
            </w:pPr>
            <w:r w:rsidRPr="00A97185">
              <w:rPr>
                <w:color w:val="000000"/>
              </w:rPr>
              <w:t>9.75</w:t>
            </w:r>
          </w:p>
          <w:p w:rsidRPr="00A97185" w:rsidR="004A3BC7" w:rsidP="0020218B" w:rsidRDefault="004A3BC7" w14:paraId="5E5A4264" w14:textId="20A350DA">
            <w:pPr>
              <w:jc w:val="center"/>
              <w:rPr>
                <w:color w:val="000000"/>
              </w:rPr>
            </w:pPr>
            <w:r>
              <w:rPr>
                <w:color w:val="000000"/>
              </w:rPr>
              <w:t>[</w:t>
            </w:r>
            <w:r w:rsidR="00516069">
              <w:rPr>
                <w:color w:val="000000"/>
              </w:rPr>
              <w:t>8</w:t>
            </w:r>
            <w:r>
              <w:rPr>
                <w:color w:val="000000"/>
              </w:rPr>
              <w:t>]</w:t>
            </w:r>
          </w:p>
        </w:tc>
        <w:tc>
          <w:tcPr>
            <w:tcW w:w="1132" w:type="dxa"/>
            <w:tcBorders>
              <w:left w:val="single" w:color="auto" w:sz="4" w:space="0"/>
            </w:tcBorders>
            <w:shd w:val="clear" w:color="auto" w:fill="auto"/>
            <w:vAlign w:val="center"/>
          </w:tcPr>
          <w:p w:rsidRPr="00A97185" w:rsidR="00EF1057" w:rsidP="0020218B" w:rsidRDefault="00EF1057" w14:paraId="0022D25A" w14:textId="77777777">
            <w:pPr>
              <w:jc w:val="center"/>
              <w:rPr>
                <w:color w:val="000000"/>
              </w:rPr>
            </w:pPr>
          </w:p>
          <w:p w:rsidRPr="00A97185" w:rsidR="00157A1B" w:rsidP="0020218B" w:rsidRDefault="00157A1B" w14:paraId="5148360D" w14:textId="77777777">
            <w:pPr>
              <w:jc w:val="center"/>
              <w:rPr>
                <w:color w:val="000000"/>
              </w:rPr>
            </w:pPr>
            <w:r w:rsidRPr="00A97185">
              <w:rPr>
                <w:color w:val="000000"/>
              </w:rPr>
              <w:t>$340.00</w:t>
            </w:r>
          </w:p>
          <w:p w:rsidRPr="00A97185" w:rsidR="00FC3C3F" w:rsidP="0020218B" w:rsidRDefault="00FC3C3F" w14:paraId="47B1F089" w14:textId="76286948">
            <w:pPr>
              <w:jc w:val="center"/>
              <w:rPr>
                <w:color w:val="000000"/>
              </w:rPr>
            </w:pPr>
            <w:r w:rsidRPr="00A97185">
              <w:rPr>
                <w:color w:val="000000"/>
              </w:rPr>
              <w:t>[</w:t>
            </w:r>
            <w:r w:rsidRPr="00A97185" w:rsidR="00094748">
              <w:rPr>
                <w:color w:val="000000"/>
              </w:rPr>
              <w:t>1</w:t>
            </w:r>
            <w:r w:rsidRPr="00A97185">
              <w:rPr>
                <w:color w:val="000000"/>
              </w:rPr>
              <w:t>]</w:t>
            </w:r>
          </w:p>
        </w:tc>
        <w:tc>
          <w:tcPr>
            <w:tcW w:w="2065" w:type="dxa"/>
            <w:shd w:val="clear" w:color="auto" w:fill="auto"/>
            <w:vAlign w:val="center"/>
          </w:tcPr>
          <w:p w:rsidRPr="00A97185" w:rsidR="00EC6934" w:rsidP="0020218B" w:rsidRDefault="009D5E44" w14:paraId="10659B6D" w14:textId="3E5FA112">
            <w:pPr>
              <w:jc w:val="center"/>
              <w:rPr>
                <w:color w:val="000000"/>
              </w:rPr>
            </w:pPr>
            <w:r w:rsidRPr="00A97185">
              <w:rPr>
                <w:color w:val="000000"/>
              </w:rPr>
              <w:t>$3,315.00</w:t>
            </w:r>
          </w:p>
        </w:tc>
      </w:tr>
      <w:tr w:rsidRPr="007F620E" w:rsidR="00E15DC3" w:rsidTr="000B0858"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374FD1" w:rsidR="00E15DC3" w:rsidP="003B6A1B" w:rsidRDefault="00E15DC3" w14:paraId="4A1F5988" w14:textId="6E1CB55A">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48428F">
              <w:rPr>
                <w:b/>
                <w:i/>
                <w:color w:val="000000"/>
              </w:rPr>
              <w:t>3,655</w:t>
            </w:r>
            <w:r w:rsidR="00EF1057">
              <w:rPr>
                <w:b/>
                <w:i/>
                <w:color w:val="000000"/>
              </w:rPr>
              <w:t>.00</w:t>
            </w:r>
            <w:r w:rsidR="003F2A99">
              <w:rPr>
                <w:rStyle w:val="FootnoteReference"/>
                <w:b/>
                <w:i/>
                <w:color w:val="000000"/>
              </w:rPr>
              <w:footnoteReference w:id="13"/>
            </w:r>
          </w:p>
        </w:tc>
        <w:tc>
          <w:tcPr>
            <w:tcW w:w="4164" w:type="dxa"/>
            <w:gridSpan w:val="4"/>
            <w:tcBorders>
              <w:left w:val="single" w:color="auto" w:sz="24" w:space="0"/>
              <w:bottom w:val="single" w:color="auto" w:sz="4" w:space="0"/>
            </w:tcBorders>
            <w:shd w:val="clear" w:color="auto" w:fill="auto"/>
            <w:vAlign w:val="bottom"/>
          </w:tcPr>
          <w:p w:rsidRPr="004E1EE3" w:rsidR="00E15DC3" w:rsidP="00691528" w:rsidRDefault="00E15DC3" w14:paraId="2FBAA587" w14:textId="305DAABF">
            <w:pPr>
              <w:tabs>
                <w:tab w:val="left" w:pos="957"/>
              </w:tabs>
              <w:spacing w:before="60" w:after="60"/>
              <w:ind w:right="162"/>
              <w:jc w:val="right"/>
              <w:rPr>
                <w:b/>
                <w:i/>
                <w:color w:val="000000"/>
              </w:rPr>
            </w:pPr>
            <w:r w:rsidRPr="004E1EE3">
              <w:rPr>
                <w:b/>
                <w:i/>
                <w:color w:val="000000"/>
              </w:rPr>
              <w:t xml:space="preserve">Subtotal: </w:t>
            </w:r>
            <w:r w:rsidRPr="004E1EE3" w:rsidR="000036BB">
              <w:rPr>
                <w:b/>
                <w:i/>
                <w:color w:val="000000"/>
              </w:rPr>
              <w:t>$3,627.50</w:t>
            </w:r>
          </w:p>
        </w:tc>
      </w:tr>
      <w:tr w:rsidRPr="007F620E" w:rsidR="003B6A1B" w:rsidTr="000B0858"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E35F63" w:rsidR="003B6A1B" w:rsidP="00FE3BAE" w:rsidRDefault="003B6A1B" w14:paraId="11B3B704" w14:textId="5AD3E9A1">
            <w:pPr>
              <w:tabs>
                <w:tab w:val="left" w:pos="957"/>
              </w:tabs>
              <w:spacing w:before="60" w:after="60"/>
              <w:ind w:right="72"/>
              <w:jc w:val="right"/>
              <w:rPr>
                <w:b/>
                <w:color w:val="000000"/>
              </w:rPr>
            </w:pPr>
            <w:r w:rsidRPr="00E35F63">
              <w:rPr>
                <w:b/>
                <w:i/>
                <w:color w:val="000000"/>
              </w:rPr>
              <w:t>TOTAL REQUEST: $</w:t>
            </w:r>
            <w:r w:rsidRPr="00E35F63" w:rsidR="0048428F">
              <w:rPr>
                <w:b/>
                <w:i/>
                <w:color w:val="000000"/>
              </w:rPr>
              <w:t>84,075</w:t>
            </w:r>
            <w:r w:rsidRPr="00E35F63" w:rsidR="00EF1057">
              <w:rPr>
                <w:b/>
                <w:i/>
                <w:color w:val="000000"/>
              </w:rPr>
              <w:t>.00</w:t>
            </w:r>
            <w:r w:rsidRPr="00E35F63" w:rsidR="00B63E97">
              <w:rPr>
                <w:rStyle w:val="FootnoteReference"/>
                <w:b/>
                <w:color w:val="000000"/>
              </w:rPr>
              <w:footnoteReference w:id="14"/>
            </w:r>
          </w:p>
        </w:tc>
        <w:tc>
          <w:tcPr>
            <w:tcW w:w="4164" w:type="dxa"/>
            <w:gridSpan w:val="4"/>
            <w:tcBorders>
              <w:left w:val="single" w:color="auto" w:sz="24" w:space="0"/>
            </w:tcBorders>
            <w:shd w:val="clear" w:color="auto" w:fill="E6E6E6"/>
            <w:vAlign w:val="bottom"/>
          </w:tcPr>
          <w:p w:rsidRPr="004E1EE3" w:rsidR="003B6A1B" w:rsidP="00FE3BAE" w:rsidRDefault="003B6A1B" w14:paraId="3680D139" w14:textId="1598D2E8">
            <w:pPr>
              <w:tabs>
                <w:tab w:val="left" w:pos="957"/>
              </w:tabs>
              <w:spacing w:before="60" w:after="60"/>
              <w:ind w:right="72"/>
              <w:jc w:val="right"/>
              <w:rPr>
                <w:b/>
                <w:color w:val="000000"/>
              </w:rPr>
            </w:pPr>
            <w:r w:rsidRPr="004E1EE3">
              <w:rPr>
                <w:b/>
                <w:i/>
                <w:color w:val="000000"/>
              </w:rPr>
              <w:t xml:space="preserve">TOTAL AWARD: </w:t>
            </w:r>
            <w:r w:rsidRPr="004E1EE3" w:rsidR="006068D7">
              <w:rPr>
                <w:b/>
                <w:i/>
                <w:color w:val="000000"/>
              </w:rPr>
              <w:t>$</w:t>
            </w:r>
            <w:r w:rsidR="00527B09">
              <w:rPr>
                <w:b/>
                <w:i/>
                <w:color w:val="000000"/>
              </w:rPr>
              <w:t>104,179.25</w:t>
            </w:r>
          </w:p>
        </w:tc>
      </w:tr>
      <w:tr w:rsidRPr="007F620E" w:rsidR="003B6A1B" w:rsidTr="000B0858" w14:paraId="6A909BC1" w14:textId="77777777">
        <w:trPr>
          <w:jc w:val="center"/>
        </w:trPr>
        <w:tc>
          <w:tcPr>
            <w:tcW w:w="11342" w:type="dxa"/>
            <w:gridSpan w:val="13"/>
            <w:tcBorders>
              <w:top w:val="single" w:color="auto" w:sz="4" w:space="0"/>
              <w:bottom w:val="single" w:color="auto" w:sz="4" w:space="0"/>
            </w:tcBorders>
            <w:shd w:val="clear" w:color="auto" w:fill="auto"/>
          </w:tcPr>
          <w:p w:rsidRPr="00E35F63" w:rsidR="003B6A1B" w:rsidP="00D075B1" w:rsidRDefault="003B6A1B" w14:paraId="6F39872E" w14:textId="77777777">
            <w:pPr>
              <w:spacing w:before="60" w:after="60"/>
              <w:rPr>
                <w:color w:val="000000"/>
              </w:rPr>
            </w:pPr>
            <w:r w:rsidRPr="00E35F63">
              <w:rPr>
                <w:color w:val="000000"/>
              </w:rPr>
              <w:t xml:space="preserve">  *We remind all intervenors that Commission staff may audit </w:t>
            </w:r>
            <w:r w:rsidRPr="00E35F63">
              <w:t>the records and books of the intervenors to the extent necessary to verify the basis for the award (§1804(d)).  I</w:t>
            </w:r>
            <w:r w:rsidRPr="00E35F63">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E35F63" w:rsidR="003B6A1B" w:rsidP="00963EEF" w:rsidRDefault="003B6A1B" w14:paraId="0D03EC65" w14:textId="77777777">
            <w:pPr>
              <w:spacing w:before="60" w:after="60"/>
              <w:rPr>
                <w:color w:val="000000"/>
              </w:rPr>
            </w:pPr>
            <w:r w:rsidRPr="00E35F63">
              <w:rPr>
                <w:color w:val="000000"/>
              </w:rPr>
              <w:t>**Travel and Reasonable Claim preparation time are typically compensated at ½ of preparer’s normal hourly rate</w:t>
            </w:r>
            <w:r w:rsidRPr="00E35F63" w:rsidDel="00D075B1">
              <w:rPr>
                <w:color w:val="000000"/>
              </w:rPr>
              <w:t xml:space="preserve"> </w:t>
            </w:r>
          </w:p>
        </w:tc>
      </w:tr>
      <w:tr w:rsidRPr="007F620E" w:rsidR="003B6A1B" w:rsidTr="000B0858" w14:paraId="458B01A4" w14:textId="77777777">
        <w:trPr>
          <w:jc w:val="center"/>
        </w:trPr>
        <w:tc>
          <w:tcPr>
            <w:tcW w:w="11342"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B6A1B" w:rsidP="004A6FD4" w:rsidRDefault="003B6A1B" w14:paraId="48B43CBD" w14:textId="7284B425">
            <w:pPr>
              <w:keepNext/>
              <w:spacing w:before="60" w:after="60"/>
              <w:jc w:val="center"/>
              <w:rPr>
                <w:b/>
                <w:smallCaps/>
                <w:color w:val="000000"/>
              </w:rPr>
            </w:pPr>
            <w:r w:rsidRPr="007F620E">
              <w:rPr>
                <w:b/>
                <w:smallCaps/>
                <w:color w:val="000000"/>
              </w:rPr>
              <w:lastRenderedPageBreak/>
              <w:t>ATTORNEY INFORMATION</w:t>
            </w:r>
            <w:r w:rsidR="000420BB">
              <w:rPr>
                <w:rStyle w:val="FootnoteReference"/>
                <w:b/>
                <w:smallCaps/>
                <w:color w:val="000000"/>
              </w:rPr>
              <w:footnoteReference w:id="15"/>
            </w:r>
          </w:p>
        </w:tc>
      </w:tr>
      <w:tr w:rsidRPr="00C16981" w:rsidR="003B6A1B" w:rsidTr="000B0858"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3B6A1B" w:rsidP="00E775D0" w:rsidRDefault="003B6A1B"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3B6A1B" w:rsidP="00E775D0" w:rsidRDefault="003B6A1B"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16"/>
            </w:r>
          </w:p>
        </w:tc>
        <w:tc>
          <w:tcPr>
            <w:tcW w:w="2291" w:type="dxa"/>
            <w:gridSpan w:val="2"/>
            <w:tcBorders>
              <w:top w:val="single" w:color="auto" w:sz="4" w:space="0"/>
              <w:bottom w:val="single" w:color="auto" w:sz="4" w:space="0"/>
            </w:tcBorders>
            <w:shd w:val="clear" w:color="auto" w:fill="FFFFFF"/>
            <w:vAlign w:val="bottom"/>
          </w:tcPr>
          <w:p w:rsidRPr="00C16981" w:rsidR="003B6A1B" w:rsidP="00E775D0" w:rsidRDefault="003B6A1B" w14:paraId="27E64ED7" w14:textId="77777777">
            <w:pPr>
              <w:keepNext/>
              <w:keepLines/>
              <w:spacing w:before="60" w:after="60"/>
              <w:jc w:val="center"/>
              <w:rPr>
                <w:b/>
                <w:color w:val="000000"/>
                <w:sz w:val="22"/>
                <w:szCs w:val="22"/>
              </w:rPr>
            </w:pPr>
            <w:r w:rsidRPr="00C16981">
              <w:rPr>
                <w:b/>
                <w:sz w:val="22"/>
                <w:szCs w:val="22"/>
              </w:rPr>
              <w:t>Member Number</w:t>
            </w:r>
          </w:p>
        </w:tc>
        <w:tc>
          <w:tcPr>
            <w:tcW w:w="4450" w:type="dxa"/>
            <w:gridSpan w:val="5"/>
            <w:tcBorders>
              <w:top w:val="single" w:color="auto" w:sz="4" w:space="0"/>
              <w:bottom w:val="single" w:color="auto" w:sz="4" w:space="0"/>
            </w:tcBorders>
            <w:shd w:val="clear" w:color="auto" w:fill="FFFFFF"/>
            <w:vAlign w:val="bottom"/>
          </w:tcPr>
          <w:p w:rsidRPr="00C16981" w:rsidR="003B6A1B" w:rsidP="00E775D0" w:rsidRDefault="003B6A1B" w14:paraId="496B5DC1" w14:textId="77777777">
            <w:pPr>
              <w:keepNext/>
              <w:keepLines/>
              <w:spacing w:before="60" w:after="60"/>
              <w:jc w:val="center"/>
              <w:rPr>
                <w:b/>
                <w:sz w:val="22"/>
                <w:szCs w:val="22"/>
              </w:rPr>
            </w:pPr>
            <w:r w:rsidRPr="00C16981">
              <w:rPr>
                <w:b/>
                <w:sz w:val="22"/>
                <w:szCs w:val="22"/>
              </w:rPr>
              <w:t>Actions Affecting Eligibility (Yes/No?)</w:t>
            </w:r>
          </w:p>
          <w:p w:rsidR="003B6A1B" w:rsidP="00E775D0" w:rsidRDefault="003B6A1B" w14:paraId="054B9FAF" w14:textId="77777777">
            <w:pPr>
              <w:keepNext/>
              <w:keepLines/>
              <w:spacing w:before="60" w:after="60"/>
              <w:jc w:val="center"/>
              <w:rPr>
                <w:b/>
                <w:sz w:val="22"/>
                <w:szCs w:val="22"/>
              </w:rPr>
            </w:pPr>
            <w:r w:rsidRPr="00C16981">
              <w:rPr>
                <w:b/>
                <w:sz w:val="22"/>
                <w:szCs w:val="22"/>
              </w:rPr>
              <w:t>If “Yes”, attach explanation</w:t>
            </w:r>
          </w:p>
          <w:p w:rsidRPr="00C16981" w:rsidR="002F74AA" w:rsidP="00E775D0" w:rsidRDefault="002F74AA" w14:paraId="36F8922D" w14:textId="77777777">
            <w:pPr>
              <w:keepNext/>
              <w:keepLines/>
              <w:spacing w:before="60" w:after="60"/>
              <w:jc w:val="center"/>
              <w:rPr>
                <w:b/>
                <w:color w:val="000000"/>
                <w:sz w:val="22"/>
                <w:szCs w:val="22"/>
              </w:rPr>
            </w:pPr>
          </w:p>
        </w:tc>
      </w:tr>
      <w:tr w:rsidRPr="007F620E" w:rsidR="006362FE" w:rsidTr="000B0858"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0420BB" w:rsidR="002F74AA" w:rsidP="00B507F8" w:rsidRDefault="00B507F8" w14:paraId="7266B7BF" w14:textId="786FCF49">
            <w:pPr>
              <w:keepLines/>
              <w:ind w:left="288" w:right="-144"/>
              <w:rPr>
                <w:color w:val="000000"/>
              </w:rPr>
            </w:pPr>
            <w:r>
              <w:rPr>
                <w:color w:val="000000"/>
              </w:rPr>
              <w:t>Hayley Goodson</w:t>
            </w:r>
          </w:p>
        </w:tc>
        <w:tc>
          <w:tcPr>
            <w:tcW w:w="1909" w:type="dxa"/>
            <w:gridSpan w:val="3"/>
            <w:tcBorders>
              <w:top w:val="single" w:color="auto" w:sz="4" w:space="0"/>
              <w:bottom w:val="single" w:color="auto" w:sz="4" w:space="0"/>
            </w:tcBorders>
            <w:shd w:val="clear" w:color="auto" w:fill="auto"/>
            <w:vAlign w:val="bottom"/>
          </w:tcPr>
          <w:p w:rsidRPr="000420BB" w:rsidR="006362FE" w:rsidP="00B507F8" w:rsidRDefault="006362FE" w14:paraId="69A41F15" w14:textId="23E02399">
            <w:pPr>
              <w:keepLines/>
              <w:ind w:left="288" w:right="-144"/>
              <w:rPr>
                <w:color w:val="000000"/>
              </w:rPr>
            </w:pPr>
            <w:r w:rsidRPr="000420BB">
              <w:t>Dec</w:t>
            </w:r>
            <w:r w:rsidR="0061084E">
              <w:t xml:space="preserve"> </w:t>
            </w:r>
            <w:r w:rsidR="001D10F9">
              <w:t xml:space="preserve"> </w:t>
            </w:r>
            <w:r w:rsidRPr="000420BB">
              <w:t>2003</w:t>
            </w:r>
          </w:p>
        </w:tc>
        <w:tc>
          <w:tcPr>
            <w:tcW w:w="2291" w:type="dxa"/>
            <w:gridSpan w:val="2"/>
            <w:tcBorders>
              <w:top w:val="single" w:color="auto" w:sz="4" w:space="0"/>
              <w:bottom w:val="single" w:color="auto" w:sz="4" w:space="0"/>
            </w:tcBorders>
            <w:shd w:val="clear" w:color="auto" w:fill="auto"/>
            <w:vAlign w:val="bottom"/>
          </w:tcPr>
          <w:p w:rsidRPr="000420BB" w:rsidR="006362FE" w:rsidP="00B507F8" w:rsidRDefault="006362FE" w14:paraId="58495CD7" w14:textId="428A2142">
            <w:pPr>
              <w:keepLines/>
              <w:ind w:left="288" w:right="-144"/>
              <w:jc w:val="center"/>
              <w:rPr>
                <w:color w:val="000000"/>
              </w:rPr>
            </w:pPr>
            <w:r w:rsidRPr="000420BB">
              <w:t>228535</w:t>
            </w:r>
          </w:p>
        </w:tc>
        <w:tc>
          <w:tcPr>
            <w:tcW w:w="4450" w:type="dxa"/>
            <w:gridSpan w:val="5"/>
            <w:tcBorders>
              <w:top w:val="single" w:color="auto" w:sz="4" w:space="0"/>
              <w:bottom w:val="single" w:color="auto" w:sz="4" w:space="0"/>
            </w:tcBorders>
            <w:shd w:val="clear" w:color="auto" w:fill="auto"/>
          </w:tcPr>
          <w:p w:rsidRPr="000420BB" w:rsidR="006362FE" w:rsidP="00B507F8" w:rsidRDefault="006362FE" w14:paraId="117B99BF" w14:textId="546A187D">
            <w:pPr>
              <w:keepLines/>
              <w:ind w:left="288" w:right="-144"/>
              <w:jc w:val="center"/>
              <w:rPr>
                <w:color w:val="000000"/>
              </w:rPr>
            </w:pPr>
            <w:r w:rsidRPr="000420BB">
              <w:rPr>
                <w:color w:val="000000"/>
              </w:rPr>
              <w:t>No</w:t>
            </w:r>
          </w:p>
        </w:tc>
      </w:tr>
      <w:tr w:rsidRPr="007F620E" w:rsidR="006362FE" w:rsidTr="000B0858"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0420BB" w:rsidR="002F74AA" w:rsidP="00B507F8" w:rsidRDefault="006362FE" w14:paraId="3D5F8F51" w14:textId="05323670">
            <w:pPr>
              <w:ind w:left="288" w:right="-144"/>
              <w:rPr>
                <w:color w:val="000000"/>
              </w:rPr>
            </w:pPr>
            <w:r w:rsidRPr="000420BB">
              <w:rPr>
                <w:color w:val="000000"/>
              </w:rPr>
              <w:t>Robert Finkelstein</w:t>
            </w:r>
          </w:p>
        </w:tc>
        <w:tc>
          <w:tcPr>
            <w:tcW w:w="1909" w:type="dxa"/>
            <w:gridSpan w:val="3"/>
            <w:tcBorders>
              <w:top w:val="single" w:color="auto" w:sz="4" w:space="0"/>
              <w:bottom w:val="single" w:color="auto" w:sz="4" w:space="0"/>
            </w:tcBorders>
            <w:shd w:val="clear" w:color="auto" w:fill="auto"/>
          </w:tcPr>
          <w:p w:rsidRPr="000420BB" w:rsidR="006362FE" w:rsidP="00B507F8" w:rsidRDefault="006362FE" w14:paraId="1609FC8E" w14:textId="7A9E3EE7">
            <w:pPr>
              <w:ind w:left="288" w:right="-144"/>
              <w:rPr>
                <w:color w:val="000000"/>
              </w:rPr>
            </w:pPr>
            <w:r w:rsidRPr="000420BB">
              <w:t>Jun</w:t>
            </w:r>
            <w:r w:rsidR="001D10F9">
              <w:t xml:space="preserve">  </w:t>
            </w:r>
            <w:r w:rsidRPr="000420BB">
              <w:t>1990</w:t>
            </w:r>
          </w:p>
        </w:tc>
        <w:tc>
          <w:tcPr>
            <w:tcW w:w="2291" w:type="dxa"/>
            <w:gridSpan w:val="2"/>
            <w:tcBorders>
              <w:top w:val="single" w:color="auto" w:sz="4" w:space="0"/>
              <w:bottom w:val="single" w:color="auto" w:sz="4" w:space="0"/>
            </w:tcBorders>
            <w:shd w:val="clear" w:color="auto" w:fill="auto"/>
          </w:tcPr>
          <w:p w:rsidRPr="000420BB" w:rsidR="006362FE" w:rsidP="00B507F8" w:rsidRDefault="006362FE" w14:paraId="182A9D2B" w14:textId="5E14C003">
            <w:pPr>
              <w:ind w:left="288" w:right="-144"/>
              <w:jc w:val="center"/>
              <w:rPr>
                <w:color w:val="000000"/>
              </w:rPr>
            </w:pPr>
            <w:r w:rsidRPr="000420BB">
              <w:t>146391</w:t>
            </w:r>
          </w:p>
        </w:tc>
        <w:tc>
          <w:tcPr>
            <w:tcW w:w="4450" w:type="dxa"/>
            <w:gridSpan w:val="5"/>
            <w:tcBorders>
              <w:top w:val="single" w:color="auto" w:sz="4" w:space="0"/>
              <w:bottom w:val="single" w:color="auto" w:sz="4" w:space="0"/>
            </w:tcBorders>
            <w:shd w:val="clear" w:color="auto" w:fill="auto"/>
          </w:tcPr>
          <w:p w:rsidRPr="000420BB" w:rsidR="006362FE" w:rsidP="00B507F8" w:rsidRDefault="006362FE" w14:paraId="35DC3C56" w14:textId="5BC4189D">
            <w:pPr>
              <w:ind w:left="288" w:right="-144"/>
              <w:jc w:val="center"/>
              <w:rPr>
                <w:color w:val="000000"/>
              </w:rPr>
            </w:pPr>
            <w:r w:rsidRPr="000420BB">
              <w:rPr>
                <w:color w:val="000000"/>
              </w:rPr>
              <w:t>No</w:t>
            </w:r>
          </w:p>
        </w:tc>
      </w:tr>
      <w:tr w:rsidRPr="007F620E" w:rsidR="006362FE" w:rsidTr="000B0858" w14:paraId="7F07FC1C" w14:textId="77777777">
        <w:trPr>
          <w:trHeight w:val="172"/>
          <w:jc w:val="center"/>
        </w:trPr>
        <w:tc>
          <w:tcPr>
            <w:tcW w:w="2692" w:type="dxa"/>
            <w:gridSpan w:val="3"/>
            <w:tcBorders>
              <w:top w:val="single" w:color="auto" w:sz="4" w:space="0"/>
              <w:bottom w:val="single" w:color="auto" w:sz="4" w:space="0"/>
            </w:tcBorders>
            <w:shd w:val="clear" w:color="auto" w:fill="auto"/>
          </w:tcPr>
          <w:p w:rsidRPr="000420BB" w:rsidR="002F74AA" w:rsidP="00B507F8" w:rsidRDefault="006362FE" w14:paraId="36EF5E6C" w14:textId="00ED3E02">
            <w:pPr>
              <w:ind w:left="288" w:right="-144"/>
              <w:rPr>
                <w:color w:val="000000"/>
              </w:rPr>
            </w:pPr>
            <w:r w:rsidRPr="000420BB">
              <w:rPr>
                <w:color w:val="000000"/>
              </w:rPr>
              <w:t>Marcel Hawiger</w:t>
            </w:r>
          </w:p>
        </w:tc>
        <w:tc>
          <w:tcPr>
            <w:tcW w:w="1909" w:type="dxa"/>
            <w:gridSpan w:val="3"/>
            <w:tcBorders>
              <w:top w:val="single" w:color="auto" w:sz="4" w:space="0"/>
              <w:bottom w:val="single" w:color="auto" w:sz="4" w:space="0"/>
            </w:tcBorders>
            <w:shd w:val="clear" w:color="auto" w:fill="auto"/>
          </w:tcPr>
          <w:p w:rsidRPr="000420BB" w:rsidR="006362FE" w:rsidP="00B507F8" w:rsidRDefault="006362FE" w14:paraId="1806366C" w14:textId="540C657D">
            <w:pPr>
              <w:ind w:left="288" w:right="-144"/>
              <w:rPr>
                <w:color w:val="000000"/>
              </w:rPr>
            </w:pPr>
            <w:r w:rsidRPr="000420BB">
              <w:t>Jan</w:t>
            </w:r>
            <w:r w:rsidR="001D10F9">
              <w:t xml:space="preserve">  1</w:t>
            </w:r>
            <w:r w:rsidRPr="000420BB">
              <w:t>998</w:t>
            </w:r>
          </w:p>
        </w:tc>
        <w:tc>
          <w:tcPr>
            <w:tcW w:w="2291" w:type="dxa"/>
            <w:gridSpan w:val="2"/>
            <w:tcBorders>
              <w:top w:val="single" w:color="auto" w:sz="4" w:space="0"/>
              <w:bottom w:val="single" w:color="auto" w:sz="4" w:space="0"/>
            </w:tcBorders>
            <w:shd w:val="clear" w:color="auto" w:fill="auto"/>
          </w:tcPr>
          <w:p w:rsidRPr="000420BB" w:rsidR="006362FE" w:rsidP="00B507F8" w:rsidRDefault="006362FE" w14:paraId="41627C5D" w14:textId="57F89604">
            <w:pPr>
              <w:ind w:left="288" w:right="-144"/>
              <w:jc w:val="center"/>
              <w:rPr>
                <w:color w:val="000000"/>
              </w:rPr>
            </w:pPr>
            <w:r w:rsidRPr="000420BB">
              <w:t>194244</w:t>
            </w:r>
          </w:p>
        </w:tc>
        <w:tc>
          <w:tcPr>
            <w:tcW w:w="4450" w:type="dxa"/>
            <w:gridSpan w:val="5"/>
            <w:tcBorders>
              <w:top w:val="single" w:color="auto" w:sz="4" w:space="0"/>
              <w:bottom w:val="single" w:color="auto" w:sz="4" w:space="0"/>
            </w:tcBorders>
            <w:shd w:val="clear" w:color="auto" w:fill="auto"/>
          </w:tcPr>
          <w:p w:rsidRPr="000420BB" w:rsidR="006362FE" w:rsidP="00B507F8" w:rsidRDefault="006362FE" w14:paraId="7A49DF49" w14:textId="1B4AF8E8">
            <w:pPr>
              <w:ind w:left="288" w:right="-144"/>
              <w:jc w:val="center"/>
              <w:rPr>
                <w:color w:val="000000"/>
              </w:rPr>
            </w:pPr>
            <w:r w:rsidRPr="000420BB">
              <w:rPr>
                <w:color w:val="000000"/>
              </w:rPr>
              <w:t>No</w:t>
            </w:r>
          </w:p>
        </w:tc>
      </w:tr>
      <w:tr w:rsidRPr="007F620E" w:rsidR="006362FE" w:rsidTr="000B0858" w14:paraId="7113F620" w14:textId="77777777">
        <w:trPr>
          <w:trHeight w:val="172"/>
          <w:jc w:val="center"/>
        </w:trPr>
        <w:tc>
          <w:tcPr>
            <w:tcW w:w="2692" w:type="dxa"/>
            <w:gridSpan w:val="3"/>
            <w:tcBorders>
              <w:top w:val="single" w:color="auto" w:sz="4" w:space="0"/>
              <w:bottom w:val="single" w:color="auto" w:sz="4" w:space="0"/>
            </w:tcBorders>
            <w:shd w:val="clear" w:color="auto" w:fill="auto"/>
          </w:tcPr>
          <w:p w:rsidRPr="000420BB" w:rsidR="002F74AA" w:rsidP="00B507F8" w:rsidRDefault="006362FE" w14:paraId="14634A43" w14:textId="2CDF6A5F">
            <w:pPr>
              <w:ind w:left="288" w:right="-144"/>
              <w:rPr>
                <w:color w:val="000000"/>
              </w:rPr>
            </w:pPr>
            <w:r w:rsidRPr="000420BB">
              <w:rPr>
                <w:color w:val="000000"/>
              </w:rPr>
              <w:t>Thomas Long</w:t>
            </w:r>
          </w:p>
        </w:tc>
        <w:tc>
          <w:tcPr>
            <w:tcW w:w="1909" w:type="dxa"/>
            <w:gridSpan w:val="3"/>
            <w:tcBorders>
              <w:top w:val="single" w:color="auto" w:sz="4" w:space="0"/>
              <w:bottom w:val="single" w:color="auto" w:sz="4" w:space="0"/>
            </w:tcBorders>
            <w:shd w:val="clear" w:color="auto" w:fill="auto"/>
          </w:tcPr>
          <w:p w:rsidRPr="000420BB" w:rsidR="006362FE" w:rsidP="00B507F8" w:rsidRDefault="006362FE" w14:paraId="4024A117" w14:textId="7276D068">
            <w:pPr>
              <w:ind w:left="288" w:right="-144"/>
              <w:rPr>
                <w:color w:val="000000"/>
              </w:rPr>
            </w:pPr>
            <w:r w:rsidRPr="000420BB">
              <w:t>Dec</w:t>
            </w:r>
            <w:r w:rsidR="001D10F9">
              <w:t xml:space="preserve"> </w:t>
            </w:r>
            <w:r w:rsidRPr="000420BB">
              <w:t>1986</w:t>
            </w:r>
          </w:p>
        </w:tc>
        <w:tc>
          <w:tcPr>
            <w:tcW w:w="2291" w:type="dxa"/>
            <w:gridSpan w:val="2"/>
            <w:tcBorders>
              <w:top w:val="single" w:color="auto" w:sz="4" w:space="0"/>
              <w:bottom w:val="single" w:color="auto" w:sz="4" w:space="0"/>
            </w:tcBorders>
            <w:shd w:val="clear" w:color="auto" w:fill="auto"/>
          </w:tcPr>
          <w:p w:rsidRPr="000420BB" w:rsidR="006362FE" w:rsidP="00B507F8" w:rsidRDefault="006362FE" w14:paraId="5844C466" w14:textId="506DAC44">
            <w:pPr>
              <w:ind w:left="288" w:right="-144"/>
              <w:jc w:val="center"/>
              <w:rPr>
                <w:color w:val="000000"/>
              </w:rPr>
            </w:pPr>
            <w:r w:rsidRPr="000420BB">
              <w:t>124776</w:t>
            </w:r>
          </w:p>
        </w:tc>
        <w:tc>
          <w:tcPr>
            <w:tcW w:w="4450" w:type="dxa"/>
            <w:gridSpan w:val="5"/>
            <w:tcBorders>
              <w:top w:val="single" w:color="auto" w:sz="4" w:space="0"/>
              <w:bottom w:val="single" w:color="auto" w:sz="4" w:space="0"/>
            </w:tcBorders>
            <w:shd w:val="clear" w:color="auto" w:fill="auto"/>
          </w:tcPr>
          <w:p w:rsidRPr="000420BB" w:rsidR="006362FE" w:rsidP="00B507F8" w:rsidRDefault="006362FE" w14:paraId="612F5D1C" w14:textId="0D6F6BF3">
            <w:pPr>
              <w:ind w:left="288" w:right="-144"/>
              <w:jc w:val="center"/>
              <w:rPr>
                <w:color w:val="000000"/>
              </w:rPr>
            </w:pPr>
            <w:r w:rsidRPr="000420BB">
              <w:rPr>
                <w:color w:val="000000"/>
              </w:rPr>
              <w:t>No</w:t>
            </w:r>
          </w:p>
        </w:tc>
      </w:tr>
      <w:tr w:rsidRPr="007F620E" w:rsidR="006362FE" w:rsidTr="000B0858" w14:paraId="2FC800A4" w14:textId="77777777">
        <w:trPr>
          <w:trHeight w:val="467"/>
          <w:jc w:val="center"/>
        </w:trPr>
        <w:tc>
          <w:tcPr>
            <w:tcW w:w="2692" w:type="dxa"/>
            <w:gridSpan w:val="3"/>
            <w:tcBorders>
              <w:top w:val="single" w:color="auto" w:sz="4" w:space="0"/>
              <w:bottom w:val="single" w:color="auto" w:sz="4" w:space="0"/>
            </w:tcBorders>
            <w:shd w:val="clear" w:color="auto" w:fill="auto"/>
          </w:tcPr>
          <w:p w:rsidRPr="000420BB" w:rsidR="006362FE" w:rsidP="00B507F8" w:rsidRDefault="006362FE" w14:paraId="28BFE181" w14:textId="41F150C3">
            <w:pPr>
              <w:ind w:left="288" w:right="-144"/>
              <w:rPr>
                <w:color w:val="000000"/>
              </w:rPr>
            </w:pPr>
            <w:r w:rsidRPr="000420BB">
              <w:rPr>
                <w:color w:val="000000"/>
              </w:rPr>
              <w:t>Elise Torres</w:t>
            </w:r>
          </w:p>
        </w:tc>
        <w:tc>
          <w:tcPr>
            <w:tcW w:w="1909" w:type="dxa"/>
            <w:gridSpan w:val="3"/>
            <w:tcBorders>
              <w:top w:val="single" w:color="auto" w:sz="4" w:space="0"/>
              <w:bottom w:val="single" w:color="auto" w:sz="4" w:space="0"/>
            </w:tcBorders>
            <w:shd w:val="clear" w:color="auto" w:fill="auto"/>
          </w:tcPr>
          <w:p w:rsidRPr="000420BB" w:rsidR="006362FE" w:rsidP="00B507F8" w:rsidRDefault="006362FE" w14:paraId="643AE9AD" w14:textId="39D24E23">
            <w:pPr>
              <w:ind w:left="288" w:right="-144"/>
              <w:rPr>
                <w:color w:val="000000"/>
              </w:rPr>
            </w:pPr>
            <w:r w:rsidRPr="000420BB">
              <w:t>Dec</w:t>
            </w:r>
            <w:r w:rsidR="001D10F9">
              <w:t xml:space="preserve">  </w:t>
            </w:r>
            <w:r w:rsidRPr="000420BB">
              <w:t>2011</w:t>
            </w:r>
          </w:p>
        </w:tc>
        <w:tc>
          <w:tcPr>
            <w:tcW w:w="2291" w:type="dxa"/>
            <w:gridSpan w:val="2"/>
            <w:tcBorders>
              <w:top w:val="single" w:color="auto" w:sz="4" w:space="0"/>
              <w:bottom w:val="single" w:color="auto" w:sz="4" w:space="0"/>
            </w:tcBorders>
            <w:shd w:val="clear" w:color="auto" w:fill="auto"/>
          </w:tcPr>
          <w:p w:rsidRPr="000420BB" w:rsidR="006362FE" w:rsidP="00B507F8" w:rsidRDefault="006362FE" w14:paraId="43238D8E" w14:textId="79B93084">
            <w:pPr>
              <w:ind w:left="288" w:right="-144"/>
              <w:jc w:val="center"/>
              <w:rPr>
                <w:color w:val="000000"/>
              </w:rPr>
            </w:pPr>
            <w:r w:rsidRPr="000420BB">
              <w:t>280443</w:t>
            </w:r>
          </w:p>
        </w:tc>
        <w:tc>
          <w:tcPr>
            <w:tcW w:w="4450" w:type="dxa"/>
            <w:gridSpan w:val="5"/>
            <w:tcBorders>
              <w:top w:val="single" w:color="auto" w:sz="4" w:space="0"/>
              <w:bottom w:val="single" w:color="auto" w:sz="4" w:space="0"/>
            </w:tcBorders>
            <w:shd w:val="clear" w:color="auto" w:fill="auto"/>
          </w:tcPr>
          <w:p w:rsidR="006362FE" w:rsidP="00B507F8" w:rsidRDefault="006362FE" w14:paraId="375EDD0A" w14:textId="77777777">
            <w:pPr>
              <w:ind w:left="288" w:right="-144"/>
              <w:jc w:val="center"/>
              <w:rPr>
                <w:color w:val="000000"/>
              </w:rPr>
            </w:pPr>
            <w:r w:rsidRPr="000420BB">
              <w:rPr>
                <w:color w:val="000000"/>
              </w:rPr>
              <w:t>No</w:t>
            </w:r>
          </w:p>
          <w:p w:rsidR="00E57AB4" w:rsidP="00B507F8" w:rsidRDefault="00E57AB4" w14:paraId="751EB9E9" w14:textId="77777777">
            <w:pPr>
              <w:ind w:left="288" w:right="-144"/>
              <w:jc w:val="center"/>
              <w:rPr>
                <w:color w:val="000000"/>
              </w:rPr>
            </w:pPr>
          </w:p>
          <w:p w:rsidR="00E57AB4" w:rsidP="00B507F8" w:rsidRDefault="00E57AB4" w14:paraId="44222CDA" w14:textId="77777777">
            <w:pPr>
              <w:ind w:left="288" w:right="-144"/>
              <w:jc w:val="center"/>
              <w:rPr>
                <w:color w:val="000000"/>
              </w:rPr>
            </w:pPr>
          </w:p>
          <w:p w:rsidR="00E57AB4" w:rsidP="00B507F8" w:rsidRDefault="00E57AB4" w14:paraId="48053AB2" w14:textId="77777777">
            <w:pPr>
              <w:ind w:left="288" w:right="-144"/>
              <w:jc w:val="center"/>
              <w:rPr>
                <w:color w:val="000000"/>
              </w:rPr>
            </w:pPr>
          </w:p>
          <w:p w:rsidRPr="000420BB" w:rsidR="00E57AB4" w:rsidP="00B507F8" w:rsidRDefault="00E57AB4" w14:paraId="45FA5627" w14:textId="691FB16A">
            <w:pPr>
              <w:ind w:left="288" w:right="-144"/>
              <w:jc w:val="center"/>
              <w:rPr>
                <w:color w:val="000000"/>
              </w:rPr>
            </w:pPr>
          </w:p>
        </w:tc>
      </w:tr>
    </w:tbl>
    <w:p w:rsidR="00A92D0B" w:rsidP="003E2DDD" w:rsidRDefault="00A92D0B" w14:paraId="04BC309E" w14:textId="03710C6F">
      <w:pPr>
        <w:keepNext/>
        <w:numPr>
          <w:ilvl w:val="0"/>
          <w:numId w:val="9"/>
        </w:numPr>
        <w:spacing w:before="240"/>
        <w:rPr>
          <w:b/>
          <w:color w:val="000000"/>
        </w:rPr>
      </w:pPr>
      <w:r w:rsidRPr="005B5B44">
        <w:rPr>
          <w:b/>
          <w:color w:val="000000"/>
        </w:rPr>
        <w:t>Attachments</w:t>
      </w:r>
      <w:r w:rsidRPr="007F620E">
        <w:rPr>
          <w:b/>
        </w:rPr>
        <w:t xml:space="preserve"> Documenting Specific Claim and Comments on Part III</w:t>
      </w:r>
      <w:r w:rsidR="003433A7">
        <w:rPr>
          <w:rStyle w:val="FootnoteReference"/>
          <w:b/>
        </w:rPr>
        <w:footnoteReference w:id="17"/>
      </w:r>
      <w:r w:rsidR="00C02649">
        <w:rPr>
          <w:b/>
        </w:rPr>
        <w:t>:</w:t>
      </w:r>
    </w:p>
    <w:p w:rsidRPr="003E2DDD" w:rsidR="003E2DDD" w:rsidP="00AA00B4" w:rsidRDefault="003E2DDD" w14:paraId="6E3AC9B1" w14:textId="77777777">
      <w:pPr>
        <w:keepNext/>
        <w:ind w:left="360"/>
        <w:rPr>
          <w:b/>
          <w:color w:val="000000"/>
        </w:rPr>
      </w:pPr>
    </w:p>
    <w:tbl>
      <w:tblPr>
        <w:tblW w:w="11160"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700"/>
        <w:gridCol w:w="8460"/>
      </w:tblGrid>
      <w:tr w:rsidRPr="007F620E" w:rsidR="00A92D0B" w:rsidTr="0023641D" w14:paraId="0C2B760A" w14:textId="77777777">
        <w:trPr>
          <w:tblHeader/>
        </w:trPr>
        <w:tc>
          <w:tcPr>
            <w:tcW w:w="2700"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Attachment or Comment  #</w:t>
            </w:r>
          </w:p>
        </w:tc>
        <w:tc>
          <w:tcPr>
            <w:tcW w:w="8460"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A92D0B" w:rsidTr="0023641D" w14:paraId="71F47148" w14:textId="77777777">
        <w:tc>
          <w:tcPr>
            <w:tcW w:w="2700" w:type="dxa"/>
            <w:tcBorders>
              <w:bottom w:val="single" w:color="auto" w:sz="4" w:space="0"/>
            </w:tcBorders>
            <w:shd w:val="clear" w:color="auto" w:fill="auto"/>
          </w:tcPr>
          <w:p w:rsidRPr="007F620E" w:rsidR="00A92D0B" w:rsidP="001A3CF3" w:rsidRDefault="00A63C99" w14:paraId="7A5C03D8" w14:textId="5424B382">
            <w:pPr>
              <w:tabs>
                <w:tab w:val="left" w:pos="1260"/>
              </w:tabs>
              <w:rPr>
                <w:color w:val="000000"/>
              </w:rPr>
            </w:pPr>
            <w:r>
              <w:rPr>
                <w:color w:val="000000"/>
              </w:rPr>
              <w:t xml:space="preserve">Attachment </w:t>
            </w:r>
            <w:r w:rsidRPr="007F620E" w:rsidR="00A92D0B">
              <w:rPr>
                <w:color w:val="000000"/>
              </w:rPr>
              <w:t>1</w:t>
            </w:r>
          </w:p>
        </w:tc>
        <w:tc>
          <w:tcPr>
            <w:tcW w:w="8460" w:type="dxa"/>
            <w:tcBorders>
              <w:bottom w:val="single" w:color="auto" w:sz="4" w:space="0"/>
            </w:tcBorders>
            <w:shd w:val="clear" w:color="auto" w:fill="auto"/>
          </w:tcPr>
          <w:p w:rsidRPr="001C0DD1" w:rsidR="00A92D0B" w:rsidP="001A3CF3" w:rsidRDefault="00A92D0B" w14:paraId="370C67BC" w14:textId="77777777">
            <w:pPr>
              <w:tabs>
                <w:tab w:val="left" w:pos="1260"/>
              </w:tabs>
              <w:rPr>
                <w:color w:val="000000"/>
              </w:rPr>
            </w:pPr>
            <w:r w:rsidRPr="001C0DD1">
              <w:rPr>
                <w:color w:val="000000"/>
              </w:rPr>
              <w:t>Certificate of Service</w:t>
            </w:r>
          </w:p>
        </w:tc>
      </w:tr>
      <w:tr w:rsidRPr="007F620E" w:rsidR="00A92D0B" w:rsidTr="0023641D" w14:paraId="72C869B0" w14:textId="77777777">
        <w:tc>
          <w:tcPr>
            <w:tcW w:w="2700" w:type="dxa"/>
            <w:shd w:val="clear" w:color="auto" w:fill="auto"/>
          </w:tcPr>
          <w:p w:rsidRPr="007F620E" w:rsidR="00A92D0B" w:rsidP="001A3CF3" w:rsidRDefault="00A63C99" w14:paraId="49AADD21" w14:textId="3F95E2BF">
            <w:pPr>
              <w:tabs>
                <w:tab w:val="left" w:pos="1260"/>
              </w:tabs>
              <w:rPr>
                <w:color w:val="000000"/>
              </w:rPr>
            </w:pPr>
            <w:r>
              <w:rPr>
                <w:color w:val="000000"/>
              </w:rPr>
              <w:t xml:space="preserve">Attachment </w:t>
            </w:r>
            <w:r w:rsidR="0022302F">
              <w:rPr>
                <w:color w:val="000000"/>
              </w:rPr>
              <w:t>2</w:t>
            </w:r>
          </w:p>
        </w:tc>
        <w:tc>
          <w:tcPr>
            <w:tcW w:w="8460" w:type="dxa"/>
            <w:shd w:val="clear" w:color="auto" w:fill="auto"/>
          </w:tcPr>
          <w:p w:rsidRPr="006362FE" w:rsidR="00A92D0B" w:rsidP="001A3CF3" w:rsidRDefault="006362FE" w14:paraId="3AF20C23" w14:textId="5A872B4C">
            <w:pPr>
              <w:tabs>
                <w:tab w:val="left" w:pos="1260"/>
              </w:tabs>
              <w:rPr>
                <w:bCs/>
                <w:color w:val="000000"/>
              </w:rPr>
            </w:pPr>
            <w:r w:rsidRPr="006362FE">
              <w:rPr>
                <w:bCs/>
                <w:color w:val="000000"/>
              </w:rPr>
              <w:t>TURN Hours</w:t>
            </w:r>
          </w:p>
        </w:tc>
      </w:tr>
      <w:tr w:rsidRPr="007F620E" w:rsidR="006362FE" w:rsidTr="0023641D" w14:paraId="3BF8954D" w14:textId="77777777">
        <w:tc>
          <w:tcPr>
            <w:tcW w:w="2700" w:type="dxa"/>
            <w:shd w:val="clear" w:color="auto" w:fill="auto"/>
          </w:tcPr>
          <w:p w:rsidR="006362FE" w:rsidP="001A3CF3" w:rsidRDefault="00A63C99" w14:paraId="56A60D9F" w14:textId="1D1E215A">
            <w:pPr>
              <w:tabs>
                <w:tab w:val="left" w:pos="1260"/>
              </w:tabs>
              <w:rPr>
                <w:color w:val="000000"/>
              </w:rPr>
            </w:pPr>
            <w:r>
              <w:rPr>
                <w:color w:val="000000"/>
              </w:rPr>
              <w:t xml:space="preserve">Attachment </w:t>
            </w:r>
            <w:r w:rsidR="006362FE">
              <w:rPr>
                <w:color w:val="000000"/>
              </w:rPr>
              <w:t>3</w:t>
            </w:r>
          </w:p>
        </w:tc>
        <w:tc>
          <w:tcPr>
            <w:tcW w:w="8460" w:type="dxa"/>
            <w:shd w:val="clear" w:color="auto" w:fill="auto"/>
          </w:tcPr>
          <w:p w:rsidRPr="006362FE" w:rsidR="006362FE" w:rsidP="001A3CF3" w:rsidRDefault="006362FE" w14:paraId="3B6565A1" w14:textId="0BCBACA8">
            <w:pPr>
              <w:tabs>
                <w:tab w:val="left" w:pos="1260"/>
              </w:tabs>
              <w:rPr>
                <w:bCs/>
                <w:color w:val="000000"/>
              </w:rPr>
            </w:pPr>
            <w:r w:rsidRPr="006362FE">
              <w:rPr>
                <w:bCs/>
                <w:color w:val="000000"/>
              </w:rPr>
              <w:t>Time Allocation by Issue</w:t>
            </w:r>
          </w:p>
        </w:tc>
      </w:tr>
      <w:tr w:rsidRPr="007F620E" w:rsidR="00A622F6" w:rsidTr="0023641D" w14:paraId="36B5E36A" w14:textId="77777777">
        <w:tc>
          <w:tcPr>
            <w:tcW w:w="2700" w:type="dxa"/>
            <w:tcBorders>
              <w:bottom w:val="single" w:color="auto" w:sz="4" w:space="0"/>
            </w:tcBorders>
            <w:shd w:val="clear" w:color="auto" w:fill="auto"/>
          </w:tcPr>
          <w:p w:rsidR="00A622F6" w:rsidP="001A3CF3" w:rsidRDefault="00A622F6" w14:paraId="4105FD76" w14:textId="512F4225">
            <w:pPr>
              <w:tabs>
                <w:tab w:val="left" w:pos="1260"/>
              </w:tabs>
              <w:rPr>
                <w:color w:val="000000"/>
              </w:rPr>
            </w:pPr>
            <w:r>
              <w:rPr>
                <w:color w:val="000000"/>
              </w:rPr>
              <w:t>Comment 1</w:t>
            </w:r>
          </w:p>
        </w:tc>
        <w:tc>
          <w:tcPr>
            <w:tcW w:w="8460" w:type="dxa"/>
            <w:tcBorders>
              <w:bottom w:val="single" w:color="auto" w:sz="4" w:space="0"/>
            </w:tcBorders>
            <w:shd w:val="clear" w:color="auto" w:fill="auto"/>
          </w:tcPr>
          <w:p w:rsidR="00A622F6" w:rsidP="00A622F6" w:rsidRDefault="00A622F6" w14:paraId="55FE4805" w14:textId="77777777">
            <w:pPr>
              <w:tabs>
                <w:tab w:val="left" w:pos="1260"/>
              </w:tabs>
              <w:rPr>
                <w:b/>
                <w:color w:val="000000"/>
              </w:rPr>
            </w:pPr>
            <w:r>
              <w:rPr>
                <w:b/>
                <w:color w:val="000000"/>
              </w:rPr>
              <w:t>2023 and 2024 Hourly Rates for TURN Attorney Hayley Goodson</w:t>
            </w:r>
          </w:p>
          <w:p w:rsidR="00A622F6" w:rsidP="00A622F6" w:rsidRDefault="00A622F6" w14:paraId="25114EAE" w14:textId="77777777">
            <w:pPr>
              <w:tabs>
                <w:tab w:val="left" w:pos="1260"/>
              </w:tabs>
              <w:rPr>
                <w:b/>
                <w:color w:val="000000"/>
              </w:rPr>
            </w:pPr>
          </w:p>
          <w:p w:rsidRPr="005E05E2" w:rsidR="00A622F6" w:rsidP="00A622F6" w:rsidRDefault="00A622F6" w14:paraId="24042947" w14:textId="77777777">
            <w:pPr>
              <w:rPr>
                <w:u w:val="single"/>
              </w:rPr>
            </w:pPr>
            <w:r w:rsidRPr="005E05E2">
              <w:rPr>
                <w:u w:val="single"/>
              </w:rPr>
              <w:t>2023</w:t>
            </w:r>
          </w:p>
          <w:p w:rsidR="00A622F6" w:rsidP="00A622F6" w:rsidRDefault="00A622F6" w14:paraId="4EB047E2" w14:textId="77777777"/>
          <w:p w:rsidR="00A622F6" w:rsidP="00A622F6" w:rsidRDefault="00A622F6" w14:paraId="5BC280B1" w14:textId="77777777">
            <w:r w:rsidRPr="00450C36">
              <w:t>TURN requests that the Commission adopt a 2023 hourly rate of $625 for TURN Attorney Hayley Goodson.  This rate is equal to the rate authorized by the Commission in D.23-01-015 for Ms. Goodson’s work in 2022, $570, adjusted by both the annual escalation methodology adopted in Resolution (Res.) ALJ-393 and the first 5% step increase for Ms. Goodson in the Attorney – Level V experience</w:t>
            </w:r>
            <w:r w:rsidRPr="002C754F">
              <w:t xml:space="preserve"> tier.</w:t>
            </w:r>
          </w:p>
          <w:p w:rsidR="00A622F6" w:rsidP="00A622F6" w:rsidRDefault="00A622F6" w14:paraId="4FCFED1A" w14:textId="77777777"/>
          <w:p w:rsidRPr="007D492F" w:rsidR="00A622F6" w:rsidP="00A622F6" w:rsidRDefault="00A622F6" w14:paraId="76C7E060" w14:textId="2C03769D">
            <w:r w:rsidRPr="007D492F">
              <w:t>Th</w:t>
            </w:r>
            <w:r>
              <w:t>e</w:t>
            </w:r>
            <w:r w:rsidRPr="007D492F">
              <w:t xml:space="preserve"> annual escalation methodology</w:t>
            </w:r>
            <w:r>
              <w:t xml:space="preserve"> adopted in Res. ALJ-393</w:t>
            </w:r>
            <w:r w:rsidRPr="007D492F">
              <w:t xml:space="preserve"> is based on the annual percentage change in the Bureau of Labor Statistics Employment Cost Index, Table 5, for the Occupational Group “Management, Professional, and Related excluding </w:t>
            </w:r>
            <w:r w:rsidRPr="007D492F">
              <w:lastRenderedPageBreak/>
              <w:t>Incentive Paid Occupations.”  (Res. ALJ-393, p. 4; Intervenor Compensation Market Rate Study, Final Report, p. 8).  The percent change for this occupational group for the 12-months ended December 20</w:t>
            </w:r>
            <w:r>
              <w:t>22</w:t>
            </w:r>
            <w:r w:rsidRPr="007D492F">
              <w:t xml:space="preserve"> is </w:t>
            </w:r>
            <w:r w:rsidRPr="00245113">
              <w:t>4.5%.</w:t>
            </w:r>
            <w:r w:rsidRPr="007D492F">
              <w:t xml:space="preserve">  </w:t>
            </w:r>
            <w:r w:rsidRPr="007D492F">
              <w:rPr>
                <w:i/>
                <w:iCs/>
              </w:rPr>
              <w:t xml:space="preserve">See </w:t>
            </w:r>
            <w:hyperlink w:history="1" r:id="rId11">
              <w:r w:rsidRPr="00072F59">
                <w:rPr>
                  <w:rStyle w:val="Hyperlink"/>
                  <w:i/>
                  <w:iCs/>
                </w:rPr>
                <w:t>https://www.bls.gov/news.release/eci.t05.htm</w:t>
              </w:r>
            </w:hyperlink>
            <w:r w:rsidRPr="007D492F">
              <w:t>.</w:t>
            </w:r>
            <w:r>
              <w:t xml:space="preserve">  </w:t>
            </w:r>
          </w:p>
          <w:p w:rsidRPr="007D492F" w:rsidR="00A622F6" w:rsidP="00A622F6" w:rsidRDefault="00A622F6" w14:paraId="6CF7AC39" w14:textId="77777777"/>
          <w:p w:rsidRPr="00450C36" w:rsidR="00A622F6" w:rsidP="00A622F6" w:rsidRDefault="00A622F6" w14:paraId="7496EF61" w14:textId="77777777">
            <w:r>
              <w:t>Res. ALJ-393 permits intervenor representatives to additionally claim up to two 5% annual “step increases</w:t>
            </w:r>
            <w:r w:rsidRPr="00450C36">
              <w:t xml:space="preserve">” within each labor role experience tier, as long as their final requested rate does not exceed the maximum approved rate for that experience level. (Res. ALJ-393, p. 5).  The maximum approved rate for an Attorney - Level V is $699 for work conducted in 2021, which escalates to $755 in 2023 by applying the 3.3% 2022 COLA and then the 4.5% 2023 COLA.  </w:t>
            </w:r>
          </w:p>
          <w:p w:rsidRPr="00450C36" w:rsidR="00A622F6" w:rsidP="00A622F6" w:rsidRDefault="00A622F6" w14:paraId="5D6A5300" w14:textId="77777777"/>
          <w:p w:rsidRPr="00450C36" w:rsidR="00A622F6" w:rsidP="00A622F6" w:rsidRDefault="00A622F6" w14:paraId="52FEFD17" w14:textId="77777777">
            <w:r w:rsidRPr="00450C36">
              <w:t>The requested 2023 rate for Ms. Goodson of $625 is well below the maximum 2023 rate for an Attorney – Level V.</w:t>
            </w:r>
          </w:p>
          <w:p w:rsidRPr="00450C36" w:rsidR="00A622F6" w:rsidP="00A622F6" w:rsidRDefault="00A622F6" w14:paraId="1B40503F" w14:textId="77777777"/>
          <w:p w:rsidRPr="00450C36" w:rsidR="00A622F6" w:rsidP="00A622F6" w:rsidRDefault="00A622F6" w14:paraId="0D534227" w14:textId="77777777">
            <w:pPr>
              <w:rPr>
                <w:u w:val="single"/>
              </w:rPr>
            </w:pPr>
            <w:r w:rsidRPr="00450C36">
              <w:rPr>
                <w:u w:val="single"/>
              </w:rPr>
              <w:t>2024</w:t>
            </w:r>
          </w:p>
          <w:p w:rsidRPr="00450C36" w:rsidR="00A622F6" w:rsidP="00A622F6" w:rsidRDefault="00A622F6" w14:paraId="4E1D8DA9" w14:textId="77777777"/>
          <w:p w:rsidR="00A622F6" w:rsidP="00A622F6" w:rsidRDefault="00A622F6" w14:paraId="5ED06EC6" w14:textId="4497AE5E">
            <w:r w:rsidRPr="00450C36">
              <w:t>For Ms. Goodson’s 2024 rate, TURN requests that the Commission adjust her 2023 rate by both the annual escalation methodology adopted in Resolution (Res.) ALJ-393 and the second 5% step increase for Ms. Goodson in the Attorney – Level V experience tier.  The annual escalation rate for the 12-months ended December</w:t>
            </w:r>
            <w:r w:rsidRPr="007D492F">
              <w:t xml:space="preserve"> 20</w:t>
            </w:r>
            <w:r>
              <w:t>23</w:t>
            </w:r>
            <w:r w:rsidRPr="007D492F">
              <w:t xml:space="preserve"> is </w:t>
            </w:r>
            <w:r w:rsidRPr="00245113">
              <w:t>4.</w:t>
            </w:r>
            <w:r>
              <w:t>1</w:t>
            </w:r>
            <w:r w:rsidRPr="00245113">
              <w:t>%.</w:t>
            </w:r>
            <w:r w:rsidRPr="007D492F">
              <w:t xml:space="preserve">  </w:t>
            </w:r>
            <w:r w:rsidRPr="007D492F">
              <w:rPr>
                <w:i/>
                <w:iCs/>
              </w:rPr>
              <w:t xml:space="preserve">See </w:t>
            </w:r>
            <w:hyperlink w:history="1" r:id="rId12">
              <w:r w:rsidRPr="00072F59">
                <w:rPr>
                  <w:rStyle w:val="Hyperlink"/>
                  <w:i/>
                  <w:iCs/>
                </w:rPr>
                <w:t>https://www.bls.gov/news.release/eci.t05.htm</w:t>
              </w:r>
            </w:hyperlink>
            <w:r w:rsidRPr="007D492F">
              <w:t>.</w:t>
            </w:r>
            <w:r>
              <w:t xml:space="preserve">  </w:t>
            </w:r>
          </w:p>
          <w:p w:rsidR="00A622F6" w:rsidP="00A622F6" w:rsidRDefault="00A622F6" w14:paraId="7D368EB9" w14:textId="77777777"/>
          <w:p w:rsidR="00A622F6" w:rsidP="00A622F6" w:rsidRDefault="00A622F6" w14:paraId="310E4585" w14:textId="77777777">
            <w:r>
              <w:t xml:space="preserve">If the Commission authorizes the requested rate of $625 for Ms. Goodson in 2023, Ms. Goodson’s 2024 rate would be $680, as shown below.  </w:t>
            </w:r>
          </w:p>
          <w:p w:rsidR="00A622F6" w:rsidP="00A622F6" w:rsidRDefault="00A622F6" w14:paraId="0B8DD1F7" w14:textId="77777777"/>
          <w:p w:rsidR="00A622F6" w:rsidP="00A622F6" w:rsidRDefault="00A622F6" w14:paraId="5ABCB19E" w14:textId="77777777">
            <w:r>
              <w:t>$625 * 1.091 = $681.88, which is $680 when rounded to the nearest $5.</w:t>
            </w:r>
          </w:p>
          <w:p w:rsidR="00A622F6" w:rsidP="00A622F6" w:rsidRDefault="00A622F6" w14:paraId="13F6DFC8" w14:textId="77777777"/>
          <w:p w:rsidR="00A622F6" w:rsidP="00A622F6" w:rsidRDefault="00A622F6" w14:paraId="00F3A5EC" w14:textId="77777777">
            <w:r>
              <w:t xml:space="preserve">This rate is well </w:t>
            </w:r>
            <w:r w:rsidRPr="00450C36">
              <w:t>below the maximum rate for an Attorney – Level V when the rate range is escalated to 2024 ($785.53).</w:t>
            </w:r>
            <w:r>
              <w:t xml:space="preserve">  </w:t>
            </w:r>
          </w:p>
          <w:p w:rsidRPr="006362FE" w:rsidR="00A622F6" w:rsidP="001A3CF3" w:rsidRDefault="00A622F6" w14:paraId="1DD95C47" w14:textId="77777777">
            <w:pPr>
              <w:tabs>
                <w:tab w:val="left" w:pos="1260"/>
              </w:tabs>
              <w:rPr>
                <w:bCs/>
                <w:color w:val="000000"/>
              </w:rPr>
            </w:pPr>
          </w:p>
        </w:tc>
      </w:tr>
      <w:tr w:rsidRPr="007F620E" w:rsidR="00A622F6" w:rsidTr="0023641D" w14:paraId="4E883EE5" w14:textId="77777777">
        <w:tc>
          <w:tcPr>
            <w:tcW w:w="2700" w:type="dxa"/>
            <w:shd w:val="clear" w:color="auto" w:fill="auto"/>
          </w:tcPr>
          <w:p w:rsidR="00A622F6" w:rsidP="001A3CF3" w:rsidRDefault="00A622F6" w14:paraId="34C5D824" w14:textId="3189A65C">
            <w:pPr>
              <w:tabs>
                <w:tab w:val="left" w:pos="1260"/>
              </w:tabs>
              <w:rPr>
                <w:color w:val="000000"/>
              </w:rPr>
            </w:pPr>
            <w:r>
              <w:rPr>
                <w:color w:val="000000"/>
              </w:rPr>
              <w:lastRenderedPageBreak/>
              <w:t>Comment 2</w:t>
            </w:r>
          </w:p>
        </w:tc>
        <w:tc>
          <w:tcPr>
            <w:tcW w:w="8460" w:type="dxa"/>
            <w:shd w:val="clear" w:color="auto" w:fill="auto"/>
          </w:tcPr>
          <w:p w:rsidRPr="00A63C99" w:rsidR="00A622F6" w:rsidP="00A622F6" w:rsidRDefault="00A622F6" w14:paraId="7BE241D6" w14:textId="77777777">
            <w:pPr>
              <w:tabs>
                <w:tab w:val="left" w:pos="1260"/>
              </w:tabs>
              <w:rPr>
                <w:b/>
                <w:color w:val="000000"/>
              </w:rPr>
            </w:pPr>
            <w:r w:rsidRPr="00A63C99">
              <w:rPr>
                <w:b/>
                <w:color w:val="000000"/>
              </w:rPr>
              <w:t>2023 Hourly Rate for Robert Finkelstein</w:t>
            </w:r>
          </w:p>
          <w:p w:rsidR="00A622F6" w:rsidP="00A622F6" w:rsidRDefault="00A622F6" w14:paraId="3204A37B" w14:textId="77777777">
            <w:pPr>
              <w:tabs>
                <w:tab w:val="left" w:pos="1260"/>
              </w:tabs>
              <w:rPr>
                <w:bCs/>
                <w:color w:val="000000"/>
              </w:rPr>
            </w:pPr>
          </w:p>
          <w:p w:rsidR="00A622F6" w:rsidP="00A622F6" w:rsidRDefault="00A622F6" w14:paraId="77007F5F" w14:textId="37B5BE4F">
            <w:r w:rsidRPr="00450C36">
              <w:t>TURN requests that the Commission adopt a 2023 hourly rate of $840 for Robert Finkelstein  This rate is equal to the rate authorized by the Commission in D.23-04-022 for his work in 2022, $805, adjusted by the annual escalation methodology adopted in Resolution (Res.) ALJ-393.</w:t>
            </w:r>
          </w:p>
          <w:p w:rsidR="00A622F6" w:rsidP="00A622F6" w:rsidRDefault="00A622F6" w14:paraId="6923499C" w14:textId="77777777"/>
          <w:p w:rsidR="00A622F6" w:rsidP="00A622F6" w:rsidRDefault="00A622F6" w14:paraId="09CBC74F" w14:textId="77777777">
            <w:r w:rsidRPr="007D492F">
              <w:t>Th</w:t>
            </w:r>
            <w:r>
              <w:t>e</w:t>
            </w:r>
            <w:r w:rsidRPr="007D492F">
              <w:t xml:space="preserve"> annual escalation methodology</w:t>
            </w:r>
            <w:r>
              <w:t xml:space="preserve"> adopted in Res. ALJ-393</w:t>
            </w:r>
            <w:r w:rsidRPr="007D492F">
              <w:t xml:space="preserve"> is based on the annual percentage change in the Bureau of Labor Statistics Employment Cost Index, Table 5, for the Occupational Group “Management, Professional, and Related excluding Incentive Paid Occupations.”  (Res. ALJ-393, p. 4; Intervenor Compensation Market </w:t>
            </w:r>
            <w:r w:rsidRPr="007D492F">
              <w:lastRenderedPageBreak/>
              <w:t>Rate Study, Final Report, p. 8).  The percent change for this occupational group for the 12-months ended December 20</w:t>
            </w:r>
            <w:r>
              <w:t>22</w:t>
            </w:r>
            <w:r w:rsidRPr="007D492F">
              <w:t xml:space="preserve"> is </w:t>
            </w:r>
            <w:r>
              <w:t>4.5</w:t>
            </w:r>
            <w:r w:rsidRPr="007D492F">
              <w:t xml:space="preserve">%.  </w:t>
            </w:r>
            <w:r>
              <w:t>The resulting 2023 rate for Mr. Finkelstein</w:t>
            </w:r>
            <w:r w:rsidRPr="00967180">
              <w:t xml:space="preserve"> is $</w:t>
            </w:r>
            <w:r>
              <w:t>840</w:t>
            </w:r>
            <w:r w:rsidRPr="00967180">
              <w:t>.</w:t>
            </w:r>
          </w:p>
          <w:p w:rsidR="00A622F6" w:rsidP="00A622F6" w:rsidRDefault="00A622F6" w14:paraId="2501BBA4" w14:textId="77777777">
            <w:pPr>
              <w:tabs>
                <w:tab w:val="left" w:pos="1260"/>
              </w:tabs>
              <w:rPr>
                <w:b/>
                <w:color w:val="000000"/>
              </w:rPr>
            </w:pPr>
          </w:p>
        </w:tc>
      </w:tr>
      <w:tr w:rsidRPr="007F620E" w:rsidR="00A622F6" w:rsidTr="0023641D" w14:paraId="62451347" w14:textId="77777777">
        <w:tc>
          <w:tcPr>
            <w:tcW w:w="2700" w:type="dxa"/>
            <w:shd w:val="clear" w:color="auto" w:fill="auto"/>
          </w:tcPr>
          <w:p w:rsidR="00A622F6" w:rsidP="001A3CF3" w:rsidRDefault="00A622F6" w14:paraId="097CB116" w14:textId="7FB9C235">
            <w:pPr>
              <w:tabs>
                <w:tab w:val="left" w:pos="1260"/>
              </w:tabs>
              <w:rPr>
                <w:color w:val="000000"/>
              </w:rPr>
            </w:pPr>
            <w:r>
              <w:rPr>
                <w:color w:val="000000"/>
              </w:rPr>
              <w:lastRenderedPageBreak/>
              <w:t>Comment 3</w:t>
            </w:r>
          </w:p>
        </w:tc>
        <w:tc>
          <w:tcPr>
            <w:tcW w:w="8460" w:type="dxa"/>
            <w:shd w:val="clear" w:color="auto" w:fill="auto"/>
          </w:tcPr>
          <w:p w:rsidRPr="00A63C99" w:rsidR="00A622F6" w:rsidP="00A622F6" w:rsidRDefault="00A622F6" w14:paraId="5B88AD91" w14:textId="77777777">
            <w:pPr>
              <w:tabs>
                <w:tab w:val="left" w:pos="1260"/>
              </w:tabs>
              <w:rPr>
                <w:b/>
                <w:color w:val="000000"/>
              </w:rPr>
            </w:pPr>
            <w:r w:rsidRPr="00A63C99">
              <w:rPr>
                <w:b/>
                <w:color w:val="000000"/>
              </w:rPr>
              <w:t>2023 Hourly Rate for Jennifer Dowdell</w:t>
            </w:r>
          </w:p>
          <w:p w:rsidR="00A622F6" w:rsidP="00A622F6" w:rsidRDefault="00A622F6" w14:paraId="25776ECA" w14:textId="77777777">
            <w:pPr>
              <w:tabs>
                <w:tab w:val="left" w:pos="1260"/>
              </w:tabs>
              <w:rPr>
                <w:bCs/>
                <w:color w:val="000000"/>
              </w:rPr>
            </w:pPr>
          </w:p>
          <w:p w:rsidRPr="009E641A" w:rsidR="00A622F6" w:rsidP="00A622F6" w:rsidRDefault="00A622F6" w14:paraId="71E2106C" w14:textId="77777777">
            <w:r w:rsidRPr="00450C36">
              <w:t>TURN requests that the Commission adopt a 2023 hourly rate of $455 for TURN Senior Energy Policy Expert Jennifer Dowdell.  This rate is equal to the rate authorized by the Commission in D.23-04-022 for Ms. Dowdell’s work in 2022, $415, adjusted by both the annual escalation methodology adopted in Resolution (Res.) ALJ-393 and the first 5% step increase for Ms. Dowdell in the Public Policy Analyst – Level IV experience tier.</w:t>
            </w:r>
          </w:p>
          <w:p w:rsidRPr="009E641A" w:rsidR="00A622F6" w:rsidP="00A622F6" w:rsidRDefault="00A622F6" w14:paraId="089D05A9" w14:textId="77777777"/>
          <w:p w:rsidRPr="009E641A" w:rsidR="00A622F6" w:rsidP="00A622F6" w:rsidRDefault="00A622F6" w14:paraId="0AEED2A1" w14:textId="0D95C709">
            <w:r w:rsidRPr="009E641A">
              <w:t xml:space="preserve">The annual escalation methodology adopted in Res. ALJ-393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the 12-months ended December 2022 is 4.5%.  </w:t>
            </w:r>
            <w:r w:rsidRPr="009E641A">
              <w:rPr>
                <w:i/>
                <w:iCs/>
              </w:rPr>
              <w:t xml:space="preserve">See </w:t>
            </w:r>
            <w:hyperlink w:history="1" r:id="rId13">
              <w:r w:rsidRPr="009E641A">
                <w:rPr>
                  <w:rStyle w:val="Hyperlink"/>
                  <w:i/>
                  <w:iCs/>
                </w:rPr>
                <w:t>https://www.bls.gov/news.release/eci.t05.htm</w:t>
              </w:r>
            </w:hyperlink>
            <w:r w:rsidRPr="009E641A">
              <w:t xml:space="preserve">.  </w:t>
            </w:r>
          </w:p>
          <w:p w:rsidRPr="009E641A" w:rsidR="00A622F6" w:rsidP="00A622F6" w:rsidRDefault="00A622F6" w14:paraId="071320BD" w14:textId="77777777"/>
          <w:p w:rsidR="00A622F6" w:rsidP="00A622F6" w:rsidRDefault="00A622F6" w14:paraId="03DBB99F" w14:textId="77777777">
            <w:r w:rsidRPr="009E641A">
              <w:t>Res. ALJ-393 permits intervenor representatives to additionally claim up to two 5% annual “step increases” within each labor role experience tier, as long as their final requested rate does not exceed the maximum approved rate for that experience level. (Res. ALJ-393, p. 5).  The maximum appr</w:t>
            </w:r>
            <w:r w:rsidRPr="00450C36">
              <w:t>oved rate for Public Policy Analyst – Level IV is $494 for work conducted in 2021,</w:t>
            </w:r>
            <w:r w:rsidRPr="009E641A">
              <w:t xml:space="preserve"> which escalates to $533 in 2023 by applying the 3.3% 2022 COLA and then the 4.5% 2023 COLA.</w:t>
            </w:r>
            <w:r>
              <w:t xml:space="preserve">  </w:t>
            </w:r>
          </w:p>
          <w:p w:rsidR="00A622F6" w:rsidP="00A622F6" w:rsidRDefault="00A622F6" w14:paraId="1F6CBCC4" w14:textId="77777777"/>
          <w:p w:rsidR="00A622F6" w:rsidP="00A622F6" w:rsidRDefault="00A622F6" w14:paraId="299260EE" w14:textId="77777777">
            <w:r>
              <w:t xml:space="preserve">The requested 2023 rate </w:t>
            </w:r>
            <w:r w:rsidRPr="009E641A">
              <w:t>for Ms. Dowdell of $455 is well</w:t>
            </w:r>
            <w:r>
              <w:t xml:space="preserve"> below the maximum 2023 rate for a </w:t>
            </w:r>
            <w:r w:rsidRPr="009E641A">
              <w:t>Public Policy Analyst – Level IV</w:t>
            </w:r>
            <w:r>
              <w:t>.</w:t>
            </w:r>
          </w:p>
          <w:p w:rsidRPr="00A63C99" w:rsidR="00A622F6" w:rsidP="00A622F6" w:rsidRDefault="00A622F6" w14:paraId="0FA25936" w14:textId="77777777">
            <w:pPr>
              <w:tabs>
                <w:tab w:val="left" w:pos="1260"/>
              </w:tabs>
              <w:rPr>
                <w:b/>
                <w:color w:val="000000"/>
              </w:rPr>
            </w:pPr>
          </w:p>
        </w:tc>
      </w:tr>
    </w:tbl>
    <w:p w:rsidRPr="009A1177" w:rsidR="00A92D0B" w:rsidP="005D0867" w:rsidRDefault="005E05E2" w14:paraId="0D8B7003" w14:textId="5AD33DFB">
      <w:pPr>
        <w:rPr>
          <w:b/>
          <w:bCs/>
          <w:i/>
          <w:color w:val="000000"/>
          <w:u w:val="single"/>
        </w:rPr>
      </w:pPr>
      <w:r>
        <w:br w:type="page"/>
      </w:r>
      <w:r w:rsidRPr="00212064" w:rsidR="001B0C7E">
        <w:rPr>
          <w:b/>
          <w:bCs/>
        </w:rPr>
        <w:lastRenderedPageBreak/>
        <w:t xml:space="preserve">D.  </w:t>
      </w:r>
      <w:r w:rsidRPr="009A1177" w:rsidR="001B0C7E">
        <w:rPr>
          <w:b/>
          <w:bCs/>
        </w:rPr>
        <w:t xml:space="preserve">CPUC </w:t>
      </w:r>
      <w:r w:rsidRPr="009A1177" w:rsidR="008C09F7">
        <w:rPr>
          <w:b/>
          <w:bCs/>
          <w:color w:val="000000"/>
        </w:rPr>
        <w:t xml:space="preserve">Comments, </w:t>
      </w:r>
      <w:r w:rsidRPr="009A1177" w:rsidR="00A92D0B">
        <w:rPr>
          <w:b/>
          <w:bCs/>
          <w:color w:val="000000"/>
        </w:rPr>
        <w:t>Disallowances</w:t>
      </w:r>
      <w:r w:rsidRPr="009A1177" w:rsidR="008C09F7">
        <w:rPr>
          <w:b/>
          <w:bCs/>
          <w:color w:val="000000"/>
        </w:rPr>
        <w:t>,</w:t>
      </w:r>
      <w:r w:rsidRPr="009A1177" w:rsidR="00D075B1">
        <w:rPr>
          <w:b/>
          <w:bCs/>
          <w:color w:val="000000"/>
        </w:rPr>
        <w:t xml:space="preserve"> </w:t>
      </w:r>
      <w:r w:rsidRPr="009A1177" w:rsidR="00A319DE">
        <w:rPr>
          <w:b/>
          <w:bCs/>
          <w:color w:val="000000"/>
        </w:rPr>
        <w:t>and</w:t>
      </w:r>
      <w:r w:rsidRPr="009A1177" w:rsidR="00D075B1">
        <w:rPr>
          <w:b/>
          <w:bCs/>
          <w:color w:val="000000"/>
        </w:rPr>
        <w:t xml:space="preserve"> </w:t>
      </w:r>
      <w:r w:rsidRPr="009A1177" w:rsidR="00A92D0B">
        <w:rPr>
          <w:b/>
          <w:bCs/>
          <w:color w:val="000000"/>
        </w:rPr>
        <w:t>Adjustments</w:t>
      </w:r>
    </w:p>
    <w:p w:rsidRPr="001B0C7E" w:rsidR="005D0867" w:rsidP="005D0867" w:rsidRDefault="005D0867" w14:paraId="531DEE70" w14:textId="77777777">
      <w:pPr>
        <w:rPr>
          <w:b/>
          <w:bCs/>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70"/>
        <w:gridCol w:w="7690"/>
      </w:tblGrid>
      <w:tr w:rsidRPr="007F620E" w:rsidR="00A92D0B" w:rsidTr="00E32ABE" w14:paraId="52CD0603" w14:textId="77777777">
        <w:trPr>
          <w:tblHeader/>
        </w:trPr>
        <w:tc>
          <w:tcPr>
            <w:tcW w:w="1670"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690"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E61E7" w:rsidTr="00E32ABE" w14:paraId="257F8BFC" w14:textId="77777777">
        <w:tc>
          <w:tcPr>
            <w:tcW w:w="1670" w:type="dxa"/>
            <w:shd w:val="clear" w:color="auto" w:fill="auto"/>
          </w:tcPr>
          <w:p w:rsidRPr="007F620E" w:rsidR="00F44E5D" w:rsidP="00AE61E7" w:rsidRDefault="00AE61E7" w14:paraId="583C5F30" w14:textId="2199A10E">
            <w:pPr>
              <w:tabs>
                <w:tab w:val="left" w:pos="1440"/>
              </w:tabs>
              <w:rPr>
                <w:color w:val="000000"/>
              </w:rPr>
            </w:pPr>
            <w:r>
              <w:rPr>
                <w:color w:val="000000"/>
              </w:rPr>
              <w:t>[1]</w:t>
            </w:r>
            <w:r w:rsidR="00F44E5D">
              <w:rPr>
                <w:color w:val="000000"/>
              </w:rPr>
              <w:t xml:space="preserve"> Goodson’s </w:t>
            </w:r>
            <w:r w:rsidR="00EF3662">
              <w:rPr>
                <w:color w:val="000000"/>
              </w:rPr>
              <w:t xml:space="preserve">2023, </w:t>
            </w:r>
            <w:r w:rsidR="00126833">
              <w:rPr>
                <w:color w:val="000000"/>
              </w:rPr>
              <w:t>&amp; 2024</w:t>
            </w:r>
            <w:r w:rsidR="00F44E5D">
              <w:rPr>
                <w:color w:val="000000"/>
              </w:rPr>
              <w:t xml:space="preserve"> Hours</w:t>
            </w:r>
          </w:p>
        </w:tc>
        <w:tc>
          <w:tcPr>
            <w:tcW w:w="7690" w:type="dxa"/>
            <w:shd w:val="clear" w:color="auto" w:fill="auto"/>
          </w:tcPr>
          <w:p w:rsidR="001D7C50" w:rsidP="00AE61E7" w:rsidRDefault="0074404F" w14:paraId="417E43E9" w14:textId="6171E537">
            <w:pPr>
              <w:tabs>
                <w:tab w:val="left" w:pos="1440"/>
              </w:tabs>
              <w:rPr>
                <w:color w:val="000000"/>
              </w:rPr>
            </w:pPr>
            <w:r>
              <w:rPr>
                <w:color w:val="000000"/>
              </w:rPr>
              <w:t xml:space="preserve">TURN requests </w:t>
            </w:r>
            <w:r w:rsidR="006570C3">
              <w:rPr>
                <w:color w:val="000000"/>
              </w:rPr>
              <w:t xml:space="preserve">we apply </w:t>
            </w:r>
            <w:r w:rsidR="00AA5AAE">
              <w:rPr>
                <w:color w:val="000000"/>
              </w:rPr>
              <w:t>an</w:t>
            </w:r>
            <w:r w:rsidR="006570C3">
              <w:rPr>
                <w:color w:val="000000"/>
              </w:rPr>
              <w:t xml:space="preserve"> escalation factor and step increase for </w:t>
            </w:r>
            <w:r w:rsidR="00535458">
              <w:rPr>
                <w:color w:val="000000"/>
              </w:rPr>
              <w:t xml:space="preserve">Goodson’s 2023 hourly rate. </w:t>
            </w:r>
            <w:r w:rsidRPr="00FA1CE4" w:rsidR="00AE61E7">
              <w:rPr>
                <w:color w:val="000000"/>
              </w:rPr>
              <w:t>D.24-02-040</w:t>
            </w:r>
            <w:r w:rsidR="00871752">
              <w:rPr>
                <w:color w:val="000000"/>
              </w:rPr>
              <w:t xml:space="preserve"> </w:t>
            </w:r>
            <w:r w:rsidRPr="00FA1CE4" w:rsidR="00AE61E7">
              <w:rPr>
                <w:color w:val="000000"/>
              </w:rPr>
              <w:t>approved a</w:t>
            </w:r>
            <w:r w:rsidR="004B63F9">
              <w:rPr>
                <w:color w:val="000000"/>
              </w:rPr>
              <w:t xml:space="preserve"> 2023 hourly</w:t>
            </w:r>
            <w:r w:rsidRPr="00FA1CE4" w:rsidR="00AE61E7">
              <w:rPr>
                <w:color w:val="000000"/>
              </w:rPr>
              <w:t xml:space="preserve"> rate</w:t>
            </w:r>
            <w:r w:rsidR="004B63F9">
              <w:rPr>
                <w:color w:val="000000"/>
              </w:rPr>
              <w:t xml:space="preserve"> of $</w:t>
            </w:r>
            <w:r w:rsidR="00B0174C">
              <w:rPr>
                <w:color w:val="000000"/>
              </w:rPr>
              <w:t>625</w:t>
            </w:r>
            <w:r w:rsidR="00C55C91">
              <w:rPr>
                <w:color w:val="000000"/>
              </w:rPr>
              <w:t>.00</w:t>
            </w:r>
            <w:r w:rsidR="00B0174C">
              <w:rPr>
                <w:color w:val="000000"/>
              </w:rPr>
              <w:t xml:space="preserve">, </w:t>
            </w:r>
            <w:r w:rsidR="006749DF">
              <w:rPr>
                <w:color w:val="000000"/>
              </w:rPr>
              <w:t>which</w:t>
            </w:r>
            <w:r w:rsidRPr="00FA1CE4" w:rsidR="00AE61E7">
              <w:rPr>
                <w:color w:val="000000"/>
              </w:rPr>
              <w:t xml:space="preserve"> included </w:t>
            </w:r>
            <w:r w:rsidR="00B0174C">
              <w:rPr>
                <w:color w:val="000000"/>
              </w:rPr>
              <w:t>the</w:t>
            </w:r>
            <w:r w:rsidRPr="00FA1CE4" w:rsidR="00AE61E7">
              <w:rPr>
                <w:color w:val="000000"/>
              </w:rPr>
              <w:t xml:space="preserve"> 2023 escalation factor </w:t>
            </w:r>
            <w:r w:rsidR="007F347A">
              <w:rPr>
                <w:color w:val="000000"/>
              </w:rPr>
              <w:t xml:space="preserve">of 4.46% </w:t>
            </w:r>
            <w:r w:rsidRPr="00FA1CE4" w:rsidR="00AE61E7">
              <w:rPr>
                <w:color w:val="000000"/>
              </w:rPr>
              <w:t xml:space="preserve">and </w:t>
            </w:r>
            <w:r w:rsidR="007F347A">
              <w:rPr>
                <w:color w:val="000000"/>
              </w:rPr>
              <w:t xml:space="preserve">5% </w:t>
            </w:r>
            <w:r w:rsidRPr="00FA1CE4" w:rsidR="00AE61E7">
              <w:rPr>
                <w:color w:val="000000"/>
              </w:rPr>
              <w:t>step increase</w:t>
            </w:r>
            <w:r w:rsidR="00B0174C">
              <w:rPr>
                <w:color w:val="000000"/>
              </w:rPr>
              <w:t xml:space="preserve">. </w:t>
            </w:r>
            <w:r w:rsidR="002842C4">
              <w:rPr>
                <w:color w:val="000000"/>
              </w:rPr>
              <w:t>We apply</w:t>
            </w:r>
            <w:r w:rsidRPr="001C60D3" w:rsidR="002842C4">
              <w:rPr>
                <w:color w:val="000000"/>
              </w:rPr>
              <w:t xml:space="preserve"> ½ of </w:t>
            </w:r>
            <w:r w:rsidR="002842C4">
              <w:rPr>
                <w:color w:val="000000"/>
              </w:rPr>
              <w:t>Goodson</w:t>
            </w:r>
            <w:r w:rsidRPr="001C60D3" w:rsidR="002842C4">
              <w:rPr>
                <w:color w:val="000000"/>
              </w:rPr>
              <w:t xml:space="preserve">’s </w:t>
            </w:r>
            <w:r w:rsidR="002842C4">
              <w:rPr>
                <w:color w:val="000000"/>
              </w:rPr>
              <w:t>2023</w:t>
            </w:r>
            <w:r w:rsidRPr="001C60D3" w:rsidR="002842C4">
              <w:rPr>
                <w:color w:val="000000"/>
              </w:rPr>
              <w:t xml:space="preserve"> rate of $</w:t>
            </w:r>
            <w:r w:rsidR="00857D53">
              <w:rPr>
                <w:color w:val="000000"/>
              </w:rPr>
              <w:t>625</w:t>
            </w:r>
            <w:r w:rsidR="002842C4">
              <w:rPr>
                <w:color w:val="000000"/>
              </w:rPr>
              <w:t>.00</w:t>
            </w:r>
            <w:r w:rsidRPr="001C60D3" w:rsidR="002842C4">
              <w:rPr>
                <w:color w:val="000000"/>
              </w:rPr>
              <w:t xml:space="preserve"> for a</w:t>
            </w:r>
            <w:r w:rsidR="002842C4">
              <w:rPr>
                <w:color w:val="000000"/>
              </w:rPr>
              <w:t>n intervenor compensation</w:t>
            </w:r>
            <w:r w:rsidR="000A5438">
              <w:rPr>
                <w:color w:val="000000"/>
              </w:rPr>
              <w:t xml:space="preserve"> claim</w:t>
            </w:r>
            <w:r w:rsidRPr="001C60D3" w:rsidR="002842C4">
              <w:rPr>
                <w:color w:val="000000"/>
              </w:rPr>
              <w:t xml:space="preserve"> preparation </w:t>
            </w:r>
            <w:r w:rsidR="002842C4">
              <w:rPr>
                <w:color w:val="000000"/>
              </w:rPr>
              <w:t xml:space="preserve">rate </w:t>
            </w:r>
            <w:r w:rsidRPr="001C60D3" w:rsidR="002842C4">
              <w:rPr>
                <w:color w:val="000000"/>
              </w:rPr>
              <w:t>of $</w:t>
            </w:r>
            <w:r w:rsidR="00857D53">
              <w:rPr>
                <w:color w:val="000000"/>
              </w:rPr>
              <w:t>312</w:t>
            </w:r>
            <w:r w:rsidR="002842C4">
              <w:rPr>
                <w:color w:val="000000"/>
              </w:rPr>
              <w:t>.</w:t>
            </w:r>
            <w:r w:rsidR="00857D53">
              <w:rPr>
                <w:color w:val="000000"/>
              </w:rPr>
              <w:t>50.</w:t>
            </w:r>
          </w:p>
          <w:p w:rsidR="002842C4" w:rsidP="00AE61E7" w:rsidRDefault="002842C4" w14:paraId="08AB685C" w14:textId="77777777">
            <w:pPr>
              <w:tabs>
                <w:tab w:val="left" w:pos="1440"/>
              </w:tabs>
              <w:rPr>
                <w:color w:val="000000"/>
              </w:rPr>
            </w:pPr>
          </w:p>
          <w:p w:rsidRPr="00FA1CE4" w:rsidR="00AE1EA1" w:rsidP="00AE61E7" w:rsidRDefault="005C0FB5" w14:paraId="1F1C8DFB" w14:textId="4FADA9CF">
            <w:pPr>
              <w:tabs>
                <w:tab w:val="left" w:pos="1440"/>
              </w:tabs>
              <w:rPr>
                <w:color w:val="000000"/>
              </w:rPr>
            </w:pPr>
            <w:r>
              <w:rPr>
                <w:color w:val="000000"/>
              </w:rPr>
              <w:t>TURN re</w:t>
            </w:r>
            <w:r w:rsidR="00D517CD">
              <w:rPr>
                <w:color w:val="000000"/>
              </w:rPr>
              <w:t xml:space="preserve">quests </w:t>
            </w:r>
            <w:r w:rsidR="00576F2D">
              <w:rPr>
                <w:color w:val="000000"/>
              </w:rPr>
              <w:t>we apply</w:t>
            </w:r>
            <w:r w:rsidR="00D14839">
              <w:rPr>
                <w:color w:val="000000"/>
              </w:rPr>
              <w:t xml:space="preserve"> an</w:t>
            </w:r>
            <w:r w:rsidR="00D517CD">
              <w:rPr>
                <w:color w:val="000000"/>
              </w:rPr>
              <w:t xml:space="preserve"> escalation factor and step increase for</w:t>
            </w:r>
            <w:r w:rsidRPr="00EA5CAD" w:rsidR="00EA5CAD">
              <w:rPr>
                <w:color w:val="000000"/>
              </w:rPr>
              <w:t xml:space="preserve"> Goodson</w:t>
            </w:r>
            <w:r w:rsidR="00D14839">
              <w:rPr>
                <w:color w:val="000000"/>
              </w:rPr>
              <w:t>’s 2024 hourly rate</w:t>
            </w:r>
            <w:r w:rsidRPr="00EA5CAD" w:rsidR="00EA5CAD">
              <w:rPr>
                <w:color w:val="000000"/>
              </w:rPr>
              <w:t xml:space="preserve">. </w:t>
            </w:r>
            <w:r w:rsidRPr="00AE1EA1" w:rsidR="00AE1EA1">
              <w:rPr>
                <w:color w:val="000000"/>
              </w:rPr>
              <w:t xml:space="preserve">Per ALJ-393, we apply the 2024 escalation factor of 4.07% and </w:t>
            </w:r>
            <w:r w:rsidR="006B727B">
              <w:rPr>
                <w:color w:val="000000"/>
              </w:rPr>
              <w:t>second</w:t>
            </w:r>
            <w:r w:rsidRPr="00AE1EA1" w:rsidR="00AE1EA1">
              <w:rPr>
                <w:color w:val="000000"/>
              </w:rPr>
              <w:t xml:space="preserve"> 5% step increase to Goodson’s 2023 rate, resulting in a 2024 </w:t>
            </w:r>
            <w:r w:rsidR="00CE2EFC">
              <w:rPr>
                <w:color w:val="000000"/>
              </w:rPr>
              <w:t xml:space="preserve">hourly </w:t>
            </w:r>
            <w:r w:rsidRPr="00AE1EA1" w:rsidR="00AE1EA1">
              <w:rPr>
                <w:color w:val="000000"/>
              </w:rPr>
              <w:t>rate of $680.00</w:t>
            </w:r>
            <w:r w:rsidRPr="00EA5CAD" w:rsidR="00EA5CAD">
              <w:rPr>
                <w:color w:val="000000"/>
              </w:rPr>
              <w:t xml:space="preserve">. </w:t>
            </w:r>
            <w:r w:rsidR="00AE1EA1">
              <w:rPr>
                <w:color w:val="000000"/>
              </w:rPr>
              <w:t>We apply ½ of Goodson’s</w:t>
            </w:r>
            <w:r w:rsidR="00F00315">
              <w:rPr>
                <w:color w:val="000000"/>
              </w:rPr>
              <w:t xml:space="preserve"> 2024 rate of $680</w:t>
            </w:r>
            <w:r w:rsidR="00A35704">
              <w:rPr>
                <w:color w:val="000000"/>
              </w:rPr>
              <w:t>.00</w:t>
            </w:r>
            <w:r w:rsidR="00F00315">
              <w:rPr>
                <w:color w:val="000000"/>
              </w:rPr>
              <w:t xml:space="preserve"> for an intervenor compensation</w:t>
            </w:r>
            <w:r w:rsidR="00546C88">
              <w:rPr>
                <w:color w:val="000000"/>
              </w:rPr>
              <w:t xml:space="preserve"> claim</w:t>
            </w:r>
            <w:r w:rsidR="00F00315">
              <w:rPr>
                <w:color w:val="000000"/>
              </w:rPr>
              <w:t xml:space="preserve"> preparation </w:t>
            </w:r>
            <w:r w:rsidR="007E5AD4">
              <w:rPr>
                <w:color w:val="000000"/>
              </w:rPr>
              <w:t xml:space="preserve">rate of </w:t>
            </w:r>
            <w:r w:rsidRPr="00EA5CAD" w:rsidR="00EA5CAD">
              <w:rPr>
                <w:color w:val="000000"/>
              </w:rPr>
              <w:t>$340.00</w:t>
            </w:r>
            <w:r w:rsidR="007E5AD4">
              <w:rPr>
                <w:color w:val="000000"/>
              </w:rPr>
              <w:t>.</w:t>
            </w:r>
            <w:r w:rsidRPr="00EA5CAD" w:rsidR="00EA5CAD">
              <w:rPr>
                <w:color w:val="000000"/>
              </w:rPr>
              <w:t xml:space="preserve"> </w:t>
            </w:r>
          </w:p>
        </w:tc>
      </w:tr>
      <w:tr w:rsidRPr="007F620E" w:rsidR="00AE61E7" w:rsidTr="00E32ABE" w14:paraId="33ADD8F5" w14:textId="77777777">
        <w:tc>
          <w:tcPr>
            <w:tcW w:w="1670" w:type="dxa"/>
            <w:shd w:val="clear" w:color="auto" w:fill="auto"/>
          </w:tcPr>
          <w:p w:rsidRPr="007F620E" w:rsidR="00AE61E7" w:rsidP="00AE61E7" w:rsidRDefault="00AE61E7" w14:paraId="5AEB8C5E" w14:textId="0108419B">
            <w:pPr>
              <w:tabs>
                <w:tab w:val="left" w:pos="1440"/>
              </w:tabs>
              <w:rPr>
                <w:color w:val="000000"/>
              </w:rPr>
            </w:pPr>
            <w:r>
              <w:rPr>
                <w:color w:val="000000"/>
              </w:rPr>
              <w:t>[2] Finkelstein</w:t>
            </w:r>
            <w:r w:rsidR="005F7173">
              <w:rPr>
                <w:color w:val="000000"/>
              </w:rPr>
              <w:t>’s 2023 Hourly Rate</w:t>
            </w:r>
          </w:p>
        </w:tc>
        <w:tc>
          <w:tcPr>
            <w:tcW w:w="7690" w:type="dxa"/>
            <w:shd w:val="clear" w:color="auto" w:fill="auto"/>
          </w:tcPr>
          <w:p w:rsidRPr="00FA1CE4" w:rsidR="00AE61E7" w:rsidP="00AE61E7" w:rsidRDefault="00B12FB6" w14:paraId="1974DF79" w14:textId="490FADF4">
            <w:pPr>
              <w:tabs>
                <w:tab w:val="left" w:pos="1440"/>
              </w:tabs>
              <w:rPr>
                <w:color w:val="000000"/>
              </w:rPr>
            </w:pPr>
            <w:r>
              <w:rPr>
                <w:color w:val="000000"/>
              </w:rPr>
              <w:t>D</w:t>
            </w:r>
            <w:r w:rsidR="00846B87">
              <w:rPr>
                <w:color w:val="000000"/>
              </w:rPr>
              <w:t>.24-03-036 approved a 2023 hourly rate of $840</w:t>
            </w:r>
            <w:r w:rsidR="000E41B8">
              <w:rPr>
                <w:color w:val="000000"/>
              </w:rPr>
              <w:t>.00</w:t>
            </w:r>
            <w:r w:rsidR="00846B87">
              <w:rPr>
                <w:color w:val="000000"/>
              </w:rPr>
              <w:t xml:space="preserve"> for Finkelstein. </w:t>
            </w:r>
          </w:p>
        </w:tc>
      </w:tr>
      <w:tr w:rsidRPr="007F620E" w:rsidR="008D07E7" w:rsidTr="00E32ABE" w14:paraId="65614111" w14:textId="77777777">
        <w:tc>
          <w:tcPr>
            <w:tcW w:w="1670" w:type="dxa"/>
            <w:shd w:val="clear" w:color="auto" w:fill="auto"/>
          </w:tcPr>
          <w:p w:rsidR="008D07E7" w:rsidP="00AE61E7" w:rsidRDefault="00BE3954" w14:paraId="4DDD99E6" w14:textId="7B69DAD4">
            <w:pPr>
              <w:tabs>
                <w:tab w:val="left" w:pos="1440"/>
              </w:tabs>
              <w:rPr>
                <w:color w:val="000000"/>
              </w:rPr>
            </w:pPr>
            <w:r>
              <w:rPr>
                <w:color w:val="000000"/>
              </w:rPr>
              <w:t>[</w:t>
            </w:r>
            <w:r w:rsidR="00EA58A5">
              <w:rPr>
                <w:color w:val="000000"/>
              </w:rPr>
              <w:t>3</w:t>
            </w:r>
            <w:r>
              <w:rPr>
                <w:color w:val="000000"/>
              </w:rPr>
              <w:t xml:space="preserve">] </w:t>
            </w:r>
            <w:r w:rsidR="008D07E7">
              <w:rPr>
                <w:color w:val="000000"/>
              </w:rPr>
              <w:t>Long</w:t>
            </w:r>
            <w:r w:rsidR="005F7173">
              <w:rPr>
                <w:color w:val="000000"/>
              </w:rPr>
              <w:t>’</w:t>
            </w:r>
            <w:r>
              <w:rPr>
                <w:color w:val="000000"/>
              </w:rPr>
              <w:t xml:space="preserve">s </w:t>
            </w:r>
            <w:r w:rsidR="005F7173">
              <w:rPr>
                <w:color w:val="000000"/>
              </w:rPr>
              <w:t>2023 Hourly Rate</w:t>
            </w:r>
          </w:p>
        </w:tc>
        <w:tc>
          <w:tcPr>
            <w:tcW w:w="7690" w:type="dxa"/>
            <w:shd w:val="clear" w:color="auto" w:fill="auto"/>
          </w:tcPr>
          <w:p w:rsidRPr="009829F4" w:rsidR="008D07E7" w:rsidP="00AE61E7" w:rsidRDefault="0004027D" w14:paraId="4965E725" w14:textId="68FCAB67">
            <w:pPr>
              <w:tabs>
                <w:tab w:val="left" w:pos="1440"/>
              </w:tabs>
              <w:rPr>
                <w:color w:val="000000"/>
              </w:rPr>
            </w:pPr>
            <w:r w:rsidRPr="0004027D">
              <w:rPr>
                <w:color w:val="000000"/>
              </w:rPr>
              <w:t>D.23-05-032 approved a 2023 hourly rate of $840</w:t>
            </w:r>
            <w:r w:rsidR="00E878FC">
              <w:rPr>
                <w:color w:val="000000"/>
              </w:rPr>
              <w:t>.00</w:t>
            </w:r>
            <w:r w:rsidRPr="0004027D">
              <w:rPr>
                <w:color w:val="000000"/>
              </w:rPr>
              <w:t xml:space="preserve"> for Long. However, this exceeds the maximum hourly rate for the Legal – Legal Director – Level IV classification for 2023 ($518.55 - $832.67). Therefore, to stay within the approved rate range, we approve a 2023 hourly rate of $830</w:t>
            </w:r>
            <w:r w:rsidR="00C8111F">
              <w:rPr>
                <w:color w:val="000000"/>
              </w:rPr>
              <w:t>.00</w:t>
            </w:r>
            <w:r w:rsidRPr="0004027D">
              <w:rPr>
                <w:color w:val="000000"/>
              </w:rPr>
              <w:t xml:space="preserve"> for Long moving forward. </w:t>
            </w:r>
          </w:p>
        </w:tc>
      </w:tr>
      <w:tr w:rsidRPr="007F620E" w:rsidR="00AE61E7" w:rsidTr="00E32ABE" w14:paraId="52155EFC" w14:textId="77777777">
        <w:tc>
          <w:tcPr>
            <w:tcW w:w="1670" w:type="dxa"/>
            <w:shd w:val="clear" w:color="auto" w:fill="auto"/>
          </w:tcPr>
          <w:p w:rsidRPr="007F620E" w:rsidR="00AE61E7" w:rsidP="00AE61E7" w:rsidRDefault="00AE61E7" w14:paraId="26487933" w14:textId="5162D3FD">
            <w:pPr>
              <w:tabs>
                <w:tab w:val="left" w:pos="1440"/>
              </w:tabs>
              <w:rPr>
                <w:color w:val="000000"/>
              </w:rPr>
            </w:pPr>
            <w:r>
              <w:rPr>
                <w:color w:val="000000"/>
              </w:rPr>
              <w:t>[</w:t>
            </w:r>
            <w:r w:rsidR="00EA58A5">
              <w:rPr>
                <w:color w:val="000000"/>
              </w:rPr>
              <w:t>4</w:t>
            </w:r>
            <w:r>
              <w:rPr>
                <w:color w:val="000000"/>
              </w:rPr>
              <w:t>] Dowdell</w:t>
            </w:r>
            <w:r w:rsidR="001322D6">
              <w:rPr>
                <w:color w:val="000000"/>
              </w:rPr>
              <w:t xml:space="preserve">’s </w:t>
            </w:r>
            <w:r w:rsidR="0037754F">
              <w:rPr>
                <w:color w:val="000000"/>
              </w:rPr>
              <w:t xml:space="preserve">2023 </w:t>
            </w:r>
            <w:r w:rsidR="00176D6F">
              <w:rPr>
                <w:color w:val="000000"/>
              </w:rPr>
              <w:t>Hourly Rate</w:t>
            </w:r>
          </w:p>
        </w:tc>
        <w:tc>
          <w:tcPr>
            <w:tcW w:w="7690" w:type="dxa"/>
            <w:shd w:val="clear" w:color="auto" w:fill="auto"/>
          </w:tcPr>
          <w:p w:rsidRPr="00FA1CE4" w:rsidR="00AE61E7" w:rsidP="00AE61E7" w:rsidRDefault="001F199B" w14:paraId="455E6A00" w14:textId="72C68CD6">
            <w:pPr>
              <w:tabs>
                <w:tab w:val="left" w:pos="1440"/>
              </w:tabs>
              <w:rPr>
                <w:color w:val="000000"/>
              </w:rPr>
            </w:pPr>
            <w:r>
              <w:rPr>
                <w:color w:val="000000"/>
              </w:rPr>
              <w:t xml:space="preserve">TURN requests we </w:t>
            </w:r>
            <w:r w:rsidR="008B6257">
              <w:rPr>
                <w:color w:val="000000"/>
              </w:rPr>
              <w:t xml:space="preserve">apply </w:t>
            </w:r>
            <w:r w:rsidR="00005A43">
              <w:rPr>
                <w:color w:val="000000"/>
              </w:rPr>
              <w:t>the</w:t>
            </w:r>
            <w:r w:rsidRPr="008B6257" w:rsidR="008B6257">
              <w:rPr>
                <w:color w:val="000000"/>
              </w:rPr>
              <w:t xml:space="preserve"> escalation factor and </w:t>
            </w:r>
            <w:r w:rsidR="00005A43">
              <w:rPr>
                <w:color w:val="000000"/>
              </w:rPr>
              <w:t xml:space="preserve">5% </w:t>
            </w:r>
            <w:r w:rsidRPr="008B6257" w:rsidR="008B6257">
              <w:rPr>
                <w:color w:val="000000"/>
              </w:rPr>
              <w:t xml:space="preserve">step increase for </w:t>
            </w:r>
            <w:r w:rsidR="008B6257">
              <w:rPr>
                <w:color w:val="000000"/>
              </w:rPr>
              <w:t xml:space="preserve">Dowdell’s </w:t>
            </w:r>
            <w:r w:rsidR="00487A34">
              <w:rPr>
                <w:color w:val="000000"/>
              </w:rPr>
              <w:t xml:space="preserve">2023 hourly rate. </w:t>
            </w:r>
            <w:r w:rsidRPr="00FA1CE4" w:rsidR="00AE61E7">
              <w:rPr>
                <w:color w:val="000000"/>
              </w:rPr>
              <w:t xml:space="preserve">D.23-04-022 </w:t>
            </w:r>
            <w:r w:rsidR="00DD1180">
              <w:rPr>
                <w:color w:val="000000"/>
              </w:rPr>
              <w:t>approved</w:t>
            </w:r>
            <w:r w:rsidRPr="00FA1CE4" w:rsidR="00AE61E7">
              <w:rPr>
                <w:color w:val="000000"/>
              </w:rPr>
              <w:t xml:space="preserve"> a 2022 hourly rate of $415.00 for Dowdell. </w:t>
            </w:r>
            <w:r w:rsidR="00DD1180">
              <w:rPr>
                <w:color w:val="000000"/>
              </w:rPr>
              <w:t>Per ALJ-393</w:t>
            </w:r>
            <w:r w:rsidR="00642BB8">
              <w:rPr>
                <w:color w:val="000000"/>
              </w:rPr>
              <w:t>, w</w:t>
            </w:r>
            <w:r w:rsidRPr="00FA1CE4" w:rsidR="00AE61E7">
              <w:rPr>
                <w:color w:val="000000"/>
              </w:rPr>
              <w:t xml:space="preserve">e apply the </w:t>
            </w:r>
            <w:r w:rsidR="00642BB8">
              <w:rPr>
                <w:color w:val="000000"/>
              </w:rPr>
              <w:t xml:space="preserve">2023 </w:t>
            </w:r>
            <w:r w:rsidR="00F940FB">
              <w:rPr>
                <w:color w:val="000000"/>
              </w:rPr>
              <w:t xml:space="preserve">escalation factor of </w:t>
            </w:r>
            <w:r w:rsidRPr="00FA1CE4" w:rsidR="00AE61E7">
              <w:rPr>
                <w:color w:val="000000"/>
              </w:rPr>
              <w:t>4.46%</w:t>
            </w:r>
            <w:r w:rsidRPr="00FA1CE4" w:rsidR="00AE61E7">
              <w:rPr>
                <w:rStyle w:val="FootnoteReference"/>
                <w:color w:val="000000"/>
              </w:rPr>
              <w:footnoteReference w:id="18"/>
            </w:r>
            <w:r w:rsidRPr="00FA1CE4" w:rsidR="00AE61E7">
              <w:rPr>
                <w:color w:val="000000"/>
              </w:rPr>
              <w:t xml:space="preserve"> and the first 5% step increase to Dowdell’s 2022</w:t>
            </w:r>
            <w:r w:rsidR="00AE61E7">
              <w:rPr>
                <w:color w:val="000000"/>
              </w:rPr>
              <w:t xml:space="preserve"> rate, resulting in a </w:t>
            </w:r>
            <w:r w:rsidRPr="00FA1CE4" w:rsidR="00AE61E7">
              <w:rPr>
                <w:color w:val="000000"/>
              </w:rPr>
              <w:t>2023</w:t>
            </w:r>
            <w:r w:rsidR="009564F5">
              <w:rPr>
                <w:color w:val="000000"/>
              </w:rPr>
              <w:t xml:space="preserve"> hourly</w:t>
            </w:r>
            <w:r w:rsidRPr="00FA1CE4" w:rsidR="00AE61E7">
              <w:rPr>
                <w:color w:val="000000"/>
              </w:rPr>
              <w:t xml:space="preserve"> rate of $455.00 for Dowdell.</w:t>
            </w:r>
          </w:p>
        </w:tc>
      </w:tr>
      <w:tr w:rsidRPr="007F620E" w:rsidR="00D24079" w:rsidTr="00E32ABE" w14:paraId="3D2A81B7" w14:textId="77777777">
        <w:tc>
          <w:tcPr>
            <w:tcW w:w="1670" w:type="dxa"/>
            <w:shd w:val="clear" w:color="auto" w:fill="auto"/>
          </w:tcPr>
          <w:p w:rsidR="00D24079" w:rsidP="00AE61E7" w:rsidRDefault="001A6B31" w14:paraId="52E5279D" w14:textId="518E9B08">
            <w:pPr>
              <w:tabs>
                <w:tab w:val="left" w:pos="1440"/>
              </w:tabs>
              <w:rPr>
                <w:color w:val="000000"/>
              </w:rPr>
            </w:pPr>
            <w:r>
              <w:rPr>
                <w:color w:val="000000"/>
              </w:rPr>
              <w:t>[</w:t>
            </w:r>
            <w:r w:rsidR="00EA58A5">
              <w:rPr>
                <w:color w:val="000000"/>
              </w:rPr>
              <w:t>5</w:t>
            </w:r>
            <w:r>
              <w:rPr>
                <w:color w:val="000000"/>
              </w:rPr>
              <w:t xml:space="preserve">] </w:t>
            </w:r>
            <w:r w:rsidRPr="00D24079" w:rsidR="00D24079">
              <w:rPr>
                <w:color w:val="000000"/>
              </w:rPr>
              <w:t>Goodson’s 202</w:t>
            </w:r>
            <w:r w:rsidR="00D24079">
              <w:rPr>
                <w:color w:val="000000"/>
              </w:rPr>
              <w:t xml:space="preserve">3 </w:t>
            </w:r>
            <w:r w:rsidRPr="00D24079" w:rsidR="00D24079">
              <w:rPr>
                <w:color w:val="000000"/>
              </w:rPr>
              <w:t>Disallowance</w:t>
            </w:r>
          </w:p>
        </w:tc>
        <w:tc>
          <w:tcPr>
            <w:tcW w:w="7690" w:type="dxa"/>
            <w:shd w:val="clear" w:color="auto" w:fill="auto"/>
          </w:tcPr>
          <w:p w:rsidRPr="001A3E0B" w:rsidR="002D3579" w:rsidP="00FF06D5" w:rsidRDefault="002D3579" w14:paraId="0F6BEDB7" w14:textId="34B028EB">
            <w:pPr>
              <w:rPr>
                <w:color w:val="000000"/>
                <w:u w:val="single"/>
              </w:rPr>
            </w:pPr>
            <w:r w:rsidRPr="001A3E0B">
              <w:rPr>
                <w:color w:val="000000"/>
                <w:u w:val="single"/>
              </w:rPr>
              <w:t>Clerical/Administrative Work</w:t>
            </w:r>
            <w:r>
              <w:rPr>
                <w:color w:val="000000"/>
                <w:u w:val="single"/>
              </w:rPr>
              <w:t xml:space="preserve"> (1</w:t>
            </w:r>
            <w:r w:rsidR="00487A34">
              <w:rPr>
                <w:color w:val="000000"/>
                <w:u w:val="single"/>
              </w:rPr>
              <w:t>.00</w:t>
            </w:r>
            <w:r>
              <w:rPr>
                <w:color w:val="000000"/>
                <w:u w:val="single"/>
              </w:rPr>
              <w:t xml:space="preserve"> hour)</w:t>
            </w:r>
          </w:p>
          <w:p w:rsidR="00661FEB" w:rsidP="00FF06D5" w:rsidRDefault="002D3579" w14:paraId="23CE3676" w14:textId="07AA7896">
            <w:pPr>
              <w:rPr>
                <w:color w:val="000000"/>
              </w:rPr>
            </w:pPr>
            <w:r w:rsidRPr="00566EFC">
              <w:rPr>
                <w:color w:val="000000"/>
              </w:rPr>
              <w:t xml:space="preserve">The CPUC does not compensate </w:t>
            </w:r>
            <w:r w:rsidR="00881DA9">
              <w:rPr>
                <w:color w:val="000000"/>
              </w:rPr>
              <w:t xml:space="preserve">attorneys </w:t>
            </w:r>
            <w:r w:rsidRPr="00566EFC">
              <w:rPr>
                <w:color w:val="000000"/>
              </w:rPr>
              <w:t>for the time spent on clerical and administrative tasks, as these fees are subsumed in the fees paid to attorneys.</w:t>
            </w:r>
            <w:r>
              <w:rPr>
                <w:rStyle w:val="FootnoteReference"/>
                <w:color w:val="000000"/>
              </w:rPr>
              <w:footnoteReference w:id="19"/>
            </w:r>
            <w:r w:rsidRPr="00566EFC">
              <w:rPr>
                <w:color w:val="000000"/>
              </w:rPr>
              <w:t xml:space="preserve">  We </w:t>
            </w:r>
            <w:r w:rsidR="00881DA9">
              <w:rPr>
                <w:color w:val="000000"/>
              </w:rPr>
              <w:t xml:space="preserve">therefore </w:t>
            </w:r>
            <w:r w:rsidRPr="00566EFC">
              <w:rPr>
                <w:color w:val="000000"/>
              </w:rPr>
              <w:t xml:space="preserve">disallow the following </w:t>
            </w:r>
            <w:r>
              <w:rPr>
                <w:color w:val="000000"/>
              </w:rPr>
              <w:t>time</w:t>
            </w:r>
            <w:r w:rsidRPr="00566EFC">
              <w:rPr>
                <w:color w:val="000000"/>
              </w:rPr>
              <w:t>:</w:t>
            </w:r>
          </w:p>
          <w:p w:rsidRPr="003B1EFF" w:rsidR="00D24079" w:rsidP="001A3E0B" w:rsidRDefault="002D3579" w14:paraId="3C2D9E9B" w14:textId="46BFA67D">
            <w:pPr>
              <w:pStyle w:val="ListParagraph"/>
              <w:numPr>
                <w:ilvl w:val="0"/>
                <w:numId w:val="16"/>
              </w:numPr>
            </w:pPr>
            <w:r>
              <w:t>01/03/2023: “</w:t>
            </w:r>
            <w:r w:rsidRPr="00566EFC">
              <w:t>review Tr4 schedule and prepare workplan for team</w:t>
            </w:r>
            <w:r>
              <w:t>” (1</w:t>
            </w:r>
            <w:r w:rsidR="00BC1723">
              <w:t>.00</w:t>
            </w:r>
            <w:r>
              <w:t xml:space="preserve"> hour)</w:t>
            </w:r>
          </w:p>
        </w:tc>
      </w:tr>
      <w:tr w:rsidRPr="007F620E" w:rsidR="0036370A" w:rsidTr="00E32ABE" w14:paraId="0807EC9D" w14:textId="77777777">
        <w:tc>
          <w:tcPr>
            <w:tcW w:w="1670" w:type="dxa"/>
            <w:shd w:val="clear" w:color="auto" w:fill="auto"/>
          </w:tcPr>
          <w:p w:rsidR="0036370A" w:rsidP="0036370A" w:rsidRDefault="0036370A" w14:paraId="6DBDEDDD" w14:textId="79F9F0FF">
            <w:pPr>
              <w:tabs>
                <w:tab w:val="left" w:pos="1440"/>
              </w:tabs>
              <w:rPr>
                <w:color w:val="000000"/>
              </w:rPr>
            </w:pPr>
            <w:r w:rsidRPr="0036370A">
              <w:rPr>
                <w:color w:val="000000"/>
              </w:rPr>
              <w:lastRenderedPageBreak/>
              <w:t>[</w:t>
            </w:r>
            <w:r w:rsidR="00EA58A5">
              <w:rPr>
                <w:color w:val="000000"/>
              </w:rPr>
              <w:t>6</w:t>
            </w:r>
            <w:r w:rsidRPr="0036370A">
              <w:rPr>
                <w:color w:val="000000"/>
              </w:rPr>
              <w:t xml:space="preserve">] Finkelstein’s </w:t>
            </w:r>
            <w:r w:rsidRPr="001C4407">
              <w:rPr>
                <w:color w:val="000000"/>
              </w:rPr>
              <w:t>2023</w:t>
            </w:r>
            <w:r w:rsidRPr="0036370A">
              <w:rPr>
                <w:color w:val="000000"/>
              </w:rPr>
              <w:t xml:space="preserve"> </w:t>
            </w:r>
            <w:r w:rsidRPr="0036370A" w:rsidR="00F70D29">
              <w:rPr>
                <w:color w:val="000000"/>
              </w:rPr>
              <w:t>Disallowances</w:t>
            </w:r>
          </w:p>
        </w:tc>
        <w:tc>
          <w:tcPr>
            <w:tcW w:w="7690" w:type="dxa"/>
            <w:shd w:val="clear" w:color="auto" w:fill="auto"/>
          </w:tcPr>
          <w:p w:rsidRPr="00661FEB" w:rsidR="00FF06D5" w:rsidP="00FF06D5" w:rsidRDefault="00530466" w14:paraId="5F9BFA03" w14:textId="0C9D3E63">
            <w:pPr>
              <w:rPr>
                <w:color w:val="000000"/>
                <w:u w:val="single"/>
              </w:rPr>
            </w:pPr>
            <w:r w:rsidRPr="00953285">
              <w:rPr>
                <w:u w:val="single"/>
                <w:lang w:val="en-ZW"/>
              </w:rPr>
              <w:t>No Contribution to Decision</w:t>
            </w:r>
            <w:r>
              <w:rPr>
                <w:u w:val="single"/>
                <w:lang w:val="en-ZW"/>
              </w:rPr>
              <w:t>-</w:t>
            </w:r>
            <w:r w:rsidRPr="00953285">
              <w:rPr>
                <w:u w:val="single"/>
                <w:lang w:val="en-ZW"/>
              </w:rPr>
              <w:t xml:space="preserve">Making Process </w:t>
            </w:r>
            <w:r w:rsidRPr="00661FEB" w:rsidR="00FF06D5">
              <w:rPr>
                <w:color w:val="000000"/>
                <w:u w:val="single"/>
              </w:rPr>
              <w:t>(</w:t>
            </w:r>
            <w:r w:rsidR="00FF06D5">
              <w:rPr>
                <w:color w:val="000000"/>
                <w:u w:val="single"/>
              </w:rPr>
              <w:t>3</w:t>
            </w:r>
            <w:r w:rsidR="00487A34">
              <w:rPr>
                <w:color w:val="000000"/>
                <w:u w:val="single"/>
              </w:rPr>
              <w:t>.00</w:t>
            </w:r>
            <w:r w:rsidR="00FF06D5">
              <w:rPr>
                <w:color w:val="000000"/>
                <w:u w:val="single"/>
              </w:rPr>
              <w:t xml:space="preserve"> hours</w:t>
            </w:r>
            <w:r w:rsidRPr="00661FEB" w:rsidR="00FF06D5">
              <w:rPr>
                <w:color w:val="000000"/>
                <w:u w:val="single"/>
              </w:rPr>
              <w:t>)</w:t>
            </w:r>
          </w:p>
          <w:p w:rsidR="00FF06D5" w:rsidP="00FF06D5" w:rsidRDefault="00FF06D5" w14:paraId="7DD31EDA" w14:textId="0619EBE1">
            <w:pPr>
              <w:rPr>
                <w:color w:val="000000"/>
              </w:rPr>
            </w:pPr>
            <w:r w:rsidRPr="00CC1C7A">
              <w:rPr>
                <w:color w:val="000000"/>
              </w:rPr>
              <w:t xml:space="preserve">The following </w:t>
            </w:r>
            <w:r>
              <w:rPr>
                <w:color w:val="000000"/>
              </w:rPr>
              <w:t>activities</w:t>
            </w:r>
            <w:r w:rsidRPr="00CC1C7A">
              <w:rPr>
                <w:color w:val="000000"/>
              </w:rPr>
              <w:t xml:space="preserve"> did not contribute to the decision-making process and</w:t>
            </w:r>
            <w:r>
              <w:rPr>
                <w:color w:val="000000"/>
              </w:rPr>
              <w:t xml:space="preserve"> are</w:t>
            </w:r>
            <w:r w:rsidRPr="00CC1C7A">
              <w:rPr>
                <w:color w:val="000000"/>
              </w:rPr>
              <w:t xml:space="preserve"> disallowed:</w:t>
            </w:r>
          </w:p>
          <w:p w:rsidRPr="001A3E0B" w:rsidR="00FF06D5" w:rsidP="001A3E0B" w:rsidRDefault="00FF06D5" w14:paraId="79DA29C9" w14:textId="625CF9A1">
            <w:pPr>
              <w:pStyle w:val="ListParagraph"/>
              <w:numPr>
                <w:ilvl w:val="0"/>
                <w:numId w:val="21"/>
              </w:numPr>
              <w:rPr>
                <w:color w:val="000000"/>
              </w:rPr>
            </w:pPr>
            <w:r>
              <w:rPr>
                <w:color w:val="000000"/>
              </w:rPr>
              <w:t>02/24/2023: “</w:t>
            </w:r>
            <w:r w:rsidRPr="00FF06D5">
              <w:rPr>
                <w:color w:val="000000"/>
              </w:rPr>
              <w:t>Draft e-mail re: points to emphasize in ex parte meetings</w:t>
            </w:r>
            <w:r>
              <w:rPr>
                <w:color w:val="000000"/>
              </w:rPr>
              <w:t>” (0.25 hour)</w:t>
            </w:r>
          </w:p>
          <w:p w:rsidR="0036370A" w:rsidP="00FF06D5" w:rsidRDefault="00FF06D5" w14:paraId="4D655AFC" w14:textId="118FAF30">
            <w:pPr>
              <w:pStyle w:val="ListParagraph"/>
              <w:numPr>
                <w:ilvl w:val="0"/>
                <w:numId w:val="21"/>
              </w:numPr>
            </w:pPr>
            <w:r w:rsidRPr="001A3E0B">
              <w:t>02/</w:t>
            </w:r>
            <w:r>
              <w:t>27/2023: “Prep for and ex parte meeting; draft e-mail to SCE and Cal Advocates re: next meetings” (0.75 hour)</w:t>
            </w:r>
          </w:p>
          <w:p w:rsidR="00FF06D5" w:rsidP="00FF06D5" w:rsidRDefault="00FF06D5" w14:paraId="127BBECE" w14:textId="3852C487">
            <w:pPr>
              <w:pStyle w:val="ListParagraph"/>
              <w:numPr>
                <w:ilvl w:val="0"/>
                <w:numId w:val="21"/>
              </w:numPr>
            </w:pPr>
            <w:r>
              <w:t>03/01/2023: “Review draft ex parte notice; ex parte meeting w/ YShmidt, SCE, Cal Advs; f/u call w/ TKaushik” (1</w:t>
            </w:r>
            <w:r w:rsidR="002E78AD">
              <w:t>.00</w:t>
            </w:r>
            <w:r>
              <w:t xml:space="preserve"> hour)</w:t>
            </w:r>
          </w:p>
          <w:p w:rsidRPr="001A3E0B" w:rsidR="00FF06D5" w:rsidP="001A3E0B" w:rsidRDefault="00FF06D5" w14:paraId="207B0804" w14:textId="66819568">
            <w:pPr>
              <w:pStyle w:val="ListParagraph"/>
              <w:numPr>
                <w:ilvl w:val="0"/>
                <w:numId w:val="21"/>
              </w:numPr>
            </w:pPr>
            <w:r>
              <w:t>03/06/2023: “</w:t>
            </w:r>
            <w:r w:rsidRPr="00FF06D5">
              <w:t>Prep for and participate in two ex parte mtgs</w:t>
            </w:r>
            <w:r>
              <w:t>” (1</w:t>
            </w:r>
            <w:r w:rsidR="002E78AD">
              <w:t>.00</w:t>
            </w:r>
            <w:r>
              <w:t xml:space="preserve"> hour)</w:t>
            </w:r>
          </w:p>
          <w:p w:rsidR="00FF06D5" w:rsidP="0036370A" w:rsidRDefault="00FF06D5" w14:paraId="7E74C991" w14:textId="77777777">
            <w:pPr>
              <w:tabs>
                <w:tab w:val="left" w:pos="1440"/>
              </w:tabs>
              <w:rPr>
                <w:color w:val="000000"/>
                <w:u w:val="single"/>
              </w:rPr>
            </w:pPr>
          </w:p>
          <w:p w:rsidRPr="005D6FBF" w:rsidR="0036370A" w:rsidP="0036370A" w:rsidRDefault="0036370A" w14:paraId="44604D37" w14:textId="2E7B2DE8">
            <w:pPr>
              <w:tabs>
                <w:tab w:val="left" w:pos="1440"/>
              </w:tabs>
              <w:rPr>
                <w:color w:val="000000"/>
                <w:u w:val="single"/>
              </w:rPr>
            </w:pPr>
            <w:r w:rsidRPr="005D6FBF">
              <w:rPr>
                <w:color w:val="000000"/>
                <w:u w:val="single"/>
              </w:rPr>
              <w:t>Combined Tasks</w:t>
            </w:r>
            <w:r w:rsidR="00F949F4">
              <w:rPr>
                <w:color w:val="000000"/>
                <w:u w:val="single"/>
              </w:rPr>
              <w:t xml:space="preserve"> (</w:t>
            </w:r>
            <w:r w:rsidR="00244CD3">
              <w:rPr>
                <w:color w:val="000000"/>
                <w:u w:val="single"/>
              </w:rPr>
              <w:t>4.05</w:t>
            </w:r>
            <w:r w:rsidR="00F949F4">
              <w:rPr>
                <w:color w:val="000000"/>
                <w:u w:val="single"/>
              </w:rPr>
              <w:t>)</w:t>
            </w:r>
          </w:p>
          <w:p w:rsidR="0036370A" w:rsidP="0036370A" w:rsidRDefault="0036370A" w14:paraId="3D7EFE63" w14:textId="29DD4D6C">
            <w:pPr>
              <w:tabs>
                <w:tab w:val="left" w:pos="1440"/>
              </w:tabs>
              <w:rPr>
                <w:color w:val="000000"/>
              </w:rPr>
            </w:pPr>
            <w:r w:rsidRPr="0049308F">
              <w:rPr>
                <w:color w:val="000000"/>
              </w:rPr>
              <w:t xml:space="preserve">TURN inappropriately combined multiple tasks in the same time entry. </w:t>
            </w:r>
            <w:r w:rsidR="00F91D22">
              <w:t xml:space="preserve">Pursuant to Rule 17.4, each time record shall identify the specific task performed. </w:t>
            </w:r>
            <w:r w:rsidRPr="0049308F">
              <w:rPr>
                <w:color w:val="000000"/>
              </w:rPr>
              <w:t xml:space="preserve">Therefore, the hours below are reduced by </w:t>
            </w:r>
            <w:r w:rsidR="004C1FD3">
              <w:rPr>
                <w:color w:val="000000"/>
              </w:rPr>
              <w:t>30</w:t>
            </w:r>
            <w:r w:rsidRPr="0049308F">
              <w:rPr>
                <w:color w:val="000000"/>
              </w:rPr>
              <w:t>% for failure to comply with</w:t>
            </w:r>
            <w:r w:rsidR="004C6019">
              <w:rPr>
                <w:color w:val="000000"/>
              </w:rPr>
              <w:t xml:space="preserve"> the</w:t>
            </w:r>
            <w:r w:rsidRPr="0049308F">
              <w:rPr>
                <w:color w:val="000000"/>
              </w:rPr>
              <w:t xml:space="preserve"> program guidelines.</w:t>
            </w:r>
          </w:p>
          <w:p w:rsidRPr="00EB0079" w:rsidR="003B1EFF" w:rsidP="003B1EFF" w:rsidRDefault="0036370A" w14:paraId="6702D7A2" w14:textId="432FCEE4">
            <w:pPr>
              <w:pStyle w:val="ListParagraph"/>
              <w:numPr>
                <w:ilvl w:val="0"/>
                <w:numId w:val="14"/>
              </w:numPr>
              <w:tabs>
                <w:tab w:val="left" w:pos="1440"/>
              </w:tabs>
              <w:rPr>
                <w:color w:val="000000"/>
              </w:rPr>
            </w:pPr>
            <w:r w:rsidRPr="00EB0079">
              <w:rPr>
                <w:color w:val="000000"/>
              </w:rPr>
              <w:t>01/24/2023:</w:t>
            </w:r>
            <w:r w:rsidRPr="00EB0079">
              <w:t xml:space="preserve"> </w:t>
            </w:r>
            <w:r w:rsidRPr="00EB0079" w:rsidR="005A2D0B">
              <w:t>“</w:t>
            </w:r>
            <w:r w:rsidRPr="00EB0079">
              <w:rPr>
                <w:color w:val="000000"/>
              </w:rPr>
              <w:t>Draft e-mail preview memo to Cal Advs; call w/ MPocta and SShek re: self-insurance developments, strategies; draft e-mail to MToney re: options for utility deductible element</w:t>
            </w:r>
            <w:r w:rsidRPr="00EB0079" w:rsidR="005A2D0B">
              <w:rPr>
                <w:color w:val="000000"/>
              </w:rPr>
              <w:t>” (2.25 hours)</w:t>
            </w:r>
          </w:p>
          <w:p w:rsidRPr="00EB0079" w:rsidR="003B1EFF" w:rsidP="003B1EFF" w:rsidRDefault="0036370A" w14:paraId="612D6353" w14:textId="7617371E">
            <w:pPr>
              <w:pStyle w:val="ListParagraph"/>
              <w:numPr>
                <w:ilvl w:val="0"/>
                <w:numId w:val="14"/>
              </w:numPr>
              <w:tabs>
                <w:tab w:val="left" w:pos="1440"/>
              </w:tabs>
              <w:rPr>
                <w:color w:val="000000"/>
              </w:rPr>
            </w:pPr>
            <w:r w:rsidRPr="00EB0079">
              <w:rPr>
                <w:color w:val="000000"/>
              </w:rPr>
              <w:t>01/30/2023:</w:t>
            </w:r>
            <w:r w:rsidRPr="00EB0079">
              <w:t xml:space="preserve"> </w:t>
            </w:r>
            <w:r w:rsidRPr="00EB0079" w:rsidR="005A2D0B">
              <w:t>“</w:t>
            </w:r>
            <w:r w:rsidRPr="00EB0079">
              <w:rPr>
                <w:color w:val="000000"/>
              </w:rPr>
              <w:t>Call w/ SCE and Cal Advs; call w/ Cal Advs; review 10-Q statement from 11/22; draft e-mail memo re: questions arising out of 10-Q</w:t>
            </w:r>
            <w:r w:rsidRPr="00EB0079" w:rsidR="005A2D0B">
              <w:rPr>
                <w:color w:val="000000"/>
              </w:rPr>
              <w:t>” (2.25 hours)</w:t>
            </w:r>
          </w:p>
          <w:p w:rsidRPr="00EB0079" w:rsidR="003B1EFF" w:rsidP="003B1EFF" w:rsidRDefault="0036370A" w14:paraId="53E5E17A" w14:textId="64106E75">
            <w:pPr>
              <w:pStyle w:val="ListParagraph"/>
              <w:numPr>
                <w:ilvl w:val="0"/>
                <w:numId w:val="14"/>
              </w:numPr>
              <w:tabs>
                <w:tab w:val="left" w:pos="1440"/>
              </w:tabs>
              <w:rPr>
                <w:color w:val="000000"/>
              </w:rPr>
            </w:pPr>
            <w:r w:rsidRPr="00EB0079">
              <w:rPr>
                <w:color w:val="000000"/>
              </w:rPr>
              <w:t>02/06/2023:</w:t>
            </w:r>
            <w:r w:rsidRPr="00EB0079">
              <w:t xml:space="preserve"> </w:t>
            </w:r>
            <w:r w:rsidRPr="00EB0079" w:rsidR="005A2D0B">
              <w:t>“</w:t>
            </w:r>
            <w:r w:rsidRPr="00EB0079">
              <w:rPr>
                <w:color w:val="000000"/>
              </w:rPr>
              <w:t>Prep for and participate in call w/ SCE and Cal Advs; call w/ HGoodson re: Track 4 overlap; draft e-mails to Cal Advs and to SCE and Cal Advs</w:t>
            </w:r>
            <w:r w:rsidRPr="00EB0079" w:rsidR="005A2D0B">
              <w:rPr>
                <w:color w:val="000000"/>
              </w:rPr>
              <w:t>” (1.25 hours)</w:t>
            </w:r>
          </w:p>
          <w:p w:rsidRPr="00EB0079" w:rsidR="003B1EFF" w:rsidP="003B1EFF" w:rsidRDefault="0036370A" w14:paraId="26CF2F7B" w14:textId="341B6F24">
            <w:pPr>
              <w:pStyle w:val="ListParagraph"/>
              <w:numPr>
                <w:ilvl w:val="0"/>
                <w:numId w:val="14"/>
              </w:numPr>
              <w:tabs>
                <w:tab w:val="left" w:pos="1440"/>
              </w:tabs>
              <w:rPr>
                <w:color w:val="000000"/>
              </w:rPr>
            </w:pPr>
            <w:r w:rsidRPr="00EB0079">
              <w:rPr>
                <w:color w:val="000000"/>
              </w:rPr>
              <w:t>02/12/2023:</w:t>
            </w:r>
            <w:r w:rsidRPr="00EB0079">
              <w:t xml:space="preserve"> </w:t>
            </w:r>
            <w:r w:rsidRPr="00EB0079" w:rsidR="005A2D0B">
              <w:t>“</w:t>
            </w:r>
            <w:r w:rsidRPr="00EB0079">
              <w:rPr>
                <w:color w:val="000000"/>
              </w:rPr>
              <w:t>Review SCE draft revised agreement, develop proposed edits; draft e-mail to SCE and Cal Advs re: basis for proposed edits; draft e-mail to SCE and Cal Advs re: procedural approaches (PFM, settlmt mtn, etc.)</w:t>
            </w:r>
            <w:r w:rsidRPr="00EB0079" w:rsidR="005A2D0B">
              <w:rPr>
                <w:color w:val="000000"/>
              </w:rPr>
              <w:t>” (</w:t>
            </w:r>
            <w:r w:rsidRPr="00EB0079" w:rsidR="00CD1B9C">
              <w:rPr>
                <w:color w:val="000000"/>
              </w:rPr>
              <w:t>2</w:t>
            </w:r>
            <w:r w:rsidR="00C05CCB">
              <w:rPr>
                <w:color w:val="000000"/>
              </w:rPr>
              <w:t>.00</w:t>
            </w:r>
            <w:r w:rsidRPr="00EB0079" w:rsidR="00CD1B9C">
              <w:rPr>
                <w:color w:val="000000"/>
              </w:rPr>
              <w:t xml:space="preserve"> hours)</w:t>
            </w:r>
          </w:p>
          <w:p w:rsidRPr="00EB0079" w:rsidR="00FF06D5" w:rsidP="005A315A" w:rsidRDefault="0036370A" w14:paraId="1F67561E" w14:textId="38BAC9E8">
            <w:pPr>
              <w:pStyle w:val="ListParagraph"/>
              <w:numPr>
                <w:ilvl w:val="0"/>
                <w:numId w:val="14"/>
              </w:numPr>
              <w:tabs>
                <w:tab w:val="left" w:pos="1440"/>
              </w:tabs>
              <w:rPr>
                <w:color w:val="000000"/>
              </w:rPr>
            </w:pPr>
            <w:r w:rsidRPr="00EB0079">
              <w:rPr>
                <w:color w:val="000000"/>
              </w:rPr>
              <w:t>02/15/2023:</w:t>
            </w:r>
            <w:r w:rsidRPr="00EB0079">
              <w:t xml:space="preserve"> </w:t>
            </w:r>
            <w:r w:rsidRPr="00EB0079" w:rsidR="005A2D0B">
              <w:t>“</w:t>
            </w:r>
            <w:r w:rsidRPr="00EB0079">
              <w:rPr>
                <w:color w:val="000000"/>
              </w:rPr>
              <w:t>Prep for and participate in Sett Conf; review and revise SCE drafts of PFM, Mtn for Shortened Resp; draft cover e-mail to SCE and Cal Advs re: review and proposed changes</w:t>
            </w:r>
            <w:r w:rsidRPr="00EB0079" w:rsidR="005A2D0B">
              <w:rPr>
                <w:color w:val="000000"/>
              </w:rPr>
              <w:t>”</w:t>
            </w:r>
            <w:r w:rsidRPr="00EB0079" w:rsidR="00CD1B9C">
              <w:rPr>
                <w:color w:val="000000"/>
              </w:rPr>
              <w:t xml:space="preserve"> (3.75 hours)</w:t>
            </w:r>
          </w:p>
          <w:p w:rsidRPr="00EB0079" w:rsidR="00FF06D5" w:rsidP="00933D84" w:rsidRDefault="00FF06D5" w14:paraId="73C2C193" w14:textId="2A23E643">
            <w:pPr>
              <w:pStyle w:val="ListParagraph"/>
              <w:numPr>
                <w:ilvl w:val="0"/>
                <w:numId w:val="14"/>
              </w:numPr>
              <w:tabs>
                <w:tab w:val="left" w:pos="1440"/>
              </w:tabs>
              <w:rPr>
                <w:color w:val="000000"/>
              </w:rPr>
            </w:pPr>
            <w:r w:rsidRPr="00EB0079">
              <w:rPr>
                <w:color w:val="000000"/>
              </w:rPr>
              <w:t>02/16/2023: “call w/ SCE and Cal Advs re: prep for mtg w/ ED and ex parte mtgs; review of SCE revised PFM” (1.5</w:t>
            </w:r>
            <w:r w:rsidR="006D0B05">
              <w:rPr>
                <w:color w:val="000000"/>
              </w:rPr>
              <w:t>0</w:t>
            </w:r>
            <w:r w:rsidRPr="00EB0079">
              <w:rPr>
                <w:color w:val="000000"/>
              </w:rPr>
              <w:t xml:space="preserve"> hours)</w:t>
            </w:r>
          </w:p>
          <w:p w:rsidRPr="001A3E0B" w:rsidR="0036370A" w:rsidP="005A315A" w:rsidRDefault="00FF06D5" w14:paraId="2A5B34DE" w14:textId="7E4FD3BB">
            <w:pPr>
              <w:pStyle w:val="ListParagraph"/>
              <w:numPr>
                <w:ilvl w:val="0"/>
                <w:numId w:val="14"/>
              </w:numPr>
              <w:tabs>
                <w:tab w:val="left" w:pos="1440"/>
              </w:tabs>
              <w:rPr>
                <w:color w:val="000000"/>
              </w:rPr>
            </w:pPr>
            <w:r w:rsidRPr="00EB0079">
              <w:rPr>
                <w:color w:val="000000"/>
              </w:rPr>
              <w:t>02/20/2023: “Review revised PFM, ex parte materials, other pleadings; draft e-mail to SCE and Cal Advs re: same” (0.5</w:t>
            </w:r>
            <w:r w:rsidR="006D0B05">
              <w:rPr>
                <w:color w:val="000000"/>
              </w:rPr>
              <w:t>0</w:t>
            </w:r>
            <w:r w:rsidRPr="00EB0079">
              <w:rPr>
                <w:color w:val="000000"/>
              </w:rPr>
              <w:t xml:space="preserve"> hour)</w:t>
            </w:r>
          </w:p>
        </w:tc>
      </w:tr>
      <w:tr w:rsidRPr="007F620E" w:rsidR="00F93782" w:rsidTr="00E32ABE" w14:paraId="1DCA025C" w14:textId="77777777">
        <w:tc>
          <w:tcPr>
            <w:tcW w:w="1670" w:type="dxa"/>
            <w:shd w:val="clear" w:color="auto" w:fill="auto"/>
          </w:tcPr>
          <w:p w:rsidR="00F93782" w:rsidP="00F93782" w:rsidRDefault="00F93782" w14:paraId="52965422" w14:textId="165B1660">
            <w:pPr>
              <w:tabs>
                <w:tab w:val="left" w:pos="1440"/>
              </w:tabs>
              <w:rPr>
                <w:color w:val="000000"/>
              </w:rPr>
            </w:pPr>
            <w:r>
              <w:rPr>
                <w:color w:val="000000"/>
              </w:rPr>
              <w:t>[</w:t>
            </w:r>
            <w:r w:rsidR="004B237E">
              <w:rPr>
                <w:color w:val="000000"/>
              </w:rPr>
              <w:t>7</w:t>
            </w:r>
            <w:r>
              <w:rPr>
                <w:color w:val="000000"/>
              </w:rPr>
              <w:t>] Hawiger’s 2023 Disallowance</w:t>
            </w:r>
          </w:p>
        </w:tc>
        <w:tc>
          <w:tcPr>
            <w:tcW w:w="7690" w:type="dxa"/>
            <w:shd w:val="clear" w:color="auto" w:fill="auto"/>
          </w:tcPr>
          <w:p w:rsidRPr="00661FEB" w:rsidR="00F93782" w:rsidP="00F93782" w:rsidRDefault="00530466" w14:paraId="33820BF4" w14:textId="63314A27">
            <w:pPr>
              <w:rPr>
                <w:color w:val="000000"/>
                <w:u w:val="single"/>
              </w:rPr>
            </w:pPr>
            <w:r w:rsidRPr="00953285">
              <w:rPr>
                <w:u w:val="single"/>
                <w:lang w:val="en-ZW"/>
              </w:rPr>
              <w:t>No Contribution to Decision</w:t>
            </w:r>
            <w:r>
              <w:rPr>
                <w:u w:val="single"/>
                <w:lang w:val="en-ZW"/>
              </w:rPr>
              <w:t>-</w:t>
            </w:r>
            <w:r w:rsidRPr="00953285">
              <w:rPr>
                <w:u w:val="single"/>
                <w:lang w:val="en-ZW"/>
              </w:rPr>
              <w:t xml:space="preserve">Making Process </w:t>
            </w:r>
            <w:r w:rsidRPr="00661FEB" w:rsidR="00F93782">
              <w:rPr>
                <w:color w:val="000000"/>
                <w:u w:val="single"/>
              </w:rPr>
              <w:t>(</w:t>
            </w:r>
            <w:r w:rsidR="00F93782">
              <w:rPr>
                <w:color w:val="000000"/>
                <w:u w:val="single"/>
              </w:rPr>
              <w:t>0.25 hour</w:t>
            </w:r>
            <w:r w:rsidRPr="00661FEB" w:rsidR="00F93782">
              <w:rPr>
                <w:color w:val="000000"/>
                <w:u w:val="single"/>
              </w:rPr>
              <w:t>)</w:t>
            </w:r>
          </w:p>
          <w:p w:rsidR="00F93782" w:rsidP="00F93782" w:rsidRDefault="00F93782" w14:paraId="1F115075" w14:textId="77777777">
            <w:pPr>
              <w:rPr>
                <w:color w:val="000000"/>
              </w:rPr>
            </w:pPr>
            <w:r w:rsidRPr="00CC1C7A">
              <w:rPr>
                <w:color w:val="000000"/>
              </w:rPr>
              <w:t xml:space="preserve">The following </w:t>
            </w:r>
            <w:r>
              <w:rPr>
                <w:color w:val="000000"/>
              </w:rPr>
              <w:t>activity</w:t>
            </w:r>
            <w:r w:rsidRPr="00CC1C7A">
              <w:rPr>
                <w:color w:val="000000"/>
              </w:rPr>
              <w:t xml:space="preserve"> did not contribute to the decision-making process and</w:t>
            </w:r>
            <w:r>
              <w:rPr>
                <w:color w:val="000000"/>
              </w:rPr>
              <w:t xml:space="preserve"> is</w:t>
            </w:r>
            <w:r w:rsidRPr="00CC1C7A">
              <w:rPr>
                <w:color w:val="000000"/>
              </w:rPr>
              <w:t xml:space="preserve"> disallowed:</w:t>
            </w:r>
          </w:p>
          <w:p w:rsidRPr="00FD4736" w:rsidR="00F93782" w:rsidP="00F93782" w:rsidRDefault="00F93782" w14:paraId="6C268BB1" w14:textId="07F4C9E3">
            <w:pPr>
              <w:tabs>
                <w:tab w:val="left" w:pos="1440"/>
              </w:tabs>
              <w:rPr>
                <w:color w:val="000000"/>
              </w:rPr>
            </w:pPr>
            <w:r>
              <w:rPr>
                <w:color w:val="000000"/>
              </w:rPr>
              <w:t>04/27/2023: “</w:t>
            </w:r>
            <w:r w:rsidRPr="00661FEB">
              <w:rPr>
                <w:color w:val="000000"/>
              </w:rPr>
              <w:t>Review ALJ Ruling re EH</w:t>
            </w:r>
            <w:r>
              <w:rPr>
                <w:color w:val="000000"/>
              </w:rPr>
              <w:t>” (0.25 hour)</w:t>
            </w:r>
          </w:p>
        </w:tc>
      </w:tr>
      <w:tr w:rsidRPr="007F620E" w:rsidR="00F93782" w:rsidTr="00E32ABE" w14:paraId="283B2C2D" w14:textId="77777777">
        <w:tc>
          <w:tcPr>
            <w:tcW w:w="1670" w:type="dxa"/>
            <w:shd w:val="clear" w:color="auto" w:fill="auto"/>
          </w:tcPr>
          <w:p w:rsidRPr="0036370A" w:rsidR="00F93782" w:rsidP="00F93782" w:rsidRDefault="00F93782" w14:paraId="14AED71B" w14:textId="03E397B7">
            <w:pPr>
              <w:tabs>
                <w:tab w:val="left" w:pos="1440"/>
              </w:tabs>
              <w:rPr>
                <w:color w:val="000000"/>
              </w:rPr>
            </w:pPr>
            <w:r>
              <w:rPr>
                <w:color w:val="000000"/>
              </w:rPr>
              <w:lastRenderedPageBreak/>
              <w:t>[</w:t>
            </w:r>
            <w:r w:rsidR="004B237E">
              <w:rPr>
                <w:color w:val="000000"/>
              </w:rPr>
              <w:t>8</w:t>
            </w:r>
            <w:r>
              <w:rPr>
                <w:color w:val="000000"/>
              </w:rPr>
              <w:t xml:space="preserve">] </w:t>
            </w:r>
            <w:r w:rsidRPr="00FD4736">
              <w:rPr>
                <w:color w:val="000000"/>
              </w:rPr>
              <w:t xml:space="preserve">TURN’s </w:t>
            </w:r>
            <w:r w:rsidR="00C636B9">
              <w:rPr>
                <w:color w:val="000000"/>
              </w:rPr>
              <w:t>Claim Preparation</w:t>
            </w:r>
          </w:p>
        </w:tc>
        <w:tc>
          <w:tcPr>
            <w:tcW w:w="7690" w:type="dxa"/>
            <w:shd w:val="clear" w:color="auto" w:fill="auto"/>
          </w:tcPr>
          <w:p w:rsidRPr="00032DB4" w:rsidR="00F93782" w:rsidP="00F93782" w:rsidRDefault="00F93782" w14:paraId="127EDEEF" w14:textId="6DD76558">
            <w:pPr>
              <w:tabs>
                <w:tab w:val="left" w:pos="1440"/>
              </w:tabs>
              <w:rPr>
                <w:color w:val="000000"/>
              </w:rPr>
            </w:pPr>
            <w:r w:rsidRPr="00FD4736">
              <w:rPr>
                <w:color w:val="000000"/>
              </w:rPr>
              <w:t>In Part III.B, we note that TURN did not separately include Goodson’s 2023 Intervenor Compensation Claim Preparation hours</w:t>
            </w:r>
            <w:r w:rsidR="004C1FD3">
              <w:rPr>
                <w:color w:val="000000"/>
              </w:rPr>
              <w:t>, as reflected in TURN’s timesheets</w:t>
            </w:r>
            <w:r w:rsidRPr="00FD4736">
              <w:rPr>
                <w:color w:val="000000"/>
              </w:rPr>
              <w:t xml:space="preserve">; instead, they combined them with Goodson’s 2024 </w:t>
            </w:r>
            <w:r w:rsidR="00C56488">
              <w:rPr>
                <w:color w:val="000000"/>
              </w:rPr>
              <w:t xml:space="preserve">Intervenor Compensation Claim Preparation </w:t>
            </w:r>
            <w:r w:rsidRPr="00FD4736">
              <w:rPr>
                <w:color w:val="000000"/>
              </w:rPr>
              <w:t xml:space="preserve">hours. We have revised the claim to include Goodson’s 2023 Intervenor Compensation Claim Preparation hours. </w:t>
            </w:r>
          </w:p>
        </w:tc>
      </w:tr>
    </w:tbl>
    <w:p w:rsidR="00BC229D" w:rsidP="00BC229D" w:rsidRDefault="00BC229D" w14:paraId="718B0417" w14:textId="77777777">
      <w:pPr>
        <w:keepNext/>
        <w:tabs>
          <w:tab w:val="left" w:pos="1260"/>
        </w:tabs>
        <w:jc w:val="center"/>
        <w:rPr>
          <w:b/>
          <w:color w:val="000000"/>
        </w:rPr>
      </w:pPr>
    </w:p>
    <w:p w:rsidRPr="007F620E" w:rsidR="00A92D0B" w:rsidP="00BC229D" w:rsidRDefault="00A92D0B" w14:paraId="18E9D359" w14:textId="304C133E">
      <w:pPr>
        <w:keepNext/>
        <w:tabs>
          <w:tab w:val="left" w:pos="1260"/>
        </w:tabs>
        <w:jc w:val="center"/>
        <w:rPr>
          <w:b/>
          <w:color w:val="000000"/>
        </w:rPr>
      </w:pPr>
      <w:r w:rsidRPr="007F620E">
        <w:rPr>
          <w:b/>
          <w:color w:val="000000"/>
        </w:rPr>
        <w:t>PART IV:</w:t>
      </w:r>
      <w:r w:rsidR="00D1778A">
        <w:rPr>
          <w:b/>
          <w:color w:val="000000"/>
        </w:rPr>
        <w:t xml:space="preserve">  </w:t>
      </w:r>
      <w:r w:rsidRPr="007F620E">
        <w:rPr>
          <w:b/>
          <w:color w:val="000000"/>
        </w:rPr>
        <w:t>OPPOSITIONS AND COMME</w:t>
      </w:r>
      <w:r w:rsidR="006D54F7">
        <w:rPr>
          <w:b/>
          <w:color w:val="000000"/>
        </w:rPr>
        <w:t>N</w:t>
      </w:r>
      <w:r w:rsidRPr="007F620E">
        <w:rPr>
          <w:b/>
          <w:color w:val="000000"/>
        </w:rPr>
        <w:t>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2C41A6" w:rsidR="00A92D0B" w:rsidTr="005A3018" w14:paraId="46A51699" w14:textId="77777777">
        <w:tc>
          <w:tcPr>
            <w:tcW w:w="7336" w:type="dxa"/>
            <w:shd w:val="clear" w:color="auto" w:fill="auto"/>
          </w:tcPr>
          <w:p w:rsidRPr="002C41A6" w:rsidR="00A92D0B" w:rsidP="005A3018" w:rsidRDefault="00A92D0B" w14:paraId="607B1FB9" w14:textId="639D7800">
            <w:pPr>
              <w:ind w:left="360" w:hanging="360"/>
              <w:rPr>
                <w:color w:val="000000"/>
              </w:rPr>
            </w:pPr>
            <w:r w:rsidRPr="002C41A6">
              <w:rPr>
                <w:b/>
                <w:color w:val="000000"/>
              </w:rPr>
              <w:t>A.</w:t>
            </w:r>
            <w:r w:rsidRPr="002C41A6" w:rsidR="005A3018">
              <w:rPr>
                <w:b/>
                <w:color w:val="000000"/>
              </w:rPr>
              <w:tab/>
            </w:r>
            <w:r w:rsidRPr="002C41A6">
              <w:rPr>
                <w:b/>
                <w:color w:val="000000"/>
              </w:rPr>
              <w:t>Opposition:  Did any party oppose the Claim?</w:t>
            </w:r>
          </w:p>
        </w:tc>
        <w:tc>
          <w:tcPr>
            <w:tcW w:w="2024" w:type="dxa"/>
            <w:shd w:val="clear" w:color="auto" w:fill="auto"/>
          </w:tcPr>
          <w:p w:rsidRPr="002C41A6" w:rsidR="00A92D0B" w:rsidP="001B0C7E" w:rsidRDefault="001B0C7E" w14:paraId="6E7CD931" w14:textId="401661AE">
            <w:pPr>
              <w:jc w:val="center"/>
              <w:rPr>
                <w:color w:val="000000"/>
              </w:rPr>
            </w:pPr>
            <w:r w:rsidRPr="002C41A6">
              <w:rPr>
                <w:color w:val="000000"/>
              </w:rPr>
              <w:t>No</w:t>
            </w:r>
          </w:p>
        </w:tc>
      </w:tr>
    </w:tbl>
    <w:p w:rsidRPr="002C41A6"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2C41A6" w:rsidR="00A92D0B" w:rsidP="005A3018" w:rsidRDefault="00A92D0B" w14:paraId="37D28D8D" w14:textId="4DD2F575">
            <w:pPr>
              <w:ind w:left="360" w:hanging="360"/>
              <w:rPr>
                <w:color w:val="000000"/>
              </w:rPr>
            </w:pPr>
            <w:r w:rsidRPr="002C41A6">
              <w:rPr>
                <w:b/>
                <w:color w:val="000000"/>
              </w:rPr>
              <w:t>B.</w:t>
            </w:r>
            <w:r w:rsidRPr="002C41A6" w:rsidR="005A3018">
              <w:rPr>
                <w:b/>
                <w:color w:val="000000"/>
              </w:rPr>
              <w:tab/>
            </w:r>
            <w:r w:rsidRPr="002C41A6">
              <w:rPr>
                <w:b/>
                <w:color w:val="000000"/>
              </w:rPr>
              <w:t>Comment Period:  Was the 30-day comment period waived (</w:t>
            </w:r>
            <w:r w:rsidRPr="002C41A6">
              <w:rPr>
                <w:b/>
                <w:i/>
                <w:color w:val="000000"/>
              </w:rPr>
              <w:t>see</w:t>
            </w:r>
            <w:r w:rsidRPr="002C41A6" w:rsidR="00A60203">
              <w:rPr>
                <w:b/>
                <w:color w:val="000000"/>
              </w:rPr>
              <w:t> </w:t>
            </w:r>
            <w:r w:rsidRPr="002C41A6">
              <w:rPr>
                <w:b/>
                <w:color w:val="000000"/>
              </w:rPr>
              <w:t>Rule 14.6(</w:t>
            </w:r>
            <w:r w:rsidRPr="002C41A6" w:rsidR="00963EEF">
              <w:rPr>
                <w:b/>
                <w:color w:val="000000"/>
              </w:rPr>
              <w:t>c</w:t>
            </w:r>
            <w:r w:rsidRPr="002C41A6">
              <w:rPr>
                <w:b/>
                <w:color w:val="000000"/>
              </w:rPr>
              <w:t>)(6))?</w:t>
            </w:r>
          </w:p>
        </w:tc>
        <w:tc>
          <w:tcPr>
            <w:tcW w:w="2070" w:type="dxa"/>
            <w:shd w:val="clear" w:color="auto" w:fill="auto"/>
          </w:tcPr>
          <w:p w:rsidRPr="007F620E" w:rsidR="00A92D0B" w:rsidP="001B0C7E" w:rsidRDefault="001B0C7E" w14:paraId="238D2D3F" w14:textId="241E9581">
            <w:pPr>
              <w:keepNext/>
              <w:keepLines/>
              <w:spacing w:after="240"/>
              <w:jc w:val="center"/>
              <w:rPr>
                <w:color w:val="000000"/>
              </w:rPr>
            </w:pPr>
            <w:r w:rsidRPr="002C41A6">
              <w:rPr>
                <w:color w:val="000000"/>
              </w:rPr>
              <w:t>Yes</w:t>
            </w:r>
          </w:p>
        </w:tc>
      </w:tr>
    </w:tbl>
    <w:p w:rsidR="00BC229D" w:rsidP="00BC229D" w:rsidRDefault="00BC229D" w14:paraId="73134F6A" w14:textId="77777777">
      <w:pPr>
        <w:keepNext/>
        <w:keepLines/>
        <w:jc w:val="center"/>
        <w:rPr>
          <w:b/>
          <w:color w:val="000000"/>
          <w:u w:val="single"/>
        </w:rPr>
      </w:pPr>
    </w:p>
    <w:p w:rsidRPr="007F620E" w:rsidR="00A92D0B" w:rsidP="00BC229D" w:rsidRDefault="00A92D0B" w14:paraId="186E115A" w14:textId="4D9F4B29">
      <w:pPr>
        <w:keepNext/>
        <w:keepLines/>
        <w:spacing w:after="240"/>
        <w:jc w:val="center"/>
        <w:rPr>
          <w:b/>
          <w:color w:val="000000"/>
          <w:u w:val="single"/>
        </w:rPr>
      </w:pPr>
      <w:r w:rsidRPr="007F620E">
        <w:rPr>
          <w:b/>
          <w:color w:val="000000"/>
          <w:u w:val="single"/>
        </w:rPr>
        <w:t>FINDINGS OF FACT</w:t>
      </w:r>
    </w:p>
    <w:p w:rsidRPr="001B0C7E" w:rsidR="001B0C7E" w:rsidP="001B0C7E" w:rsidRDefault="001B0C7E" w14:paraId="4DF6AB82" w14:textId="2AC8FE7D">
      <w:pPr>
        <w:pStyle w:val="ListParagraph"/>
        <w:numPr>
          <w:ilvl w:val="0"/>
          <w:numId w:val="3"/>
        </w:numPr>
        <w:rPr>
          <w:rFonts w:eastAsia="Times New Roman"/>
          <w:szCs w:val="24"/>
        </w:rPr>
      </w:pPr>
      <w:r>
        <w:t>The Utility Refo</w:t>
      </w:r>
      <w:r w:rsidR="0023362F">
        <w:t>r</w:t>
      </w:r>
      <w:r>
        <w:t xml:space="preserve">m Network </w:t>
      </w:r>
      <w:r w:rsidRPr="007F620E" w:rsidR="00A92D0B">
        <w:t>has</w:t>
      </w:r>
      <w:r>
        <w:t xml:space="preserve"> </w:t>
      </w:r>
      <w:r w:rsidRPr="007F620E" w:rsidR="00A92D0B">
        <w:t>made a substantia</w:t>
      </w:r>
      <w:r w:rsidRPr="007F620E" w:rsidR="00DE3A5D">
        <w:t>l contribution to D.</w:t>
      </w:r>
      <w:r w:rsidRPr="001B0C7E">
        <w:rPr>
          <w:rFonts w:eastAsia="Times New Roman"/>
          <w:szCs w:val="24"/>
        </w:rPr>
        <w:t>23-</w:t>
      </w:r>
      <w:r w:rsidR="00AA07C9">
        <w:rPr>
          <w:rFonts w:eastAsia="Times New Roman"/>
          <w:szCs w:val="24"/>
        </w:rPr>
        <w:t>05</w:t>
      </w:r>
      <w:r w:rsidRPr="001B0C7E">
        <w:rPr>
          <w:rFonts w:eastAsia="Times New Roman"/>
          <w:szCs w:val="24"/>
        </w:rPr>
        <w:t>-0</w:t>
      </w:r>
      <w:r w:rsidR="00AA07C9">
        <w:rPr>
          <w:rFonts w:eastAsia="Times New Roman"/>
          <w:szCs w:val="24"/>
        </w:rPr>
        <w:t>13</w:t>
      </w:r>
      <w:r w:rsidRPr="001B0C7E">
        <w:rPr>
          <w:rFonts w:eastAsia="Times New Roman"/>
          <w:szCs w:val="24"/>
        </w:rPr>
        <w:t xml:space="preserve"> and D.23-</w:t>
      </w:r>
      <w:r w:rsidR="00AA07C9">
        <w:rPr>
          <w:rFonts w:eastAsia="Times New Roman"/>
          <w:szCs w:val="24"/>
        </w:rPr>
        <w:t>11-096</w:t>
      </w:r>
      <w:r w:rsidR="00BB0B1B">
        <w:rPr>
          <w:rFonts w:eastAsia="Times New Roman"/>
          <w:szCs w:val="24"/>
        </w:rPr>
        <w:t>.</w:t>
      </w:r>
    </w:p>
    <w:p w:rsidRPr="007F620E" w:rsidR="00A92D0B" w:rsidP="006C5F75" w:rsidRDefault="00A92D0B" w14:paraId="04EB50FD" w14:textId="1ED1D625">
      <w:pPr>
        <w:keepNext/>
        <w:keepLines/>
        <w:numPr>
          <w:ilvl w:val="0"/>
          <w:numId w:val="3"/>
        </w:numPr>
        <w:tabs>
          <w:tab w:val="num" w:pos="540"/>
        </w:tabs>
        <w:spacing w:before="240"/>
      </w:pPr>
      <w:r w:rsidRPr="007F620E">
        <w:t>The requested hourly rates for</w:t>
      </w:r>
      <w:r w:rsidR="00BD72F4">
        <w:t xml:space="preserve"> The Utility Reform Network’s </w:t>
      </w:r>
      <w:r w:rsidRPr="007F620E">
        <w:t>representatives,</w:t>
      </w:r>
      <w:r w:rsidR="003B5EAC">
        <w:t xml:space="preserve"> </w:t>
      </w:r>
      <w:r w:rsidRPr="007F620E">
        <w:t>as adjusted herein, are comparable to market rates paid to experts and advocates having comparable training and experience and offering similar services.</w:t>
      </w:r>
    </w:p>
    <w:p w:rsidRPr="007F620E" w:rsidR="00A92D0B" w:rsidRDefault="00A92D0B" w14:paraId="528EBB52" w14:textId="3E7A4C8F">
      <w:pPr>
        <w:numPr>
          <w:ilvl w:val="0"/>
          <w:numId w:val="3"/>
        </w:numPr>
        <w:tabs>
          <w:tab w:val="num" w:pos="540"/>
        </w:tabs>
        <w:spacing w:before="240"/>
      </w:pPr>
      <w:r w:rsidRPr="007F620E">
        <w:t>The claimed costs and expenses,</w:t>
      </w:r>
      <w:r w:rsidR="003B5EAC">
        <w:t xml:space="preserve"> </w:t>
      </w:r>
      <w:r w:rsidRPr="007F620E">
        <w:t>as adjusted herein,</w:t>
      </w:r>
      <w:r w:rsidR="00BD72F4">
        <w:t xml:space="preserve"> </w:t>
      </w:r>
      <w:r w:rsidRPr="007F620E">
        <w:t xml:space="preserve">are reasonable and commensurate with the work performed. </w:t>
      </w:r>
    </w:p>
    <w:p w:rsidRPr="007F620E" w:rsidR="00573852" w:rsidP="00573852" w:rsidRDefault="00A92D0B" w14:paraId="059ECD90" w14:textId="1AFC0A79">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Pr="00841EE0" w:rsidR="00841EE0">
        <w:t>$</w:t>
      </w:r>
      <w:r w:rsidR="006B34C6">
        <w:t>104,179.25</w:t>
      </w:r>
      <w:r w:rsidRPr="007F620E">
        <w:t>.</w:t>
      </w:r>
    </w:p>
    <w:p w:rsidR="00573852" w:rsidP="00573852" w:rsidRDefault="00573852" w14:paraId="7E794C0D" w14:textId="77777777">
      <w:pPr>
        <w:keepNext/>
        <w:jc w:val="center"/>
        <w:rPr>
          <w:b/>
          <w:color w:val="000000"/>
          <w:u w:val="single"/>
        </w:rPr>
      </w:pPr>
    </w:p>
    <w:p w:rsidRPr="007F620E" w:rsidR="00A92D0B" w:rsidP="00573852" w:rsidRDefault="00A92D0B" w14:paraId="5C773C3F" w14:textId="04F32258">
      <w:pPr>
        <w:keepNext/>
        <w:spacing w:after="240"/>
        <w:jc w:val="center"/>
        <w:rPr>
          <w:b/>
          <w:color w:val="000000"/>
          <w:u w:val="single"/>
        </w:rPr>
      </w:pPr>
      <w:r w:rsidRPr="007F620E">
        <w:rPr>
          <w:b/>
          <w:color w:val="000000"/>
          <w:u w:val="single"/>
        </w:rPr>
        <w:t>CONCLUSION OF LAW</w:t>
      </w:r>
    </w:p>
    <w:p w:rsidRPr="007F620E" w:rsidR="00A92D0B" w:rsidP="00575494" w:rsidRDefault="00A92D0B" w14:paraId="654F2C27" w14:textId="07909D61">
      <w:pPr>
        <w:numPr>
          <w:ilvl w:val="0"/>
          <w:numId w:val="10"/>
        </w:numPr>
        <w:spacing w:before="240"/>
        <w:rPr>
          <w:color w:val="000000"/>
        </w:rPr>
      </w:pPr>
      <w:r w:rsidRPr="00575494">
        <w:t>The</w:t>
      </w:r>
      <w:r w:rsidRPr="007F620E">
        <w:rPr>
          <w:color w:val="000000"/>
        </w:rPr>
        <w:t xml:space="preserve"> Claim, with any adjustment set forth above,</w:t>
      </w:r>
      <w:r w:rsidR="006C3E39">
        <w:rPr>
          <w:color w:val="000000"/>
        </w:rPr>
        <w:t xml:space="preserve"> </w:t>
      </w:r>
      <w:r w:rsidRPr="007F620E">
        <w:rPr>
          <w:color w:val="000000"/>
        </w:rPr>
        <w:t>satisfies</w:t>
      </w:r>
      <w:r w:rsidR="006C3E39">
        <w:rPr>
          <w:color w:val="000000"/>
        </w:rPr>
        <w:t xml:space="preserve"> </w:t>
      </w:r>
      <w:r w:rsidRPr="007F620E" w:rsidR="00DE3A5D">
        <w:rPr>
          <w:color w:val="000000"/>
        </w:rPr>
        <w:t>all requirements of Pub. Util.</w:t>
      </w:r>
      <w:r w:rsidRPr="007F620E">
        <w:rPr>
          <w:color w:val="000000"/>
        </w:rPr>
        <w:t xml:space="preserve"> Code §§ 1801-1812.</w:t>
      </w:r>
    </w:p>
    <w:p w:rsidRPr="007F620E" w:rsidR="00A92D0B" w:rsidP="00F21855" w:rsidRDefault="00A92D0B" w14:paraId="0E2503A5" w14:textId="77777777">
      <w:pPr>
        <w:keepNext/>
        <w:spacing w:after="240"/>
        <w:jc w:val="center"/>
        <w:rPr>
          <w:b/>
          <w:color w:val="000000"/>
          <w:u w:val="single"/>
        </w:rPr>
      </w:pPr>
      <w:r w:rsidRPr="007F620E">
        <w:rPr>
          <w:b/>
          <w:color w:val="000000"/>
          <w:u w:val="single"/>
        </w:rPr>
        <w:t>ORDER</w:t>
      </w:r>
    </w:p>
    <w:p w:rsidRPr="007F620E" w:rsidR="00A92D0B" w:rsidP="00CE057B" w:rsidRDefault="006C3E39" w14:paraId="33FB4E15" w14:textId="45D6372B">
      <w:pPr>
        <w:keepNext/>
        <w:numPr>
          <w:ilvl w:val="0"/>
          <w:numId w:val="4"/>
        </w:numPr>
        <w:tabs>
          <w:tab w:val="clear" w:pos="900"/>
          <w:tab w:val="num" w:pos="540"/>
        </w:tabs>
        <w:ind w:left="547" w:hanging="547"/>
        <w:rPr>
          <w:color w:val="000000"/>
        </w:rPr>
      </w:pPr>
      <w:r>
        <w:t>The Utility Refo</w:t>
      </w:r>
      <w:r w:rsidR="00462F1A">
        <w:t>r</w:t>
      </w:r>
      <w:r>
        <w:t xml:space="preserve">m Network </w:t>
      </w:r>
      <w:r w:rsidR="00831652">
        <w:t>is</w:t>
      </w:r>
      <w:r w:rsidRPr="00FE3BAE" w:rsidR="00FE3BAE">
        <w:t xml:space="preserve"> </w:t>
      </w:r>
      <w:r w:rsidRPr="00FE3BAE" w:rsidR="00A92D0B">
        <w:rPr>
          <w:color w:val="000000"/>
        </w:rPr>
        <w:t xml:space="preserve">awarded </w:t>
      </w:r>
      <w:r w:rsidRPr="00841EE0" w:rsidR="00841EE0">
        <w:rPr>
          <w:color w:val="000000"/>
        </w:rPr>
        <w:t>$</w:t>
      </w:r>
      <w:r w:rsidR="006B34C6">
        <w:rPr>
          <w:color w:val="000000"/>
        </w:rPr>
        <w:t>104,179.25</w:t>
      </w:r>
      <w:r w:rsidRPr="007F620E" w:rsidR="00A92D0B">
        <w:rPr>
          <w:color w:val="000000"/>
        </w:rPr>
        <w:t>.</w:t>
      </w:r>
    </w:p>
    <w:p w:rsidR="00A92D0B" w:rsidRDefault="00A92D0B" w14:paraId="4AEF5671" w14:textId="29782644">
      <w:pPr>
        <w:numPr>
          <w:ilvl w:val="0"/>
          <w:numId w:val="4"/>
        </w:numPr>
        <w:tabs>
          <w:tab w:val="clear" w:pos="900"/>
          <w:tab w:val="num" w:pos="540"/>
        </w:tabs>
        <w:spacing w:before="240"/>
        <w:ind w:left="547" w:hanging="547"/>
      </w:pPr>
      <w:r w:rsidRPr="007F620E">
        <w:t xml:space="preserve">Within 30 days of the effective date of this decision, </w:t>
      </w:r>
      <w:bookmarkStart w:name="_Hlk169076043" w:id="2"/>
      <w:r w:rsidR="004F7606">
        <w:t>Southern California Edison Company</w:t>
      </w:r>
      <w:bookmarkEnd w:id="2"/>
      <w:r w:rsidR="004F7606">
        <w:t xml:space="preserve"> </w:t>
      </w:r>
      <w:r w:rsidRPr="007F620E">
        <w:t xml:space="preserve">shall pay </w:t>
      </w:r>
      <w:r w:rsidR="006C3E39">
        <w:t xml:space="preserve">The Utility Reform Network </w:t>
      </w:r>
      <w:r w:rsidRPr="0022302F">
        <w:t xml:space="preserve">the </w:t>
      </w:r>
      <w:r w:rsidRPr="007F620E">
        <w:t>total award</w:t>
      </w:r>
      <w:r w:rsidR="0090401A">
        <w:t>.</w:t>
      </w:r>
      <w:r w:rsidR="00AC41CC">
        <w:t xml:space="preserve"> </w:t>
      </w:r>
      <w:r w:rsidRPr="007F620E">
        <w:t xml:space="preserve">Payment of the award </w:t>
      </w:r>
      <w:r w:rsidRPr="00831652">
        <w:t>shall</w:t>
      </w:r>
      <w:r w:rsidRPr="007F620E">
        <w:t xml:space="preserve"> include</w:t>
      </w:r>
      <w:r w:rsidRPr="007F620E" w:rsidR="004E3939">
        <w:t xml:space="preserve"> compound </w:t>
      </w:r>
      <w:r w:rsidRPr="007F620E">
        <w:t xml:space="preserve">interest at the rate earned on prime, three-month </w:t>
      </w:r>
      <w:r w:rsidRPr="007F620E" w:rsidR="00214B22">
        <w:t xml:space="preserve">non-financial </w:t>
      </w:r>
      <w:r w:rsidRPr="007F620E">
        <w:t>commercial paper as reported in Federal Reserve Statistical Release H.15, beginning</w:t>
      </w:r>
      <w:r w:rsidRPr="007F620E" w:rsidR="00357F1A">
        <w:t xml:space="preserve"> </w:t>
      </w:r>
      <w:r w:rsidR="00EA0AD5">
        <w:t>April 17, 2024</w:t>
      </w:r>
      <w:r w:rsidRPr="007F620E" w:rsidR="00357F1A">
        <w:t xml:space="preserve">, </w:t>
      </w:r>
      <w:r w:rsidRPr="007F620E">
        <w:t>the 75</w:t>
      </w:r>
      <w:r w:rsidRPr="007F620E">
        <w:rPr>
          <w:vertAlign w:val="superscript"/>
        </w:rPr>
        <w:t>th</w:t>
      </w:r>
      <w:r w:rsidRPr="007F620E">
        <w:t xml:space="preserve"> day after the filing of </w:t>
      </w:r>
      <w:r w:rsidR="00286815">
        <w:t xml:space="preserve">The Utility Reform Network’s </w:t>
      </w:r>
      <w:r w:rsidRPr="007F620E">
        <w:t>request, and continuing until full payment is made.</w:t>
      </w:r>
    </w:p>
    <w:p w:rsidRPr="007F620E" w:rsidR="00A92D0B" w:rsidP="00DE3A5D" w:rsidRDefault="00A92D0B" w14:paraId="5AD40C95" w14:textId="5CECDCB3">
      <w:pPr>
        <w:keepNext/>
        <w:keepLines/>
        <w:numPr>
          <w:ilvl w:val="0"/>
          <w:numId w:val="4"/>
        </w:numPr>
        <w:tabs>
          <w:tab w:val="clear" w:pos="900"/>
          <w:tab w:val="num" w:pos="540"/>
        </w:tabs>
        <w:spacing w:before="240"/>
        <w:ind w:left="547" w:hanging="547"/>
      </w:pPr>
      <w:r w:rsidRPr="007F620E">
        <w:lastRenderedPageBreak/>
        <w:t>The comment period for today’s decision is</w:t>
      </w:r>
      <w:r w:rsidR="006C3E39">
        <w:t xml:space="preserve"> </w:t>
      </w:r>
      <w:r w:rsidRPr="007F620E">
        <w:t>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357623" w:rsidRDefault="00A92D0B" w14:paraId="0467B995" w14:textId="728B31A4">
      <w:pPr>
        <w:keepNext/>
        <w:keepLines/>
        <w:spacing w:before="240"/>
        <w:ind w:left="547"/>
        <w:rPr>
          <w:color w:val="000000"/>
        </w:rPr>
      </w:pPr>
      <w:r w:rsidRPr="007F620E">
        <w:rPr>
          <w:color w:val="000000"/>
        </w:rPr>
        <w:t xml:space="preserve">Dated </w:t>
      </w:r>
      <w:r w:rsidR="00B33B4E">
        <w:rPr>
          <w:color w:val="000000"/>
        </w:rPr>
        <w:t>September 12, 2024,</w:t>
      </w:r>
      <w:r w:rsidRPr="007F620E">
        <w:rPr>
          <w:color w:val="000000"/>
        </w:rPr>
        <w:t xml:space="preserve"> at </w:t>
      </w:r>
      <w:r w:rsidR="00FC5B4D">
        <w:rPr>
          <w:color w:val="000000"/>
        </w:rPr>
        <w:t>Sacramento</w:t>
      </w:r>
      <w:r w:rsidRPr="007F620E">
        <w:rPr>
          <w:color w:val="000000"/>
        </w:rPr>
        <w:t>, California.</w:t>
      </w:r>
    </w:p>
    <w:p w:rsidR="006B7228" w:rsidRDefault="006B7228" w14:paraId="03E82F50" w14:textId="77777777"/>
    <w:p w:rsidR="00884C88" w:rsidRDefault="00884C88" w14:paraId="78CFF890" w14:textId="77777777"/>
    <w:p w:rsidRPr="00884C88" w:rsidR="00884C88" w:rsidP="00884C88" w:rsidRDefault="00884C88" w14:paraId="4E5D4321" w14:textId="77777777">
      <w:pPr>
        <w:keepNext/>
        <w:keepLines/>
        <w:autoSpaceDE w:val="0"/>
        <w:autoSpaceDN w:val="0"/>
        <w:adjustRightInd w:val="0"/>
        <w:ind w:left="4320"/>
        <w:jc w:val="both"/>
        <w:rPr>
          <w:rFonts w:eastAsia="Calibri"/>
        </w:rPr>
      </w:pPr>
      <w:r w:rsidRPr="00884C88">
        <w:rPr>
          <w:rFonts w:eastAsia="Calibri"/>
        </w:rPr>
        <w:t>ALICE REYNOLDS</w:t>
      </w:r>
    </w:p>
    <w:p w:rsidRPr="00884C88" w:rsidR="00884C88" w:rsidP="00884C88" w:rsidRDefault="00884C88" w14:paraId="6AE52539" w14:textId="77777777">
      <w:pPr>
        <w:keepNext/>
        <w:keepLines/>
        <w:autoSpaceDE w:val="0"/>
        <w:autoSpaceDN w:val="0"/>
        <w:adjustRightInd w:val="0"/>
        <w:ind w:firstLine="720"/>
        <w:jc w:val="both"/>
        <w:rPr>
          <w:rFonts w:eastAsia="Calibri"/>
        </w:rPr>
      </w:pPr>
      <w:r w:rsidRPr="00884C88">
        <w:rPr>
          <w:rFonts w:eastAsia="Calibri"/>
        </w:rPr>
        <w:tab/>
      </w:r>
      <w:r w:rsidRPr="00884C88">
        <w:rPr>
          <w:rFonts w:eastAsia="Calibri"/>
        </w:rPr>
        <w:tab/>
      </w:r>
      <w:r w:rsidRPr="00884C88">
        <w:rPr>
          <w:rFonts w:eastAsia="Calibri"/>
        </w:rPr>
        <w:tab/>
      </w:r>
      <w:r w:rsidRPr="00884C88">
        <w:rPr>
          <w:rFonts w:eastAsia="Calibri"/>
        </w:rPr>
        <w:tab/>
      </w:r>
      <w:r w:rsidRPr="00884C88">
        <w:rPr>
          <w:rFonts w:eastAsia="Calibri"/>
        </w:rPr>
        <w:tab/>
        <w:t xml:space="preserve">                       President</w:t>
      </w:r>
    </w:p>
    <w:p w:rsidRPr="00884C88" w:rsidR="00884C88" w:rsidP="00884C88" w:rsidRDefault="00884C88" w14:paraId="73D1EC8C" w14:textId="77777777">
      <w:pPr>
        <w:autoSpaceDE w:val="0"/>
        <w:autoSpaceDN w:val="0"/>
        <w:adjustRightInd w:val="0"/>
        <w:ind w:left="3600" w:firstLine="720"/>
        <w:jc w:val="both"/>
        <w:rPr>
          <w:rFonts w:eastAsia="Calibri"/>
        </w:rPr>
      </w:pPr>
      <w:r w:rsidRPr="00884C88">
        <w:rPr>
          <w:rFonts w:eastAsia="Calibri"/>
        </w:rPr>
        <w:t>DARCIE L. HOUCK</w:t>
      </w:r>
    </w:p>
    <w:p w:rsidRPr="00884C88" w:rsidR="00884C88" w:rsidP="00884C88" w:rsidRDefault="00884C88" w14:paraId="576CA5FA" w14:textId="77777777">
      <w:pPr>
        <w:autoSpaceDE w:val="0"/>
        <w:autoSpaceDN w:val="0"/>
        <w:adjustRightInd w:val="0"/>
        <w:ind w:left="3600" w:firstLine="720"/>
        <w:jc w:val="both"/>
        <w:rPr>
          <w:rFonts w:eastAsia="Calibri"/>
        </w:rPr>
      </w:pPr>
      <w:r w:rsidRPr="00884C88">
        <w:rPr>
          <w:rFonts w:eastAsia="Calibri"/>
        </w:rPr>
        <w:t>JOHN REYNOLDS</w:t>
      </w:r>
    </w:p>
    <w:p w:rsidRPr="00884C88" w:rsidR="00884C88" w:rsidP="00884C88" w:rsidRDefault="00884C88" w14:paraId="7E28500B" w14:textId="77777777">
      <w:pPr>
        <w:autoSpaceDE w:val="0"/>
        <w:autoSpaceDN w:val="0"/>
        <w:adjustRightInd w:val="0"/>
        <w:ind w:left="3600" w:firstLine="720"/>
        <w:jc w:val="both"/>
        <w:rPr>
          <w:color w:val="000000"/>
        </w:rPr>
      </w:pPr>
      <w:r w:rsidRPr="00884C88">
        <w:rPr>
          <w:color w:val="000000"/>
        </w:rPr>
        <w:t>KAREN DOUGLAS</w:t>
      </w:r>
    </w:p>
    <w:p w:rsidRPr="00884C88" w:rsidR="00884C88" w:rsidP="00884C88" w:rsidRDefault="00884C88" w14:paraId="6B93A93C" w14:textId="77777777">
      <w:pPr>
        <w:keepNext/>
        <w:keepLines/>
        <w:autoSpaceDE w:val="0"/>
        <w:autoSpaceDN w:val="0"/>
        <w:adjustRightInd w:val="0"/>
        <w:ind w:left="4320" w:firstLine="720"/>
        <w:jc w:val="both"/>
        <w:rPr>
          <w:rFonts w:eastAsia="Calibri"/>
        </w:rPr>
      </w:pPr>
      <w:r w:rsidRPr="00884C88">
        <w:rPr>
          <w:rFonts w:eastAsia="Calibri"/>
        </w:rPr>
        <w:t xml:space="preserve">            Commissioners</w:t>
      </w:r>
    </w:p>
    <w:p w:rsidRPr="00884C88" w:rsidR="00884C88" w:rsidP="00884C88" w:rsidRDefault="00884C88" w14:paraId="1AD04ABA" w14:textId="77777777">
      <w:pPr>
        <w:keepNext/>
        <w:keepLines/>
        <w:spacing w:line="360" w:lineRule="auto"/>
        <w:ind w:firstLine="720"/>
        <w:rPr>
          <w:rFonts w:eastAsia="Calibri"/>
        </w:rPr>
      </w:pPr>
    </w:p>
    <w:p w:rsidRPr="00884C88" w:rsidR="00884C88" w:rsidP="00884C88" w:rsidRDefault="00884C88" w14:paraId="43CF72A6" w14:textId="77777777">
      <w:pPr>
        <w:keepNext/>
        <w:keepLines/>
        <w:autoSpaceDE w:val="0"/>
        <w:autoSpaceDN w:val="0"/>
        <w:adjustRightInd w:val="0"/>
        <w:ind w:left="4380"/>
        <w:rPr>
          <w:rFonts w:eastAsia="Calibri"/>
        </w:rPr>
      </w:pPr>
      <w:r w:rsidRPr="00884C88">
        <w:rPr>
          <w:rFonts w:eastAsia="Calibri"/>
        </w:rPr>
        <w:t>Commissioner Matthew Baker recused himself from this agenda item and was not part of the quorum in its consideration.</w:t>
      </w:r>
    </w:p>
    <w:p w:rsidRPr="00884C88" w:rsidR="00884C88" w:rsidRDefault="00884C88" w14:paraId="37D74F32" w14:textId="77777777">
      <w:pPr>
        <w:rPr>
          <w:b/>
          <w:bCs/>
        </w:rPr>
        <w:sectPr w:rsidRPr="00884C88" w:rsidR="00884C88" w:rsidSect="00884C88">
          <w:headerReference w:type="default" r:id="rId14"/>
          <w:footerReference w:type="default" r:id="rId15"/>
          <w:footerReference w:type="first" r:id="rId16"/>
          <w:pgSz w:w="12240" w:h="15840"/>
          <w:pgMar w:top="1440" w:right="1440" w:bottom="180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AB4887" w:rsidR="00FE3BAE" w:rsidP="00A23C17" w:rsidRDefault="00AB4887" w14:paraId="16C5D6B1" w14:textId="11156F7D">
            <w:r w:rsidRPr="00AB4887">
              <w:t>D2409017</w:t>
            </w:r>
          </w:p>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A23C17"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A23C17" w:rsidRDefault="00BD4378" w14:paraId="6846FB87" w14:textId="687BE2FD">
            <w:pPr>
              <w:jc w:val="center"/>
            </w:pPr>
            <w:r>
              <w:t>No</w:t>
            </w:r>
          </w:p>
        </w:tc>
      </w:tr>
      <w:tr w:rsidRPr="00B803D5" w:rsidR="00FE3BAE" w:rsidTr="00510897"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EF1057" w14:paraId="426F2C45" w14:textId="7BD4FB0E">
            <w:r>
              <w:t>D2305013</w:t>
            </w:r>
            <w:r w:rsidR="00830447">
              <w:t xml:space="preserve"> and </w:t>
            </w:r>
            <w:r w:rsidR="00235EF1">
              <w:t>D2311096</w:t>
            </w:r>
          </w:p>
        </w:tc>
      </w:tr>
      <w:tr w:rsidRPr="00B803D5" w:rsidR="00FE3BAE" w:rsidTr="00510897"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235EF1" w14:paraId="5B85688D" w14:textId="0DC2F313">
            <w:r>
              <w:t>A1908013</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4458DD" w14:paraId="5E75C0F0" w14:textId="4169012F">
            <w:r>
              <w:t>ALJ</w:t>
            </w:r>
            <w:r w:rsidR="003933D1">
              <w:t xml:space="preserve"> </w:t>
            </w:r>
            <w:r>
              <w:t>Ehren</w:t>
            </w:r>
            <w:r w:rsidR="00830447">
              <w:t xml:space="preserve"> D. </w:t>
            </w:r>
            <w:r>
              <w:t>Seybert</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1414CA71" w14:textId="5EC05D9C">
            <w:pPr>
              <w:rPr>
                <w:b/>
                <w:bCs/>
              </w:rPr>
            </w:pPr>
            <w:r w:rsidRPr="00F7579D">
              <w:rPr>
                <w:b/>
                <w:bCs/>
              </w:rPr>
              <w:t>Paye</w:t>
            </w:r>
            <w:r w:rsidR="004458DD">
              <w:rPr>
                <w:b/>
                <w:bCs/>
              </w:rPr>
              <w:t>e:</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4458DD" w14:paraId="7CA711B6" w14:textId="5C67C6E8">
            <w:r>
              <w:t>Southern California Edison Company</w:t>
            </w:r>
          </w:p>
        </w:tc>
      </w:tr>
    </w:tbl>
    <w:p w:rsidR="00EA10BF" w:rsidP="00EA10BF" w:rsidRDefault="00EA10BF" w14:paraId="6BF449F8" w14:textId="77777777">
      <w:pPr>
        <w:spacing w:line="168" w:lineRule="auto"/>
        <w:jc w:val="center"/>
        <w:rPr>
          <w:b/>
          <w:bCs/>
          <w:sz w:val="28"/>
          <w:szCs w:val="28"/>
        </w:rPr>
      </w:pPr>
    </w:p>
    <w:p w:rsidRPr="00B803D5" w:rsidR="00FE3BAE" w:rsidP="00EA10BF" w:rsidRDefault="00FE3BAE" w14:paraId="7F0236A2" w14:textId="3C4631E1">
      <w:pPr>
        <w:spacing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55"/>
        <w:gridCol w:w="1453"/>
        <w:gridCol w:w="1465"/>
        <w:gridCol w:w="1580"/>
        <w:gridCol w:w="1398"/>
        <w:gridCol w:w="2489"/>
      </w:tblGrid>
      <w:tr w:rsidRPr="00B803D5" w:rsidR="00FE3BAE" w:rsidTr="002B6757"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FE3BAE" w:rsidP="00CE057B" w:rsidRDefault="00FE3BAE" w14:paraId="60DD020D"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61167A"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5476F" w:rsidRDefault="0061167A" w14:paraId="3008FB17" w14:textId="3BB4DCD8">
            <w:r>
              <w:t>The Utility Reform Network</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BD4378" w14:paraId="63956769" w14:textId="47D7752F">
            <w:pPr>
              <w:jc w:val="center"/>
            </w:pPr>
            <w:r>
              <w:t>02/02/24</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EF1057" w14:paraId="75AD20FA" w14:textId="667D4463">
            <w:pPr>
              <w:jc w:val="center"/>
            </w:pPr>
            <w:r>
              <w:t>$8</w:t>
            </w:r>
            <w:r w:rsidR="00CC18C3">
              <w:t>4</w:t>
            </w:r>
            <w:r>
              <w:t>,</w:t>
            </w:r>
            <w:r w:rsidR="00CC18C3">
              <w:t>07</w:t>
            </w:r>
            <w:r>
              <w:t>5.00</w:t>
            </w:r>
            <w:r w:rsidR="009B215F">
              <w:rPr>
                <w:rStyle w:val="FootnoteReference"/>
              </w:rPr>
              <w:footnoteReference w:id="20"/>
            </w:r>
          </w:p>
        </w:tc>
        <w:tc>
          <w:tcPr>
            <w:tcW w:w="1571" w:type="dxa"/>
            <w:tcBorders>
              <w:top w:val="single" w:color="auto" w:sz="4" w:space="0"/>
              <w:left w:val="single" w:color="auto" w:sz="4" w:space="0"/>
              <w:bottom w:val="single" w:color="auto" w:sz="4" w:space="0"/>
              <w:right w:val="single" w:color="auto" w:sz="4" w:space="0"/>
            </w:tcBorders>
            <w:hideMark/>
          </w:tcPr>
          <w:p w:rsidRPr="00B803D5" w:rsidR="00FE3BAE" w:rsidP="00A23C17" w:rsidRDefault="0061167A" w14:paraId="0DD6FE00" w14:textId="4F9790AB">
            <w:pPr>
              <w:jc w:val="center"/>
            </w:pPr>
            <w:r w:rsidRPr="00841EE0">
              <w:t>$</w:t>
            </w:r>
            <w:r w:rsidR="006B34C6">
              <w:t>104,179.25</w:t>
            </w:r>
          </w:p>
        </w:tc>
        <w:tc>
          <w:tcPr>
            <w:tcW w:w="1390" w:type="dxa"/>
            <w:tcBorders>
              <w:top w:val="single" w:color="auto" w:sz="4" w:space="0"/>
              <w:left w:val="single" w:color="auto" w:sz="4" w:space="0"/>
              <w:bottom w:val="single" w:color="auto" w:sz="4" w:space="0"/>
              <w:right w:val="single" w:color="auto" w:sz="4" w:space="0"/>
            </w:tcBorders>
            <w:hideMark/>
          </w:tcPr>
          <w:p w:rsidRPr="00B803D5" w:rsidR="00FE3BAE" w:rsidP="00A23C17"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B803D5" w:rsidR="00FE3BAE" w:rsidP="00A23C17" w:rsidRDefault="002023A7" w14:paraId="6B53C6F9" w14:textId="145FB72E">
            <w:pPr>
              <w:jc w:val="center"/>
            </w:pPr>
            <w:r w:rsidRPr="00790010">
              <w:rPr>
                <w:i/>
                <w:iCs/>
              </w:rPr>
              <w:t>See</w:t>
            </w:r>
            <w:r w:rsidRPr="002023A7">
              <w:t xml:space="preserve"> Part III D. CPUC Comments, Disallowances, and Adjustments</w:t>
            </w:r>
          </w:p>
        </w:tc>
      </w:tr>
    </w:tbl>
    <w:p w:rsidR="00F66C50" w:rsidP="00F66C50" w:rsidRDefault="00F66C50" w14:paraId="714863B7" w14:textId="77777777">
      <w:pPr>
        <w:jc w:val="center"/>
        <w:rPr>
          <w:b/>
          <w:bCs/>
          <w:sz w:val="28"/>
          <w:szCs w:val="28"/>
        </w:rPr>
      </w:pPr>
    </w:p>
    <w:p w:rsidRPr="00B803D5" w:rsidR="00FE3BAE" w:rsidP="00F66C50" w:rsidRDefault="0022302F" w14:paraId="2841210B" w14:textId="37B68CE8">
      <w:pPr>
        <w:spacing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2B6757"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5A7D83" w:rsidTr="005A7D83" w14:paraId="42B6DD0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005A7D83" w:rsidP="00CC6B0F" w:rsidRDefault="005A7D83" w14:paraId="7038233A" w14:textId="78C49050">
            <w:pPr>
              <w:rPr>
                <w:shd w:val="clear" w:color="auto" w:fill="CCFFCC"/>
              </w:rPr>
            </w:pPr>
            <w:r w:rsidRPr="00D57CD4">
              <w:t>Robert</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5A7D83" w:rsidP="00CC6B0F" w:rsidRDefault="005A7D83" w14:paraId="34AC69B3" w14:textId="27E137FD">
            <w:pPr>
              <w:rPr>
                <w:shd w:val="clear" w:color="auto" w:fill="CCFFCC"/>
              </w:rPr>
            </w:pPr>
            <w:r w:rsidRPr="00D57CD4">
              <w:t>Finkelstein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005A7D83" w:rsidP="00CC6B0F" w:rsidRDefault="005A7D83" w14:paraId="555FB4A5" w14:textId="062DA02F">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53A1F5C2" w14:textId="1F66D230">
            <w:pPr>
              <w:jc w:val="center"/>
            </w:pPr>
            <w:r w:rsidRPr="00D57CD4">
              <w:t>$840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5A7D83" w:rsidP="005A7D83" w:rsidRDefault="005A7D83" w14:paraId="075DE8D3" w14:textId="469A4E3C">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CC6B0F" w14:paraId="38B995DC" w14:textId="47740B9A">
            <w:pPr>
              <w:jc w:val="center"/>
            </w:pPr>
            <w:r>
              <w:t>$</w:t>
            </w:r>
            <w:r w:rsidR="00B56246">
              <w:t>840</w:t>
            </w:r>
            <w:r w:rsidR="00147902">
              <w:t>.00</w:t>
            </w:r>
          </w:p>
        </w:tc>
      </w:tr>
      <w:tr w:rsidRPr="00B803D5" w:rsidR="005A7D83" w:rsidTr="005A7D83"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0F0C6D6C" w14:textId="28B822A0">
            <w:pPr>
              <w:rPr>
                <w:shd w:val="clear" w:color="auto" w:fill="CCFFCC"/>
              </w:rPr>
            </w:pPr>
            <w:r w:rsidRPr="00D57CD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6ACE7B68" w14:textId="3B150AE6">
            <w:pPr>
              <w:rPr>
                <w:shd w:val="clear" w:color="auto" w:fill="CCFFCC"/>
              </w:rPr>
            </w:pPr>
            <w:r w:rsidRPr="00D57CD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0E61474F" w14:textId="314FEAEE">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44F9655C" w14:textId="61F469FA">
            <w:pPr>
              <w:jc w:val="center"/>
            </w:pPr>
            <w:r w:rsidRPr="00D57CD4">
              <w:t>$570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2EB25516" w14:textId="78927A87">
            <w:pPr>
              <w:jc w:val="center"/>
            </w:pPr>
            <w:r w:rsidRPr="00D57CD4">
              <w:t>2022</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B56246" w14:paraId="0A76FE98" w14:textId="00BCA69E">
            <w:pPr>
              <w:jc w:val="center"/>
            </w:pPr>
            <w:r>
              <w:t>$570</w:t>
            </w:r>
            <w:r w:rsidRPr="00147902" w:rsidR="00147902">
              <w:t>.00</w:t>
            </w:r>
          </w:p>
        </w:tc>
      </w:tr>
      <w:tr w:rsidRPr="00B803D5" w:rsidR="005A7D83" w:rsidTr="005A7D83"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4CFDAB24" w14:textId="26737DA9">
            <w:pPr>
              <w:rPr>
                <w:shd w:val="clear" w:color="auto" w:fill="CCFFCC"/>
              </w:rPr>
            </w:pPr>
            <w:r w:rsidRPr="00D57CD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3A9B4F75" w14:textId="37A89689">
            <w:pPr>
              <w:rPr>
                <w:shd w:val="clear" w:color="auto" w:fill="CCFFCC"/>
              </w:rPr>
            </w:pPr>
            <w:r w:rsidRPr="00D57CD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73440B00" w14:textId="59A3CCF3">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1466F47E" w14:textId="7BFA758B">
            <w:pPr>
              <w:jc w:val="center"/>
            </w:pPr>
            <w:r w:rsidRPr="00D57CD4">
              <w:t>$625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4CBE320E" w14:textId="527C4B95">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B56246" w14:paraId="37932A57" w14:textId="13A65DAC">
            <w:pPr>
              <w:jc w:val="center"/>
            </w:pPr>
            <w:r>
              <w:t>$625</w:t>
            </w:r>
            <w:r w:rsidRPr="00147902" w:rsidR="00147902">
              <w:t>.00</w:t>
            </w:r>
          </w:p>
        </w:tc>
      </w:tr>
      <w:tr w:rsidRPr="00B803D5" w:rsidR="005A7D83" w:rsidTr="005A7D83" w14:paraId="4C519B4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65C04662" w14:textId="056C7729">
            <w:pPr>
              <w:rPr>
                <w:shd w:val="clear" w:color="auto" w:fill="CCFFCC"/>
              </w:rPr>
            </w:pPr>
            <w:r w:rsidRPr="00D57CD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1C590887" w14:textId="2D24262E">
            <w:pPr>
              <w:rPr>
                <w:shd w:val="clear" w:color="auto" w:fill="CCFFCC"/>
              </w:rPr>
            </w:pPr>
            <w:r w:rsidRPr="00D57CD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1EA8DE3D" w14:textId="5ED974B9">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4F6290AB" w14:textId="575FB805">
            <w:pPr>
              <w:jc w:val="center"/>
            </w:pPr>
            <w:r w:rsidRPr="00D57CD4">
              <w:t>$680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1354C70A" w14:textId="0E23775A">
            <w:pPr>
              <w:jc w:val="center"/>
            </w:pPr>
            <w:r w:rsidRPr="00D57CD4">
              <w:t>2024</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B56246" w14:paraId="36649915" w14:textId="11B85A34">
            <w:pPr>
              <w:jc w:val="center"/>
            </w:pPr>
            <w:r>
              <w:t>$</w:t>
            </w:r>
            <w:r w:rsidR="00510897">
              <w:t>680</w:t>
            </w:r>
            <w:r w:rsidRPr="00147902" w:rsidR="00147902">
              <w:t>.00</w:t>
            </w:r>
          </w:p>
        </w:tc>
      </w:tr>
      <w:tr w:rsidRPr="00B803D5" w:rsidR="005A7D83" w:rsidTr="005A7D83"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71BF257F" w14:textId="01A681E1">
            <w:pPr>
              <w:rPr>
                <w:shd w:val="clear" w:color="auto" w:fill="CCFFCC"/>
              </w:rPr>
            </w:pPr>
            <w:r w:rsidRPr="00D57CD4">
              <w:t>Marcel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4D0E5B24" w14:textId="6BD14178">
            <w:pPr>
              <w:rPr>
                <w:shd w:val="clear" w:color="auto" w:fill="CCFFCC"/>
              </w:rPr>
            </w:pPr>
            <w:r w:rsidRPr="00D57CD4">
              <w:t>Hawiger</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3ACB6465" w14:textId="55C9834B">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27D75B3F" w14:textId="2EBEAC70">
            <w:pPr>
              <w:jc w:val="center"/>
            </w:pPr>
            <w:r w:rsidRPr="00D57CD4">
              <w:t>$735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0BD45097" w14:textId="63EA1682">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510897" w14:paraId="6B245605" w14:textId="72C22C54">
            <w:pPr>
              <w:jc w:val="center"/>
            </w:pPr>
            <w:r>
              <w:t>$735</w:t>
            </w:r>
            <w:r w:rsidRPr="00147902" w:rsidR="00147902">
              <w:t>.00</w:t>
            </w:r>
          </w:p>
        </w:tc>
      </w:tr>
      <w:tr w:rsidRPr="00B803D5" w:rsidR="005A7D83" w:rsidTr="005A7D83"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115C1393" w14:textId="266E608E">
            <w:pPr>
              <w:rPr>
                <w:shd w:val="clear" w:color="auto" w:fill="CCFFCC"/>
              </w:rPr>
            </w:pPr>
            <w:r w:rsidRPr="00D57CD4">
              <w:t>Thomas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1467A27B" w14:textId="737AED91">
            <w:pPr>
              <w:rPr>
                <w:shd w:val="clear" w:color="auto" w:fill="CCFFCC"/>
              </w:rPr>
            </w:pPr>
            <w:r w:rsidRPr="00D57CD4">
              <w:t>Long</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66D10560" w14:textId="4F27B558">
            <w:pPr>
              <w:rPr>
                <w:shd w:val="clear" w:color="auto" w:fill="CCFFCC"/>
              </w:rPr>
            </w:pPr>
            <w:r w:rsidRPr="00D57CD4">
              <w:t>Attorney</w:t>
            </w:r>
            <w:r w:rsidR="00043A6D">
              <w:rPr>
                <w:rStyle w:val="FootnoteReference"/>
              </w:rPr>
              <w:footnoteReference w:id="21"/>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7BC812A8" w14:textId="5BE58781">
            <w:pPr>
              <w:jc w:val="center"/>
            </w:pPr>
            <w:r w:rsidRPr="00D57CD4">
              <w:t>$840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4580AE9E" w14:textId="0F8C44DF">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510897" w14:paraId="74B7B957" w14:textId="45028787">
            <w:pPr>
              <w:jc w:val="center"/>
            </w:pPr>
            <w:r>
              <w:t>$8</w:t>
            </w:r>
            <w:r w:rsidR="002C41A6">
              <w:t>30</w:t>
            </w:r>
            <w:r w:rsidRPr="00147902" w:rsidR="00147902">
              <w:t>.00</w:t>
            </w:r>
          </w:p>
        </w:tc>
      </w:tr>
      <w:tr w:rsidRPr="00B803D5" w:rsidR="005A7D83" w:rsidTr="005A7D83" w14:paraId="0DC4129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1C03A89B" w14:textId="133ACCCC">
            <w:pPr>
              <w:rPr>
                <w:shd w:val="clear" w:color="auto" w:fill="CCFFCC"/>
              </w:rPr>
            </w:pPr>
            <w:r w:rsidRPr="00D57CD4">
              <w:t>Elise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53680AFD" w14:textId="51CF60E9">
            <w:pPr>
              <w:rPr>
                <w:shd w:val="clear" w:color="auto" w:fill="CCFFCC"/>
              </w:rPr>
            </w:pPr>
            <w:r w:rsidRPr="00D57CD4">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597A6D17" w14:textId="1BC5AA55">
            <w:pPr>
              <w:rPr>
                <w:shd w:val="clear" w:color="auto" w:fill="CCFFCC"/>
              </w:rPr>
            </w:pPr>
            <w:r w:rsidRPr="00D57CD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48B7FBBF" w14:textId="092430A3">
            <w:pPr>
              <w:jc w:val="center"/>
            </w:pPr>
            <w:r w:rsidRPr="00D57CD4">
              <w:t>$510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5541B9E8" w14:textId="4C6A81B4">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510897" w14:paraId="5585EC38" w14:textId="5BF7501E">
            <w:pPr>
              <w:jc w:val="center"/>
            </w:pPr>
            <w:r>
              <w:t>$510</w:t>
            </w:r>
            <w:r w:rsidRPr="00147902" w:rsidR="00147902">
              <w:t>.00</w:t>
            </w:r>
          </w:p>
        </w:tc>
      </w:tr>
      <w:tr w:rsidRPr="00B803D5" w:rsidR="005A7D83" w:rsidTr="005A7D83" w14:paraId="29AE693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360AC496" w14:textId="2CFEC1D7">
            <w:pPr>
              <w:rPr>
                <w:shd w:val="clear" w:color="auto" w:fill="CCFFCC"/>
              </w:rPr>
            </w:pPr>
            <w:r w:rsidRPr="00D57CD4">
              <w:t>Jennifer</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56248722" w14:textId="445F1AB7">
            <w:pPr>
              <w:rPr>
                <w:shd w:val="clear" w:color="auto" w:fill="CCFFCC"/>
              </w:rPr>
            </w:pPr>
            <w:r w:rsidRPr="00D57CD4">
              <w:t>Dowdell</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CC6B0F" w:rsidRDefault="005A7D83" w14:paraId="5260F89F" w14:textId="0F90AE82">
            <w:pPr>
              <w:rPr>
                <w:shd w:val="clear" w:color="auto" w:fill="CCFFCC"/>
              </w:rPr>
            </w:pPr>
            <w:r w:rsidRPr="00D57CD4">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6D2EBA5C" w14:textId="3C836467">
            <w:pPr>
              <w:jc w:val="center"/>
            </w:pPr>
            <w:r w:rsidRPr="00D57CD4">
              <w:t>$455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5A7D83" w:rsidP="005A7D83" w:rsidRDefault="005A7D83" w14:paraId="34B04A04" w14:textId="17AF9F95">
            <w:pPr>
              <w:jc w:val="center"/>
            </w:pPr>
            <w:r w:rsidRPr="00D57CD4">
              <w:t>2023</w:t>
            </w:r>
          </w:p>
        </w:tc>
        <w:tc>
          <w:tcPr>
            <w:tcW w:w="1634" w:type="dxa"/>
            <w:tcBorders>
              <w:top w:val="single" w:color="auto" w:sz="4" w:space="0"/>
              <w:left w:val="single" w:color="auto" w:sz="4" w:space="0"/>
              <w:bottom w:val="single" w:color="auto" w:sz="4" w:space="0"/>
              <w:right w:val="single" w:color="auto" w:sz="4" w:space="0"/>
            </w:tcBorders>
          </w:tcPr>
          <w:p w:rsidRPr="00B803D5" w:rsidR="005A7D83" w:rsidP="006F35FC" w:rsidRDefault="00510897" w14:paraId="6A145930" w14:textId="057D2179">
            <w:pPr>
              <w:jc w:val="center"/>
            </w:pPr>
            <w:r>
              <w:t>$455</w:t>
            </w:r>
            <w:r w:rsidRPr="00147902" w:rsidR="00147902">
              <w:t>.00</w:t>
            </w:r>
          </w:p>
        </w:tc>
      </w:tr>
    </w:tbl>
    <w:p w:rsidRPr="008A14C9" w:rsidR="00577054" w:rsidP="008A14C9" w:rsidRDefault="00577054" w14:paraId="7AD706F1" w14:textId="64B3D777"/>
    <w:sectPr w:rsidRPr="008A14C9" w:rsidR="00577054" w:rsidSect="00172F88">
      <w:footerReference w:type="default" r:id="rId17"/>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FF723" w14:textId="77777777" w:rsidR="007C3427" w:rsidRDefault="007C3427" w:rsidP="00885956">
      <w:r>
        <w:separator/>
      </w:r>
    </w:p>
  </w:endnote>
  <w:endnote w:type="continuationSeparator" w:id="0">
    <w:p w14:paraId="56C2D501" w14:textId="77777777" w:rsidR="007C3427" w:rsidRDefault="007C3427"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436893"/>
      <w:docPartObj>
        <w:docPartGallery w:val="Page Numbers (Bottom of Page)"/>
        <w:docPartUnique/>
      </w:docPartObj>
    </w:sdtPr>
    <w:sdtEndPr>
      <w:rPr>
        <w:noProof/>
      </w:rPr>
    </w:sdtEndPr>
    <w:sdtContent>
      <w:p w14:paraId="28A020F4" w14:textId="0E064170" w:rsidR="003B6A1B" w:rsidRDefault="00761F61" w:rsidP="00260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4C2D" w14:textId="3926980C" w:rsidR="00CF1129" w:rsidRDefault="007F0E3D" w:rsidP="00653578">
    <w:pPr>
      <w:pStyle w:val="Footer"/>
    </w:pPr>
    <w:r w:rsidRPr="007F0E3D">
      <w:rPr>
        <w:sz w:val="16"/>
        <w:szCs w:val="16"/>
      </w:rPr>
      <w:t>540754393</w:t>
    </w:r>
    <w:r w:rsidR="00653578">
      <w:tab/>
    </w:r>
    <w:sdt>
      <w:sdtPr>
        <w:id w:val="66549329"/>
        <w:docPartObj>
          <w:docPartGallery w:val="Page Numbers (Bottom of Page)"/>
          <w:docPartUnique/>
        </w:docPartObj>
      </w:sdtPr>
      <w:sdtEndPr>
        <w:rPr>
          <w:noProof/>
        </w:rPr>
      </w:sdtEndPr>
      <w:sdtContent>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64EC" w14:textId="5EC9356B" w:rsidR="00165BFB" w:rsidRDefault="00165BFB">
    <w:pPr>
      <w:pStyle w:val="Footer"/>
      <w:jc w:val="center"/>
    </w:pPr>
  </w:p>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4FB0" w14:textId="77777777" w:rsidR="007C3427" w:rsidRDefault="007C3427" w:rsidP="00885956">
      <w:r>
        <w:separator/>
      </w:r>
    </w:p>
  </w:footnote>
  <w:footnote w:type="continuationSeparator" w:id="0">
    <w:p w14:paraId="7B6AC680" w14:textId="77777777" w:rsidR="007C3427" w:rsidRDefault="007C3427" w:rsidP="00885956">
      <w:r>
        <w:continuationSeparator/>
      </w:r>
    </w:p>
  </w:footnote>
  <w:footnote w:id="1">
    <w:p w14:paraId="2AFED8A3" w14:textId="12D88183" w:rsidR="00DA0D05" w:rsidRDefault="00DA0D05">
      <w:pPr>
        <w:pStyle w:val="FootnoteText"/>
      </w:pPr>
      <w:r>
        <w:rPr>
          <w:rStyle w:val="FootnoteReference"/>
        </w:rPr>
        <w:footnoteRef/>
      </w:r>
      <w:r>
        <w:t xml:space="preserve"> </w:t>
      </w:r>
      <w:r w:rsidR="00A37624" w:rsidRPr="00A37624">
        <w:t>Based on actual hours reflected in TURN’s timesheets, the correct total is $110,927.50</w:t>
      </w:r>
      <w:r w:rsidR="00A37624">
        <w:t>.</w:t>
      </w:r>
      <w:r w:rsidR="00F90D47">
        <w:t xml:space="preserve"> (</w:t>
      </w:r>
      <w:r w:rsidR="00F90D47" w:rsidRPr="003A2613">
        <w:rPr>
          <w:i/>
          <w:iCs/>
        </w:rPr>
        <w:t>See</w:t>
      </w:r>
      <w:r w:rsidR="00F90D47">
        <w:t xml:space="preserve"> footnotes</w:t>
      </w:r>
      <w:r w:rsidR="004021E2">
        <w:t xml:space="preserve"> 10-1</w:t>
      </w:r>
      <w:r w:rsidR="009A3D98">
        <w:t>5</w:t>
      </w:r>
      <w:r w:rsidR="004021E2">
        <w:t>).</w:t>
      </w:r>
    </w:p>
  </w:footnote>
  <w:footnote w:id="2">
    <w:p w14:paraId="16EA2769" w14:textId="434655EE" w:rsidR="007F0849" w:rsidRDefault="007F0849">
      <w:pPr>
        <w:pStyle w:val="FootnoteText"/>
      </w:pPr>
      <w:r>
        <w:rPr>
          <w:rStyle w:val="FootnoteReference"/>
        </w:rPr>
        <w:footnoteRef/>
      </w:r>
      <w:r>
        <w:t xml:space="preserve"> This proceeding was assigned to Commissioner Alice Reynolds on August 7, 2024.</w:t>
      </w:r>
    </w:p>
  </w:footnote>
  <w:footnote w:id="3">
    <w:p w14:paraId="7C8EA9A2" w14:textId="0C675E97" w:rsidR="00887A43" w:rsidRDefault="00887A43">
      <w:pPr>
        <w:pStyle w:val="FootnoteText"/>
      </w:pPr>
      <w:r>
        <w:rPr>
          <w:rStyle w:val="FootnoteReference"/>
        </w:rPr>
        <w:footnoteRef/>
      </w:r>
      <w:r>
        <w:t xml:space="preserve"> This proceeding was assigned to ALJ Ehren D. Seybert on September 27, 2019</w:t>
      </w:r>
      <w:r w:rsidR="000C7B42">
        <w:t>.</w:t>
      </w:r>
    </w:p>
  </w:footnote>
  <w:footnote w:id="4">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5">
    <w:p w14:paraId="584D67AB" w14:textId="77777777" w:rsidR="00D957CD" w:rsidRDefault="00D957CD" w:rsidP="00D957CD">
      <w:pPr>
        <w:pStyle w:val="FootnoteText"/>
      </w:pPr>
      <w:r>
        <w:rPr>
          <w:rStyle w:val="FootnoteReference"/>
        </w:rPr>
        <w:footnoteRef/>
      </w:r>
      <w:r>
        <w:t xml:space="preserve"> D.23-05-013, p. 3, citing D.21-08-036, p. 402 and Conclusion of Law 177.</w:t>
      </w:r>
    </w:p>
  </w:footnote>
  <w:footnote w:id="6">
    <w:p w14:paraId="2C8EED5B" w14:textId="77777777" w:rsidR="00D957CD" w:rsidRDefault="00D957CD" w:rsidP="00D957CD">
      <w:pPr>
        <w:pStyle w:val="FootnoteText"/>
      </w:pPr>
      <w:r>
        <w:rPr>
          <w:rStyle w:val="FootnoteReference"/>
        </w:rPr>
        <w:footnoteRef/>
      </w:r>
      <w:r>
        <w:t xml:space="preserve"> Petition for Modification (February 22, 2023), pp. 5-8.</w:t>
      </w:r>
    </w:p>
  </w:footnote>
  <w:footnote w:id="7">
    <w:p w14:paraId="625FA9A1" w14:textId="3C4E65DA" w:rsidR="00800822" w:rsidRDefault="00800822">
      <w:pPr>
        <w:pStyle w:val="FootnoteText"/>
      </w:pPr>
      <w:r>
        <w:rPr>
          <w:rStyle w:val="FootnoteReference"/>
        </w:rPr>
        <w:footnoteRef/>
      </w:r>
      <w:r>
        <w:t xml:space="preserve"> We </w:t>
      </w:r>
      <w:r w:rsidR="00A54DC8">
        <w:t>note TURN’s misspelling of Robert Fin</w:t>
      </w:r>
      <w:r w:rsidR="004765E0">
        <w:t>kelstein’s name.</w:t>
      </w:r>
      <w:r>
        <w:t xml:space="preserve"> </w:t>
      </w:r>
    </w:p>
  </w:footnote>
  <w:footnote w:id="8">
    <w:p w14:paraId="62366823" w14:textId="53957F8A" w:rsidR="008E673F" w:rsidRDefault="008E673F">
      <w:pPr>
        <w:pStyle w:val="FootnoteText"/>
      </w:pPr>
      <w:r>
        <w:rPr>
          <w:rStyle w:val="FootnoteReference"/>
        </w:rPr>
        <w:footnoteRef/>
      </w:r>
      <w:r>
        <w:t xml:space="preserve"> </w:t>
      </w:r>
      <w:r w:rsidR="00D45439">
        <w:t>TURN</w:t>
      </w:r>
      <w:r w:rsidR="00F77CFE">
        <w:t xml:space="preserve">’s claim </w:t>
      </w:r>
      <w:r w:rsidR="00A44F65">
        <w:t>does not</w:t>
      </w:r>
      <w:r w:rsidR="00F77CFE">
        <w:t xml:space="preserve"> include </w:t>
      </w:r>
      <w:r w:rsidR="00D45439">
        <w:t xml:space="preserve">Finkelstein’s </w:t>
      </w:r>
      <w:r w:rsidR="006D7743">
        <w:t xml:space="preserve">calculated </w:t>
      </w:r>
      <w:r w:rsidR="00D45439">
        <w:t xml:space="preserve">total </w:t>
      </w:r>
      <w:r w:rsidR="00F77CFE">
        <w:t xml:space="preserve">of $26,880.00 </w:t>
      </w:r>
      <w:r w:rsidR="00D45439">
        <w:t>for 2023</w:t>
      </w:r>
      <w:r w:rsidR="00CA5968">
        <w:t xml:space="preserve">. </w:t>
      </w:r>
    </w:p>
  </w:footnote>
  <w:footnote w:id="9">
    <w:p w14:paraId="5FF09624" w14:textId="702D6221" w:rsidR="0075616A" w:rsidRDefault="0075616A">
      <w:pPr>
        <w:pStyle w:val="FootnoteText"/>
      </w:pPr>
      <w:r>
        <w:rPr>
          <w:rStyle w:val="FootnoteReference"/>
        </w:rPr>
        <w:footnoteRef/>
      </w:r>
      <w:r w:rsidR="007979A0">
        <w:t xml:space="preserve"> </w:t>
      </w:r>
      <w:r w:rsidR="00F53BF9" w:rsidRPr="00F53BF9">
        <w:t xml:space="preserve">Based on actual hours reflected in </w:t>
      </w:r>
      <w:r w:rsidR="0082533E">
        <w:t>TURN</w:t>
      </w:r>
      <w:r w:rsidR="00F53BF9" w:rsidRPr="00F53BF9">
        <w:t xml:space="preserve">’s timesheets, the correct </w:t>
      </w:r>
      <w:r w:rsidR="00A03C8E">
        <w:t>sub</w:t>
      </w:r>
      <w:r w:rsidR="00F53BF9" w:rsidRPr="00F53BF9">
        <w:t>total is</w:t>
      </w:r>
      <w:r w:rsidR="00F53BF9">
        <w:t xml:space="preserve"> $</w:t>
      </w:r>
      <w:r w:rsidR="0082533E">
        <w:t>107,300.00</w:t>
      </w:r>
      <w:r w:rsidR="00B63E97">
        <w:t>.</w:t>
      </w:r>
    </w:p>
  </w:footnote>
  <w:footnote w:id="10">
    <w:p w14:paraId="46F6CCBB" w14:textId="3F2125BA" w:rsidR="00A82884" w:rsidRDefault="00A82884">
      <w:pPr>
        <w:pStyle w:val="FootnoteText"/>
      </w:pPr>
      <w:r>
        <w:rPr>
          <w:rStyle w:val="FootnoteReference"/>
        </w:rPr>
        <w:footnoteRef/>
      </w:r>
      <w:r>
        <w:t xml:space="preserve"> </w:t>
      </w:r>
      <w:r w:rsidR="00F77CFE">
        <w:t xml:space="preserve">TURN’s timesheets include </w:t>
      </w:r>
      <w:r w:rsidR="00CD7665">
        <w:t xml:space="preserve">a </w:t>
      </w:r>
      <w:r w:rsidR="001A021C">
        <w:t xml:space="preserve">recorded </w:t>
      </w:r>
      <w:r w:rsidR="00AB3DED">
        <w:t xml:space="preserve">hour of </w:t>
      </w:r>
      <w:r w:rsidR="00F77CFE">
        <w:t xml:space="preserve">Intervenor Compensation Claim Preparation </w:t>
      </w:r>
      <w:r w:rsidR="001A021C">
        <w:t xml:space="preserve">time </w:t>
      </w:r>
      <w:r w:rsidR="00F77CFE">
        <w:t xml:space="preserve">for 2023. </w:t>
      </w:r>
      <w:r w:rsidR="00A44F65">
        <w:t xml:space="preserve">The Commission has revised </w:t>
      </w:r>
      <w:r w:rsidR="00F77CFE">
        <w:t xml:space="preserve">TURN’s claim </w:t>
      </w:r>
      <w:r w:rsidR="00AB3DED">
        <w:t xml:space="preserve">accordingly. </w:t>
      </w:r>
      <w:r w:rsidR="004D66B1">
        <w:t xml:space="preserve">Information </w:t>
      </w:r>
      <w:r w:rsidR="00362659">
        <w:t xml:space="preserve">has been </w:t>
      </w:r>
      <w:r w:rsidR="004D66B1">
        <w:t xml:space="preserve">added by the CPUC </w:t>
      </w:r>
      <w:r w:rsidR="00ED55CD">
        <w:t xml:space="preserve">to include </w:t>
      </w:r>
      <w:r w:rsidR="003F61E8">
        <w:t xml:space="preserve">Goodson’s 2023 Intervenor Compensation Claim Preparation </w:t>
      </w:r>
      <w:r w:rsidR="0030468D">
        <w:t>h</w:t>
      </w:r>
      <w:r w:rsidR="003F61E8">
        <w:t>ours.</w:t>
      </w:r>
    </w:p>
  </w:footnote>
  <w:footnote w:id="11">
    <w:p w14:paraId="216CC847" w14:textId="6EAE4976" w:rsidR="00F346F4" w:rsidRDefault="00F346F4">
      <w:pPr>
        <w:pStyle w:val="FootnoteText"/>
      </w:pPr>
      <w:r>
        <w:rPr>
          <w:rStyle w:val="FootnoteReference"/>
        </w:rPr>
        <w:footnoteRef/>
      </w:r>
      <w:r>
        <w:t xml:space="preserve"> </w:t>
      </w:r>
      <w:r w:rsidR="00766193">
        <w:t>TURN’s timesheets reflect 9.75 hours for Goodson’s 2024 Intervenor Compensation Claim Preparation.</w:t>
      </w:r>
    </w:p>
  </w:footnote>
  <w:footnote w:id="12">
    <w:p w14:paraId="55B3DDFD" w14:textId="06EB7E80" w:rsidR="004D2A4A" w:rsidRDefault="004D2A4A">
      <w:pPr>
        <w:pStyle w:val="FootnoteText"/>
      </w:pPr>
      <w:r>
        <w:rPr>
          <w:rStyle w:val="FootnoteReference"/>
        </w:rPr>
        <w:footnoteRef/>
      </w:r>
      <w:r>
        <w:t xml:space="preserve"> </w:t>
      </w:r>
      <w:r w:rsidRPr="00F53BF9">
        <w:t xml:space="preserve">Based on actual hours reflected in </w:t>
      </w:r>
      <w:r>
        <w:t>TURN</w:t>
      </w:r>
      <w:r w:rsidRPr="00F53BF9">
        <w:t>’s timesheets, the correct total is</w:t>
      </w:r>
      <w:r>
        <w:t xml:space="preserve"> $3,315.00.</w:t>
      </w:r>
    </w:p>
  </w:footnote>
  <w:footnote w:id="13">
    <w:p w14:paraId="5E662698" w14:textId="7B78697A" w:rsidR="003F2A99" w:rsidRDefault="003F2A99">
      <w:pPr>
        <w:pStyle w:val="FootnoteText"/>
      </w:pPr>
      <w:r>
        <w:rPr>
          <w:rStyle w:val="FootnoteReference"/>
        </w:rPr>
        <w:footnoteRef/>
      </w:r>
      <w:r>
        <w:t xml:space="preserve"> </w:t>
      </w:r>
      <w:r w:rsidR="00463E95" w:rsidRPr="00463E95">
        <w:t xml:space="preserve">Based on actual hours reflected in </w:t>
      </w:r>
      <w:r w:rsidR="00463E95">
        <w:t>TURN</w:t>
      </w:r>
      <w:r w:rsidR="00463E95" w:rsidRPr="00463E95">
        <w:t xml:space="preserve">’s timesheets, the correct </w:t>
      </w:r>
      <w:r w:rsidR="00AE6A81">
        <w:t>sub</w:t>
      </w:r>
      <w:r w:rsidR="00463E95" w:rsidRPr="00463E95">
        <w:t xml:space="preserve">total </w:t>
      </w:r>
      <w:r w:rsidR="00463E95">
        <w:t xml:space="preserve">requested </w:t>
      </w:r>
      <w:r w:rsidR="00463E95" w:rsidRPr="00463E95">
        <w:t>is</w:t>
      </w:r>
      <w:r w:rsidR="00463E95">
        <w:t xml:space="preserve"> $</w:t>
      </w:r>
      <w:r w:rsidR="00AE6A81">
        <w:t>3,627.50</w:t>
      </w:r>
      <w:r w:rsidR="00A03C8E">
        <w:t>.</w:t>
      </w:r>
      <w:r w:rsidR="00F90D47">
        <w:t xml:space="preserve"> </w:t>
      </w:r>
      <w:r w:rsidR="00F90D47" w:rsidRPr="00AE3CAE">
        <w:rPr>
          <w:i/>
          <w:iCs/>
        </w:rPr>
        <w:t>See</w:t>
      </w:r>
      <w:r w:rsidR="00F90D47">
        <w:t xml:space="preserve"> Part III.D</w:t>
      </w:r>
      <w:r w:rsidR="00664192">
        <w:t>, Item [</w:t>
      </w:r>
      <w:r w:rsidR="00AD4982">
        <w:t>8</w:t>
      </w:r>
      <w:r w:rsidR="00664192">
        <w:t>].</w:t>
      </w:r>
    </w:p>
  </w:footnote>
  <w:footnote w:id="14">
    <w:p w14:paraId="0EB69D9B" w14:textId="476F6616" w:rsidR="00B63E97" w:rsidRDefault="00B63E97">
      <w:pPr>
        <w:pStyle w:val="FootnoteText"/>
      </w:pPr>
      <w:r w:rsidRPr="004E1EE3">
        <w:rPr>
          <w:rStyle w:val="FootnoteReference"/>
        </w:rPr>
        <w:footnoteRef/>
      </w:r>
      <w:r w:rsidRPr="004E1EE3">
        <w:t xml:space="preserve"> </w:t>
      </w:r>
      <w:bookmarkStart w:id="1" w:name="_Hlk169532105"/>
      <w:r w:rsidR="00A03C8E" w:rsidRPr="00A03C8E">
        <w:t xml:space="preserve">Based on actual hours reflected in </w:t>
      </w:r>
      <w:r w:rsidR="00A03C8E">
        <w:t>TURN</w:t>
      </w:r>
      <w:r w:rsidR="00A03C8E" w:rsidRPr="00A03C8E">
        <w:t>’s timesheets, the correct total is</w:t>
      </w:r>
      <w:r w:rsidR="00A03C8E">
        <w:t xml:space="preserve"> $110,927</w:t>
      </w:r>
      <w:r w:rsidR="00A37624">
        <w:t>.50</w:t>
      </w:r>
      <w:bookmarkEnd w:id="1"/>
      <w:r w:rsidR="007979A0">
        <w:t>.</w:t>
      </w:r>
    </w:p>
  </w:footnote>
  <w:footnote w:id="15">
    <w:p w14:paraId="67FFDAE3" w14:textId="4B90F264" w:rsidR="000420BB" w:rsidRDefault="000420BB">
      <w:pPr>
        <w:pStyle w:val="FootnoteText"/>
      </w:pPr>
      <w:r>
        <w:rPr>
          <w:rStyle w:val="FootnoteReference"/>
        </w:rPr>
        <w:footnoteRef/>
      </w:r>
      <w:r>
        <w:t xml:space="preserve"> The Commission has verified the information submitted here.</w:t>
      </w:r>
    </w:p>
  </w:footnote>
  <w:footnote w:id="16">
    <w:p w14:paraId="2A44723A" w14:textId="2B50D4D0"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17">
    <w:p w14:paraId="4660A27E" w14:textId="087C99E2" w:rsidR="003433A7" w:rsidRDefault="003433A7">
      <w:pPr>
        <w:pStyle w:val="FootnoteText"/>
      </w:pPr>
      <w:r>
        <w:rPr>
          <w:rStyle w:val="FootnoteReference"/>
        </w:rPr>
        <w:footnoteRef/>
      </w:r>
      <w:r>
        <w:t xml:space="preserve"> </w:t>
      </w:r>
      <w:r w:rsidR="005D0867">
        <w:t xml:space="preserve">Attachments </w:t>
      </w:r>
      <w:r w:rsidR="006E7A80">
        <w:t>not included in</w:t>
      </w:r>
      <w:r w:rsidR="005D0867">
        <w:t xml:space="preserve"> final </w:t>
      </w:r>
      <w:r w:rsidR="009509E5">
        <w:t>D</w:t>
      </w:r>
      <w:r w:rsidR="005D0867">
        <w:t>ecision.</w:t>
      </w:r>
    </w:p>
  </w:footnote>
  <w:footnote w:id="18">
    <w:p w14:paraId="005B2689" w14:textId="599901AA" w:rsidR="00AE61E7" w:rsidRDefault="00AE61E7">
      <w:pPr>
        <w:pStyle w:val="FootnoteText"/>
      </w:pPr>
      <w:r>
        <w:rPr>
          <w:rStyle w:val="FootnoteReference"/>
        </w:rPr>
        <w:footnoteRef/>
      </w:r>
      <w:r>
        <w:t xml:space="preserve"> TURN incorrectly cites the escalation factor for 2023 as 4.5% (rounded), instead of the</w:t>
      </w:r>
      <w:r w:rsidR="00E00A77">
        <w:t xml:space="preserve"> correct escalation factor of</w:t>
      </w:r>
      <w:r>
        <w:t xml:space="preserve"> 4.46%</w:t>
      </w:r>
      <w:r w:rsidR="00E00A77">
        <w:t>.</w:t>
      </w:r>
    </w:p>
  </w:footnote>
  <w:footnote w:id="19">
    <w:p w14:paraId="770BB244" w14:textId="77777777" w:rsidR="002D3579" w:rsidRDefault="002D3579" w:rsidP="002D3579">
      <w:pPr>
        <w:pStyle w:val="FootnoteText"/>
      </w:pPr>
      <w:r>
        <w:rPr>
          <w:rStyle w:val="FootnoteReference"/>
        </w:rPr>
        <w:footnoteRef/>
      </w:r>
      <w:r>
        <w:t xml:space="preserve"> </w:t>
      </w:r>
      <w:r w:rsidRPr="00CC1C7A">
        <w:rPr>
          <w:i/>
          <w:iCs/>
        </w:rPr>
        <w:t>See</w:t>
      </w:r>
      <w:r w:rsidRPr="00566EFC">
        <w:t xml:space="preserve"> D.98-11-049, D.08-09-034, and the Commission’s Intervenor Compensation Program Guide at 12 and 22.</w:t>
      </w:r>
    </w:p>
  </w:footnote>
  <w:footnote w:id="20">
    <w:p w14:paraId="6EB56F31" w14:textId="01270F3B" w:rsidR="009B215F" w:rsidRDefault="009B215F">
      <w:pPr>
        <w:pStyle w:val="FootnoteText"/>
      </w:pPr>
      <w:r>
        <w:rPr>
          <w:rStyle w:val="FootnoteReference"/>
        </w:rPr>
        <w:footnoteRef/>
      </w:r>
      <w:r w:rsidR="00D404D7">
        <w:t xml:space="preserve"> </w:t>
      </w:r>
      <w:r w:rsidR="00A37624" w:rsidRPr="00A37624">
        <w:t>Based on actual hours reflected in TURN’s timesheets, the correct total is $110,927.50</w:t>
      </w:r>
      <w:r w:rsidR="00A37624">
        <w:t>.</w:t>
      </w:r>
    </w:p>
  </w:footnote>
  <w:footnote w:id="21">
    <w:p w14:paraId="4164D7EC" w14:textId="70270365" w:rsidR="00043A6D" w:rsidRDefault="00043A6D">
      <w:pPr>
        <w:pStyle w:val="FootnoteText"/>
      </w:pPr>
      <w:r>
        <w:rPr>
          <w:rStyle w:val="FootnoteReference"/>
        </w:rPr>
        <w:footnoteRef/>
      </w:r>
      <w:r>
        <w:t xml:space="preserve"> Long is classified as a Legal Direct – IV.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645A" w14:textId="17ED32D6" w:rsidR="00653578" w:rsidRDefault="00653578">
    <w:pPr>
      <w:pStyle w:val="Header"/>
    </w:pPr>
    <w:r>
      <w:t>A.19-08-013  ALJ/ES2/hma</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80284"/>
    <w:multiLevelType w:val="hybridMultilevel"/>
    <w:tmpl w:val="4880BEE6"/>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58D5"/>
    <w:multiLevelType w:val="hybridMultilevel"/>
    <w:tmpl w:val="7CA431E4"/>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3575D"/>
    <w:multiLevelType w:val="hybridMultilevel"/>
    <w:tmpl w:val="A45E2F56"/>
    <w:lvl w:ilvl="0" w:tplc="DBA60040">
      <w:start w:val="202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4143E8"/>
    <w:multiLevelType w:val="hybridMultilevel"/>
    <w:tmpl w:val="DD883C40"/>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D4925"/>
    <w:multiLevelType w:val="hybridMultilevel"/>
    <w:tmpl w:val="97BED994"/>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5C114317"/>
    <w:multiLevelType w:val="hybridMultilevel"/>
    <w:tmpl w:val="2CF0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66C82"/>
    <w:multiLevelType w:val="hybridMultilevel"/>
    <w:tmpl w:val="11843FD6"/>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44DD9"/>
    <w:multiLevelType w:val="hybridMultilevel"/>
    <w:tmpl w:val="DEE0E26C"/>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27156"/>
    <w:multiLevelType w:val="hybridMultilevel"/>
    <w:tmpl w:val="986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C49E7"/>
    <w:multiLevelType w:val="hybridMultilevel"/>
    <w:tmpl w:val="7A72DE6C"/>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EA2F63"/>
    <w:multiLevelType w:val="hybridMultilevel"/>
    <w:tmpl w:val="2E029046"/>
    <w:lvl w:ilvl="0" w:tplc="DBA6004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31786">
    <w:abstractNumId w:val="18"/>
  </w:num>
  <w:num w:numId="2" w16cid:durableId="296566636">
    <w:abstractNumId w:val="0"/>
  </w:num>
  <w:num w:numId="3" w16cid:durableId="2098595014">
    <w:abstractNumId w:val="19"/>
  </w:num>
  <w:num w:numId="4" w16cid:durableId="1312905431">
    <w:abstractNumId w:val="10"/>
  </w:num>
  <w:num w:numId="5" w16cid:durableId="417093550">
    <w:abstractNumId w:val="8"/>
  </w:num>
  <w:num w:numId="6" w16cid:durableId="1486429129">
    <w:abstractNumId w:val="12"/>
  </w:num>
  <w:num w:numId="7" w16cid:durableId="258221757">
    <w:abstractNumId w:val="9"/>
  </w:num>
  <w:num w:numId="8" w16cid:durableId="842936081">
    <w:abstractNumId w:val="11"/>
  </w:num>
  <w:num w:numId="9" w16cid:durableId="1685205339">
    <w:abstractNumId w:val="2"/>
  </w:num>
  <w:num w:numId="10" w16cid:durableId="789317941">
    <w:abstractNumId w:val="5"/>
  </w:num>
  <w:num w:numId="11" w16cid:durableId="1363288458">
    <w:abstractNumId w:val="16"/>
  </w:num>
  <w:num w:numId="12" w16cid:durableId="310671820">
    <w:abstractNumId w:val="13"/>
  </w:num>
  <w:num w:numId="13" w16cid:durableId="1517813762">
    <w:abstractNumId w:val="15"/>
  </w:num>
  <w:num w:numId="14" w16cid:durableId="1689794493">
    <w:abstractNumId w:val="1"/>
  </w:num>
  <w:num w:numId="15" w16cid:durableId="1572813512">
    <w:abstractNumId w:val="6"/>
  </w:num>
  <w:num w:numId="16" w16cid:durableId="904488242">
    <w:abstractNumId w:val="17"/>
  </w:num>
  <w:num w:numId="17" w16cid:durableId="2015183203">
    <w:abstractNumId w:val="7"/>
  </w:num>
  <w:num w:numId="18" w16cid:durableId="1715543839">
    <w:abstractNumId w:val="4"/>
  </w:num>
  <w:num w:numId="19" w16cid:durableId="1715961191">
    <w:abstractNumId w:val="3"/>
  </w:num>
  <w:num w:numId="20" w16cid:durableId="1231429442">
    <w:abstractNumId w:val="14"/>
  </w:num>
  <w:num w:numId="21" w16cid:durableId="11869436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AE3"/>
    <w:rsid w:val="000028E1"/>
    <w:rsid w:val="00002966"/>
    <w:rsid w:val="00003174"/>
    <w:rsid w:val="000036BB"/>
    <w:rsid w:val="000038A1"/>
    <w:rsid w:val="00003A49"/>
    <w:rsid w:val="00005A43"/>
    <w:rsid w:val="00006B76"/>
    <w:rsid w:val="00007183"/>
    <w:rsid w:val="00011BD9"/>
    <w:rsid w:val="000129D2"/>
    <w:rsid w:val="00013FE6"/>
    <w:rsid w:val="00014DFC"/>
    <w:rsid w:val="00015986"/>
    <w:rsid w:val="0001665A"/>
    <w:rsid w:val="00016E2E"/>
    <w:rsid w:val="00025B11"/>
    <w:rsid w:val="0002641E"/>
    <w:rsid w:val="00026A15"/>
    <w:rsid w:val="00030A29"/>
    <w:rsid w:val="00032BA5"/>
    <w:rsid w:val="00032DB4"/>
    <w:rsid w:val="000330EC"/>
    <w:rsid w:val="00034492"/>
    <w:rsid w:val="00035E19"/>
    <w:rsid w:val="00036140"/>
    <w:rsid w:val="00036843"/>
    <w:rsid w:val="00036F54"/>
    <w:rsid w:val="0004027D"/>
    <w:rsid w:val="000420BB"/>
    <w:rsid w:val="00043A6D"/>
    <w:rsid w:val="00045A2F"/>
    <w:rsid w:val="00045DDD"/>
    <w:rsid w:val="00046D0F"/>
    <w:rsid w:val="00047F49"/>
    <w:rsid w:val="00051A00"/>
    <w:rsid w:val="00052EF4"/>
    <w:rsid w:val="0005538D"/>
    <w:rsid w:val="00055843"/>
    <w:rsid w:val="00062C95"/>
    <w:rsid w:val="00064324"/>
    <w:rsid w:val="00070D6C"/>
    <w:rsid w:val="00070E0F"/>
    <w:rsid w:val="00072C81"/>
    <w:rsid w:val="00073262"/>
    <w:rsid w:val="000741E9"/>
    <w:rsid w:val="000770E8"/>
    <w:rsid w:val="000808EE"/>
    <w:rsid w:val="00083EA0"/>
    <w:rsid w:val="00086B75"/>
    <w:rsid w:val="00086DC4"/>
    <w:rsid w:val="00087101"/>
    <w:rsid w:val="000911C6"/>
    <w:rsid w:val="000922C1"/>
    <w:rsid w:val="000923B1"/>
    <w:rsid w:val="000927C0"/>
    <w:rsid w:val="00094748"/>
    <w:rsid w:val="000971C0"/>
    <w:rsid w:val="000A1236"/>
    <w:rsid w:val="000A1A34"/>
    <w:rsid w:val="000A5438"/>
    <w:rsid w:val="000A5998"/>
    <w:rsid w:val="000A7294"/>
    <w:rsid w:val="000B0427"/>
    <w:rsid w:val="000B0858"/>
    <w:rsid w:val="000B1FC8"/>
    <w:rsid w:val="000B24D0"/>
    <w:rsid w:val="000B5DE7"/>
    <w:rsid w:val="000C1EF7"/>
    <w:rsid w:val="000C7B42"/>
    <w:rsid w:val="000D2D6C"/>
    <w:rsid w:val="000D4215"/>
    <w:rsid w:val="000D60B2"/>
    <w:rsid w:val="000D6CA0"/>
    <w:rsid w:val="000D6DF8"/>
    <w:rsid w:val="000D71D3"/>
    <w:rsid w:val="000E036A"/>
    <w:rsid w:val="000E037F"/>
    <w:rsid w:val="000E26BC"/>
    <w:rsid w:val="000E380C"/>
    <w:rsid w:val="000E41B8"/>
    <w:rsid w:val="000E41D9"/>
    <w:rsid w:val="000E51B5"/>
    <w:rsid w:val="000E5467"/>
    <w:rsid w:val="000E5C69"/>
    <w:rsid w:val="000E6599"/>
    <w:rsid w:val="000E6ABD"/>
    <w:rsid w:val="000E7932"/>
    <w:rsid w:val="000F2A16"/>
    <w:rsid w:val="000F30CB"/>
    <w:rsid w:val="000F3A0A"/>
    <w:rsid w:val="000F595C"/>
    <w:rsid w:val="000F5CA6"/>
    <w:rsid w:val="000F7670"/>
    <w:rsid w:val="0010007C"/>
    <w:rsid w:val="0010480F"/>
    <w:rsid w:val="00104B29"/>
    <w:rsid w:val="00107BA9"/>
    <w:rsid w:val="00110AB4"/>
    <w:rsid w:val="00110D89"/>
    <w:rsid w:val="00112B15"/>
    <w:rsid w:val="00112BAE"/>
    <w:rsid w:val="00114410"/>
    <w:rsid w:val="00115C71"/>
    <w:rsid w:val="00116478"/>
    <w:rsid w:val="0012030E"/>
    <w:rsid w:val="00121552"/>
    <w:rsid w:val="00123103"/>
    <w:rsid w:val="00125492"/>
    <w:rsid w:val="00126833"/>
    <w:rsid w:val="00127AE8"/>
    <w:rsid w:val="001322D6"/>
    <w:rsid w:val="001346EB"/>
    <w:rsid w:val="00135BBF"/>
    <w:rsid w:val="00136A3A"/>
    <w:rsid w:val="00137108"/>
    <w:rsid w:val="00137EEA"/>
    <w:rsid w:val="0014002F"/>
    <w:rsid w:val="0014039C"/>
    <w:rsid w:val="00141A4E"/>
    <w:rsid w:val="0014325C"/>
    <w:rsid w:val="00145FB9"/>
    <w:rsid w:val="00147902"/>
    <w:rsid w:val="00151AA8"/>
    <w:rsid w:val="00152F94"/>
    <w:rsid w:val="0015331E"/>
    <w:rsid w:val="00157A1B"/>
    <w:rsid w:val="00157B27"/>
    <w:rsid w:val="00163806"/>
    <w:rsid w:val="00163807"/>
    <w:rsid w:val="00165BFB"/>
    <w:rsid w:val="001661DB"/>
    <w:rsid w:val="00171EBF"/>
    <w:rsid w:val="00171F5A"/>
    <w:rsid w:val="00172765"/>
    <w:rsid w:val="00172F88"/>
    <w:rsid w:val="001746EA"/>
    <w:rsid w:val="00175865"/>
    <w:rsid w:val="0017660A"/>
    <w:rsid w:val="00176D6F"/>
    <w:rsid w:val="00180E8C"/>
    <w:rsid w:val="00183F6B"/>
    <w:rsid w:val="0018777E"/>
    <w:rsid w:val="00193299"/>
    <w:rsid w:val="001962EB"/>
    <w:rsid w:val="001A021C"/>
    <w:rsid w:val="001A25C6"/>
    <w:rsid w:val="001A32D3"/>
    <w:rsid w:val="001A3CF3"/>
    <w:rsid w:val="001A3E0B"/>
    <w:rsid w:val="001A41AC"/>
    <w:rsid w:val="001A6B31"/>
    <w:rsid w:val="001A7C8D"/>
    <w:rsid w:val="001B0C7E"/>
    <w:rsid w:val="001B4565"/>
    <w:rsid w:val="001B4E46"/>
    <w:rsid w:val="001B782D"/>
    <w:rsid w:val="001C0650"/>
    <w:rsid w:val="001C075E"/>
    <w:rsid w:val="001C0DD1"/>
    <w:rsid w:val="001C21AE"/>
    <w:rsid w:val="001C3A8B"/>
    <w:rsid w:val="001C4407"/>
    <w:rsid w:val="001C5944"/>
    <w:rsid w:val="001C6740"/>
    <w:rsid w:val="001C6829"/>
    <w:rsid w:val="001D0202"/>
    <w:rsid w:val="001D0AD5"/>
    <w:rsid w:val="001D10F9"/>
    <w:rsid w:val="001D1613"/>
    <w:rsid w:val="001D3049"/>
    <w:rsid w:val="001D3ED2"/>
    <w:rsid w:val="001D5DAB"/>
    <w:rsid w:val="001D7C50"/>
    <w:rsid w:val="001E0E85"/>
    <w:rsid w:val="001E1F19"/>
    <w:rsid w:val="001E3B2C"/>
    <w:rsid w:val="001E77CF"/>
    <w:rsid w:val="001E7EE2"/>
    <w:rsid w:val="001F199B"/>
    <w:rsid w:val="001F1A7D"/>
    <w:rsid w:val="001F238E"/>
    <w:rsid w:val="001F419F"/>
    <w:rsid w:val="001F7B39"/>
    <w:rsid w:val="002002B5"/>
    <w:rsid w:val="0020218B"/>
    <w:rsid w:val="002023A7"/>
    <w:rsid w:val="00204E3A"/>
    <w:rsid w:val="002078F1"/>
    <w:rsid w:val="002101A0"/>
    <w:rsid w:val="00211E09"/>
    <w:rsid w:val="00212064"/>
    <w:rsid w:val="00212475"/>
    <w:rsid w:val="00212E10"/>
    <w:rsid w:val="00213242"/>
    <w:rsid w:val="00214B22"/>
    <w:rsid w:val="00217224"/>
    <w:rsid w:val="00220366"/>
    <w:rsid w:val="0022136E"/>
    <w:rsid w:val="00222E49"/>
    <w:rsid w:val="0022302F"/>
    <w:rsid w:val="00223D31"/>
    <w:rsid w:val="002250E2"/>
    <w:rsid w:val="00230392"/>
    <w:rsid w:val="00230B00"/>
    <w:rsid w:val="00230B98"/>
    <w:rsid w:val="0023362F"/>
    <w:rsid w:val="002340A6"/>
    <w:rsid w:val="00234FD6"/>
    <w:rsid w:val="00235EF1"/>
    <w:rsid w:val="0023641D"/>
    <w:rsid w:val="00237A3B"/>
    <w:rsid w:val="002415DC"/>
    <w:rsid w:val="00241883"/>
    <w:rsid w:val="00243E91"/>
    <w:rsid w:val="00244CD3"/>
    <w:rsid w:val="00244F6A"/>
    <w:rsid w:val="002456BE"/>
    <w:rsid w:val="002466F8"/>
    <w:rsid w:val="00246CB4"/>
    <w:rsid w:val="00256F00"/>
    <w:rsid w:val="00257858"/>
    <w:rsid w:val="00260518"/>
    <w:rsid w:val="00260706"/>
    <w:rsid w:val="002638D5"/>
    <w:rsid w:val="00263EFF"/>
    <w:rsid w:val="0026413E"/>
    <w:rsid w:val="00264333"/>
    <w:rsid w:val="00266091"/>
    <w:rsid w:val="002660B1"/>
    <w:rsid w:val="0026671E"/>
    <w:rsid w:val="00270E2E"/>
    <w:rsid w:val="00271015"/>
    <w:rsid w:val="00271AD3"/>
    <w:rsid w:val="00273208"/>
    <w:rsid w:val="0027416B"/>
    <w:rsid w:val="00275108"/>
    <w:rsid w:val="00283C78"/>
    <w:rsid w:val="002842C4"/>
    <w:rsid w:val="00286815"/>
    <w:rsid w:val="0028699E"/>
    <w:rsid w:val="00291839"/>
    <w:rsid w:val="00297628"/>
    <w:rsid w:val="002A1081"/>
    <w:rsid w:val="002A3815"/>
    <w:rsid w:val="002A3E04"/>
    <w:rsid w:val="002A5A7F"/>
    <w:rsid w:val="002A6C07"/>
    <w:rsid w:val="002B3CBA"/>
    <w:rsid w:val="002B4419"/>
    <w:rsid w:val="002B6757"/>
    <w:rsid w:val="002B692A"/>
    <w:rsid w:val="002C0AAB"/>
    <w:rsid w:val="002C1A72"/>
    <w:rsid w:val="002C20D7"/>
    <w:rsid w:val="002C3965"/>
    <w:rsid w:val="002C41A6"/>
    <w:rsid w:val="002C4760"/>
    <w:rsid w:val="002C4947"/>
    <w:rsid w:val="002C63E3"/>
    <w:rsid w:val="002C683D"/>
    <w:rsid w:val="002D21CA"/>
    <w:rsid w:val="002D29CD"/>
    <w:rsid w:val="002D3579"/>
    <w:rsid w:val="002D53AA"/>
    <w:rsid w:val="002D587A"/>
    <w:rsid w:val="002D5893"/>
    <w:rsid w:val="002D5F84"/>
    <w:rsid w:val="002E052C"/>
    <w:rsid w:val="002E58AC"/>
    <w:rsid w:val="002E5F83"/>
    <w:rsid w:val="002E77D8"/>
    <w:rsid w:val="002E78AD"/>
    <w:rsid w:val="002F07A6"/>
    <w:rsid w:val="002F1425"/>
    <w:rsid w:val="002F2763"/>
    <w:rsid w:val="002F4559"/>
    <w:rsid w:val="002F4F7F"/>
    <w:rsid w:val="002F5433"/>
    <w:rsid w:val="002F54DC"/>
    <w:rsid w:val="002F74AA"/>
    <w:rsid w:val="00303C2B"/>
    <w:rsid w:val="00304225"/>
    <w:rsid w:val="00304405"/>
    <w:rsid w:val="0030468D"/>
    <w:rsid w:val="00304972"/>
    <w:rsid w:val="003055AB"/>
    <w:rsid w:val="00306B93"/>
    <w:rsid w:val="00311304"/>
    <w:rsid w:val="00311CF0"/>
    <w:rsid w:val="00311FE2"/>
    <w:rsid w:val="00313CD7"/>
    <w:rsid w:val="00321456"/>
    <w:rsid w:val="003216F0"/>
    <w:rsid w:val="00323D36"/>
    <w:rsid w:val="00324646"/>
    <w:rsid w:val="00326018"/>
    <w:rsid w:val="003272B0"/>
    <w:rsid w:val="00337081"/>
    <w:rsid w:val="00342A92"/>
    <w:rsid w:val="003433A7"/>
    <w:rsid w:val="00347807"/>
    <w:rsid w:val="003501DD"/>
    <w:rsid w:val="003548BF"/>
    <w:rsid w:val="00355BBB"/>
    <w:rsid w:val="00357623"/>
    <w:rsid w:val="00357F1A"/>
    <w:rsid w:val="00362659"/>
    <w:rsid w:val="00362952"/>
    <w:rsid w:val="0036370A"/>
    <w:rsid w:val="00364EE1"/>
    <w:rsid w:val="00365451"/>
    <w:rsid w:val="003677D9"/>
    <w:rsid w:val="00367AFE"/>
    <w:rsid w:val="00367DC6"/>
    <w:rsid w:val="00370339"/>
    <w:rsid w:val="00373201"/>
    <w:rsid w:val="00374FD1"/>
    <w:rsid w:val="0037754F"/>
    <w:rsid w:val="00377884"/>
    <w:rsid w:val="00380703"/>
    <w:rsid w:val="003828AB"/>
    <w:rsid w:val="00382A67"/>
    <w:rsid w:val="003858CD"/>
    <w:rsid w:val="003914A3"/>
    <w:rsid w:val="003933D1"/>
    <w:rsid w:val="003945C9"/>
    <w:rsid w:val="00396DDB"/>
    <w:rsid w:val="00396FBB"/>
    <w:rsid w:val="003A2613"/>
    <w:rsid w:val="003A5C68"/>
    <w:rsid w:val="003A65D9"/>
    <w:rsid w:val="003A6D6F"/>
    <w:rsid w:val="003B1782"/>
    <w:rsid w:val="003B1BBE"/>
    <w:rsid w:val="003B1EFF"/>
    <w:rsid w:val="003B401B"/>
    <w:rsid w:val="003B5D54"/>
    <w:rsid w:val="003B5EAC"/>
    <w:rsid w:val="003B6A1B"/>
    <w:rsid w:val="003C084D"/>
    <w:rsid w:val="003C1AEB"/>
    <w:rsid w:val="003C3AE3"/>
    <w:rsid w:val="003C608A"/>
    <w:rsid w:val="003C7245"/>
    <w:rsid w:val="003C72BE"/>
    <w:rsid w:val="003C77D2"/>
    <w:rsid w:val="003D1EE5"/>
    <w:rsid w:val="003D359B"/>
    <w:rsid w:val="003D4455"/>
    <w:rsid w:val="003D50D5"/>
    <w:rsid w:val="003D60C2"/>
    <w:rsid w:val="003D7764"/>
    <w:rsid w:val="003E0CBB"/>
    <w:rsid w:val="003E10FC"/>
    <w:rsid w:val="003E2DDD"/>
    <w:rsid w:val="003E34FD"/>
    <w:rsid w:val="003E3DB8"/>
    <w:rsid w:val="003E4AB9"/>
    <w:rsid w:val="003E7738"/>
    <w:rsid w:val="003F2250"/>
    <w:rsid w:val="003F2A99"/>
    <w:rsid w:val="003F61E8"/>
    <w:rsid w:val="003F6D50"/>
    <w:rsid w:val="00400828"/>
    <w:rsid w:val="004021E2"/>
    <w:rsid w:val="004044F2"/>
    <w:rsid w:val="00407348"/>
    <w:rsid w:val="00410EC1"/>
    <w:rsid w:val="00411D78"/>
    <w:rsid w:val="0041275C"/>
    <w:rsid w:val="00413C15"/>
    <w:rsid w:val="00414F79"/>
    <w:rsid w:val="00415BD0"/>
    <w:rsid w:val="00426D8C"/>
    <w:rsid w:val="0042751A"/>
    <w:rsid w:val="00430DB9"/>
    <w:rsid w:val="0043221D"/>
    <w:rsid w:val="00434B91"/>
    <w:rsid w:val="00434CA5"/>
    <w:rsid w:val="00435C30"/>
    <w:rsid w:val="00436C87"/>
    <w:rsid w:val="0044117A"/>
    <w:rsid w:val="0044320F"/>
    <w:rsid w:val="0044553F"/>
    <w:rsid w:val="004457B2"/>
    <w:rsid w:val="004458DD"/>
    <w:rsid w:val="0044768E"/>
    <w:rsid w:val="00450C36"/>
    <w:rsid w:val="004534E7"/>
    <w:rsid w:val="00455F92"/>
    <w:rsid w:val="00456B5F"/>
    <w:rsid w:val="0046248A"/>
    <w:rsid w:val="00462F1A"/>
    <w:rsid w:val="00463BB4"/>
    <w:rsid w:val="00463E95"/>
    <w:rsid w:val="004643F6"/>
    <w:rsid w:val="00466DFA"/>
    <w:rsid w:val="00467E65"/>
    <w:rsid w:val="00473E98"/>
    <w:rsid w:val="004765E0"/>
    <w:rsid w:val="00476E87"/>
    <w:rsid w:val="00480BF6"/>
    <w:rsid w:val="0048112A"/>
    <w:rsid w:val="004840D2"/>
    <w:rsid w:val="0048428F"/>
    <w:rsid w:val="00487A34"/>
    <w:rsid w:val="00490411"/>
    <w:rsid w:val="004925E4"/>
    <w:rsid w:val="0049308F"/>
    <w:rsid w:val="004971B5"/>
    <w:rsid w:val="004A1AED"/>
    <w:rsid w:val="004A1C3E"/>
    <w:rsid w:val="004A288D"/>
    <w:rsid w:val="004A30AA"/>
    <w:rsid w:val="004A3852"/>
    <w:rsid w:val="004A3BC7"/>
    <w:rsid w:val="004A469E"/>
    <w:rsid w:val="004A6FD4"/>
    <w:rsid w:val="004A7B12"/>
    <w:rsid w:val="004B237E"/>
    <w:rsid w:val="004B2B1F"/>
    <w:rsid w:val="004B63F9"/>
    <w:rsid w:val="004C0255"/>
    <w:rsid w:val="004C0961"/>
    <w:rsid w:val="004C0FEA"/>
    <w:rsid w:val="004C1FD3"/>
    <w:rsid w:val="004C2509"/>
    <w:rsid w:val="004C39A1"/>
    <w:rsid w:val="004C597F"/>
    <w:rsid w:val="004C5B7B"/>
    <w:rsid w:val="004C6019"/>
    <w:rsid w:val="004D2A4A"/>
    <w:rsid w:val="004D4128"/>
    <w:rsid w:val="004D47E0"/>
    <w:rsid w:val="004D66B1"/>
    <w:rsid w:val="004D6B6D"/>
    <w:rsid w:val="004D779D"/>
    <w:rsid w:val="004D7E13"/>
    <w:rsid w:val="004E0395"/>
    <w:rsid w:val="004E0A2F"/>
    <w:rsid w:val="004E1EE3"/>
    <w:rsid w:val="004E2694"/>
    <w:rsid w:val="004E3939"/>
    <w:rsid w:val="004E3D93"/>
    <w:rsid w:val="004E3FD8"/>
    <w:rsid w:val="004E6BB8"/>
    <w:rsid w:val="004E7B19"/>
    <w:rsid w:val="004F0274"/>
    <w:rsid w:val="004F08B1"/>
    <w:rsid w:val="004F10A1"/>
    <w:rsid w:val="004F11E0"/>
    <w:rsid w:val="004F13D3"/>
    <w:rsid w:val="004F15C8"/>
    <w:rsid w:val="004F2256"/>
    <w:rsid w:val="004F6C46"/>
    <w:rsid w:val="004F7606"/>
    <w:rsid w:val="005020A7"/>
    <w:rsid w:val="0050372D"/>
    <w:rsid w:val="00504818"/>
    <w:rsid w:val="00505C41"/>
    <w:rsid w:val="00506B5E"/>
    <w:rsid w:val="0050760B"/>
    <w:rsid w:val="00510897"/>
    <w:rsid w:val="00510C5B"/>
    <w:rsid w:val="00510D15"/>
    <w:rsid w:val="005118C6"/>
    <w:rsid w:val="00513778"/>
    <w:rsid w:val="00516069"/>
    <w:rsid w:val="00516C53"/>
    <w:rsid w:val="00516CE7"/>
    <w:rsid w:val="00517DF0"/>
    <w:rsid w:val="005215EF"/>
    <w:rsid w:val="00521B86"/>
    <w:rsid w:val="005227EB"/>
    <w:rsid w:val="00523768"/>
    <w:rsid w:val="005241AC"/>
    <w:rsid w:val="00524650"/>
    <w:rsid w:val="00524A98"/>
    <w:rsid w:val="0052581A"/>
    <w:rsid w:val="00527B09"/>
    <w:rsid w:val="00527FDB"/>
    <w:rsid w:val="00530466"/>
    <w:rsid w:val="00532FD2"/>
    <w:rsid w:val="00533373"/>
    <w:rsid w:val="00535458"/>
    <w:rsid w:val="00535F36"/>
    <w:rsid w:val="00536DA3"/>
    <w:rsid w:val="0053725C"/>
    <w:rsid w:val="0054089A"/>
    <w:rsid w:val="0054244B"/>
    <w:rsid w:val="00543F36"/>
    <w:rsid w:val="00544305"/>
    <w:rsid w:val="0054527F"/>
    <w:rsid w:val="0054638C"/>
    <w:rsid w:val="00546C88"/>
    <w:rsid w:val="00546DF7"/>
    <w:rsid w:val="00547145"/>
    <w:rsid w:val="005504A3"/>
    <w:rsid w:val="005513CA"/>
    <w:rsid w:val="00551834"/>
    <w:rsid w:val="00551967"/>
    <w:rsid w:val="0055228B"/>
    <w:rsid w:val="0055238B"/>
    <w:rsid w:val="005524BD"/>
    <w:rsid w:val="00552949"/>
    <w:rsid w:val="00553062"/>
    <w:rsid w:val="005553AF"/>
    <w:rsid w:val="005649B8"/>
    <w:rsid w:val="00566EFC"/>
    <w:rsid w:val="00567850"/>
    <w:rsid w:val="0057088A"/>
    <w:rsid w:val="00570BDD"/>
    <w:rsid w:val="00571891"/>
    <w:rsid w:val="005724D0"/>
    <w:rsid w:val="00573852"/>
    <w:rsid w:val="00575494"/>
    <w:rsid w:val="00576F2D"/>
    <w:rsid w:val="00577054"/>
    <w:rsid w:val="00577A6A"/>
    <w:rsid w:val="005834B3"/>
    <w:rsid w:val="00583BF4"/>
    <w:rsid w:val="0058531E"/>
    <w:rsid w:val="00587B59"/>
    <w:rsid w:val="00590828"/>
    <w:rsid w:val="005912FA"/>
    <w:rsid w:val="0059289A"/>
    <w:rsid w:val="00592CA9"/>
    <w:rsid w:val="00595103"/>
    <w:rsid w:val="00595DA3"/>
    <w:rsid w:val="00597859"/>
    <w:rsid w:val="005A0B4A"/>
    <w:rsid w:val="005A2143"/>
    <w:rsid w:val="005A2D0B"/>
    <w:rsid w:val="005A3018"/>
    <w:rsid w:val="005A315A"/>
    <w:rsid w:val="005A53F1"/>
    <w:rsid w:val="005A54E4"/>
    <w:rsid w:val="005A63D4"/>
    <w:rsid w:val="005A65C2"/>
    <w:rsid w:val="005A7292"/>
    <w:rsid w:val="005A7728"/>
    <w:rsid w:val="005A785F"/>
    <w:rsid w:val="005A7D83"/>
    <w:rsid w:val="005B0BB3"/>
    <w:rsid w:val="005B496E"/>
    <w:rsid w:val="005B5B44"/>
    <w:rsid w:val="005C0634"/>
    <w:rsid w:val="005C0FB5"/>
    <w:rsid w:val="005C1711"/>
    <w:rsid w:val="005C327F"/>
    <w:rsid w:val="005C5B97"/>
    <w:rsid w:val="005C7F1C"/>
    <w:rsid w:val="005D0867"/>
    <w:rsid w:val="005D110D"/>
    <w:rsid w:val="005D225F"/>
    <w:rsid w:val="005D6D64"/>
    <w:rsid w:val="005D6FBF"/>
    <w:rsid w:val="005D72FB"/>
    <w:rsid w:val="005E04A6"/>
    <w:rsid w:val="005E05E2"/>
    <w:rsid w:val="005E05EB"/>
    <w:rsid w:val="005E13C1"/>
    <w:rsid w:val="005E6104"/>
    <w:rsid w:val="005E66B6"/>
    <w:rsid w:val="005F0426"/>
    <w:rsid w:val="005F391B"/>
    <w:rsid w:val="005F4D82"/>
    <w:rsid w:val="005F7173"/>
    <w:rsid w:val="00600468"/>
    <w:rsid w:val="006042B6"/>
    <w:rsid w:val="006068D7"/>
    <w:rsid w:val="00610039"/>
    <w:rsid w:val="0061084E"/>
    <w:rsid w:val="0061167A"/>
    <w:rsid w:val="00612E88"/>
    <w:rsid w:val="00613169"/>
    <w:rsid w:val="00617A33"/>
    <w:rsid w:val="00620FBA"/>
    <w:rsid w:val="0062136A"/>
    <w:rsid w:val="00621A7C"/>
    <w:rsid w:val="006223FB"/>
    <w:rsid w:val="00624BB3"/>
    <w:rsid w:val="00624FA3"/>
    <w:rsid w:val="0062707A"/>
    <w:rsid w:val="006305FB"/>
    <w:rsid w:val="0063159E"/>
    <w:rsid w:val="00635CD4"/>
    <w:rsid w:val="006362FE"/>
    <w:rsid w:val="006400D1"/>
    <w:rsid w:val="00641A72"/>
    <w:rsid w:val="00642BB8"/>
    <w:rsid w:val="00647C7F"/>
    <w:rsid w:val="0065038B"/>
    <w:rsid w:val="0065087E"/>
    <w:rsid w:val="00650C06"/>
    <w:rsid w:val="00652DEA"/>
    <w:rsid w:val="00653578"/>
    <w:rsid w:val="0065680D"/>
    <w:rsid w:val="006570C3"/>
    <w:rsid w:val="00660D7E"/>
    <w:rsid w:val="00660D8E"/>
    <w:rsid w:val="00661FEB"/>
    <w:rsid w:val="00662C25"/>
    <w:rsid w:val="00663656"/>
    <w:rsid w:val="006637D2"/>
    <w:rsid w:val="00663A78"/>
    <w:rsid w:val="00664192"/>
    <w:rsid w:val="006671C0"/>
    <w:rsid w:val="00671F60"/>
    <w:rsid w:val="0067255F"/>
    <w:rsid w:val="00673595"/>
    <w:rsid w:val="00673A29"/>
    <w:rsid w:val="00673EB1"/>
    <w:rsid w:val="006741CB"/>
    <w:rsid w:val="006749DF"/>
    <w:rsid w:val="00674DF8"/>
    <w:rsid w:val="00680F8F"/>
    <w:rsid w:val="00681110"/>
    <w:rsid w:val="00686F8F"/>
    <w:rsid w:val="00691528"/>
    <w:rsid w:val="00692738"/>
    <w:rsid w:val="00693FEA"/>
    <w:rsid w:val="00696C70"/>
    <w:rsid w:val="006A00C6"/>
    <w:rsid w:val="006A07B8"/>
    <w:rsid w:val="006A4C2E"/>
    <w:rsid w:val="006A61D9"/>
    <w:rsid w:val="006A7272"/>
    <w:rsid w:val="006B0BC7"/>
    <w:rsid w:val="006B1391"/>
    <w:rsid w:val="006B1A1B"/>
    <w:rsid w:val="006B1DB3"/>
    <w:rsid w:val="006B24DC"/>
    <w:rsid w:val="006B34C6"/>
    <w:rsid w:val="006B37B8"/>
    <w:rsid w:val="006B7228"/>
    <w:rsid w:val="006B727B"/>
    <w:rsid w:val="006B7375"/>
    <w:rsid w:val="006B746A"/>
    <w:rsid w:val="006C3E39"/>
    <w:rsid w:val="006C5D31"/>
    <w:rsid w:val="006C5F75"/>
    <w:rsid w:val="006C7077"/>
    <w:rsid w:val="006C725D"/>
    <w:rsid w:val="006D0849"/>
    <w:rsid w:val="006D0B05"/>
    <w:rsid w:val="006D1985"/>
    <w:rsid w:val="006D1BE0"/>
    <w:rsid w:val="006D4B0E"/>
    <w:rsid w:val="006D54F7"/>
    <w:rsid w:val="006D66DE"/>
    <w:rsid w:val="006D67C9"/>
    <w:rsid w:val="006D7743"/>
    <w:rsid w:val="006D7CC7"/>
    <w:rsid w:val="006E0A3C"/>
    <w:rsid w:val="006E246A"/>
    <w:rsid w:val="006E740E"/>
    <w:rsid w:val="006E7A80"/>
    <w:rsid w:val="006F01A0"/>
    <w:rsid w:val="006F0AFA"/>
    <w:rsid w:val="006F161F"/>
    <w:rsid w:val="006F35FC"/>
    <w:rsid w:val="006F464C"/>
    <w:rsid w:val="006F5580"/>
    <w:rsid w:val="00700CED"/>
    <w:rsid w:val="00703D5A"/>
    <w:rsid w:val="007056FC"/>
    <w:rsid w:val="00707929"/>
    <w:rsid w:val="00710AF2"/>
    <w:rsid w:val="00711578"/>
    <w:rsid w:val="00716C76"/>
    <w:rsid w:val="00716E04"/>
    <w:rsid w:val="007208F1"/>
    <w:rsid w:val="00725325"/>
    <w:rsid w:val="00732B1F"/>
    <w:rsid w:val="00734199"/>
    <w:rsid w:val="007355B6"/>
    <w:rsid w:val="007374A4"/>
    <w:rsid w:val="007421A5"/>
    <w:rsid w:val="00742FC0"/>
    <w:rsid w:val="0074404F"/>
    <w:rsid w:val="0074620B"/>
    <w:rsid w:val="00750460"/>
    <w:rsid w:val="00751D81"/>
    <w:rsid w:val="007560C6"/>
    <w:rsid w:val="0075616A"/>
    <w:rsid w:val="00757B44"/>
    <w:rsid w:val="00761F61"/>
    <w:rsid w:val="00763797"/>
    <w:rsid w:val="00764061"/>
    <w:rsid w:val="007651B5"/>
    <w:rsid w:val="0076588B"/>
    <w:rsid w:val="00766193"/>
    <w:rsid w:val="00774549"/>
    <w:rsid w:val="00777365"/>
    <w:rsid w:val="00780C7B"/>
    <w:rsid w:val="00781A01"/>
    <w:rsid w:val="007838C0"/>
    <w:rsid w:val="00783EB4"/>
    <w:rsid w:val="007845D9"/>
    <w:rsid w:val="00786CAD"/>
    <w:rsid w:val="007879B3"/>
    <w:rsid w:val="00790010"/>
    <w:rsid w:val="00790739"/>
    <w:rsid w:val="007934FC"/>
    <w:rsid w:val="007979A0"/>
    <w:rsid w:val="007A0847"/>
    <w:rsid w:val="007A13D5"/>
    <w:rsid w:val="007A2FA2"/>
    <w:rsid w:val="007A35BB"/>
    <w:rsid w:val="007A3FCC"/>
    <w:rsid w:val="007A5A93"/>
    <w:rsid w:val="007B4D7A"/>
    <w:rsid w:val="007B76B9"/>
    <w:rsid w:val="007B7E36"/>
    <w:rsid w:val="007B7E62"/>
    <w:rsid w:val="007C03D8"/>
    <w:rsid w:val="007C1063"/>
    <w:rsid w:val="007C10CD"/>
    <w:rsid w:val="007C16DE"/>
    <w:rsid w:val="007C1728"/>
    <w:rsid w:val="007C1B69"/>
    <w:rsid w:val="007C2EC7"/>
    <w:rsid w:val="007C3427"/>
    <w:rsid w:val="007C3ADC"/>
    <w:rsid w:val="007C472E"/>
    <w:rsid w:val="007C60E3"/>
    <w:rsid w:val="007C6FB8"/>
    <w:rsid w:val="007C7ACE"/>
    <w:rsid w:val="007D2AA2"/>
    <w:rsid w:val="007D2E51"/>
    <w:rsid w:val="007D3555"/>
    <w:rsid w:val="007D4FC1"/>
    <w:rsid w:val="007D7449"/>
    <w:rsid w:val="007D765C"/>
    <w:rsid w:val="007D7A94"/>
    <w:rsid w:val="007E01C6"/>
    <w:rsid w:val="007E01E9"/>
    <w:rsid w:val="007E0243"/>
    <w:rsid w:val="007E2A6B"/>
    <w:rsid w:val="007E557A"/>
    <w:rsid w:val="007E5AD4"/>
    <w:rsid w:val="007E71C3"/>
    <w:rsid w:val="007F05D8"/>
    <w:rsid w:val="007F0849"/>
    <w:rsid w:val="007F0E3D"/>
    <w:rsid w:val="007F28B7"/>
    <w:rsid w:val="007F347A"/>
    <w:rsid w:val="007F620E"/>
    <w:rsid w:val="007F6CF5"/>
    <w:rsid w:val="00800822"/>
    <w:rsid w:val="008014C2"/>
    <w:rsid w:val="00802101"/>
    <w:rsid w:val="00802701"/>
    <w:rsid w:val="0080291A"/>
    <w:rsid w:val="008060CC"/>
    <w:rsid w:val="00806CC5"/>
    <w:rsid w:val="00807155"/>
    <w:rsid w:val="008074E0"/>
    <w:rsid w:val="00807ED8"/>
    <w:rsid w:val="00811DB1"/>
    <w:rsid w:val="00815F1F"/>
    <w:rsid w:val="0081626F"/>
    <w:rsid w:val="008173F9"/>
    <w:rsid w:val="008207BE"/>
    <w:rsid w:val="00820BCF"/>
    <w:rsid w:val="00820D86"/>
    <w:rsid w:val="00822334"/>
    <w:rsid w:val="00823946"/>
    <w:rsid w:val="00823FF5"/>
    <w:rsid w:val="0082533E"/>
    <w:rsid w:val="00826911"/>
    <w:rsid w:val="00827360"/>
    <w:rsid w:val="00827E13"/>
    <w:rsid w:val="00830447"/>
    <w:rsid w:val="0083072C"/>
    <w:rsid w:val="00830E8B"/>
    <w:rsid w:val="00831652"/>
    <w:rsid w:val="0083350A"/>
    <w:rsid w:val="0083442F"/>
    <w:rsid w:val="00840779"/>
    <w:rsid w:val="00840965"/>
    <w:rsid w:val="00841EE0"/>
    <w:rsid w:val="0084283D"/>
    <w:rsid w:val="0084395D"/>
    <w:rsid w:val="00846B87"/>
    <w:rsid w:val="00847103"/>
    <w:rsid w:val="00847EEA"/>
    <w:rsid w:val="008523C8"/>
    <w:rsid w:val="00854060"/>
    <w:rsid w:val="00855F5C"/>
    <w:rsid w:val="00855FD7"/>
    <w:rsid w:val="00857D53"/>
    <w:rsid w:val="00857F09"/>
    <w:rsid w:val="0086069D"/>
    <w:rsid w:val="008608D2"/>
    <w:rsid w:val="00860B5B"/>
    <w:rsid w:val="00860FF0"/>
    <w:rsid w:val="00863C94"/>
    <w:rsid w:val="00864401"/>
    <w:rsid w:val="00865C0B"/>
    <w:rsid w:val="008679AA"/>
    <w:rsid w:val="00871752"/>
    <w:rsid w:val="00873DA9"/>
    <w:rsid w:val="00880855"/>
    <w:rsid w:val="00880D7D"/>
    <w:rsid w:val="00881DA9"/>
    <w:rsid w:val="00883B0D"/>
    <w:rsid w:val="008844B6"/>
    <w:rsid w:val="00884C88"/>
    <w:rsid w:val="00885956"/>
    <w:rsid w:val="00886869"/>
    <w:rsid w:val="00887A43"/>
    <w:rsid w:val="00893AED"/>
    <w:rsid w:val="00895A4E"/>
    <w:rsid w:val="008A0779"/>
    <w:rsid w:val="008A14C9"/>
    <w:rsid w:val="008A2704"/>
    <w:rsid w:val="008A5092"/>
    <w:rsid w:val="008B002F"/>
    <w:rsid w:val="008B4A5B"/>
    <w:rsid w:val="008B5CDB"/>
    <w:rsid w:val="008B6257"/>
    <w:rsid w:val="008B64AB"/>
    <w:rsid w:val="008B64E5"/>
    <w:rsid w:val="008B67E2"/>
    <w:rsid w:val="008C09F7"/>
    <w:rsid w:val="008C1CE2"/>
    <w:rsid w:val="008C2208"/>
    <w:rsid w:val="008C2282"/>
    <w:rsid w:val="008C6F51"/>
    <w:rsid w:val="008C7C39"/>
    <w:rsid w:val="008D07E7"/>
    <w:rsid w:val="008D0960"/>
    <w:rsid w:val="008D2B2F"/>
    <w:rsid w:val="008D2F7F"/>
    <w:rsid w:val="008D36D5"/>
    <w:rsid w:val="008D699A"/>
    <w:rsid w:val="008E1079"/>
    <w:rsid w:val="008E182E"/>
    <w:rsid w:val="008E218C"/>
    <w:rsid w:val="008E2D07"/>
    <w:rsid w:val="008E3171"/>
    <w:rsid w:val="008E3450"/>
    <w:rsid w:val="008E4336"/>
    <w:rsid w:val="008E54B6"/>
    <w:rsid w:val="008E5723"/>
    <w:rsid w:val="008E673F"/>
    <w:rsid w:val="008E7E65"/>
    <w:rsid w:val="008F306E"/>
    <w:rsid w:val="008F45CA"/>
    <w:rsid w:val="008F4619"/>
    <w:rsid w:val="00901E76"/>
    <w:rsid w:val="00902A63"/>
    <w:rsid w:val="00903338"/>
    <w:rsid w:val="0090401A"/>
    <w:rsid w:val="009107EF"/>
    <w:rsid w:val="009132ED"/>
    <w:rsid w:val="00913B23"/>
    <w:rsid w:val="00914026"/>
    <w:rsid w:val="00915118"/>
    <w:rsid w:val="00917054"/>
    <w:rsid w:val="00920002"/>
    <w:rsid w:val="00920DB8"/>
    <w:rsid w:val="00923FF0"/>
    <w:rsid w:val="0092540F"/>
    <w:rsid w:val="00925FAB"/>
    <w:rsid w:val="00935FF5"/>
    <w:rsid w:val="00936906"/>
    <w:rsid w:val="00942334"/>
    <w:rsid w:val="009428D5"/>
    <w:rsid w:val="00947506"/>
    <w:rsid w:val="009509E5"/>
    <w:rsid w:val="009518A2"/>
    <w:rsid w:val="009548D1"/>
    <w:rsid w:val="009564F5"/>
    <w:rsid w:val="0095665A"/>
    <w:rsid w:val="00957072"/>
    <w:rsid w:val="009621AD"/>
    <w:rsid w:val="009629F5"/>
    <w:rsid w:val="00963EEF"/>
    <w:rsid w:val="00964013"/>
    <w:rsid w:val="00976896"/>
    <w:rsid w:val="00980052"/>
    <w:rsid w:val="009824F7"/>
    <w:rsid w:val="0098294D"/>
    <w:rsid w:val="009829F4"/>
    <w:rsid w:val="0098353C"/>
    <w:rsid w:val="009857D6"/>
    <w:rsid w:val="009931E2"/>
    <w:rsid w:val="00995A83"/>
    <w:rsid w:val="00996729"/>
    <w:rsid w:val="009A1165"/>
    <w:rsid w:val="009A1177"/>
    <w:rsid w:val="009A21A8"/>
    <w:rsid w:val="009A3D98"/>
    <w:rsid w:val="009A5D86"/>
    <w:rsid w:val="009A62F6"/>
    <w:rsid w:val="009A7474"/>
    <w:rsid w:val="009B051E"/>
    <w:rsid w:val="009B215F"/>
    <w:rsid w:val="009B27CC"/>
    <w:rsid w:val="009B4488"/>
    <w:rsid w:val="009B501B"/>
    <w:rsid w:val="009B577E"/>
    <w:rsid w:val="009B6EDB"/>
    <w:rsid w:val="009B7F01"/>
    <w:rsid w:val="009C11E7"/>
    <w:rsid w:val="009C62DD"/>
    <w:rsid w:val="009D01CE"/>
    <w:rsid w:val="009D0A7D"/>
    <w:rsid w:val="009D19DE"/>
    <w:rsid w:val="009D2088"/>
    <w:rsid w:val="009D2D48"/>
    <w:rsid w:val="009D4105"/>
    <w:rsid w:val="009D5E44"/>
    <w:rsid w:val="009D6C6A"/>
    <w:rsid w:val="009D7400"/>
    <w:rsid w:val="009D7C2C"/>
    <w:rsid w:val="009E1660"/>
    <w:rsid w:val="009E19FB"/>
    <w:rsid w:val="009E2EB1"/>
    <w:rsid w:val="009E3D55"/>
    <w:rsid w:val="009E48E4"/>
    <w:rsid w:val="009E4D40"/>
    <w:rsid w:val="009E641A"/>
    <w:rsid w:val="009F13EE"/>
    <w:rsid w:val="009F4E69"/>
    <w:rsid w:val="00A03071"/>
    <w:rsid w:val="00A03C8E"/>
    <w:rsid w:val="00A03CD9"/>
    <w:rsid w:val="00A04D7F"/>
    <w:rsid w:val="00A04F52"/>
    <w:rsid w:val="00A07A96"/>
    <w:rsid w:val="00A12F34"/>
    <w:rsid w:val="00A16178"/>
    <w:rsid w:val="00A23930"/>
    <w:rsid w:val="00A24581"/>
    <w:rsid w:val="00A24E91"/>
    <w:rsid w:val="00A310BE"/>
    <w:rsid w:val="00A312F2"/>
    <w:rsid w:val="00A3146D"/>
    <w:rsid w:val="00A3188A"/>
    <w:rsid w:val="00A319DE"/>
    <w:rsid w:val="00A35704"/>
    <w:rsid w:val="00A359C7"/>
    <w:rsid w:val="00A37624"/>
    <w:rsid w:val="00A42A60"/>
    <w:rsid w:val="00A44F65"/>
    <w:rsid w:val="00A46693"/>
    <w:rsid w:val="00A47F02"/>
    <w:rsid w:val="00A5476F"/>
    <w:rsid w:val="00A54DC8"/>
    <w:rsid w:val="00A56862"/>
    <w:rsid w:val="00A572F5"/>
    <w:rsid w:val="00A57330"/>
    <w:rsid w:val="00A60203"/>
    <w:rsid w:val="00A622F6"/>
    <w:rsid w:val="00A63C99"/>
    <w:rsid w:val="00A63DC8"/>
    <w:rsid w:val="00A6422A"/>
    <w:rsid w:val="00A67E89"/>
    <w:rsid w:val="00A75D2D"/>
    <w:rsid w:val="00A7681D"/>
    <w:rsid w:val="00A77E4C"/>
    <w:rsid w:val="00A80896"/>
    <w:rsid w:val="00A8153F"/>
    <w:rsid w:val="00A82884"/>
    <w:rsid w:val="00A85C83"/>
    <w:rsid w:val="00A86489"/>
    <w:rsid w:val="00A86988"/>
    <w:rsid w:val="00A870AF"/>
    <w:rsid w:val="00A910F1"/>
    <w:rsid w:val="00A92D0B"/>
    <w:rsid w:val="00A97185"/>
    <w:rsid w:val="00AA00B4"/>
    <w:rsid w:val="00AA07C9"/>
    <w:rsid w:val="00AA1740"/>
    <w:rsid w:val="00AA26BB"/>
    <w:rsid w:val="00AA3498"/>
    <w:rsid w:val="00AA4B0F"/>
    <w:rsid w:val="00AA4D56"/>
    <w:rsid w:val="00AA5AAE"/>
    <w:rsid w:val="00AB0094"/>
    <w:rsid w:val="00AB03AA"/>
    <w:rsid w:val="00AB0891"/>
    <w:rsid w:val="00AB0F77"/>
    <w:rsid w:val="00AB2F7F"/>
    <w:rsid w:val="00AB3456"/>
    <w:rsid w:val="00AB3510"/>
    <w:rsid w:val="00AB3B8A"/>
    <w:rsid w:val="00AB3DED"/>
    <w:rsid w:val="00AB4887"/>
    <w:rsid w:val="00AB5C27"/>
    <w:rsid w:val="00AC0017"/>
    <w:rsid w:val="00AC1BF2"/>
    <w:rsid w:val="00AC2633"/>
    <w:rsid w:val="00AC4041"/>
    <w:rsid w:val="00AC41CC"/>
    <w:rsid w:val="00AC5A4B"/>
    <w:rsid w:val="00AC7827"/>
    <w:rsid w:val="00AD0C16"/>
    <w:rsid w:val="00AD0E35"/>
    <w:rsid w:val="00AD4982"/>
    <w:rsid w:val="00AD5797"/>
    <w:rsid w:val="00AD742A"/>
    <w:rsid w:val="00AE1EA1"/>
    <w:rsid w:val="00AE3CAE"/>
    <w:rsid w:val="00AE429F"/>
    <w:rsid w:val="00AE61E7"/>
    <w:rsid w:val="00AE6488"/>
    <w:rsid w:val="00AE6A81"/>
    <w:rsid w:val="00AF16C0"/>
    <w:rsid w:val="00AF1922"/>
    <w:rsid w:val="00AF61A9"/>
    <w:rsid w:val="00B00BCD"/>
    <w:rsid w:val="00B0174C"/>
    <w:rsid w:val="00B018E6"/>
    <w:rsid w:val="00B03003"/>
    <w:rsid w:val="00B0335B"/>
    <w:rsid w:val="00B068B4"/>
    <w:rsid w:val="00B07184"/>
    <w:rsid w:val="00B12FAD"/>
    <w:rsid w:val="00B12FB6"/>
    <w:rsid w:val="00B1593B"/>
    <w:rsid w:val="00B15D90"/>
    <w:rsid w:val="00B16D36"/>
    <w:rsid w:val="00B17005"/>
    <w:rsid w:val="00B17B72"/>
    <w:rsid w:val="00B21732"/>
    <w:rsid w:val="00B23701"/>
    <w:rsid w:val="00B269D7"/>
    <w:rsid w:val="00B27AD8"/>
    <w:rsid w:val="00B30DA5"/>
    <w:rsid w:val="00B30F84"/>
    <w:rsid w:val="00B312DA"/>
    <w:rsid w:val="00B31565"/>
    <w:rsid w:val="00B32337"/>
    <w:rsid w:val="00B33B4E"/>
    <w:rsid w:val="00B35644"/>
    <w:rsid w:val="00B43C5E"/>
    <w:rsid w:val="00B45848"/>
    <w:rsid w:val="00B45A29"/>
    <w:rsid w:val="00B46C60"/>
    <w:rsid w:val="00B50518"/>
    <w:rsid w:val="00B507F8"/>
    <w:rsid w:val="00B515C0"/>
    <w:rsid w:val="00B51C2B"/>
    <w:rsid w:val="00B51F03"/>
    <w:rsid w:val="00B53F66"/>
    <w:rsid w:val="00B54991"/>
    <w:rsid w:val="00B55CCD"/>
    <w:rsid w:val="00B55D78"/>
    <w:rsid w:val="00B5615D"/>
    <w:rsid w:val="00B56246"/>
    <w:rsid w:val="00B622C4"/>
    <w:rsid w:val="00B62AC0"/>
    <w:rsid w:val="00B62E4F"/>
    <w:rsid w:val="00B63E97"/>
    <w:rsid w:val="00B66CF5"/>
    <w:rsid w:val="00B675D2"/>
    <w:rsid w:val="00B70E0B"/>
    <w:rsid w:val="00B725F1"/>
    <w:rsid w:val="00B72D49"/>
    <w:rsid w:val="00B74BEF"/>
    <w:rsid w:val="00B75563"/>
    <w:rsid w:val="00B803D5"/>
    <w:rsid w:val="00B81099"/>
    <w:rsid w:val="00B81FA6"/>
    <w:rsid w:val="00B8315C"/>
    <w:rsid w:val="00B8324C"/>
    <w:rsid w:val="00B8391D"/>
    <w:rsid w:val="00B85815"/>
    <w:rsid w:val="00B925F5"/>
    <w:rsid w:val="00B933C4"/>
    <w:rsid w:val="00B978AE"/>
    <w:rsid w:val="00BA1992"/>
    <w:rsid w:val="00BA548C"/>
    <w:rsid w:val="00BA6352"/>
    <w:rsid w:val="00BA6A06"/>
    <w:rsid w:val="00BA744A"/>
    <w:rsid w:val="00BA7613"/>
    <w:rsid w:val="00BA76C4"/>
    <w:rsid w:val="00BA7B2D"/>
    <w:rsid w:val="00BB0B1B"/>
    <w:rsid w:val="00BB202D"/>
    <w:rsid w:val="00BB49BB"/>
    <w:rsid w:val="00BB6077"/>
    <w:rsid w:val="00BB770A"/>
    <w:rsid w:val="00BC1723"/>
    <w:rsid w:val="00BC229D"/>
    <w:rsid w:val="00BC3C08"/>
    <w:rsid w:val="00BC524D"/>
    <w:rsid w:val="00BC5F0F"/>
    <w:rsid w:val="00BD4378"/>
    <w:rsid w:val="00BD72F4"/>
    <w:rsid w:val="00BD7B7C"/>
    <w:rsid w:val="00BE3954"/>
    <w:rsid w:val="00BE45D0"/>
    <w:rsid w:val="00BE52CD"/>
    <w:rsid w:val="00BE7084"/>
    <w:rsid w:val="00BF17AF"/>
    <w:rsid w:val="00BF2F45"/>
    <w:rsid w:val="00BF351E"/>
    <w:rsid w:val="00C005DA"/>
    <w:rsid w:val="00C0130E"/>
    <w:rsid w:val="00C01DCD"/>
    <w:rsid w:val="00C02649"/>
    <w:rsid w:val="00C0471D"/>
    <w:rsid w:val="00C05CCB"/>
    <w:rsid w:val="00C105C2"/>
    <w:rsid w:val="00C12D0C"/>
    <w:rsid w:val="00C13746"/>
    <w:rsid w:val="00C13B3F"/>
    <w:rsid w:val="00C1530E"/>
    <w:rsid w:val="00C163CE"/>
    <w:rsid w:val="00C16981"/>
    <w:rsid w:val="00C16E5B"/>
    <w:rsid w:val="00C21444"/>
    <w:rsid w:val="00C243FF"/>
    <w:rsid w:val="00C24ED6"/>
    <w:rsid w:val="00C26EB9"/>
    <w:rsid w:val="00C27087"/>
    <w:rsid w:val="00C27C7D"/>
    <w:rsid w:val="00C307E4"/>
    <w:rsid w:val="00C30896"/>
    <w:rsid w:val="00C32536"/>
    <w:rsid w:val="00C3357A"/>
    <w:rsid w:val="00C36C1F"/>
    <w:rsid w:val="00C372E0"/>
    <w:rsid w:val="00C413B6"/>
    <w:rsid w:val="00C4184E"/>
    <w:rsid w:val="00C4295C"/>
    <w:rsid w:val="00C42D1A"/>
    <w:rsid w:val="00C469E2"/>
    <w:rsid w:val="00C47A2B"/>
    <w:rsid w:val="00C5093F"/>
    <w:rsid w:val="00C51341"/>
    <w:rsid w:val="00C52FA9"/>
    <w:rsid w:val="00C5519B"/>
    <w:rsid w:val="00C55C45"/>
    <w:rsid w:val="00C55C91"/>
    <w:rsid w:val="00C5617E"/>
    <w:rsid w:val="00C56488"/>
    <w:rsid w:val="00C579A3"/>
    <w:rsid w:val="00C57A58"/>
    <w:rsid w:val="00C636B9"/>
    <w:rsid w:val="00C63FDB"/>
    <w:rsid w:val="00C676D7"/>
    <w:rsid w:val="00C742D7"/>
    <w:rsid w:val="00C765A2"/>
    <w:rsid w:val="00C77544"/>
    <w:rsid w:val="00C80771"/>
    <w:rsid w:val="00C8111F"/>
    <w:rsid w:val="00C81392"/>
    <w:rsid w:val="00C834A1"/>
    <w:rsid w:val="00C84208"/>
    <w:rsid w:val="00C84A87"/>
    <w:rsid w:val="00C84D88"/>
    <w:rsid w:val="00C90676"/>
    <w:rsid w:val="00C911CB"/>
    <w:rsid w:val="00C91336"/>
    <w:rsid w:val="00C94CDD"/>
    <w:rsid w:val="00C971B6"/>
    <w:rsid w:val="00C977DF"/>
    <w:rsid w:val="00C97D7B"/>
    <w:rsid w:val="00CA1D72"/>
    <w:rsid w:val="00CA3479"/>
    <w:rsid w:val="00CA53B4"/>
    <w:rsid w:val="00CA5968"/>
    <w:rsid w:val="00CA5A90"/>
    <w:rsid w:val="00CA7A45"/>
    <w:rsid w:val="00CB1025"/>
    <w:rsid w:val="00CB419B"/>
    <w:rsid w:val="00CB53D1"/>
    <w:rsid w:val="00CB5CCF"/>
    <w:rsid w:val="00CB73DF"/>
    <w:rsid w:val="00CC0B90"/>
    <w:rsid w:val="00CC10AF"/>
    <w:rsid w:val="00CC1116"/>
    <w:rsid w:val="00CC18C3"/>
    <w:rsid w:val="00CC220B"/>
    <w:rsid w:val="00CC2690"/>
    <w:rsid w:val="00CC4B40"/>
    <w:rsid w:val="00CC6B0F"/>
    <w:rsid w:val="00CD05DA"/>
    <w:rsid w:val="00CD1A86"/>
    <w:rsid w:val="00CD1B9C"/>
    <w:rsid w:val="00CD243E"/>
    <w:rsid w:val="00CD6764"/>
    <w:rsid w:val="00CD6886"/>
    <w:rsid w:val="00CD6A59"/>
    <w:rsid w:val="00CD7665"/>
    <w:rsid w:val="00CD7D17"/>
    <w:rsid w:val="00CE057B"/>
    <w:rsid w:val="00CE2EFC"/>
    <w:rsid w:val="00CE45CC"/>
    <w:rsid w:val="00CE55A4"/>
    <w:rsid w:val="00CF070F"/>
    <w:rsid w:val="00CF1129"/>
    <w:rsid w:val="00CF40BB"/>
    <w:rsid w:val="00CF4307"/>
    <w:rsid w:val="00CF43B1"/>
    <w:rsid w:val="00CF4AB8"/>
    <w:rsid w:val="00CF657C"/>
    <w:rsid w:val="00CF68CC"/>
    <w:rsid w:val="00D01E10"/>
    <w:rsid w:val="00D032CC"/>
    <w:rsid w:val="00D05AA9"/>
    <w:rsid w:val="00D075B1"/>
    <w:rsid w:val="00D0774B"/>
    <w:rsid w:val="00D077CC"/>
    <w:rsid w:val="00D10372"/>
    <w:rsid w:val="00D14286"/>
    <w:rsid w:val="00D14839"/>
    <w:rsid w:val="00D1778A"/>
    <w:rsid w:val="00D200CF"/>
    <w:rsid w:val="00D206AB"/>
    <w:rsid w:val="00D2356F"/>
    <w:rsid w:val="00D23C7E"/>
    <w:rsid w:val="00D24079"/>
    <w:rsid w:val="00D27B61"/>
    <w:rsid w:val="00D27D5F"/>
    <w:rsid w:val="00D30039"/>
    <w:rsid w:val="00D30C4F"/>
    <w:rsid w:val="00D31229"/>
    <w:rsid w:val="00D32018"/>
    <w:rsid w:val="00D33837"/>
    <w:rsid w:val="00D346E9"/>
    <w:rsid w:val="00D3629E"/>
    <w:rsid w:val="00D36884"/>
    <w:rsid w:val="00D36927"/>
    <w:rsid w:val="00D404D7"/>
    <w:rsid w:val="00D40713"/>
    <w:rsid w:val="00D4098C"/>
    <w:rsid w:val="00D45439"/>
    <w:rsid w:val="00D50AE1"/>
    <w:rsid w:val="00D517CD"/>
    <w:rsid w:val="00D543D8"/>
    <w:rsid w:val="00D54ECF"/>
    <w:rsid w:val="00D55AAD"/>
    <w:rsid w:val="00D56BCA"/>
    <w:rsid w:val="00D61A72"/>
    <w:rsid w:val="00D62478"/>
    <w:rsid w:val="00D66A92"/>
    <w:rsid w:val="00D72051"/>
    <w:rsid w:val="00D74F4E"/>
    <w:rsid w:val="00D75107"/>
    <w:rsid w:val="00D76D62"/>
    <w:rsid w:val="00D7727E"/>
    <w:rsid w:val="00D80043"/>
    <w:rsid w:val="00D807C5"/>
    <w:rsid w:val="00D84F94"/>
    <w:rsid w:val="00D8517C"/>
    <w:rsid w:val="00D8596C"/>
    <w:rsid w:val="00D8769E"/>
    <w:rsid w:val="00D87977"/>
    <w:rsid w:val="00D91FE7"/>
    <w:rsid w:val="00D92E7A"/>
    <w:rsid w:val="00D957CD"/>
    <w:rsid w:val="00DA06FE"/>
    <w:rsid w:val="00DA09BF"/>
    <w:rsid w:val="00DA0D05"/>
    <w:rsid w:val="00DA336C"/>
    <w:rsid w:val="00DA3AEE"/>
    <w:rsid w:val="00DA7D9B"/>
    <w:rsid w:val="00DB1383"/>
    <w:rsid w:val="00DC2AFA"/>
    <w:rsid w:val="00DC3E6E"/>
    <w:rsid w:val="00DC4FD7"/>
    <w:rsid w:val="00DC64BB"/>
    <w:rsid w:val="00DD0604"/>
    <w:rsid w:val="00DD1180"/>
    <w:rsid w:val="00DD3379"/>
    <w:rsid w:val="00DD3F6E"/>
    <w:rsid w:val="00DD52BB"/>
    <w:rsid w:val="00DD60D3"/>
    <w:rsid w:val="00DD6C69"/>
    <w:rsid w:val="00DD7EA5"/>
    <w:rsid w:val="00DE0C6E"/>
    <w:rsid w:val="00DE2487"/>
    <w:rsid w:val="00DE3A5D"/>
    <w:rsid w:val="00DE51E9"/>
    <w:rsid w:val="00DF1BA2"/>
    <w:rsid w:val="00DF1FD1"/>
    <w:rsid w:val="00DF4BB3"/>
    <w:rsid w:val="00E0019A"/>
    <w:rsid w:val="00E00990"/>
    <w:rsid w:val="00E00A77"/>
    <w:rsid w:val="00E00D76"/>
    <w:rsid w:val="00E00FCE"/>
    <w:rsid w:val="00E02D20"/>
    <w:rsid w:val="00E03766"/>
    <w:rsid w:val="00E03D50"/>
    <w:rsid w:val="00E051B4"/>
    <w:rsid w:val="00E10471"/>
    <w:rsid w:val="00E1322F"/>
    <w:rsid w:val="00E13F85"/>
    <w:rsid w:val="00E15DC3"/>
    <w:rsid w:val="00E1660C"/>
    <w:rsid w:val="00E16F10"/>
    <w:rsid w:val="00E171D1"/>
    <w:rsid w:val="00E176A4"/>
    <w:rsid w:val="00E17B34"/>
    <w:rsid w:val="00E210FA"/>
    <w:rsid w:val="00E21AC1"/>
    <w:rsid w:val="00E21EA5"/>
    <w:rsid w:val="00E23D8F"/>
    <w:rsid w:val="00E25078"/>
    <w:rsid w:val="00E25388"/>
    <w:rsid w:val="00E25A64"/>
    <w:rsid w:val="00E26DF6"/>
    <w:rsid w:val="00E30CDF"/>
    <w:rsid w:val="00E310ED"/>
    <w:rsid w:val="00E323A0"/>
    <w:rsid w:val="00E32ABE"/>
    <w:rsid w:val="00E3422B"/>
    <w:rsid w:val="00E34F05"/>
    <w:rsid w:val="00E35F63"/>
    <w:rsid w:val="00E36FBA"/>
    <w:rsid w:val="00E370F3"/>
    <w:rsid w:val="00E3786F"/>
    <w:rsid w:val="00E40140"/>
    <w:rsid w:val="00E435F0"/>
    <w:rsid w:val="00E45905"/>
    <w:rsid w:val="00E45C7A"/>
    <w:rsid w:val="00E45C87"/>
    <w:rsid w:val="00E47874"/>
    <w:rsid w:val="00E5234B"/>
    <w:rsid w:val="00E52992"/>
    <w:rsid w:val="00E53C5A"/>
    <w:rsid w:val="00E55043"/>
    <w:rsid w:val="00E5603F"/>
    <w:rsid w:val="00E57AB4"/>
    <w:rsid w:val="00E60942"/>
    <w:rsid w:val="00E60FB2"/>
    <w:rsid w:val="00E61E85"/>
    <w:rsid w:val="00E65458"/>
    <w:rsid w:val="00E66FE7"/>
    <w:rsid w:val="00E6752E"/>
    <w:rsid w:val="00E71EA5"/>
    <w:rsid w:val="00E735AB"/>
    <w:rsid w:val="00E74E1B"/>
    <w:rsid w:val="00E75E09"/>
    <w:rsid w:val="00E775D0"/>
    <w:rsid w:val="00E8068C"/>
    <w:rsid w:val="00E81881"/>
    <w:rsid w:val="00E842B2"/>
    <w:rsid w:val="00E85F70"/>
    <w:rsid w:val="00E86F6E"/>
    <w:rsid w:val="00E878FC"/>
    <w:rsid w:val="00E9123C"/>
    <w:rsid w:val="00E9366A"/>
    <w:rsid w:val="00E93CB2"/>
    <w:rsid w:val="00E959A0"/>
    <w:rsid w:val="00E96714"/>
    <w:rsid w:val="00EA0AD5"/>
    <w:rsid w:val="00EA10BF"/>
    <w:rsid w:val="00EA1610"/>
    <w:rsid w:val="00EA446C"/>
    <w:rsid w:val="00EA58A5"/>
    <w:rsid w:val="00EA5CAD"/>
    <w:rsid w:val="00EB0079"/>
    <w:rsid w:val="00EB0602"/>
    <w:rsid w:val="00EB0DBA"/>
    <w:rsid w:val="00EB343C"/>
    <w:rsid w:val="00EB41B4"/>
    <w:rsid w:val="00EB64CF"/>
    <w:rsid w:val="00EC061A"/>
    <w:rsid w:val="00EC0CBC"/>
    <w:rsid w:val="00EC28F7"/>
    <w:rsid w:val="00EC4BE6"/>
    <w:rsid w:val="00EC6387"/>
    <w:rsid w:val="00EC6934"/>
    <w:rsid w:val="00EC6C55"/>
    <w:rsid w:val="00ED0701"/>
    <w:rsid w:val="00ED55CD"/>
    <w:rsid w:val="00ED56ED"/>
    <w:rsid w:val="00ED5B9B"/>
    <w:rsid w:val="00ED5E9B"/>
    <w:rsid w:val="00ED617C"/>
    <w:rsid w:val="00ED6B6B"/>
    <w:rsid w:val="00EE21A2"/>
    <w:rsid w:val="00EE324E"/>
    <w:rsid w:val="00EF1057"/>
    <w:rsid w:val="00EF314F"/>
    <w:rsid w:val="00EF3662"/>
    <w:rsid w:val="00EF40F8"/>
    <w:rsid w:val="00F00315"/>
    <w:rsid w:val="00F01ABD"/>
    <w:rsid w:val="00F028C8"/>
    <w:rsid w:val="00F03BC0"/>
    <w:rsid w:val="00F0453A"/>
    <w:rsid w:val="00F04904"/>
    <w:rsid w:val="00F04BCB"/>
    <w:rsid w:val="00F12058"/>
    <w:rsid w:val="00F14E28"/>
    <w:rsid w:val="00F20061"/>
    <w:rsid w:val="00F201A0"/>
    <w:rsid w:val="00F2032B"/>
    <w:rsid w:val="00F21855"/>
    <w:rsid w:val="00F2307C"/>
    <w:rsid w:val="00F234B5"/>
    <w:rsid w:val="00F250DB"/>
    <w:rsid w:val="00F26371"/>
    <w:rsid w:val="00F2682B"/>
    <w:rsid w:val="00F30DA8"/>
    <w:rsid w:val="00F346F4"/>
    <w:rsid w:val="00F34C1F"/>
    <w:rsid w:val="00F35348"/>
    <w:rsid w:val="00F3772B"/>
    <w:rsid w:val="00F40298"/>
    <w:rsid w:val="00F414F2"/>
    <w:rsid w:val="00F418E4"/>
    <w:rsid w:val="00F431BA"/>
    <w:rsid w:val="00F44E5D"/>
    <w:rsid w:val="00F45036"/>
    <w:rsid w:val="00F461DD"/>
    <w:rsid w:val="00F47E87"/>
    <w:rsid w:val="00F5044E"/>
    <w:rsid w:val="00F51018"/>
    <w:rsid w:val="00F53BF9"/>
    <w:rsid w:val="00F548CB"/>
    <w:rsid w:val="00F54951"/>
    <w:rsid w:val="00F55D48"/>
    <w:rsid w:val="00F560BD"/>
    <w:rsid w:val="00F56FA3"/>
    <w:rsid w:val="00F57C38"/>
    <w:rsid w:val="00F63C29"/>
    <w:rsid w:val="00F64F4B"/>
    <w:rsid w:val="00F650AE"/>
    <w:rsid w:val="00F656F1"/>
    <w:rsid w:val="00F6661A"/>
    <w:rsid w:val="00F66C50"/>
    <w:rsid w:val="00F70D29"/>
    <w:rsid w:val="00F7579D"/>
    <w:rsid w:val="00F77CFE"/>
    <w:rsid w:val="00F80524"/>
    <w:rsid w:val="00F81778"/>
    <w:rsid w:val="00F862A9"/>
    <w:rsid w:val="00F86636"/>
    <w:rsid w:val="00F90D47"/>
    <w:rsid w:val="00F91097"/>
    <w:rsid w:val="00F9144E"/>
    <w:rsid w:val="00F9184E"/>
    <w:rsid w:val="00F91D22"/>
    <w:rsid w:val="00F92D05"/>
    <w:rsid w:val="00F93782"/>
    <w:rsid w:val="00F940FB"/>
    <w:rsid w:val="00F949F4"/>
    <w:rsid w:val="00F94DFB"/>
    <w:rsid w:val="00F95C58"/>
    <w:rsid w:val="00F96715"/>
    <w:rsid w:val="00FA15BC"/>
    <w:rsid w:val="00FA1CE4"/>
    <w:rsid w:val="00FA41E5"/>
    <w:rsid w:val="00FA4732"/>
    <w:rsid w:val="00FA51D2"/>
    <w:rsid w:val="00FB1CAE"/>
    <w:rsid w:val="00FB1F60"/>
    <w:rsid w:val="00FB3D28"/>
    <w:rsid w:val="00FB4835"/>
    <w:rsid w:val="00FB4886"/>
    <w:rsid w:val="00FB4BA3"/>
    <w:rsid w:val="00FB6199"/>
    <w:rsid w:val="00FC0F92"/>
    <w:rsid w:val="00FC3AF0"/>
    <w:rsid w:val="00FC3C3F"/>
    <w:rsid w:val="00FC5B4D"/>
    <w:rsid w:val="00FC72B7"/>
    <w:rsid w:val="00FD4736"/>
    <w:rsid w:val="00FD603A"/>
    <w:rsid w:val="00FD688E"/>
    <w:rsid w:val="00FD6B8E"/>
    <w:rsid w:val="00FD710A"/>
    <w:rsid w:val="00FE1726"/>
    <w:rsid w:val="00FE3242"/>
    <w:rsid w:val="00FE3BAE"/>
    <w:rsid w:val="00FE3C3E"/>
    <w:rsid w:val="00FE7944"/>
    <w:rsid w:val="00FF06D5"/>
    <w:rsid w:val="00FF215C"/>
    <w:rsid w:val="00FF2408"/>
    <w:rsid w:val="00FF391B"/>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036843"/>
    <w:pPr>
      <w:ind w:left="720"/>
    </w:pPr>
    <w:rPr>
      <w:rFonts w:eastAsia="Calibri"/>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styleId="Caption">
    <w:name w:val="caption"/>
    <w:basedOn w:val="Normal"/>
    <w:next w:val="Normal"/>
    <w:uiPriority w:val="35"/>
    <w:unhideWhenUsed/>
    <w:qFormat/>
    <w:rsid w:val="00D957CD"/>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A62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0751">
      <w:bodyDiv w:val="1"/>
      <w:marLeft w:val="0"/>
      <w:marRight w:val="0"/>
      <w:marTop w:val="0"/>
      <w:marBottom w:val="0"/>
      <w:divBdr>
        <w:top w:val="none" w:sz="0" w:space="0" w:color="auto"/>
        <w:left w:val="none" w:sz="0" w:space="0" w:color="auto"/>
        <w:bottom w:val="none" w:sz="0" w:space="0" w:color="auto"/>
        <w:right w:val="none" w:sz="0" w:space="0" w:color="auto"/>
      </w:divBdr>
    </w:div>
    <w:div w:id="235479929">
      <w:bodyDiv w:val="1"/>
      <w:marLeft w:val="0"/>
      <w:marRight w:val="0"/>
      <w:marTop w:val="0"/>
      <w:marBottom w:val="0"/>
      <w:divBdr>
        <w:top w:val="none" w:sz="0" w:space="0" w:color="auto"/>
        <w:left w:val="none" w:sz="0" w:space="0" w:color="auto"/>
        <w:bottom w:val="none" w:sz="0" w:space="0" w:color="auto"/>
        <w:right w:val="none" w:sz="0" w:space="0" w:color="auto"/>
      </w:divBdr>
    </w:div>
    <w:div w:id="406852578">
      <w:bodyDiv w:val="1"/>
      <w:marLeft w:val="0"/>
      <w:marRight w:val="0"/>
      <w:marTop w:val="0"/>
      <w:marBottom w:val="0"/>
      <w:divBdr>
        <w:top w:val="none" w:sz="0" w:space="0" w:color="auto"/>
        <w:left w:val="none" w:sz="0" w:space="0" w:color="auto"/>
        <w:bottom w:val="none" w:sz="0" w:space="0" w:color="auto"/>
        <w:right w:val="none" w:sz="0" w:space="0" w:color="auto"/>
      </w:divBdr>
    </w:div>
    <w:div w:id="577130519">
      <w:bodyDiv w:val="1"/>
      <w:marLeft w:val="0"/>
      <w:marRight w:val="0"/>
      <w:marTop w:val="0"/>
      <w:marBottom w:val="0"/>
      <w:divBdr>
        <w:top w:val="none" w:sz="0" w:space="0" w:color="auto"/>
        <w:left w:val="none" w:sz="0" w:space="0" w:color="auto"/>
        <w:bottom w:val="none" w:sz="0" w:space="0" w:color="auto"/>
        <w:right w:val="none" w:sz="0" w:space="0" w:color="auto"/>
      </w:divBdr>
    </w:div>
    <w:div w:id="735128328">
      <w:bodyDiv w:val="1"/>
      <w:marLeft w:val="0"/>
      <w:marRight w:val="0"/>
      <w:marTop w:val="0"/>
      <w:marBottom w:val="0"/>
      <w:divBdr>
        <w:top w:val="none" w:sz="0" w:space="0" w:color="auto"/>
        <w:left w:val="none" w:sz="0" w:space="0" w:color="auto"/>
        <w:bottom w:val="none" w:sz="0" w:space="0" w:color="auto"/>
        <w:right w:val="none" w:sz="0" w:space="0" w:color="auto"/>
      </w:divBdr>
    </w:div>
    <w:div w:id="803962634">
      <w:bodyDiv w:val="1"/>
      <w:marLeft w:val="0"/>
      <w:marRight w:val="0"/>
      <w:marTop w:val="0"/>
      <w:marBottom w:val="0"/>
      <w:divBdr>
        <w:top w:val="none" w:sz="0" w:space="0" w:color="auto"/>
        <w:left w:val="none" w:sz="0" w:space="0" w:color="auto"/>
        <w:bottom w:val="none" w:sz="0" w:space="0" w:color="auto"/>
        <w:right w:val="none" w:sz="0" w:space="0" w:color="auto"/>
      </w:divBdr>
    </w:div>
    <w:div w:id="827983921">
      <w:bodyDiv w:val="1"/>
      <w:marLeft w:val="0"/>
      <w:marRight w:val="0"/>
      <w:marTop w:val="0"/>
      <w:marBottom w:val="0"/>
      <w:divBdr>
        <w:top w:val="none" w:sz="0" w:space="0" w:color="auto"/>
        <w:left w:val="none" w:sz="0" w:space="0" w:color="auto"/>
        <w:bottom w:val="none" w:sz="0" w:space="0" w:color="auto"/>
        <w:right w:val="none" w:sz="0" w:space="0" w:color="auto"/>
      </w:divBdr>
    </w:div>
    <w:div w:id="1414473128">
      <w:bodyDiv w:val="1"/>
      <w:marLeft w:val="0"/>
      <w:marRight w:val="0"/>
      <w:marTop w:val="0"/>
      <w:marBottom w:val="0"/>
      <w:divBdr>
        <w:top w:val="none" w:sz="0" w:space="0" w:color="auto"/>
        <w:left w:val="none" w:sz="0" w:space="0" w:color="auto"/>
        <w:bottom w:val="none" w:sz="0" w:space="0" w:color="auto"/>
        <w:right w:val="none" w:sz="0" w:space="0" w:color="auto"/>
      </w:divBdr>
    </w:div>
    <w:div w:id="1505053587">
      <w:bodyDiv w:val="1"/>
      <w:marLeft w:val="0"/>
      <w:marRight w:val="0"/>
      <w:marTop w:val="0"/>
      <w:marBottom w:val="0"/>
      <w:divBdr>
        <w:top w:val="none" w:sz="0" w:space="0" w:color="auto"/>
        <w:left w:val="none" w:sz="0" w:space="0" w:color="auto"/>
        <w:bottom w:val="none" w:sz="0" w:space="0" w:color="auto"/>
        <w:right w:val="none" w:sz="0" w:space="0" w:color="auto"/>
      </w:divBdr>
    </w:div>
    <w:div w:id="1769931558">
      <w:bodyDiv w:val="1"/>
      <w:marLeft w:val="0"/>
      <w:marRight w:val="0"/>
      <w:marTop w:val="0"/>
      <w:marBottom w:val="0"/>
      <w:divBdr>
        <w:top w:val="none" w:sz="0" w:space="0" w:color="auto"/>
        <w:left w:val="none" w:sz="0" w:space="0" w:color="auto"/>
        <w:bottom w:val="none" w:sz="0" w:space="0" w:color="auto"/>
        <w:right w:val="none" w:sz="0" w:space="0" w:color="auto"/>
      </w:divBdr>
    </w:div>
    <w:div w:id="1860656218">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82884222">
      <w:bodyDiv w:val="1"/>
      <w:marLeft w:val="0"/>
      <w:marRight w:val="0"/>
      <w:marTop w:val="0"/>
      <w:marBottom w:val="0"/>
      <w:divBdr>
        <w:top w:val="none" w:sz="0" w:space="0" w:color="auto"/>
        <w:left w:val="none" w:sz="0" w:space="0" w:color="auto"/>
        <w:bottom w:val="none" w:sz="0" w:space="0" w:color="auto"/>
        <w:right w:val="none" w:sz="0" w:space="0" w:color="auto"/>
      </w:divBdr>
    </w:div>
    <w:div w:id="20274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eci.t05.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eci.t05.ht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eci.t05.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ED45663F10349B4A179572323E139" ma:contentTypeVersion="13" ma:contentTypeDescription="Create a new document." ma:contentTypeScope="" ma:versionID="e5329180a76777bc20ceaf1d7538b753">
  <xsd:schema xmlns:xsd="http://www.w3.org/2001/XMLSchema" xmlns:xs="http://www.w3.org/2001/XMLSchema" xmlns:p="http://schemas.microsoft.com/office/2006/metadata/properties" xmlns:ns3="c4d7c355-10d3-4dbc-a3c2-ba97440df6f5" xmlns:ns4="ba7203f8-c583-4b56-8a7a-ef6d464b37a0" targetNamespace="http://schemas.microsoft.com/office/2006/metadata/properties" ma:root="true" ma:fieldsID="658d0dc2c90ecee0fad2dc8e4a8be0ee" ns3:_="" ns4:_="">
    <xsd:import namespace="c4d7c355-10d3-4dbc-a3c2-ba97440df6f5"/>
    <xsd:import namespace="ba7203f8-c583-4b56-8a7a-ef6d464b37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7c355-10d3-4dbc-a3c2-ba97440df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203f8-c583-4b56-8a7a-ef6d464b37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4d7c355-10d3-4dbc-a3c2-ba97440df6f5" xsi:nil="true"/>
  </documentManagement>
</p:properties>
</file>

<file path=customXml/itemProps1.xml><?xml version="1.0" encoding="utf-8"?>
<ds:datastoreItem xmlns:ds="http://schemas.openxmlformats.org/officeDocument/2006/customXml" ds:itemID="{D3A0CD15-BD02-4557-90E5-99584D0AB136}">
  <ds:schemaRefs>
    <ds:schemaRef ds:uri="http://schemas.microsoft.com/sharepoint/v3/contenttype/forms"/>
  </ds:schemaRefs>
</ds:datastoreItem>
</file>

<file path=customXml/itemProps2.xml><?xml version="1.0" encoding="utf-8"?>
<ds:datastoreItem xmlns:ds="http://schemas.openxmlformats.org/officeDocument/2006/customXml" ds:itemID="{85768F03-3348-431A-B0E7-48875B20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7c355-10d3-4dbc-a3c2-ba97440df6f5"/>
    <ds:schemaRef ds:uri="ba7203f8-c583-4b56-8a7a-ef6d464b3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customXml/itemProps4.xml><?xml version="1.0" encoding="utf-8"?>
<ds:datastoreItem xmlns:ds="http://schemas.openxmlformats.org/officeDocument/2006/customXml" ds:itemID="{7B7C0B6C-0BF3-4C4F-8DB9-103992ACB1F1}">
  <ds:schemaRefs>
    <ds:schemaRef ds:uri="http://schemas.microsoft.com/office/2006/metadata/properties"/>
    <ds:schemaRef ds:uri="http://schemas.microsoft.com/office/infopath/2007/PartnerControls"/>
    <ds:schemaRef ds:uri="c4d7c355-10d3-4dbc-a3c2-ba97440df6f5"/>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6209</ap:Words>
  <ap:Characters>35395</ap:Characters>
  <ap:Application>Microsoft Office Word</ap:Application>
  <ap:DocSecurity>0</ap:DocSecurity>
  <ap:Lines>294</ap:Lines>
  <ap:Paragraphs>83</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41521</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2024-09-17T14:37:13Z</dcterms:created>
  <dcterms:modified xsi:type="dcterms:W3CDTF">2024-09-17T14:37:13Z</dcterms:modified>
</cp:coreProperties>
</file>