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61C10" w:rsidR="00B60421" w:rsidP="00E73849" w:rsidRDefault="007B4742" w14:paraId="3C4986F7" w14:textId="50A6E492">
      <w:pPr>
        <w:tabs>
          <w:tab w:val="right" w:pos="9360"/>
        </w:tabs>
        <w:spacing w:line="240" w:lineRule="auto"/>
        <w:ind w:firstLine="0"/>
      </w:pPr>
      <w:r w:rsidRPr="00461C10">
        <w:t>COM/ARD/</w:t>
      </w:r>
      <w:r w:rsidRPr="00461C10">
        <w:rPr>
          <w:sz w:val="24"/>
        </w:rPr>
        <w:t>jnf</w:t>
      </w:r>
      <w:r w:rsidRPr="00461C10" w:rsidR="008B39C8">
        <w:rPr>
          <w:sz w:val="24"/>
        </w:rPr>
        <w:t>/smt</w:t>
      </w:r>
      <w:r w:rsidRPr="00461C10" w:rsidR="00180E55">
        <w:rPr>
          <w:sz w:val="24"/>
        </w:rPr>
        <w:t>/</w:t>
      </w:r>
      <w:r w:rsidR="00E73849">
        <w:rPr>
          <w:sz w:val="24"/>
        </w:rPr>
        <w:t>nd3</w:t>
      </w:r>
      <w:r w:rsidR="00E73849">
        <w:rPr>
          <w:sz w:val="24"/>
        </w:rPr>
        <w:tab/>
      </w:r>
      <w:r w:rsidR="00E73849">
        <w:rPr>
          <w:b/>
        </w:rPr>
        <w:t>Date of Issuance 9/17/2024</w:t>
      </w:r>
    </w:p>
    <w:p w:rsidR="00E77F7C" w:rsidP="00E73849" w:rsidRDefault="00E77F7C" w14:paraId="5CA7A9D2" w14:textId="77777777">
      <w:pPr>
        <w:spacing w:line="240" w:lineRule="auto"/>
        <w:ind w:firstLine="0"/>
        <w:jc w:val="right"/>
        <w:rPr>
          <w:b/>
          <w:bCs/>
        </w:rPr>
      </w:pPr>
    </w:p>
    <w:p w:rsidRPr="00461C10" w:rsidR="00E73849" w:rsidP="00E73849" w:rsidRDefault="00E73849" w14:paraId="11070517" w14:textId="77777777">
      <w:pPr>
        <w:spacing w:line="240" w:lineRule="auto"/>
        <w:ind w:firstLine="0"/>
        <w:jc w:val="right"/>
        <w:rPr>
          <w:b/>
          <w:bCs/>
        </w:rPr>
      </w:pPr>
    </w:p>
    <w:p w:rsidRPr="00461C10" w:rsidR="00DA7B5D" w:rsidP="00303C41" w:rsidRDefault="00DA7B5D" w14:paraId="5FD8DFC1" w14:textId="6A848319">
      <w:pPr>
        <w:spacing w:line="240" w:lineRule="auto"/>
        <w:ind w:left="1080" w:hanging="1080"/>
        <w:rPr>
          <w:b/>
          <w:bCs/>
        </w:rPr>
      </w:pPr>
      <w:r w:rsidRPr="00461C10">
        <w:t>Decision</w:t>
      </w:r>
      <w:r w:rsidR="00E73849">
        <w:t> 24-09-020  September 12, 2024</w:t>
      </w:r>
    </w:p>
    <w:p w:rsidRPr="00461C10" w:rsidR="00303C41" w:rsidP="003E5D31" w:rsidRDefault="00303C41" w14:paraId="66CB7E87" w14:textId="77777777">
      <w:pPr>
        <w:ind w:firstLine="0"/>
      </w:pPr>
    </w:p>
    <w:p w:rsidRPr="00461C10" w:rsidR="00DA7B5D" w:rsidP="00BB0243" w:rsidRDefault="00DA7B5D" w14:paraId="7065922F" w14:textId="77777777">
      <w:pPr>
        <w:spacing w:line="240" w:lineRule="auto"/>
        <w:ind w:firstLine="0"/>
        <w:jc w:val="center"/>
        <w:rPr>
          <w:rFonts w:ascii="Arial" w:hAnsi="Arial" w:cs="Arial"/>
          <w:sz w:val="24"/>
          <w:szCs w:val="24"/>
        </w:rPr>
      </w:pPr>
      <w:r w:rsidRPr="00461C10">
        <w:rPr>
          <w:rFonts w:ascii="Arial" w:hAnsi="Arial" w:cs="Arial"/>
          <w:b/>
          <w:sz w:val="24"/>
          <w:szCs w:val="24"/>
        </w:rPr>
        <w:t>BEFORE THE PUBLIC UTILITIES COMMISSION OF THE STATE OF CALIFORNIA</w:t>
      </w:r>
    </w:p>
    <w:p w:rsidRPr="00461C10" w:rsidR="00DA7B5D" w:rsidP="008F0116" w:rsidRDefault="00DA7B5D" w14:paraId="03A5FD01"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Pr="00461C10" w:rsidR="00DA7B5D" w:rsidTr="00E725FC" w14:paraId="4841062E" w14:textId="77777777">
        <w:trPr>
          <w:jc w:val="center"/>
        </w:trPr>
        <w:tc>
          <w:tcPr>
            <w:tcW w:w="5040" w:type="dxa"/>
            <w:tcBorders>
              <w:top w:val="nil"/>
              <w:left w:val="nil"/>
              <w:bottom w:val="single" w:color="auto" w:sz="4" w:space="0"/>
              <w:right w:val="single" w:color="auto" w:sz="4" w:space="0"/>
            </w:tcBorders>
          </w:tcPr>
          <w:p w:rsidRPr="00461C10" w:rsidR="00DA7B5D" w:rsidP="00C10B5F" w:rsidRDefault="007B4742" w14:paraId="11E7C072" w14:textId="6AAFC784">
            <w:pPr>
              <w:spacing w:line="240" w:lineRule="auto"/>
              <w:ind w:firstLine="0"/>
              <w:rPr>
                <w:rFonts w:cs="Arial"/>
                <w:szCs w:val="26"/>
              </w:rPr>
            </w:pPr>
            <w:r w:rsidRPr="00461C10">
              <w:rPr>
                <w:rFonts w:cs="Arial"/>
                <w:szCs w:val="26"/>
              </w:rPr>
              <w:t>Order Instituting Rulemaking to Establish Energization Timelines.</w:t>
            </w:r>
            <w:r w:rsidRPr="00461C10" w:rsidR="00DA7B5D">
              <w:rPr>
                <w:rFonts w:cs="Arial"/>
                <w:szCs w:val="26"/>
              </w:rPr>
              <w:br/>
            </w:r>
          </w:p>
        </w:tc>
        <w:tc>
          <w:tcPr>
            <w:tcW w:w="5040" w:type="dxa"/>
            <w:tcBorders>
              <w:top w:val="nil"/>
              <w:left w:val="single" w:color="auto" w:sz="4" w:space="0"/>
              <w:bottom w:val="nil"/>
              <w:right w:val="nil"/>
            </w:tcBorders>
            <w:vAlign w:val="center"/>
          </w:tcPr>
          <w:p w:rsidRPr="00461C10" w:rsidR="00DA7B5D" w:rsidP="00412C83" w:rsidRDefault="007A2AF7" w14:paraId="02CE87EB" w14:textId="7A9CE5F5">
            <w:pPr>
              <w:spacing w:line="240" w:lineRule="auto"/>
              <w:ind w:firstLine="0"/>
              <w:jc w:val="center"/>
              <w:rPr>
                <w:rFonts w:cs="Arial"/>
                <w:szCs w:val="26"/>
              </w:rPr>
            </w:pPr>
            <w:r w:rsidRPr="00461C10">
              <w:rPr>
                <w:rFonts w:cs="Arial"/>
                <w:szCs w:val="26"/>
              </w:rPr>
              <w:t>Rulemaking 24-01-018</w:t>
            </w:r>
          </w:p>
        </w:tc>
      </w:tr>
    </w:tbl>
    <w:p w:rsidRPr="00461C10" w:rsidR="00DA7B5D" w:rsidP="008F0116" w:rsidRDefault="00DA7B5D" w14:paraId="0196FB51" w14:textId="77777777">
      <w:pPr>
        <w:spacing w:line="240" w:lineRule="auto"/>
        <w:ind w:firstLine="0"/>
        <w:rPr>
          <w:rFonts w:ascii="Arial" w:hAnsi="Arial" w:cs="Arial"/>
          <w:sz w:val="24"/>
          <w:szCs w:val="24"/>
        </w:rPr>
      </w:pPr>
    </w:p>
    <w:p w:rsidRPr="00461C10" w:rsidR="00DA7B5D" w:rsidP="008F0116" w:rsidRDefault="00DA7B5D" w14:paraId="18340C6C" w14:textId="77777777">
      <w:pPr>
        <w:spacing w:line="240" w:lineRule="auto"/>
        <w:ind w:firstLine="0"/>
        <w:rPr>
          <w:rFonts w:ascii="Arial" w:hAnsi="Arial" w:cs="Arial"/>
          <w:sz w:val="24"/>
          <w:szCs w:val="24"/>
        </w:rPr>
      </w:pPr>
    </w:p>
    <w:p w:rsidRPr="00461C10" w:rsidR="00F92385" w:rsidP="00B3087D" w:rsidRDefault="00526EC8" w14:paraId="1FCD5558" w14:textId="0397482B">
      <w:pPr>
        <w:pStyle w:val="Dummy"/>
        <w:jc w:val="center"/>
        <w:sectPr w:rsidRPr="00461C10" w:rsidR="00F92385" w:rsidSect="00C65DDF">
          <w:headerReference w:type="first" r:id="rId11"/>
          <w:footerReference w:type="first" r:id="rId12"/>
          <w:pgSz w:w="12240" w:h="15840"/>
          <w:pgMar w:top="1728" w:right="1440" w:bottom="1440" w:left="1440" w:header="720" w:footer="720" w:gutter="0"/>
          <w:pgNumType w:start="1"/>
          <w:cols w:space="720"/>
          <w:titlePg/>
          <w:docGrid w:linePitch="360"/>
        </w:sectPr>
      </w:pPr>
      <w:bookmarkStart w:name="_Toc1998286747" w:id="0"/>
      <w:bookmarkStart w:name="_Toc177469335" w:id="1"/>
      <w:r w:rsidRPr="00461C10">
        <w:t>DECISIO</w:t>
      </w:r>
      <w:r w:rsidRPr="00461C10" w:rsidR="00305124">
        <w:t xml:space="preserve">N ESTABLISHING </w:t>
      </w:r>
      <w:r w:rsidRPr="00461C10" w:rsidR="00E55344">
        <w:t>TARGET ENERGIZATION TIME</w:t>
      </w:r>
      <w:r w:rsidRPr="00461C10" w:rsidR="007B4742">
        <w:br/>
      </w:r>
      <w:r w:rsidRPr="00461C10" w:rsidR="00E55344">
        <w:t>PERIODS</w:t>
      </w:r>
      <w:r w:rsidRPr="00461C10" w:rsidR="007B4742">
        <w:t xml:space="preserve"> </w:t>
      </w:r>
      <w:r w:rsidRPr="00461C10" w:rsidR="00E55344">
        <w:t>AND PROCEDURE FOR CUSTOMERS TO</w:t>
      </w:r>
      <w:r w:rsidRPr="00461C10" w:rsidR="007B4742">
        <w:t xml:space="preserve"> </w:t>
      </w:r>
      <w:r w:rsidRPr="00461C10" w:rsidR="00E55344">
        <w:t xml:space="preserve">REPORT </w:t>
      </w:r>
      <w:r w:rsidRPr="00461C10" w:rsidR="00727866">
        <w:t>ENERGIZATION DELAYS</w:t>
      </w:r>
      <w:bookmarkEnd w:id="0"/>
      <w:bookmarkEnd w:id="1"/>
    </w:p>
    <w:p w:rsidRPr="00461C10" w:rsidR="00D50119" w:rsidP="00F76650" w:rsidRDefault="00D50119" w14:paraId="234FC23C" w14:textId="77777777">
      <w:pPr>
        <w:pStyle w:val="Main"/>
        <w:rPr>
          <w:rFonts w:ascii="Book Antiqua" w:hAnsi="Book Antiqua" w:eastAsia="Book Antiqua" w:cs="Book Antiqua"/>
          <w:szCs w:val="26"/>
        </w:rPr>
      </w:pPr>
      <w:r w:rsidRPr="00461C10">
        <w:rPr>
          <w:rFonts w:ascii="Book Antiqua" w:hAnsi="Book Antiqua" w:eastAsia="Book Antiqua" w:cs="Book Antiqua"/>
          <w:szCs w:val="26"/>
        </w:rPr>
        <w:lastRenderedPageBreak/>
        <w:t>TABLE OF CONTENTS</w:t>
      </w:r>
    </w:p>
    <w:p w:rsidRPr="00461C10" w:rsidR="00D50119" w:rsidP="00807029" w:rsidRDefault="00D50119" w14:paraId="45DB4EE7" w14:textId="77777777">
      <w:pPr>
        <w:tabs>
          <w:tab w:val="right" w:pos="9360"/>
        </w:tabs>
        <w:spacing w:line="240" w:lineRule="auto"/>
        <w:ind w:firstLine="0"/>
        <w:rPr>
          <w:rFonts w:eastAsia="Book Antiqua" w:cs="Book Antiqua"/>
          <w:b/>
          <w:szCs w:val="26"/>
        </w:rPr>
      </w:pPr>
      <w:r w:rsidRPr="00461C10">
        <w:rPr>
          <w:rFonts w:eastAsia="Book Antiqua" w:cs="Book Antiqua"/>
          <w:b/>
          <w:szCs w:val="26"/>
        </w:rPr>
        <w:t>Title</w:t>
      </w:r>
      <w:r w:rsidRPr="00461C10">
        <w:tab/>
      </w:r>
      <w:r w:rsidRPr="00461C10">
        <w:rPr>
          <w:rFonts w:eastAsia="Book Antiqua" w:cs="Book Antiqua"/>
          <w:b/>
          <w:szCs w:val="26"/>
        </w:rPr>
        <w:t>Page</w:t>
      </w:r>
    </w:p>
    <w:sdt>
      <w:sdtPr>
        <w:rPr>
          <w:rStyle w:val="Hyperlink"/>
          <w:rFonts w:eastAsia="Book Antiqua" w:cs="Book Antiqua"/>
          <w:color w:val="auto"/>
        </w:rPr>
        <w:id w:val="31223236"/>
        <w:docPartObj>
          <w:docPartGallery w:val="Table of Contents"/>
          <w:docPartUnique/>
        </w:docPartObj>
      </w:sdtPr>
      <w:sdtEndPr>
        <w:rPr>
          <w:rStyle w:val="Hyperlink"/>
        </w:rPr>
      </w:sdtEndPr>
      <w:sdtContent>
        <w:p w:rsidR="00FF3227" w:rsidP="00FF3227" w:rsidRDefault="005A3C68" w14:paraId="0F692473" w14:textId="34F4286E">
          <w:pPr>
            <w:pStyle w:val="TOC1"/>
            <w:tabs>
              <w:tab w:val="right" w:leader="dot" w:pos="9350"/>
            </w:tabs>
            <w:ind w:left="0" w:firstLine="0"/>
            <w:rPr>
              <w:rFonts w:asciiTheme="minorHAnsi" w:hAnsiTheme="minorHAnsi" w:cstheme="minorBidi"/>
              <w:noProof/>
              <w:kern w:val="2"/>
              <w:sz w:val="24"/>
              <w:szCs w:val="24"/>
              <w14:ligatures w14:val="standardContextual"/>
            </w:rPr>
          </w:pPr>
          <w:r w:rsidRPr="00461C10">
            <w:fldChar w:fldCharType="begin"/>
          </w:r>
          <w:r w:rsidRPr="00461C10" w:rsidR="36B71D21">
            <w:instrText>TOC \o "1-6" \z \u \h</w:instrText>
          </w:r>
          <w:r w:rsidRPr="00461C10">
            <w:fldChar w:fldCharType="separate"/>
          </w:r>
          <w:hyperlink w:history="1" w:anchor="_Toc177469335">
            <w:r w:rsidRPr="005A071E" w:rsidR="00FF3227">
              <w:rPr>
                <w:rStyle w:val="Hyperlink"/>
                <w:noProof/>
              </w:rPr>
              <w:t>DECISION ESTABLISHING TARGET ENERGIZATION TIME PERIODS AND PROCEDURE FOR CUSTOMERS TO REPORT ENERGIZATION DELAYS</w:t>
            </w:r>
            <w:r w:rsidR="00FF3227">
              <w:rPr>
                <w:noProof/>
                <w:webHidden/>
              </w:rPr>
              <w:tab/>
            </w:r>
            <w:r w:rsidR="00FF3227">
              <w:rPr>
                <w:noProof/>
                <w:webHidden/>
              </w:rPr>
              <w:fldChar w:fldCharType="begin"/>
            </w:r>
            <w:r w:rsidR="00FF3227">
              <w:rPr>
                <w:noProof/>
                <w:webHidden/>
              </w:rPr>
              <w:instrText xml:space="preserve"> PAGEREF _Toc177469335 \h </w:instrText>
            </w:r>
            <w:r w:rsidR="00FF3227">
              <w:rPr>
                <w:noProof/>
                <w:webHidden/>
              </w:rPr>
            </w:r>
            <w:r w:rsidR="00FF3227">
              <w:rPr>
                <w:noProof/>
                <w:webHidden/>
              </w:rPr>
              <w:fldChar w:fldCharType="separate"/>
            </w:r>
            <w:r w:rsidR="00FF3227">
              <w:rPr>
                <w:noProof/>
                <w:webHidden/>
              </w:rPr>
              <w:t>1</w:t>
            </w:r>
            <w:r w:rsidR="00FF3227">
              <w:rPr>
                <w:noProof/>
                <w:webHidden/>
              </w:rPr>
              <w:fldChar w:fldCharType="end"/>
            </w:r>
          </w:hyperlink>
        </w:p>
        <w:p w:rsidR="00FF3227" w:rsidRDefault="00FF3227" w14:paraId="4FA80A85" w14:textId="64245087">
          <w:pPr>
            <w:pStyle w:val="TOC1"/>
            <w:tabs>
              <w:tab w:val="right" w:leader="dot" w:pos="9350"/>
            </w:tabs>
            <w:rPr>
              <w:rFonts w:asciiTheme="minorHAnsi" w:hAnsiTheme="minorHAnsi" w:cstheme="minorBidi"/>
              <w:noProof/>
              <w:kern w:val="2"/>
              <w:sz w:val="24"/>
              <w:szCs w:val="24"/>
              <w14:ligatures w14:val="standardContextual"/>
            </w:rPr>
          </w:pPr>
          <w:hyperlink w:history="1" w:anchor="_Toc177469336">
            <w:r w:rsidRPr="005A071E">
              <w:rPr>
                <w:rStyle w:val="Hyperlink"/>
                <w:noProof/>
              </w:rPr>
              <w:t>Summary</w:t>
            </w:r>
            <w:r>
              <w:rPr>
                <w:noProof/>
                <w:webHidden/>
              </w:rPr>
              <w:tab/>
            </w:r>
            <w:r>
              <w:rPr>
                <w:noProof/>
                <w:webHidden/>
              </w:rPr>
              <w:fldChar w:fldCharType="begin"/>
            </w:r>
            <w:r>
              <w:rPr>
                <w:noProof/>
                <w:webHidden/>
              </w:rPr>
              <w:instrText xml:space="preserve"> PAGEREF _Toc177469336 \h </w:instrText>
            </w:r>
            <w:r>
              <w:rPr>
                <w:noProof/>
                <w:webHidden/>
              </w:rPr>
            </w:r>
            <w:r>
              <w:rPr>
                <w:noProof/>
                <w:webHidden/>
              </w:rPr>
              <w:fldChar w:fldCharType="separate"/>
            </w:r>
            <w:r>
              <w:rPr>
                <w:noProof/>
                <w:webHidden/>
              </w:rPr>
              <w:t>2</w:t>
            </w:r>
            <w:r>
              <w:rPr>
                <w:noProof/>
                <w:webHidden/>
              </w:rPr>
              <w:fldChar w:fldCharType="end"/>
            </w:r>
          </w:hyperlink>
        </w:p>
        <w:p w:rsidR="00FF3227" w:rsidRDefault="00FF3227" w14:paraId="7CA879BD" w14:textId="3572FA92">
          <w:pPr>
            <w:pStyle w:val="TOC1"/>
            <w:tabs>
              <w:tab w:val="right" w:leader="dot" w:pos="9350"/>
            </w:tabs>
            <w:rPr>
              <w:rFonts w:asciiTheme="minorHAnsi" w:hAnsiTheme="minorHAnsi" w:cstheme="minorBidi"/>
              <w:noProof/>
              <w:kern w:val="2"/>
              <w:sz w:val="24"/>
              <w:szCs w:val="24"/>
              <w14:ligatures w14:val="standardContextual"/>
            </w:rPr>
          </w:pPr>
          <w:hyperlink w:history="1" w:anchor="_Toc177469337">
            <w:r w:rsidRPr="005A071E">
              <w:rPr>
                <w:rStyle w:val="Hyperlink"/>
                <w:noProof/>
              </w:rPr>
              <w:t>1.</w:t>
            </w:r>
            <w:r>
              <w:rPr>
                <w:rFonts w:asciiTheme="minorHAnsi" w:hAnsiTheme="minorHAnsi" w:cstheme="minorBidi"/>
                <w:noProof/>
                <w:kern w:val="2"/>
                <w:sz w:val="24"/>
                <w:szCs w:val="24"/>
                <w14:ligatures w14:val="standardContextual"/>
              </w:rPr>
              <w:tab/>
            </w:r>
            <w:r w:rsidRPr="005A071E">
              <w:rPr>
                <w:rStyle w:val="Hyperlink"/>
                <w:noProof/>
              </w:rPr>
              <w:t>Background</w:t>
            </w:r>
            <w:r>
              <w:rPr>
                <w:noProof/>
                <w:webHidden/>
              </w:rPr>
              <w:tab/>
            </w:r>
            <w:r>
              <w:rPr>
                <w:noProof/>
                <w:webHidden/>
              </w:rPr>
              <w:fldChar w:fldCharType="begin"/>
            </w:r>
            <w:r>
              <w:rPr>
                <w:noProof/>
                <w:webHidden/>
              </w:rPr>
              <w:instrText xml:space="preserve"> PAGEREF _Toc177469337 \h </w:instrText>
            </w:r>
            <w:r>
              <w:rPr>
                <w:noProof/>
                <w:webHidden/>
              </w:rPr>
            </w:r>
            <w:r>
              <w:rPr>
                <w:noProof/>
                <w:webHidden/>
              </w:rPr>
              <w:fldChar w:fldCharType="separate"/>
            </w:r>
            <w:r>
              <w:rPr>
                <w:noProof/>
                <w:webHidden/>
              </w:rPr>
              <w:t>4</w:t>
            </w:r>
            <w:r>
              <w:rPr>
                <w:noProof/>
                <w:webHidden/>
              </w:rPr>
              <w:fldChar w:fldCharType="end"/>
            </w:r>
          </w:hyperlink>
        </w:p>
        <w:p w:rsidR="00FF3227" w:rsidRDefault="00FF3227" w14:paraId="6653374D" w14:textId="2724AAA0">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77469338">
            <w:r w:rsidRPr="005A071E">
              <w:rPr>
                <w:rStyle w:val="Hyperlink"/>
                <w:noProof/>
              </w:rPr>
              <w:t>1.1</w:t>
            </w:r>
            <w:r>
              <w:rPr>
                <w:rFonts w:asciiTheme="minorHAnsi" w:hAnsiTheme="minorHAnsi" w:cstheme="minorBidi"/>
                <w:noProof/>
                <w:kern w:val="2"/>
                <w:sz w:val="24"/>
                <w:szCs w:val="24"/>
                <w14:ligatures w14:val="standardContextual"/>
              </w:rPr>
              <w:tab/>
            </w:r>
            <w:r w:rsidRPr="005A071E">
              <w:rPr>
                <w:rStyle w:val="Hyperlink"/>
                <w:noProof/>
              </w:rPr>
              <w:t>Factual Background</w:t>
            </w:r>
            <w:r>
              <w:rPr>
                <w:noProof/>
                <w:webHidden/>
              </w:rPr>
              <w:tab/>
            </w:r>
            <w:r>
              <w:rPr>
                <w:noProof/>
                <w:webHidden/>
              </w:rPr>
              <w:fldChar w:fldCharType="begin"/>
            </w:r>
            <w:r>
              <w:rPr>
                <w:noProof/>
                <w:webHidden/>
              </w:rPr>
              <w:instrText xml:space="preserve"> PAGEREF _Toc177469338 \h </w:instrText>
            </w:r>
            <w:r>
              <w:rPr>
                <w:noProof/>
                <w:webHidden/>
              </w:rPr>
            </w:r>
            <w:r>
              <w:rPr>
                <w:noProof/>
                <w:webHidden/>
              </w:rPr>
              <w:fldChar w:fldCharType="separate"/>
            </w:r>
            <w:r>
              <w:rPr>
                <w:noProof/>
                <w:webHidden/>
              </w:rPr>
              <w:t>4</w:t>
            </w:r>
            <w:r>
              <w:rPr>
                <w:noProof/>
                <w:webHidden/>
              </w:rPr>
              <w:fldChar w:fldCharType="end"/>
            </w:r>
          </w:hyperlink>
        </w:p>
        <w:p w:rsidR="00FF3227" w:rsidRDefault="00FF3227" w14:paraId="217D77B1" w14:textId="29BFB01F">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77469339">
            <w:r w:rsidRPr="005A071E">
              <w:rPr>
                <w:rStyle w:val="Hyperlink"/>
                <w:noProof/>
              </w:rPr>
              <w:t>1.2</w:t>
            </w:r>
            <w:r>
              <w:rPr>
                <w:rFonts w:asciiTheme="minorHAnsi" w:hAnsiTheme="minorHAnsi" w:cstheme="minorBidi"/>
                <w:noProof/>
                <w:kern w:val="2"/>
                <w:sz w:val="24"/>
                <w:szCs w:val="24"/>
                <w14:ligatures w14:val="standardContextual"/>
              </w:rPr>
              <w:tab/>
            </w:r>
            <w:r w:rsidRPr="005A071E">
              <w:rPr>
                <w:rStyle w:val="Hyperlink"/>
                <w:noProof/>
              </w:rPr>
              <w:t>Senate Bill 410</w:t>
            </w:r>
            <w:r>
              <w:rPr>
                <w:noProof/>
                <w:webHidden/>
              </w:rPr>
              <w:tab/>
            </w:r>
            <w:r>
              <w:rPr>
                <w:noProof/>
                <w:webHidden/>
              </w:rPr>
              <w:fldChar w:fldCharType="begin"/>
            </w:r>
            <w:r>
              <w:rPr>
                <w:noProof/>
                <w:webHidden/>
              </w:rPr>
              <w:instrText xml:space="preserve"> PAGEREF _Toc177469339 \h </w:instrText>
            </w:r>
            <w:r>
              <w:rPr>
                <w:noProof/>
                <w:webHidden/>
              </w:rPr>
            </w:r>
            <w:r>
              <w:rPr>
                <w:noProof/>
                <w:webHidden/>
              </w:rPr>
              <w:fldChar w:fldCharType="separate"/>
            </w:r>
            <w:r>
              <w:rPr>
                <w:noProof/>
                <w:webHidden/>
              </w:rPr>
              <w:t>5</w:t>
            </w:r>
            <w:r>
              <w:rPr>
                <w:noProof/>
                <w:webHidden/>
              </w:rPr>
              <w:fldChar w:fldCharType="end"/>
            </w:r>
          </w:hyperlink>
        </w:p>
        <w:p w:rsidR="00FF3227" w:rsidRDefault="00FF3227" w14:paraId="6565784C" w14:textId="5CE90BCB">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77469340">
            <w:r w:rsidRPr="005A071E">
              <w:rPr>
                <w:rStyle w:val="Hyperlink"/>
                <w:noProof/>
              </w:rPr>
              <w:t>1.3</w:t>
            </w:r>
            <w:r>
              <w:rPr>
                <w:rFonts w:asciiTheme="minorHAnsi" w:hAnsiTheme="minorHAnsi" w:cstheme="minorBidi"/>
                <w:noProof/>
                <w:kern w:val="2"/>
                <w:sz w:val="24"/>
                <w:szCs w:val="24"/>
                <w14:ligatures w14:val="standardContextual"/>
              </w:rPr>
              <w:tab/>
            </w:r>
            <w:r w:rsidRPr="005A071E">
              <w:rPr>
                <w:rStyle w:val="Hyperlink"/>
                <w:noProof/>
              </w:rPr>
              <w:t>Assembly Bill 50</w:t>
            </w:r>
            <w:r>
              <w:rPr>
                <w:noProof/>
                <w:webHidden/>
              </w:rPr>
              <w:tab/>
            </w:r>
            <w:r>
              <w:rPr>
                <w:noProof/>
                <w:webHidden/>
              </w:rPr>
              <w:fldChar w:fldCharType="begin"/>
            </w:r>
            <w:r>
              <w:rPr>
                <w:noProof/>
                <w:webHidden/>
              </w:rPr>
              <w:instrText xml:space="preserve"> PAGEREF _Toc177469340 \h </w:instrText>
            </w:r>
            <w:r>
              <w:rPr>
                <w:noProof/>
                <w:webHidden/>
              </w:rPr>
            </w:r>
            <w:r>
              <w:rPr>
                <w:noProof/>
                <w:webHidden/>
              </w:rPr>
              <w:fldChar w:fldCharType="separate"/>
            </w:r>
            <w:r>
              <w:rPr>
                <w:noProof/>
                <w:webHidden/>
              </w:rPr>
              <w:t>7</w:t>
            </w:r>
            <w:r>
              <w:rPr>
                <w:noProof/>
                <w:webHidden/>
              </w:rPr>
              <w:fldChar w:fldCharType="end"/>
            </w:r>
          </w:hyperlink>
        </w:p>
        <w:p w:rsidR="00FF3227" w:rsidRDefault="00FF3227" w14:paraId="00C4E1E4" w14:textId="3867B731">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77469341">
            <w:r w:rsidRPr="005A071E">
              <w:rPr>
                <w:rStyle w:val="Hyperlink"/>
                <w:noProof/>
              </w:rPr>
              <w:t>1.4</w:t>
            </w:r>
            <w:r>
              <w:rPr>
                <w:rFonts w:asciiTheme="minorHAnsi" w:hAnsiTheme="minorHAnsi" w:cstheme="minorBidi"/>
                <w:noProof/>
                <w:kern w:val="2"/>
                <w:sz w:val="24"/>
                <w:szCs w:val="24"/>
                <w14:ligatures w14:val="standardContextual"/>
              </w:rPr>
              <w:tab/>
            </w:r>
            <w:r w:rsidRPr="005A071E">
              <w:rPr>
                <w:rStyle w:val="Hyperlink"/>
                <w:noProof/>
              </w:rPr>
              <w:t>Procedural Background</w:t>
            </w:r>
            <w:r>
              <w:rPr>
                <w:noProof/>
                <w:webHidden/>
              </w:rPr>
              <w:tab/>
            </w:r>
            <w:r>
              <w:rPr>
                <w:noProof/>
                <w:webHidden/>
              </w:rPr>
              <w:fldChar w:fldCharType="begin"/>
            </w:r>
            <w:r>
              <w:rPr>
                <w:noProof/>
                <w:webHidden/>
              </w:rPr>
              <w:instrText xml:space="preserve"> PAGEREF _Toc177469341 \h </w:instrText>
            </w:r>
            <w:r>
              <w:rPr>
                <w:noProof/>
                <w:webHidden/>
              </w:rPr>
            </w:r>
            <w:r>
              <w:rPr>
                <w:noProof/>
                <w:webHidden/>
              </w:rPr>
              <w:fldChar w:fldCharType="separate"/>
            </w:r>
            <w:r>
              <w:rPr>
                <w:noProof/>
                <w:webHidden/>
              </w:rPr>
              <w:t>10</w:t>
            </w:r>
            <w:r>
              <w:rPr>
                <w:noProof/>
                <w:webHidden/>
              </w:rPr>
              <w:fldChar w:fldCharType="end"/>
            </w:r>
          </w:hyperlink>
        </w:p>
        <w:p w:rsidR="00FF3227" w:rsidRDefault="00FF3227" w14:paraId="1C1A98FC" w14:textId="5A679551">
          <w:pPr>
            <w:pStyle w:val="TOC1"/>
            <w:tabs>
              <w:tab w:val="right" w:leader="dot" w:pos="9350"/>
            </w:tabs>
            <w:rPr>
              <w:rFonts w:asciiTheme="minorHAnsi" w:hAnsiTheme="minorHAnsi" w:cstheme="minorBidi"/>
              <w:noProof/>
              <w:kern w:val="2"/>
              <w:sz w:val="24"/>
              <w:szCs w:val="24"/>
              <w14:ligatures w14:val="standardContextual"/>
            </w:rPr>
          </w:pPr>
          <w:hyperlink w:history="1" w:anchor="_Toc177469342">
            <w:r w:rsidRPr="005A071E">
              <w:rPr>
                <w:rStyle w:val="Hyperlink"/>
                <w:noProof/>
              </w:rPr>
              <w:t>2.</w:t>
            </w:r>
            <w:r>
              <w:rPr>
                <w:rFonts w:asciiTheme="minorHAnsi" w:hAnsiTheme="minorHAnsi" w:cstheme="minorBidi"/>
                <w:noProof/>
                <w:kern w:val="2"/>
                <w:sz w:val="24"/>
                <w:szCs w:val="24"/>
                <w14:ligatures w14:val="standardContextual"/>
              </w:rPr>
              <w:tab/>
            </w:r>
            <w:r w:rsidRPr="005A071E">
              <w:rPr>
                <w:rStyle w:val="Hyperlink"/>
                <w:noProof/>
              </w:rPr>
              <w:t>Submission Date</w:t>
            </w:r>
            <w:r>
              <w:rPr>
                <w:noProof/>
                <w:webHidden/>
              </w:rPr>
              <w:tab/>
            </w:r>
            <w:r>
              <w:rPr>
                <w:noProof/>
                <w:webHidden/>
              </w:rPr>
              <w:fldChar w:fldCharType="begin"/>
            </w:r>
            <w:r>
              <w:rPr>
                <w:noProof/>
                <w:webHidden/>
              </w:rPr>
              <w:instrText xml:space="preserve"> PAGEREF _Toc177469342 \h </w:instrText>
            </w:r>
            <w:r>
              <w:rPr>
                <w:noProof/>
                <w:webHidden/>
              </w:rPr>
            </w:r>
            <w:r>
              <w:rPr>
                <w:noProof/>
                <w:webHidden/>
              </w:rPr>
              <w:fldChar w:fldCharType="separate"/>
            </w:r>
            <w:r>
              <w:rPr>
                <w:noProof/>
                <w:webHidden/>
              </w:rPr>
              <w:t>13</w:t>
            </w:r>
            <w:r>
              <w:rPr>
                <w:noProof/>
                <w:webHidden/>
              </w:rPr>
              <w:fldChar w:fldCharType="end"/>
            </w:r>
          </w:hyperlink>
        </w:p>
        <w:p w:rsidR="00FF3227" w:rsidRDefault="00FF3227" w14:paraId="436BB505" w14:textId="79C77518">
          <w:pPr>
            <w:pStyle w:val="TOC1"/>
            <w:tabs>
              <w:tab w:val="right" w:leader="dot" w:pos="9350"/>
            </w:tabs>
            <w:rPr>
              <w:rFonts w:asciiTheme="minorHAnsi" w:hAnsiTheme="minorHAnsi" w:cstheme="minorBidi"/>
              <w:noProof/>
              <w:kern w:val="2"/>
              <w:sz w:val="24"/>
              <w:szCs w:val="24"/>
              <w14:ligatures w14:val="standardContextual"/>
            </w:rPr>
          </w:pPr>
          <w:hyperlink w:history="1" w:anchor="_Toc177469343">
            <w:r w:rsidRPr="005A071E">
              <w:rPr>
                <w:rStyle w:val="Hyperlink"/>
                <w:noProof/>
              </w:rPr>
              <w:t>3.</w:t>
            </w:r>
            <w:r>
              <w:rPr>
                <w:rFonts w:asciiTheme="minorHAnsi" w:hAnsiTheme="minorHAnsi" w:cstheme="minorBidi"/>
                <w:noProof/>
                <w:kern w:val="2"/>
                <w:sz w:val="24"/>
                <w:szCs w:val="24"/>
                <w14:ligatures w14:val="standardContextual"/>
              </w:rPr>
              <w:tab/>
            </w:r>
            <w:r w:rsidRPr="005A071E">
              <w:rPr>
                <w:rStyle w:val="Hyperlink"/>
                <w:noProof/>
              </w:rPr>
              <w:t>Jurisdiction</w:t>
            </w:r>
            <w:r>
              <w:rPr>
                <w:noProof/>
                <w:webHidden/>
              </w:rPr>
              <w:tab/>
            </w:r>
            <w:r>
              <w:rPr>
                <w:noProof/>
                <w:webHidden/>
              </w:rPr>
              <w:fldChar w:fldCharType="begin"/>
            </w:r>
            <w:r>
              <w:rPr>
                <w:noProof/>
                <w:webHidden/>
              </w:rPr>
              <w:instrText xml:space="preserve"> PAGEREF _Toc177469343 \h </w:instrText>
            </w:r>
            <w:r>
              <w:rPr>
                <w:noProof/>
                <w:webHidden/>
              </w:rPr>
            </w:r>
            <w:r>
              <w:rPr>
                <w:noProof/>
                <w:webHidden/>
              </w:rPr>
              <w:fldChar w:fldCharType="separate"/>
            </w:r>
            <w:r>
              <w:rPr>
                <w:noProof/>
                <w:webHidden/>
              </w:rPr>
              <w:t>13</w:t>
            </w:r>
            <w:r>
              <w:rPr>
                <w:noProof/>
                <w:webHidden/>
              </w:rPr>
              <w:fldChar w:fldCharType="end"/>
            </w:r>
          </w:hyperlink>
        </w:p>
        <w:p w:rsidR="00FF3227" w:rsidRDefault="00FF3227" w14:paraId="160C4C03" w14:textId="029BD238">
          <w:pPr>
            <w:pStyle w:val="TOC1"/>
            <w:tabs>
              <w:tab w:val="right" w:leader="dot" w:pos="9350"/>
            </w:tabs>
            <w:rPr>
              <w:rFonts w:asciiTheme="minorHAnsi" w:hAnsiTheme="minorHAnsi" w:cstheme="minorBidi"/>
              <w:noProof/>
              <w:kern w:val="2"/>
              <w:sz w:val="24"/>
              <w:szCs w:val="24"/>
              <w14:ligatures w14:val="standardContextual"/>
            </w:rPr>
          </w:pPr>
          <w:hyperlink w:history="1" w:anchor="_Toc177469344">
            <w:r w:rsidRPr="005A071E">
              <w:rPr>
                <w:rStyle w:val="Hyperlink"/>
                <w:noProof/>
              </w:rPr>
              <w:t>4.</w:t>
            </w:r>
            <w:r>
              <w:rPr>
                <w:rFonts w:asciiTheme="minorHAnsi" w:hAnsiTheme="minorHAnsi" w:cstheme="minorBidi"/>
                <w:noProof/>
                <w:kern w:val="2"/>
                <w:sz w:val="24"/>
                <w:szCs w:val="24"/>
                <w14:ligatures w14:val="standardContextual"/>
              </w:rPr>
              <w:tab/>
            </w:r>
            <w:r w:rsidRPr="005A071E">
              <w:rPr>
                <w:rStyle w:val="Hyperlink"/>
                <w:noProof/>
              </w:rPr>
              <w:t>Issues Before the Commission</w:t>
            </w:r>
            <w:r>
              <w:rPr>
                <w:noProof/>
                <w:webHidden/>
              </w:rPr>
              <w:tab/>
            </w:r>
            <w:r>
              <w:rPr>
                <w:noProof/>
                <w:webHidden/>
              </w:rPr>
              <w:fldChar w:fldCharType="begin"/>
            </w:r>
            <w:r>
              <w:rPr>
                <w:noProof/>
                <w:webHidden/>
              </w:rPr>
              <w:instrText xml:space="preserve"> PAGEREF _Toc177469344 \h </w:instrText>
            </w:r>
            <w:r>
              <w:rPr>
                <w:noProof/>
                <w:webHidden/>
              </w:rPr>
            </w:r>
            <w:r>
              <w:rPr>
                <w:noProof/>
                <w:webHidden/>
              </w:rPr>
              <w:fldChar w:fldCharType="separate"/>
            </w:r>
            <w:r>
              <w:rPr>
                <w:noProof/>
                <w:webHidden/>
              </w:rPr>
              <w:t>14</w:t>
            </w:r>
            <w:r>
              <w:rPr>
                <w:noProof/>
                <w:webHidden/>
              </w:rPr>
              <w:fldChar w:fldCharType="end"/>
            </w:r>
          </w:hyperlink>
        </w:p>
        <w:p w:rsidR="00FF3227" w:rsidRDefault="00FF3227" w14:paraId="70CCB9F2" w14:textId="1E095A07">
          <w:pPr>
            <w:pStyle w:val="TOC1"/>
            <w:tabs>
              <w:tab w:val="right" w:leader="dot" w:pos="9350"/>
            </w:tabs>
            <w:rPr>
              <w:rFonts w:asciiTheme="minorHAnsi" w:hAnsiTheme="minorHAnsi" w:cstheme="minorBidi"/>
              <w:noProof/>
              <w:kern w:val="2"/>
              <w:sz w:val="24"/>
              <w:szCs w:val="24"/>
              <w14:ligatures w14:val="standardContextual"/>
            </w:rPr>
          </w:pPr>
          <w:hyperlink w:history="1" w:anchor="_Toc177469345">
            <w:r w:rsidRPr="005A071E">
              <w:rPr>
                <w:rStyle w:val="Hyperlink"/>
                <w:noProof/>
              </w:rPr>
              <w:t>5.</w:t>
            </w:r>
            <w:r>
              <w:rPr>
                <w:rFonts w:asciiTheme="minorHAnsi" w:hAnsiTheme="minorHAnsi" w:cstheme="minorBidi"/>
                <w:noProof/>
                <w:kern w:val="2"/>
                <w:sz w:val="24"/>
                <w:szCs w:val="24"/>
                <w14:ligatures w14:val="standardContextual"/>
              </w:rPr>
              <w:tab/>
            </w:r>
            <w:r w:rsidRPr="005A071E">
              <w:rPr>
                <w:rStyle w:val="Hyperlink"/>
                <w:noProof/>
              </w:rPr>
              <w:t>Definitions of Technical Terms</w:t>
            </w:r>
            <w:r>
              <w:rPr>
                <w:noProof/>
                <w:webHidden/>
              </w:rPr>
              <w:tab/>
            </w:r>
            <w:r>
              <w:rPr>
                <w:noProof/>
                <w:webHidden/>
              </w:rPr>
              <w:fldChar w:fldCharType="begin"/>
            </w:r>
            <w:r>
              <w:rPr>
                <w:noProof/>
                <w:webHidden/>
              </w:rPr>
              <w:instrText xml:space="preserve"> PAGEREF _Toc177469345 \h </w:instrText>
            </w:r>
            <w:r>
              <w:rPr>
                <w:noProof/>
                <w:webHidden/>
              </w:rPr>
            </w:r>
            <w:r>
              <w:rPr>
                <w:noProof/>
                <w:webHidden/>
              </w:rPr>
              <w:fldChar w:fldCharType="separate"/>
            </w:r>
            <w:r>
              <w:rPr>
                <w:noProof/>
                <w:webHidden/>
              </w:rPr>
              <w:t>16</w:t>
            </w:r>
            <w:r>
              <w:rPr>
                <w:noProof/>
                <w:webHidden/>
              </w:rPr>
              <w:fldChar w:fldCharType="end"/>
            </w:r>
          </w:hyperlink>
        </w:p>
        <w:p w:rsidR="00FF3227" w:rsidRDefault="00FF3227" w14:paraId="79067538" w14:textId="52E4B951">
          <w:pPr>
            <w:pStyle w:val="TOC1"/>
            <w:tabs>
              <w:tab w:val="right" w:leader="dot" w:pos="9350"/>
            </w:tabs>
            <w:rPr>
              <w:rFonts w:asciiTheme="minorHAnsi" w:hAnsiTheme="minorHAnsi" w:cstheme="minorBidi"/>
              <w:noProof/>
              <w:kern w:val="2"/>
              <w:sz w:val="24"/>
              <w:szCs w:val="24"/>
              <w14:ligatures w14:val="standardContextual"/>
            </w:rPr>
          </w:pPr>
          <w:hyperlink w:history="1" w:anchor="_Toc177469346">
            <w:r w:rsidRPr="005A071E">
              <w:rPr>
                <w:rStyle w:val="Hyperlink"/>
                <w:noProof/>
              </w:rPr>
              <w:t>6.</w:t>
            </w:r>
            <w:r>
              <w:rPr>
                <w:rFonts w:asciiTheme="minorHAnsi" w:hAnsiTheme="minorHAnsi" w:cstheme="minorBidi"/>
                <w:noProof/>
                <w:kern w:val="2"/>
                <w:sz w:val="24"/>
                <w:szCs w:val="24"/>
                <w14:ligatures w14:val="standardContextual"/>
              </w:rPr>
              <w:tab/>
            </w:r>
            <w:r w:rsidRPr="005A071E">
              <w:rPr>
                <w:rStyle w:val="Hyperlink"/>
                <w:noProof/>
              </w:rPr>
              <w:t>Information Utilized for Analysis and Discussion</w:t>
            </w:r>
            <w:r>
              <w:rPr>
                <w:noProof/>
                <w:webHidden/>
              </w:rPr>
              <w:tab/>
            </w:r>
            <w:r>
              <w:rPr>
                <w:noProof/>
                <w:webHidden/>
              </w:rPr>
              <w:fldChar w:fldCharType="begin"/>
            </w:r>
            <w:r>
              <w:rPr>
                <w:noProof/>
                <w:webHidden/>
              </w:rPr>
              <w:instrText xml:space="preserve"> PAGEREF _Toc177469346 \h </w:instrText>
            </w:r>
            <w:r>
              <w:rPr>
                <w:noProof/>
                <w:webHidden/>
              </w:rPr>
            </w:r>
            <w:r>
              <w:rPr>
                <w:noProof/>
                <w:webHidden/>
              </w:rPr>
              <w:fldChar w:fldCharType="separate"/>
            </w:r>
            <w:r>
              <w:rPr>
                <w:noProof/>
                <w:webHidden/>
              </w:rPr>
              <w:t>19</w:t>
            </w:r>
            <w:r>
              <w:rPr>
                <w:noProof/>
                <w:webHidden/>
              </w:rPr>
              <w:fldChar w:fldCharType="end"/>
            </w:r>
          </w:hyperlink>
        </w:p>
        <w:p w:rsidR="00FF3227" w:rsidRDefault="00FF3227" w14:paraId="07CBCC60" w14:textId="2CEAE6CD">
          <w:pPr>
            <w:pStyle w:val="TOC1"/>
            <w:tabs>
              <w:tab w:val="right" w:leader="dot" w:pos="9350"/>
            </w:tabs>
            <w:rPr>
              <w:rFonts w:asciiTheme="minorHAnsi" w:hAnsiTheme="minorHAnsi" w:cstheme="minorBidi"/>
              <w:noProof/>
              <w:kern w:val="2"/>
              <w:sz w:val="24"/>
              <w:szCs w:val="24"/>
              <w14:ligatures w14:val="standardContextual"/>
            </w:rPr>
          </w:pPr>
          <w:hyperlink w:history="1" w:anchor="_Toc177469347">
            <w:r w:rsidRPr="005A071E">
              <w:rPr>
                <w:rStyle w:val="Hyperlink"/>
                <w:noProof/>
              </w:rPr>
              <w:t>7.</w:t>
            </w:r>
            <w:r>
              <w:rPr>
                <w:rFonts w:asciiTheme="minorHAnsi" w:hAnsiTheme="minorHAnsi" w:cstheme="minorBidi"/>
                <w:noProof/>
                <w:kern w:val="2"/>
                <w:sz w:val="24"/>
                <w:szCs w:val="24"/>
                <w14:ligatures w14:val="standardContextual"/>
              </w:rPr>
              <w:tab/>
            </w:r>
            <w:r w:rsidRPr="005A071E">
              <w:rPr>
                <w:rStyle w:val="Hyperlink"/>
                <w:noProof/>
              </w:rPr>
              <w:t>Energization Targets</w:t>
            </w:r>
            <w:r>
              <w:rPr>
                <w:noProof/>
                <w:webHidden/>
              </w:rPr>
              <w:tab/>
            </w:r>
            <w:r>
              <w:rPr>
                <w:noProof/>
                <w:webHidden/>
              </w:rPr>
              <w:fldChar w:fldCharType="begin"/>
            </w:r>
            <w:r>
              <w:rPr>
                <w:noProof/>
                <w:webHidden/>
              </w:rPr>
              <w:instrText xml:space="preserve"> PAGEREF _Toc177469347 \h </w:instrText>
            </w:r>
            <w:r>
              <w:rPr>
                <w:noProof/>
                <w:webHidden/>
              </w:rPr>
            </w:r>
            <w:r>
              <w:rPr>
                <w:noProof/>
                <w:webHidden/>
              </w:rPr>
              <w:fldChar w:fldCharType="separate"/>
            </w:r>
            <w:r>
              <w:rPr>
                <w:noProof/>
                <w:webHidden/>
              </w:rPr>
              <w:t>20</w:t>
            </w:r>
            <w:r>
              <w:rPr>
                <w:noProof/>
                <w:webHidden/>
              </w:rPr>
              <w:fldChar w:fldCharType="end"/>
            </w:r>
          </w:hyperlink>
        </w:p>
        <w:p w:rsidR="00FF3227" w:rsidRDefault="00FF3227" w14:paraId="306C2910" w14:textId="65537F47">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77469348">
            <w:r w:rsidRPr="005A071E">
              <w:rPr>
                <w:rStyle w:val="Hyperlink"/>
                <w:noProof/>
              </w:rPr>
              <w:t>7.1</w:t>
            </w:r>
            <w:r>
              <w:rPr>
                <w:rFonts w:asciiTheme="minorHAnsi" w:hAnsiTheme="minorHAnsi" w:cstheme="minorBidi"/>
                <w:noProof/>
                <w:kern w:val="2"/>
                <w:sz w:val="24"/>
                <w:szCs w:val="24"/>
                <w14:ligatures w14:val="standardContextual"/>
              </w:rPr>
              <w:tab/>
            </w:r>
            <w:r w:rsidRPr="005A071E">
              <w:rPr>
                <w:rStyle w:val="Hyperlink"/>
                <w:noProof/>
              </w:rPr>
              <w:t>Discussion Regarding Statewide versus IOU-specific Average and Maximum Energization Targets</w:t>
            </w:r>
            <w:r>
              <w:rPr>
                <w:noProof/>
                <w:webHidden/>
              </w:rPr>
              <w:tab/>
            </w:r>
            <w:r>
              <w:rPr>
                <w:noProof/>
                <w:webHidden/>
              </w:rPr>
              <w:fldChar w:fldCharType="begin"/>
            </w:r>
            <w:r>
              <w:rPr>
                <w:noProof/>
                <w:webHidden/>
              </w:rPr>
              <w:instrText xml:space="preserve"> PAGEREF _Toc177469348 \h </w:instrText>
            </w:r>
            <w:r>
              <w:rPr>
                <w:noProof/>
                <w:webHidden/>
              </w:rPr>
            </w:r>
            <w:r>
              <w:rPr>
                <w:noProof/>
                <w:webHidden/>
              </w:rPr>
              <w:fldChar w:fldCharType="separate"/>
            </w:r>
            <w:r>
              <w:rPr>
                <w:noProof/>
                <w:webHidden/>
              </w:rPr>
              <w:t>20</w:t>
            </w:r>
            <w:r>
              <w:rPr>
                <w:noProof/>
                <w:webHidden/>
              </w:rPr>
              <w:fldChar w:fldCharType="end"/>
            </w:r>
          </w:hyperlink>
        </w:p>
        <w:p w:rsidR="00FF3227" w:rsidRDefault="00FF3227" w14:paraId="40700867" w14:textId="13C2A316">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77469349">
            <w:r w:rsidRPr="005A071E">
              <w:rPr>
                <w:rStyle w:val="Hyperlink"/>
                <w:noProof/>
              </w:rPr>
              <w:t>7.2</w:t>
            </w:r>
            <w:r>
              <w:rPr>
                <w:rFonts w:asciiTheme="minorHAnsi" w:hAnsiTheme="minorHAnsi" w:cstheme="minorBidi"/>
                <w:noProof/>
                <w:kern w:val="2"/>
                <w:sz w:val="24"/>
                <w:szCs w:val="24"/>
                <w14:ligatures w14:val="standardContextual"/>
              </w:rPr>
              <w:tab/>
            </w:r>
            <w:r w:rsidRPr="005A071E">
              <w:rPr>
                <w:rStyle w:val="Hyperlink"/>
                <w:noProof/>
              </w:rPr>
              <w:t>Adopted Statewide Average and Maximum Energization Targets</w:t>
            </w:r>
            <w:r>
              <w:rPr>
                <w:noProof/>
                <w:webHidden/>
              </w:rPr>
              <w:tab/>
            </w:r>
            <w:r>
              <w:rPr>
                <w:noProof/>
                <w:webHidden/>
              </w:rPr>
              <w:fldChar w:fldCharType="begin"/>
            </w:r>
            <w:r>
              <w:rPr>
                <w:noProof/>
                <w:webHidden/>
              </w:rPr>
              <w:instrText xml:space="preserve"> PAGEREF _Toc177469349 \h </w:instrText>
            </w:r>
            <w:r>
              <w:rPr>
                <w:noProof/>
                <w:webHidden/>
              </w:rPr>
            </w:r>
            <w:r>
              <w:rPr>
                <w:noProof/>
                <w:webHidden/>
              </w:rPr>
              <w:fldChar w:fldCharType="separate"/>
            </w:r>
            <w:r>
              <w:rPr>
                <w:noProof/>
                <w:webHidden/>
              </w:rPr>
              <w:t>29</w:t>
            </w:r>
            <w:r>
              <w:rPr>
                <w:noProof/>
                <w:webHidden/>
              </w:rPr>
              <w:fldChar w:fldCharType="end"/>
            </w:r>
          </w:hyperlink>
        </w:p>
        <w:p w:rsidR="00FF3227" w:rsidRDefault="00FF3227" w14:paraId="24FF3D19" w14:textId="6FA5450A">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77469350">
            <w:r w:rsidRPr="005A071E">
              <w:rPr>
                <w:rStyle w:val="Hyperlink"/>
                <w:noProof/>
              </w:rPr>
              <w:t>7.3</w:t>
            </w:r>
            <w:r>
              <w:rPr>
                <w:rFonts w:asciiTheme="minorHAnsi" w:hAnsiTheme="minorHAnsi" w:cstheme="minorBidi"/>
                <w:noProof/>
                <w:kern w:val="2"/>
                <w:sz w:val="24"/>
                <w:szCs w:val="24"/>
                <w14:ligatures w14:val="standardContextual"/>
              </w:rPr>
              <w:tab/>
            </w:r>
            <w:r w:rsidRPr="005A071E">
              <w:rPr>
                <w:rStyle w:val="Hyperlink"/>
                <w:noProof/>
              </w:rPr>
              <w:t>Specific End-Use Customer or Industry Considerations</w:t>
            </w:r>
            <w:r>
              <w:rPr>
                <w:noProof/>
                <w:webHidden/>
              </w:rPr>
              <w:tab/>
            </w:r>
            <w:r>
              <w:rPr>
                <w:noProof/>
                <w:webHidden/>
              </w:rPr>
              <w:fldChar w:fldCharType="begin"/>
            </w:r>
            <w:r>
              <w:rPr>
                <w:noProof/>
                <w:webHidden/>
              </w:rPr>
              <w:instrText xml:space="preserve"> PAGEREF _Toc177469350 \h </w:instrText>
            </w:r>
            <w:r>
              <w:rPr>
                <w:noProof/>
                <w:webHidden/>
              </w:rPr>
            </w:r>
            <w:r>
              <w:rPr>
                <w:noProof/>
                <w:webHidden/>
              </w:rPr>
              <w:fldChar w:fldCharType="separate"/>
            </w:r>
            <w:r>
              <w:rPr>
                <w:noProof/>
                <w:webHidden/>
              </w:rPr>
              <w:t>34</w:t>
            </w:r>
            <w:r>
              <w:rPr>
                <w:noProof/>
                <w:webHidden/>
              </w:rPr>
              <w:fldChar w:fldCharType="end"/>
            </w:r>
          </w:hyperlink>
        </w:p>
        <w:p w:rsidR="00FF3227" w:rsidRDefault="00FF3227" w14:paraId="6ED7AE36" w14:textId="4B72997C">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77469351">
            <w:r w:rsidRPr="005A071E">
              <w:rPr>
                <w:rStyle w:val="Hyperlink"/>
                <w:noProof/>
              </w:rPr>
              <w:t>7.4</w:t>
            </w:r>
            <w:r>
              <w:rPr>
                <w:rFonts w:asciiTheme="minorHAnsi" w:hAnsiTheme="minorHAnsi" w:cstheme="minorBidi"/>
                <w:noProof/>
                <w:kern w:val="2"/>
                <w:sz w:val="24"/>
                <w:szCs w:val="24"/>
                <w14:ligatures w14:val="standardContextual"/>
              </w:rPr>
              <w:tab/>
            </w:r>
            <w:r w:rsidRPr="005A071E">
              <w:rPr>
                <w:rStyle w:val="Hyperlink"/>
                <w:noProof/>
              </w:rPr>
              <w:t>Average and Maximum Targets for Other Energization Requests</w:t>
            </w:r>
            <w:r>
              <w:rPr>
                <w:noProof/>
                <w:webHidden/>
              </w:rPr>
              <w:tab/>
            </w:r>
            <w:r>
              <w:rPr>
                <w:noProof/>
                <w:webHidden/>
              </w:rPr>
              <w:fldChar w:fldCharType="begin"/>
            </w:r>
            <w:r>
              <w:rPr>
                <w:noProof/>
                <w:webHidden/>
              </w:rPr>
              <w:instrText xml:space="preserve"> PAGEREF _Toc177469351 \h </w:instrText>
            </w:r>
            <w:r>
              <w:rPr>
                <w:noProof/>
                <w:webHidden/>
              </w:rPr>
            </w:r>
            <w:r>
              <w:rPr>
                <w:noProof/>
                <w:webHidden/>
              </w:rPr>
              <w:fldChar w:fldCharType="separate"/>
            </w:r>
            <w:r>
              <w:rPr>
                <w:noProof/>
                <w:webHidden/>
              </w:rPr>
              <w:t>37</w:t>
            </w:r>
            <w:r>
              <w:rPr>
                <w:noProof/>
                <w:webHidden/>
              </w:rPr>
              <w:fldChar w:fldCharType="end"/>
            </w:r>
          </w:hyperlink>
        </w:p>
        <w:p w:rsidR="00FF3227" w:rsidRDefault="00FF3227" w14:paraId="63434E6B" w14:textId="20CC6DA9">
          <w:pPr>
            <w:pStyle w:val="TOC1"/>
            <w:tabs>
              <w:tab w:val="right" w:leader="dot" w:pos="9350"/>
            </w:tabs>
            <w:rPr>
              <w:rFonts w:asciiTheme="minorHAnsi" w:hAnsiTheme="minorHAnsi" w:cstheme="minorBidi"/>
              <w:noProof/>
              <w:kern w:val="2"/>
              <w:sz w:val="24"/>
              <w:szCs w:val="24"/>
              <w14:ligatures w14:val="standardContextual"/>
            </w:rPr>
          </w:pPr>
          <w:hyperlink w:history="1" w:anchor="_Toc177469352">
            <w:r w:rsidRPr="005A071E">
              <w:rPr>
                <w:rStyle w:val="Hyperlink"/>
                <w:noProof/>
              </w:rPr>
              <w:t>8.</w:t>
            </w:r>
            <w:r>
              <w:rPr>
                <w:rFonts w:asciiTheme="minorHAnsi" w:hAnsiTheme="minorHAnsi" w:cstheme="minorBidi"/>
                <w:noProof/>
                <w:kern w:val="2"/>
                <w:sz w:val="24"/>
                <w:szCs w:val="24"/>
                <w14:ligatures w14:val="standardContextual"/>
              </w:rPr>
              <w:tab/>
            </w:r>
            <w:r w:rsidRPr="005A071E">
              <w:rPr>
                <w:rStyle w:val="Hyperlink"/>
                <w:noProof/>
              </w:rPr>
              <w:t>Statewide Maximum Timelines for Upstream Capacity Upgrades</w:t>
            </w:r>
            <w:r>
              <w:rPr>
                <w:noProof/>
                <w:webHidden/>
              </w:rPr>
              <w:tab/>
            </w:r>
            <w:r>
              <w:rPr>
                <w:noProof/>
                <w:webHidden/>
              </w:rPr>
              <w:fldChar w:fldCharType="begin"/>
            </w:r>
            <w:r>
              <w:rPr>
                <w:noProof/>
                <w:webHidden/>
              </w:rPr>
              <w:instrText xml:space="preserve"> PAGEREF _Toc177469352 \h </w:instrText>
            </w:r>
            <w:r>
              <w:rPr>
                <w:noProof/>
                <w:webHidden/>
              </w:rPr>
            </w:r>
            <w:r>
              <w:rPr>
                <w:noProof/>
                <w:webHidden/>
              </w:rPr>
              <w:fldChar w:fldCharType="separate"/>
            </w:r>
            <w:r>
              <w:rPr>
                <w:noProof/>
                <w:webHidden/>
              </w:rPr>
              <w:t>39</w:t>
            </w:r>
            <w:r>
              <w:rPr>
                <w:noProof/>
                <w:webHidden/>
              </w:rPr>
              <w:fldChar w:fldCharType="end"/>
            </w:r>
          </w:hyperlink>
        </w:p>
        <w:p w:rsidR="00FF3227" w:rsidRDefault="00FF3227" w14:paraId="28244201" w14:textId="5C961FBF">
          <w:pPr>
            <w:pStyle w:val="TOC1"/>
            <w:tabs>
              <w:tab w:val="right" w:leader="dot" w:pos="9350"/>
            </w:tabs>
            <w:rPr>
              <w:rFonts w:asciiTheme="minorHAnsi" w:hAnsiTheme="minorHAnsi" w:cstheme="minorBidi"/>
              <w:noProof/>
              <w:kern w:val="2"/>
              <w:sz w:val="24"/>
              <w:szCs w:val="24"/>
              <w14:ligatures w14:val="standardContextual"/>
            </w:rPr>
          </w:pPr>
          <w:hyperlink w:history="1" w:anchor="_Toc177469353">
            <w:r w:rsidRPr="005A071E">
              <w:rPr>
                <w:rStyle w:val="Hyperlink"/>
                <w:noProof/>
              </w:rPr>
              <w:t>9.</w:t>
            </w:r>
            <w:r>
              <w:rPr>
                <w:rFonts w:asciiTheme="minorHAnsi" w:hAnsiTheme="minorHAnsi" w:cstheme="minorBidi"/>
                <w:noProof/>
                <w:kern w:val="2"/>
                <w:sz w:val="24"/>
                <w:szCs w:val="24"/>
                <w14:ligatures w14:val="standardContextual"/>
              </w:rPr>
              <w:tab/>
            </w:r>
            <w:r w:rsidRPr="005A071E">
              <w:rPr>
                <w:rStyle w:val="Hyperlink"/>
                <w:noProof/>
              </w:rPr>
              <w:t>Environmental and Social Justice (ESJ) Community Impacts</w:t>
            </w:r>
            <w:r>
              <w:rPr>
                <w:noProof/>
                <w:webHidden/>
              </w:rPr>
              <w:tab/>
            </w:r>
            <w:r>
              <w:rPr>
                <w:noProof/>
                <w:webHidden/>
              </w:rPr>
              <w:fldChar w:fldCharType="begin"/>
            </w:r>
            <w:r>
              <w:rPr>
                <w:noProof/>
                <w:webHidden/>
              </w:rPr>
              <w:instrText xml:space="preserve"> PAGEREF _Toc177469353 \h </w:instrText>
            </w:r>
            <w:r>
              <w:rPr>
                <w:noProof/>
                <w:webHidden/>
              </w:rPr>
            </w:r>
            <w:r>
              <w:rPr>
                <w:noProof/>
                <w:webHidden/>
              </w:rPr>
              <w:fldChar w:fldCharType="separate"/>
            </w:r>
            <w:r>
              <w:rPr>
                <w:noProof/>
                <w:webHidden/>
              </w:rPr>
              <w:t>50</w:t>
            </w:r>
            <w:r>
              <w:rPr>
                <w:noProof/>
                <w:webHidden/>
              </w:rPr>
              <w:fldChar w:fldCharType="end"/>
            </w:r>
          </w:hyperlink>
        </w:p>
        <w:p w:rsidR="00FF3227" w:rsidRDefault="00FF3227" w14:paraId="1204DFC1" w14:textId="5CDDFC31">
          <w:pPr>
            <w:pStyle w:val="TOC1"/>
            <w:tabs>
              <w:tab w:val="right" w:leader="dot" w:pos="9350"/>
            </w:tabs>
            <w:rPr>
              <w:rFonts w:asciiTheme="minorHAnsi" w:hAnsiTheme="minorHAnsi" w:cstheme="minorBidi"/>
              <w:noProof/>
              <w:kern w:val="2"/>
              <w:sz w:val="24"/>
              <w:szCs w:val="24"/>
              <w14:ligatures w14:val="standardContextual"/>
            </w:rPr>
          </w:pPr>
          <w:hyperlink w:history="1" w:anchor="_Toc177469354">
            <w:r w:rsidRPr="005A071E">
              <w:rPr>
                <w:rStyle w:val="Hyperlink"/>
                <w:noProof/>
              </w:rPr>
              <w:t>10.</w:t>
            </w:r>
            <w:r>
              <w:rPr>
                <w:rFonts w:asciiTheme="minorHAnsi" w:hAnsiTheme="minorHAnsi" w:cstheme="minorBidi"/>
                <w:noProof/>
                <w:kern w:val="2"/>
                <w:sz w:val="24"/>
                <w:szCs w:val="24"/>
                <w14:ligatures w14:val="standardContextual"/>
              </w:rPr>
              <w:tab/>
            </w:r>
            <w:r w:rsidRPr="005A071E">
              <w:rPr>
                <w:rStyle w:val="Hyperlink"/>
                <w:noProof/>
              </w:rPr>
              <w:t>Biannual Energization Reporting Requirements</w:t>
            </w:r>
            <w:r>
              <w:rPr>
                <w:noProof/>
                <w:webHidden/>
              </w:rPr>
              <w:tab/>
            </w:r>
            <w:r>
              <w:rPr>
                <w:noProof/>
                <w:webHidden/>
              </w:rPr>
              <w:fldChar w:fldCharType="begin"/>
            </w:r>
            <w:r>
              <w:rPr>
                <w:noProof/>
                <w:webHidden/>
              </w:rPr>
              <w:instrText xml:space="preserve"> PAGEREF _Toc177469354 \h </w:instrText>
            </w:r>
            <w:r>
              <w:rPr>
                <w:noProof/>
                <w:webHidden/>
              </w:rPr>
            </w:r>
            <w:r>
              <w:rPr>
                <w:noProof/>
                <w:webHidden/>
              </w:rPr>
              <w:fldChar w:fldCharType="separate"/>
            </w:r>
            <w:r>
              <w:rPr>
                <w:noProof/>
                <w:webHidden/>
              </w:rPr>
              <w:t>53</w:t>
            </w:r>
            <w:r>
              <w:rPr>
                <w:noProof/>
                <w:webHidden/>
              </w:rPr>
              <w:fldChar w:fldCharType="end"/>
            </w:r>
          </w:hyperlink>
        </w:p>
        <w:p w:rsidR="00FF3227" w:rsidRDefault="00FF3227" w14:paraId="6008BC36" w14:textId="46D95483">
          <w:pPr>
            <w:pStyle w:val="TOC1"/>
            <w:tabs>
              <w:tab w:val="right" w:leader="dot" w:pos="9350"/>
            </w:tabs>
            <w:rPr>
              <w:rFonts w:asciiTheme="minorHAnsi" w:hAnsiTheme="minorHAnsi" w:cstheme="minorBidi"/>
              <w:noProof/>
              <w:kern w:val="2"/>
              <w:sz w:val="24"/>
              <w:szCs w:val="24"/>
              <w14:ligatures w14:val="standardContextual"/>
            </w:rPr>
          </w:pPr>
          <w:hyperlink w:history="1" w:anchor="_Toc177469355">
            <w:r w:rsidRPr="005A071E">
              <w:rPr>
                <w:rStyle w:val="Hyperlink"/>
                <w:noProof/>
              </w:rPr>
              <w:t>11.</w:t>
            </w:r>
            <w:r>
              <w:rPr>
                <w:rFonts w:asciiTheme="minorHAnsi" w:hAnsiTheme="minorHAnsi" w:cstheme="minorBidi"/>
                <w:noProof/>
                <w:kern w:val="2"/>
                <w:sz w:val="24"/>
                <w:szCs w:val="24"/>
                <w14:ligatures w14:val="standardContextual"/>
              </w:rPr>
              <w:tab/>
            </w:r>
            <w:r w:rsidRPr="005A071E">
              <w:rPr>
                <w:rStyle w:val="Hyperlink"/>
                <w:noProof/>
              </w:rPr>
              <w:t>Customer Reporting Procedures for Delays in Providing New or Upgraded Electric Service Requests</w:t>
            </w:r>
            <w:r>
              <w:rPr>
                <w:noProof/>
                <w:webHidden/>
              </w:rPr>
              <w:tab/>
            </w:r>
            <w:r>
              <w:rPr>
                <w:noProof/>
                <w:webHidden/>
              </w:rPr>
              <w:fldChar w:fldCharType="begin"/>
            </w:r>
            <w:r>
              <w:rPr>
                <w:noProof/>
                <w:webHidden/>
              </w:rPr>
              <w:instrText xml:space="preserve"> PAGEREF _Toc177469355 \h </w:instrText>
            </w:r>
            <w:r>
              <w:rPr>
                <w:noProof/>
                <w:webHidden/>
              </w:rPr>
            </w:r>
            <w:r>
              <w:rPr>
                <w:noProof/>
                <w:webHidden/>
              </w:rPr>
              <w:fldChar w:fldCharType="separate"/>
            </w:r>
            <w:r>
              <w:rPr>
                <w:noProof/>
                <w:webHidden/>
              </w:rPr>
              <w:t>62</w:t>
            </w:r>
            <w:r>
              <w:rPr>
                <w:noProof/>
                <w:webHidden/>
              </w:rPr>
              <w:fldChar w:fldCharType="end"/>
            </w:r>
          </w:hyperlink>
        </w:p>
        <w:p w:rsidR="00FF3227" w:rsidRDefault="00FF3227" w14:paraId="4A29604C" w14:textId="4A01E07F">
          <w:pPr>
            <w:pStyle w:val="TOC1"/>
            <w:tabs>
              <w:tab w:val="right" w:leader="dot" w:pos="9350"/>
            </w:tabs>
            <w:rPr>
              <w:rFonts w:asciiTheme="minorHAnsi" w:hAnsiTheme="minorHAnsi" w:cstheme="minorBidi"/>
              <w:noProof/>
              <w:kern w:val="2"/>
              <w:sz w:val="24"/>
              <w:szCs w:val="24"/>
              <w14:ligatures w14:val="standardContextual"/>
            </w:rPr>
          </w:pPr>
          <w:hyperlink w:history="1" w:anchor="_Toc177469356">
            <w:r w:rsidRPr="005A071E">
              <w:rPr>
                <w:rStyle w:val="Hyperlink"/>
                <w:noProof/>
              </w:rPr>
              <w:t>12.</w:t>
            </w:r>
            <w:r>
              <w:rPr>
                <w:rFonts w:asciiTheme="minorHAnsi" w:hAnsiTheme="minorHAnsi" w:cstheme="minorBidi"/>
                <w:noProof/>
                <w:kern w:val="2"/>
                <w:sz w:val="24"/>
                <w:szCs w:val="24"/>
                <w14:ligatures w14:val="standardContextual"/>
              </w:rPr>
              <w:tab/>
            </w:r>
            <w:r w:rsidRPr="005A071E">
              <w:rPr>
                <w:rStyle w:val="Hyperlink"/>
                <w:noProof/>
              </w:rPr>
              <w:t>Improved Customer Outreach</w:t>
            </w:r>
            <w:r>
              <w:rPr>
                <w:noProof/>
                <w:webHidden/>
              </w:rPr>
              <w:tab/>
            </w:r>
            <w:r>
              <w:rPr>
                <w:noProof/>
                <w:webHidden/>
              </w:rPr>
              <w:fldChar w:fldCharType="begin"/>
            </w:r>
            <w:r>
              <w:rPr>
                <w:noProof/>
                <w:webHidden/>
              </w:rPr>
              <w:instrText xml:space="preserve"> PAGEREF _Toc177469356 \h </w:instrText>
            </w:r>
            <w:r>
              <w:rPr>
                <w:noProof/>
                <w:webHidden/>
              </w:rPr>
            </w:r>
            <w:r>
              <w:rPr>
                <w:noProof/>
                <w:webHidden/>
              </w:rPr>
              <w:fldChar w:fldCharType="separate"/>
            </w:r>
            <w:r>
              <w:rPr>
                <w:noProof/>
                <w:webHidden/>
              </w:rPr>
              <w:t>64</w:t>
            </w:r>
            <w:r>
              <w:rPr>
                <w:noProof/>
                <w:webHidden/>
              </w:rPr>
              <w:fldChar w:fldCharType="end"/>
            </w:r>
          </w:hyperlink>
        </w:p>
        <w:p w:rsidR="00FF3227" w:rsidRDefault="00FF3227" w14:paraId="3060270A" w14:textId="04D5D85F">
          <w:pPr>
            <w:pStyle w:val="TOC1"/>
            <w:tabs>
              <w:tab w:val="right" w:leader="dot" w:pos="9350"/>
            </w:tabs>
            <w:rPr>
              <w:rFonts w:asciiTheme="minorHAnsi" w:hAnsiTheme="minorHAnsi" w:cstheme="minorBidi"/>
              <w:noProof/>
              <w:kern w:val="2"/>
              <w:sz w:val="24"/>
              <w:szCs w:val="24"/>
              <w14:ligatures w14:val="standardContextual"/>
            </w:rPr>
          </w:pPr>
          <w:hyperlink w:history="1" w:anchor="_Toc177469357">
            <w:r w:rsidRPr="005A071E">
              <w:rPr>
                <w:rStyle w:val="Hyperlink"/>
                <w:noProof/>
              </w:rPr>
              <w:t>13.</w:t>
            </w:r>
            <w:r>
              <w:rPr>
                <w:rFonts w:asciiTheme="minorHAnsi" w:hAnsiTheme="minorHAnsi" w:cstheme="minorBidi"/>
                <w:noProof/>
                <w:kern w:val="2"/>
                <w:sz w:val="24"/>
                <w:szCs w:val="24"/>
                <w14:ligatures w14:val="standardContextual"/>
              </w:rPr>
              <w:tab/>
            </w:r>
            <w:r w:rsidRPr="005A071E">
              <w:rPr>
                <w:rStyle w:val="Hyperlink"/>
                <w:noProof/>
              </w:rPr>
              <w:t>Timing of Compliance with Energization Targets</w:t>
            </w:r>
            <w:r>
              <w:rPr>
                <w:noProof/>
                <w:webHidden/>
              </w:rPr>
              <w:tab/>
            </w:r>
            <w:r>
              <w:rPr>
                <w:noProof/>
                <w:webHidden/>
              </w:rPr>
              <w:fldChar w:fldCharType="begin"/>
            </w:r>
            <w:r>
              <w:rPr>
                <w:noProof/>
                <w:webHidden/>
              </w:rPr>
              <w:instrText xml:space="preserve"> PAGEREF _Toc177469357 \h </w:instrText>
            </w:r>
            <w:r>
              <w:rPr>
                <w:noProof/>
                <w:webHidden/>
              </w:rPr>
            </w:r>
            <w:r>
              <w:rPr>
                <w:noProof/>
                <w:webHidden/>
              </w:rPr>
              <w:fldChar w:fldCharType="separate"/>
            </w:r>
            <w:r>
              <w:rPr>
                <w:noProof/>
                <w:webHidden/>
              </w:rPr>
              <w:t>73</w:t>
            </w:r>
            <w:r>
              <w:rPr>
                <w:noProof/>
                <w:webHidden/>
              </w:rPr>
              <w:fldChar w:fldCharType="end"/>
            </w:r>
          </w:hyperlink>
        </w:p>
        <w:p w:rsidR="00FF3227" w:rsidRDefault="00FF3227" w14:paraId="73C685E5" w14:textId="131A7B7F">
          <w:pPr>
            <w:pStyle w:val="TOC1"/>
            <w:tabs>
              <w:tab w:val="right" w:leader="dot" w:pos="9350"/>
            </w:tabs>
            <w:rPr>
              <w:rFonts w:asciiTheme="minorHAnsi" w:hAnsiTheme="minorHAnsi" w:cstheme="minorBidi"/>
              <w:noProof/>
              <w:kern w:val="2"/>
              <w:sz w:val="24"/>
              <w:szCs w:val="24"/>
              <w14:ligatures w14:val="standardContextual"/>
            </w:rPr>
          </w:pPr>
          <w:hyperlink w:history="1" w:anchor="_Toc177469358">
            <w:r w:rsidRPr="005A071E">
              <w:rPr>
                <w:rStyle w:val="Hyperlink"/>
                <w:noProof/>
              </w:rPr>
              <w:t>14.</w:t>
            </w:r>
            <w:r>
              <w:rPr>
                <w:rFonts w:asciiTheme="minorHAnsi" w:hAnsiTheme="minorHAnsi" w:cstheme="minorBidi"/>
                <w:noProof/>
                <w:kern w:val="2"/>
                <w:sz w:val="24"/>
                <w:szCs w:val="24"/>
                <w14:ligatures w14:val="standardContextual"/>
              </w:rPr>
              <w:tab/>
            </w:r>
            <w:r w:rsidRPr="005A071E">
              <w:rPr>
                <w:rStyle w:val="Hyperlink"/>
                <w:noProof/>
              </w:rPr>
              <w:t>Enforcement of Energization Targets</w:t>
            </w:r>
            <w:r>
              <w:rPr>
                <w:noProof/>
                <w:webHidden/>
              </w:rPr>
              <w:tab/>
            </w:r>
            <w:r>
              <w:rPr>
                <w:noProof/>
                <w:webHidden/>
              </w:rPr>
              <w:fldChar w:fldCharType="begin"/>
            </w:r>
            <w:r>
              <w:rPr>
                <w:noProof/>
                <w:webHidden/>
              </w:rPr>
              <w:instrText xml:space="preserve"> PAGEREF _Toc177469358 \h </w:instrText>
            </w:r>
            <w:r>
              <w:rPr>
                <w:noProof/>
                <w:webHidden/>
              </w:rPr>
            </w:r>
            <w:r>
              <w:rPr>
                <w:noProof/>
                <w:webHidden/>
              </w:rPr>
              <w:fldChar w:fldCharType="separate"/>
            </w:r>
            <w:r>
              <w:rPr>
                <w:noProof/>
                <w:webHidden/>
              </w:rPr>
              <w:t>76</w:t>
            </w:r>
            <w:r>
              <w:rPr>
                <w:noProof/>
                <w:webHidden/>
              </w:rPr>
              <w:fldChar w:fldCharType="end"/>
            </w:r>
          </w:hyperlink>
        </w:p>
        <w:p w:rsidR="00FF3227" w:rsidRDefault="00FF3227" w14:paraId="220B852D" w14:textId="24D2C603">
          <w:pPr>
            <w:pStyle w:val="TOC1"/>
            <w:tabs>
              <w:tab w:val="right" w:leader="dot" w:pos="9350"/>
            </w:tabs>
            <w:rPr>
              <w:rFonts w:asciiTheme="minorHAnsi" w:hAnsiTheme="minorHAnsi" w:cstheme="minorBidi"/>
              <w:noProof/>
              <w:kern w:val="2"/>
              <w:sz w:val="24"/>
              <w:szCs w:val="24"/>
              <w14:ligatures w14:val="standardContextual"/>
            </w:rPr>
          </w:pPr>
          <w:hyperlink w:history="1" w:anchor="_Toc177469359">
            <w:r w:rsidRPr="005A071E">
              <w:rPr>
                <w:rStyle w:val="Hyperlink"/>
                <w:noProof/>
              </w:rPr>
              <w:t>15.</w:t>
            </w:r>
            <w:r>
              <w:rPr>
                <w:rFonts w:asciiTheme="minorHAnsi" w:hAnsiTheme="minorHAnsi" w:cstheme="minorBidi"/>
                <w:noProof/>
                <w:kern w:val="2"/>
                <w:sz w:val="24"/>
                <w:szCs w:val="24"/>
                <w14:ligatures w14:val="standardContextual"/>
              </w:rPr>
              <w:tab/>
            </w:r>
            <w:r w:rsidRPr="005A071E">
              <w:rPr>
                <w:rStyle w:val="Hyperlink"/>
                <w:noProof/>
              </w:rPr>
              <w:t>Small/Multijurisdictional Utilities</w:t>
            </w:r>
            <w:r>
              <w:rPr>
                <w:noProof/>
                <w:webHidden/>
              </w:rPr>
              <w:tab/>
            </w:r>
            <w:r>
              <w:rPr>
                <w:noProof/>
                <w:webHidden/>
              </w:rPr>
              <w:fldChar w:fldCharType="begin"/>
            </w:r>
            <w:r>
              <w:rPr>
                <w:noProof/>
                <w:webHidden/>
              </w:rPr>
              <w:instrText xml:space="preserve"> PAGEREF _Toc177469359 \h </w:instrText>
            </w:r>
            <w:r>
              <w:rPr>
                <w:noProof/>
                <w:webHidden/>
              </w:rPr>
            </w:r>
            <w:r>
              <w:rPr>
                <w:noProof/>
                <w:webHidden/>
              </w:rPr>
              <w:fldChar w:fldCharType="separate"/>
            </w:r>
            <w:r>
              <w:rPr>
                <w:noProof/>
                <w:webHidden/>
              </w:rPr>
              <w:t>79</w:t>
            </w:r>
            <w:r>
              <w:rPr>
                <w:noProof/>
                <w:webHidden/>
              </w:rPr>
              <w:fldChar w:fldCharType="end"/>
            </w:r>
          </w:hyperlink>
        </w:p>
        <w:p w:rsidR="00FF3227" w:rsidRDefault="00FF3227" w14:paraId="2F00C0E0" w14:textId="4C961A64">
          <w:pPr>
            <w:pStyle w:val="TOC1"/>
            <w:tabs>
              <w:tab w:val="right" w:leader="dot" w:pos="9350"/>
            </w:tabs>
            <w:rPr>
              <w:rFonts w:asciiTheme="minorHAnsi" w:hAnsiTheme="minorHAnsi" w:cstheme="minorBidi"/>
              <w:noProof/>
              <w:kern w:val="2"/>
              <w:sz w:val="24"/>
              <w:szCs w:val="24"/>
              <w14:ligatures w14:val="standardContextual"/>
            </w:rPr>
          </w:pPr>
          <w:hyperlink w:history="1" w:anchor="_Toc177469360">
            <w:r w:rsidRPr="005A071E">
              <w:rPr>
                <w:rStyle w:val="Hyperlink"/>
                <w:noProof/>
              </w:rPr>
              <w:t>16.</w:t>
            </w:r>
            <w:r>
              <w:rPr>
                <w:rFonts w:asciiTheme="minorHAnsi" w:hAnsiTheme="minorHAnsi" w:cstheme="minorBidi"/>
                <w:noProof/>
                <w:kern w:val="2"/>
                <w:sz w:val="24"/>
                <w:szCs w:val="24"/>
                <w14:ligatures w14:val="standardContextual"/>
              </w:rPr>
              <w:tab/>
            </w:r>
            <w:r w:rsidRPr="005A071E">
              <w:rPr>
                <w:rStyle w:val="Hyperlink"/>
                <w:noProof/>
              </w:rPr>
              <w:t>Summary of Public Comment</w:t>
            </w:r>
            <w:r>
              <w:rPr>
                <w:noProof/>
                <w:webHidden/>
              </w:rPr>
              <w:tab/>
            </w:r>
            <w:r>
              <w:rPr>
                <w:noProof/>
                <w:webHidden/>
              </w:rPr>
              <w:fldChar w:fldCharType="begin"/>
            </w:r>
            <w:r>
              <w:rPr>
                <w:noProof/>
                <w:webHidden/>
              </w:rPr>
              <w:instrText xml:space="preserve"> PAGEREF _Toc177469360 \h </w:instrText>
            </w:r>
            <w:r>
              <w:rPr>
                <w:noProof/>
                <w:webHidden/>
              </w:rPr>
            </w:r>
            <w:r>
              <w:rPr>
                <w:noProof/>
                <w:webHidden/>
              </w:rPr>
              <w:fldChar w:fldCharType="separate"/>
            </w:r>
            <w:r>
              <w:rPr>
                <w:noProof/>
                <w:webHidden/>
              </w:rPr>
              <w:t>80</w:t>
            </w:r>
            <w:r>
              <w:rPr>
                <w:noProof/>
                <w:webHidden/>
              </w:rPr>
              <w:fldChar w:fldCharType="end"/>
            </w:r>
          </w:hyperlink>
        </w:p>
        <w:p w:rsidR="00FF3227" w:rsidRDefault="00FF3227" w14:paraId="4AF42DB0" w14:textId="36DD45E1">
          <w:pPr>
            <w:pStyle w:val="TOC1"/>
            <w:tabs>
              <w:tab w:val="right" w:leader="dot" w:pos="9350"/>
            </w:tabs>
            <w:rPr>
              <w:rFonts w:asciiTheme="minorHAnsi" w:hAnsiTheme="minorHAnsi" w:cstheme="minorBidi"/>
              <w:noProof/>
              <w:kern w:val="2"/>
              <w:sz w:val="24"/>
              <w:szCs w:val="24"/>
              <w14:ligatures w14:val="standardContextual"/>
            </w:rPr>
          </w:pPr>
          <w:hyperlink w:history="1" w:anchor="_Toc177469361">
            <w:r w:rsidRPr="005A071E">
              <w:rPr>
                <w:rStyle w:val="Hyperlink"/>
                <w:noProof/>
              </w:rPr>
              <w:t>17.</w:t>
            </w:r>
            <w:r>
              <w:rPr>
                <w:rFonts w:asciiTheme="minorHAnsi" w:hAnsiTheme="minorHAnsi" w:cstheme="minorBidi"/>
                <w:noProof/>
                <w:kern w:val="2"/>
                <w:sz w:val="24"/>
                <w:szCs w:val="24"/>
                <w14:ligatures w14:val="standardContextual"/>
              </w:rPr>
              <w:tab/>
            </w:r>
            <w:r w:rsidRPr="005A071E">
              <w:rPr>
                <w:rStyle w:val="Hyperlink"/>
                <w:noProof/>
              </w:rPr>
              <w:t>Conclusion</w:t>
            </w:r>
            <w:r>
              <w:rPr>
                <w:noProof/>
                <w:webHidden/>
              </w:rPr>
              <w:tab/>
            </w:r>
            <w:r>
              <w:rPr>
                <w:noProof/>
                <w:webHidden/>
              </w:rPr>
              <w:fldChar w:fldCharType="begin"/>
            </w:r>
            <w:r>
              <w:rPr>
                <w:noProof/>
                <w:webHidden/>
              </w:rPr>
              <w:instrText xml:space="preserve"> PAGEREF _Toc177469361 \h </w:instrText>
            </w:r>
            <w:r>
              <w:rPr>
                <w:noProof/>
                <w:webHidden/>
              </w:rPr>
            </w:r>
            <w:r>
              <w:rPr>
                <w:noProof/>
                <w:webHidden/>
              </w:rPr>
              <w:fldChar w:fldCharType="separate"/>
            </w:r>
            <w:r>
              <w:rPr>
                <w:noProof/>
                <w:webHidden/>
              </w:rPr>
              <w:t>81</w:t>
            </w:r>
            <w:r>
              <w:rPr>
                <w:noProof/>
                <w:webHidden/>
              </w:rPr>
              <w:fldChar w:fldCharType="end"/>
            </w:r>
          </w:hyperlink>
        </w:p>
        <w:p w:rsidR="00FF3227" w:rsidRDefault="00FF3227" w14:paraId="14898A63" w14:textId="1CE95B33">
          <w:pPr>
            <w:pStyle w:val="TOC1"/>
            <w:tabs>
              <w:tab w:val="right" w:leader="dot" w:pos="9350"/>
            </w:tabs>
            <w:rPr>
              <w:rFonts w:asciiTheme="minorHAnsi" w:hAnsiTheme="minorHAnsi" w:cstheme="minorBidi"/>
              <w:noProof/>
              <w:kern w:val="2"/>
              <w:sz w:val="24"/>
              <w:szCs w:val="24"/>
              <w14:ligatures w14:val="standardContextual"/>
            </w:rPr>
          </w:pPr>
          <w:hyperlink w:history="1" w:anchor="_Toc177469362">
            <w:r w:rsidRPr="005A071E">
              <w:rPr>
                <w:rStyle w:val="Hyperlink"/>
                <w:noProof/>
              </w:rPr>
              <w:t>18.</w:t>
            </w:r>
            <w:r>
              <w:rPr>
                <w:rFonts w:asciiTheme="minorHAnsi" w:hAnsiTheme="minorHAnsi" w:cstheme="minorBidi"/>
                <w:noProof/>
                <w:kern w:val="2"/>
                <w:sz w:val="24"/>
                <w:szCs w:val="24"/>
                <w14:ligatures w14:val="standardContextual"/>
              </w:rPr>
              <w:tab/>
            </w:r>
            <w:r w:rsidRPr="005A071E">
              <w:rPr>
                <w:rStyle w:val="Hyperlink"/>
                <w:noProof/>
              </w:rPr>
              <w:t>Procedural Matters</w:t>
            </w:r>
            <w:r>
              <w:rPr>
                <w:noProof/>
                <w:webHidden/>
              </w:rPr>
              <w:tab/>
            </w:r>
            <w:r>
              <w:rPr>
                <w:noProof/>
                <w:webHidden/>
              </w:rPr>
              <w:fldChar w:fldCharType="begin"/>
            </w:r>
            <w:r>
              <w:rPr>
                <w:noProof/>
                <w:webHidden/>
              </w:rPr>
              <w:instrText xml:space="preserve"> PAGEREF _Toc177469362 \h </w:instrText>
            </w:r>
            <w:r>
              <w:rPr>
                <w:noProof/>
                <w:webHidden/>
              </w:rPr>
            </w:r>
            <w:r>
              <w:rPr>
                <w:noProof/>
                <w:webHidden/>
              </w:rPr>
              <w:fldChar w:fldCharType="separate"/>
            </w:r>
            <w:r>
              <w:rPr>
                <w:noProof/>
                <w:webHidden/>
              </w:rPr>
              <w:t>81</w:t>
            </w:r>
            <w:r>
              <w:rPr>
                <w:noProof/>
                <w:webHidden/>
              </w:rPr>
              <w:fldChar w:fldCharType="end"/>
            </w:r>
          </w:hyperlink>
        </w:p>
        <w:p w:rsidR="00FF3227" w:rsidRDefault="00FF3227" w14:paraId="7B8EBC72" w14:textId="3425113C">
          <w:pPr>
            <w:pStyle w:val="TOC1"/>
            <w:tabs>
              <w:tab w:val="right" w:leader="dot" w:pos="9350"/>
            </w:tabs>
            <w:rPr>
              <w:rFonts w:asciiTheme="minorHAnsi" w:hAnsiTheme="minorHAnsi" w:cstheme="minorBidi"/>
              <w:noProof/>
              <w:kern w:val="2"/>
              <w:sz w:val="24"/>
              <w:szCs w:val="24"/>
              <w14:ligatures w14:val="standardContextual"/>
            </w:rPr>
          </w:pPr>
          <w:hyperlink w:history="1" w:anchor="_Toc177469363">
            <w:r w:rsidRPr="005A071E">
              <w:rPr>
                <w:rStyle w:val="Hyperlink"/>
                <w:noProof/>
              </w:rPr>
              <w:t>19.</w:t>
            </w:r>
            <w:r>
              <w:rPr>
                <w:rFonts w:asciiTheme="minorHAnsi" w:hAnsiTheme="minorHAnsi" w:cstheme="minorBidi"/>
                <w:noProof/>
                <w:kern w:val="2"/>
                <w:sz w:val="24"/>
                <w:szCs w:val="24"/>
                <w14:ligatures w14:val="standardContextual"/>
              </w:rPr>
              <w:tab/>
            </w:r>
            <w:r w:rsidRPr="005A071E">
              <w:rPr>
                <w:rStyle w:val="Hyperlink"/>
                <w:noProof/>
              </w:rPr>
              <w:t>Comments on Proposed Decision</w:t>
            </w:r>
            <w:r>
              <w:rPr>
                <w:noProof/>
                <w:webHidden/>
              </w:rPr>
              <w:tab/>
            </w:r>
            <w:r>
              <w:rPr>
                <w:noProof/>
                <w:webHidden/>
              </w:rPr>
              <w:fldChar w:fldCharType="begin"/>
            </w:r>
            <w:r>
              <w:rPr>
                <w:noProof/>
                <w:webHidden/>
              </w:rPr>
              <w:instrText xml:space="preserve"> PAGEREF _Toc177469363 \h </w:instrText>
            </w:r>
            <w:r>
              <w:rPr>
                <w:noProof/>
                <w:webHidden/>
              </w:rPr>
            </w:r>
            <w:r>
              <w:rPr>
                <w:noProof/>
                <w:webHidden/>
              </w:rPr>
              <w:fldChar w:fldCharType="separate"/>
            </w:r>
            <w:r>
              <w:rPr>
                <w:noProof/>
                <w:webHidden/>
              </w:rPr>
              <w:t>81</w:t>
            </w:r>
            <w:r>
              <w:rPr>
                <w:noProof/>
                <w:webHidden/>
              </w:rPr>
              <w:fldChar w:fldCharType="end"/>
            </w:r>
          </w:hyperlink>
        </w:p>
        <w:p w:rsidR="00FF3227" w:rsidRDefault="00FF3227" w14:paraId="2DE0625E" w14:textId="38DAB8B4">
          <w:pPr>
            <w:pStyle w:val="TOC1"/>
            <w:tabs>
              <w:tab w:val="right" w:leader="dot" w:pos="9350"/>
            </w:tabs>
            <w:rPr>
              <w:rFonts w:asciiTheme="minorHAnsi" w:hAnsiTheme="minorHAnsi" w:cstheme="minorBidi"/>
              <w:noProof/>
              <w:kern w:val="2"/>
              <w:sz w:val="24"/>
              <w:szCs w:val="24"/>
              <w14:ligatures w14:val="standardContextual"/>
            </w:rPr>
          </w:pPr>
          <w:hyperlink w:history="1" w:anchor="_Toc177469364">
            <w:r w:rsidRPr="005A071E">
              <w:rPr>
                <w:rStyle w:val="Hyperlink"/>
                <w:noProof/>
              </w:rPr>
              <w:t>20.</w:t>
            </w:r>
            <w:r>
              <w:rPr>
                <w:rFonts w:asciiTheme="minorHAnsi" w:hAnsiTheme="minorHAnsi" w:cstheme="minorBidi"/>
                <w:noProof/>
                <w:kern w:val="2"/>
                <w:sz w:val="24"/>
                <w:szCs w:val="24"/>
                <w14:ligatures w14:val="standardContextual"/>
              </w:rPr>
              <w:tab/>
            </w:r>
            <w:r w:rsidRPr="005A071E">
              <w:rPr>
                <w:rStyle w:val="Hyperlink"/>
                <w:noProof/>
              </w:rPr>
              <w:t>Assignment of Proceeding</w:t>
            </w:r>
            <w:r>
              <w:rPr>
                <w:noProof/>
                <w:webHidden/>
              </w:rPr>
              <w:tab/>
            </w:r>
            <w:r>
              <w:rPr>
                <w:noProof/>
                <w:webHidden/>
              </w:rPr>
              <w:fldChar w:fldCharType="begin"/>
            </w:r>
            <w:r>
              <w:rPr>
                <w:noProof/>
                <w:webHidden/>
              </w:rPr>
              <w:instrText xml:space="preserve"> PAGEREF _Toc177469364 \h </w:instrText>
            </w:r>
            <w:r>
              <w:rPr>
                <w:noProof/>
                <w:webHidden/>
              </w:rPr>
            </w:r>
            <w:r>
              <w:rPr>
                <w:noProof/>
                <w:webHidden/>
              </w:rPr>
              <w:fldChar w:fldCharType="separate"/>
            </w:r>
            <w:r>
              <w:rPr>
                <w:noProof/>
                <w:webHidden/>
              </w:rPr>
              <w:t>83</w:t>
            </w:r>
            <w:r>
              <w:rPr>
                <w:noProof/>
                <w:webHidden/>
              </w:rPr>
              <w:fldChar w:fldCharType="end"/>
            </w:r>
          </w:hyperlink>
        </w:p>
        <w:p w:rsidR="00FF3227" w:rsidRDefault="00FF3227" w14:paraId="142A7ADB" w14:textId="51E79C5D">
          <w:pPr>
            <w:pStyle w:val="TOC1"/>
            <w:tabs>
              <w:tab w:val="right" w:leader="dot" w:pos="9350"/>
            </w:tabs>
            <w:rPr>
              <w:rFonts w:asciiTheme="minorHAnsi" w:hAnsiTheme="minorHAnsi" w:cstheme="minorBidi"/>
              <w:noProof/>
              <w:kern w:val="2"/>
              <w:sz w:val="24"/>
              <w:szCs w:val="24"/>
              <w14:ligatures w14:val="standardContextual"/>
            </w:rPr>
          </w:pPr>
          <w:hyperlink w:history="1" w:anchor="_Toc177469365">
            <w:r w:rsidRPr="005A071E">
              <w:rPr>
                <w:rStyle w:val="Hyperlink"/>
                <w:noProof/>
              </w:rPr>
              <w:t>Findings of Fact</w:t>
            </w:r>
            <w:r>
              <w:rPr>
                <w:noProof/>
                <w:webHidden/>
              </w:rPr>
              <w:tab/>
            </w:r>
            <w:r>
              <w:rPr>
                <w:noProof/>
                <w:webHidden/>
              </w:rPr>
              <w:fldChar w:fldCharType="begin"/>
            </w:r>
            <w:r>
              <w:rPr>
                <w:noProof/>
                <w:webHidden/>
              </w:rPr>
              <w:instrText xml:space="preserve"> PAGEREF _Toc177469365 \h </w:instrText>
            </w:r>
            <w:r>
              <w:rPr>
                <w:noProof/>
                <w:webHidden/>
              </w:rPr>
            </w:r>
            <w:r>
              <w:rPr>
                <w:noProof/>
                <w:webHidden/>
              </w:rPr>
              <w:fldChar w:fldCharType="separate"/>
            </w:r>
            <w:r>
              <w:rPr>
                <w:noProof/>
                <w:webHidden/>
              </w:rPr>
              <w:t>83</w:t>
            </w:r>
            <w:r>
              <w:rPr>
                <w:noProof/>
                <w:webHidden/>
              </w:rPr>
              <w:fldChar w:fldCharType="end"/>
            </w:r>
          </w:hyperlink>
        </w:p>
        <w:p w:rsidR="00FF3227" w:rsidRDefault="00FF3227" w14:paraId="3CB7DAB5" w14:textId="4198C651">
          <w:pPr>
            <w:pStyle w:val="TOC1"/>
            <w:tabs>
              <w:tab w:val="right" w:leader="dot" w:pos="9350"/>
            </w:tabs>
            <w:rPr>
              <w:rFonts w:asciiTheme="minorHAnsi" w:hAnsiTheme="minorHAnsi" w:cstheme="minorBidi"/>
              <w:noProof/>
              <w:kern w:val="2"/>
              <w:sz w:val="24"/>
              <w:szCs w:val="24"/>
              <w14:ligatures w14:val="standardContextual"/>
            </w:rPr>
          </w:pPr>
          <w:hyperlink w:history="1" w:anchor="_Toc177469366">
            <w:r w:rsidRPr="005A071E">
              <w:rPr>
                <w:rStyle w:val="Hyperlink"/>
                <w:noProof/>
              </w:rPr>
              <w:t>Conclusions of Law</w:t>
            </w:r>
            <w:r>
              <w:rPr>
                <w:noProof/>
                <w:webHidden/>
              </w:rPr>
              <w:tab/>
            </w:r>
            <w:r>
              <w:rPr>
                <w:noProof/>
                <w:webHidden/>
              </w:rPr>
              <w:fldChar w:fldCharType="begin"/>
            </w:r>
            <w:r>
              <w:rPr>
                <w:noProof/>
                <w:webHidden/>
              </w:rPr>
              <w:instrText xml:space="preserve"> PAGEREF _Toc177469366 \h </w:instrText>
            </w:r>
            <w:r>
              <w:rPr>
                <w:noProof/>
                <w:webHidden/>
              </w:rPr>
            </w:r>
            <w:r>
              <w:rPr>
                <w:noProof/>
                <w:webHidden/>
              </w:rPr>
              <w:fldChar w:fldCharType="separate"/>
            </w:r>
            <w:r>
              <w:rPr>
                <w:noProof/>
                <w:webHidden/>
              </w:rPr>
              <w:t>89</w:t>
            </w:r>
            <w:r>
              <w:rPr>
                <w:noProof/>
                <w:webHidden/>
              </w:rPr>
              <w:fldChar w:fldCharType="end"/>
            </w:r>
          </w:hyperlink>
        </w:p>
        <w:p w:rsidR="00FF3227" w:rsidRDefault="00FF3227" w14:paraId="744E1F9A" w14:textId="47E64E45">
          <w:pPr>
            <w:pStyle w:val="TOC1"/>
            <w:tabs>
              <w:tab w:val="right" w:leader="dot" w:pos="9350"/>
            </w:tabs>
            <w:rPr>
              <w:rFonts w:asciiTheme="minorHAnsi" w:hAnsiTheme="minorHAnsi" w:cstheme="minorBidi"/>
              <w:noProof/>
              <w:kern w:val="2"/>
              <w:sz w:val="24"/>
              <w:szCs w:val="24"/>
              <w14:ligatures w14:val="standardContextual"/>
            </w:rPr>
          </w:pPr>
          <w:hyperlink w:history="1" w:anchor="_Toc177469367">
            <w:r w:rsidRPr="005A071E">
              <w:rPr>
                <w:rStyle w:val="Hyperlink"/>
                <w:noProof/>
              </w:rPr>
              <w:t>ORDER</w:t>
            </w:r>
            <w:r>
              <w:rPr>
                <w:noProof/>
                <w:webHidden/>
              </w:rPr>
              <w:tab/>
            </w:r>
            <w:r>
              <w:rPr>
                <w:noProof/>
                <w:webHidden/>
              </w:rPr>
              <w:fldChar w:fldCharType="begin"/>
            </w:r>
            <w:r>
              <w:rPr>
                <w:noProof/>
                <w:webHidden/>
              </w:rPr>
              <w:instrText xml:space="preserve"> PAGEREF _Toc177469367 \h </w:instrText>
            </w:r>
            <w:r>
              <w:rPr>
                <w:noProof/>
                <w:webHidden/>
              </w:rPr>
            </w:r>
            <w:r>
              <w:rPr>
                <w:noProof/>
                <w:webHidden/>
              </w:rPr>
              <w:fldChar w:fldCharType="separate"/>
            </w:r>
            <w:r>
              <w:rPr>
                <w:noProof/>
                <w:webHidden/>
              </w:rPr>
              <w:t>91</w:t>
            </w:r>
            <w:r>
              <w:rPr>
                <w:noProof/>
                <w:webHidden/>
              </w:rPr>
              <w:fldChar w:fldCharType="end"/>
            </w:r>
          </w:hyperlink>
        </w:p>
        <w:p w:rsidRPr="00461C10" w:rsidR="006959B6" w:rsidP="001D1428" w:rsidRDefault="005A3C68" w14:paraId="31A44394" w14:textId="741F4C94">
          <w:pPr>
            <w:pStyle w:val="TOC1"/>
            <w:tabs>
              <w:tab w:val="right" w:leader="dot" w:pos="9345"/>
            </w:tabs>
            <w:ind w:left="0" w:firstLine="0"/>
            <w:rPr>
              <w:rStyle w:val="Hyperlink"/>
              <w:rFonts w:eastAsia="Book Antiqua" w:cs="Book Antiqua"/>
              <w:color w:val="auto"/>
              <w:kern w:val="2"/>
              <w:szCs w:val="26"/>
              <w14:ligatures w14:val="standardContextual"/>
            </w:rPr>
          </w:pPr>
          <w:r w:rsidRPr="00461C10">
            <w:fldChar w:fldCharType="end"/>
          </w:r>
        </w:p>
      </w:sdtContent>
    </w:sdt>
    <w:p w:rsidRPr="00461C10" w:rsidR="0077446F" w:rsidP="00496EA2" w:rsidRDefault="0098655A" w14:paraId="4FF4478B" w14:textId="3C1BDA94">
      <w:pPr>
        <w:keepNext/>
        <w:spacing w:line="240" w:lineRule="auto"/>
        <w:ind w:firstLine="0"/>
        <w:rPr>
          <w:rFonts w:eastAsia="Book Antiqua" w:cs="Book Antiqua"/>
          <w:szCs w:val="26"/>
        </w:rPr>
      </w:pPr>
      <w:bookmarkStart w:name="_Hlk172622950" w:id="2"/>
      <w:r w:rsidRPr="00461C10">
        <w:rPr>
          <w:rFonts w:eastAsia="Book Antiqua" w:cs="Book Antiqua"/>
          <w:b/>
          <w:szCs w:val="26"/>
        </w:rPr>
        <w:t>Appendix A</w:t>
      </w:r>
      <w:r w:rsidRPr="00461C10">
        <w:rPr>
          <w:rFonts w:eastAsia="Book Antiqua" w:cs="Book Antiqua"/>
          <w:szCs w:val="26"/>
        </w:rPr>
        <w:t xml:space="preserve"> –</w:t>
      </w:r>
      <w:r w:rsidRPr="00461C10" w:rsidR="00E23CBB">
        <w:rPr>
          <w:rFonts w:eastAsia="Book Antiqua" w:cs="Book Antiqua"/>
          <w:szCs w:val="26"/>
        </w:rPr>
        <w:t xml:space="preserve"> </w:t>
      </w:r>
      <w:r w:rsidRPr="00461C10" w:rsidR="00D90DCA">
        <w:rPr>
          <w:rFonts w:eastAsia="Book Antiqua" w:cs="Book Antiqua"/>
          <w:szCs w:val="26"/>
        </w:rPr>
        <w:t>Statewide Energization Timelines Analyses Report</w:t>
      </w:r>
    </w:p>
    <w:p w:rsidRPr="00461C10" w:rsidR="0098655A" w:rsidP="00496EA2" w:rsidRDefault="0077446F" w14:paraId="1EDD84E7" w14:textId="03CB96EB">
      <w:pPr>
        <w:keepNext/>
        <w:spacing w:line="240" w:lineRule="auto"/>
        <w:ind w:firstLine="0"/>
        <w:rPr>
          <w:rFonts w:eastAsia="Book Antiqua" w:cs="Book Antiqua"/>
          <w:szCs w:val="26"/>
        </w:rPr>
      </w:pPr>
      <w:r w:rsidRPr="00461C10">
        <w:rPr>
          <w:rFonts w:eastAsia="Book Antiqua" w:cs="Book Antiqua"/>
          <w:b/>
          <w:szCs w:val="26"/>
        </w:rPr>
        <w:t>Appendix B</w:t>
      </w:r>
      <w:r w:rsidRPr="00461C10">
        <w:rPr>
          <w:rFonts w:eastAsia="Book Antiqua" w:cs="Book Antiqua"/>
          <w:szCs w:val="26"/>
        </w:rPr>
        <w:t xml:space="preserve"> – Energization </w:t>
      </w:r>
      <w:r w:rsidRPr="00461C10" w:rsidR="00F14D24">
        <w:rPr>
          <w:rFonts w:eastAsia="Book Antiqua" w:cs="Book Antiqua"/>
          <w:szCs w:val="26"/>
        </w:rPr>
        <w:t xml:space="preserve">Target </w:t>
      </w:r>
      <w:r w:rsidRPr="00461C10" w:rsidR="00E0761C">
        <w:rPr>
          <w:rFonts w:eastAsia="Book Antiqua" w:cs="Book Antiqua"/>
          <w:szCs w:val="26"/>
        </w:rPr>
        <w:t xml:space="preserve">Reporting </w:t>
      </w:r>
      <w:r w:rsidRPr="00461C10" w:rsidR="00F14D24">
        <w:rPr>
          <w:rFonts w:eastAsia="Book Antiqua" w:cs="Book Antiqua"/>
          <w:szCs w:val="26"/>
        </w:rPr>
        <w:t xml:space="preserve">Template Requirements </w:t>
      </w:r>
    </w:p>
    <w:p w:rsidRPr="00461C10" w:rsidR="0098655A" w:rsidP="00496EA2" w:rsidRDefault="0098655A" w14:paraId="33405820" w14:textId="06C4A26D">
      <w:pPr>
        <w:keepNext/>
        <w:spacing w:line="240" w:lineRule="auto"/>
        <w:ind w:firstLine="0"/>
        <w:rPr>
          <w:rFonts w:eastAsia="Book Antiqua" w:cs="Book Antiqua"/>
          <w:szCs w:val="26"/>
        </w:rPr>
      </w:pPr>
      <w:r w:rsidRPr="00461C10">
        <w:rPr>
          <w:rFonts w:eastAsia="Book Antiqua" w:cs="Book Antiqua"/>
          <w:b/>
          <w:szCs w:val="26"/>
        </w:rPr>
        <w:t xml:space="preserve">Appendix </w:t>
      </w:r>
      <w:r w:rsidRPr="00461C10" w:rsidR="0077446F">
        <w:rPr>
          <w:rFonts w:eastAsia="Book Antiqua" w:cs="Book Antiqua"/>
          <w:b/>
          <w:szCs w:val="26"/>
        </w:rPr>
        <w:t>C</w:t>
      </w:r>
      <w:r w:rsidRPr="00461C10">
        <w:rPr>
          <w:rFonts w:eastAsia="Book Antiqua" w:cs="Book Antiqua"/>
          <w:szCs w:val="26"/>
        </w:rPr>
        <w:t xml:space="preserve"> –</w:t>
      </w:r>
      <w:r w:rsidR="00C05336">
        <w:rPr>
          <w:rFonts w:eastAsia="Book Antiqua" w:cs="Book Antiqua"/>
          <w:szCs w:val="26"/>
        </w:rPr>
        <w:t xml:space="preserve"> </w:t>
      </w:r>
      <w:r w:rsidRPr="00461C10" w:rsidR="00F14D24">
        <w:rPr>
          <w:rFonts w:eastAsia="Book Antiqua" w:cs="Book Antiqua"/>
          <w:szCs w:val="26"/>
        </w:rPr>
        <w:t xml:space="preserve">Customer </w:t>
      </w:r>
      <w:r w:rsidRPr="00461C10" w:rsidR="00CD7936">
        <w:rPr>
          <w:rFonts w:eastAsia="Book Antiqua" w:cs="Book Antiqua"/>
          <w:szCs w:val="26"/>
        </w:rPr>
        <w:t xml:space="preserve">Energization Delay Reporting </w:t>
      </w:r>
      <w:r w:rsidRPr="00461C10" w:rsidR="00F14D24">
        <w:rPr>
          <w:rFonts w:eastAsia="Book Antiqua" w:cs="Book Antiqua"/>
          <w:szCs w:val="26"/>
        </w:rPr>
        <w:t>Form</w:t>
      </w:r>
    </w:p>
    <w:p w:rsidRPr="00461C10" w:rsidR="00F76650" w:rsidP="00D44DB6" w:rsidRDefault="00D90DCA" w14:paraId="4681A508" w14:textId="619844D6">
      <w:pPr>
        <w:spacing w:line="240" w:lineRule="auto"/>
        <w:ind w:firstLine="0"/>
        <w:rPr>
          <w:rFonts w:eastAsia="Book Antiqua" w:cs="Book Antiqua"/>
          <w:szCs w:val="26"/>
        </w:rPr>
      </w:pPr>
      <w:r w:rsidRPr="00461C10">
        <w:rPr>
          <w:rFonts w:eastAsia="Book Antiqua" w:cs="Book Antiqua"/>
          <w:b/>
          <w:szCs w:val="26"/>
        </w:rPr>
        <w:t xml:space="preserve">Appendix </w:t>
      </w:r>
      <w:r w:rsidRPr="00461C10" w:rsidR="00496EA2">
        <w:rPr>
          <w:rFonts w:eastAsia="Book Antiqua" w:cs="Book Antiqua"/>
          <w:b/>
          <w:szCs w:val="26"/>
        </w:rPr>
        <w:t>D</w:t>
      </w:r>
      <w:r w:rsidRPr="00461C10">
        <w:rPr>
          <w:rFonts w:eastAsia="Book Antiqua" w:cs="Book Antiqua"/>
          <w:szCs w:val="26"/>
        </w:rPr>
        <w:t xml:space="preserve"> </w:t>
      </w:r>
      <w:r w:rsidRPr="00461C10" w:rsidR="008F661C">
        <w:rPr>
          <w:rFonts w:eastAsia="Book Antiqua" w:cs="Book Antiqua"/>
          <w:szCs w:val="26"/>
        </w:rPr>
        <w:t>–</w:t>
      </w:r>
      <w:r w:rsidRPr="00461C10">
        <w:rPr>
          <w:rFonts w:eastAsia="Book Antiqua" w:cs="Book Antiqua"/>
          <w:szCs w:val="26"/>
        </w:rPr>
        <w:t xml:space="preserve"> </w:t>
      </w:r>
      <w:r w:rsidRPr="00461C10" w:rsidR="008F661C">
        <w:rPr>
          <w:rFonts w:eastAsia="Book Antiqua" w:cs="Book Antiqua"/>
          <w:szCs w:val="26"/>
        </w:rPr>
        <w:t>List of Acronyms</w:t>
      </w:r>
      <w:r w:rsidRPr="00461C10" w:rsidR="0077446F">
        <w:rPr>
          <w:rFonts w:eastAsia="Book Antiqua" w:cs="Book Antiqua"/>
          <w:szCs w:val="26"/>
        </w:rPr>
        <w:t xml:space="preserve"> </w:t>
      </w:r>
    </w:p>
    <w:bookmarkEnd w:id="2"/>
    <w:p w:rsidRPr="00461C10" w:rsidR="00D44DB6" w:rsidP="00D44DB6" w:rsidRDefault="00D44DB6" w14:paraId="76A502D6" w14:textId="77777777">
      <w:pPr>
        <w:spacing w:line="240" w:lineRule="auto"/>
        <w:ind w:firstLine="0"/>
        <w:rPr>
          <w:rFonts w:eastAsia="Book Antiqua" w:cs="Book Antiqua"/>
          <w:szCs w:val="26"/>
        </w:rPr>
      </w:pPr>
    </w:p>
    <w:p w:rsidRPr="00461C10" w:rsidR="00D44DB6" w:rsidP="00D44DB6" w:rsidRDefault="00D44DB6" w14:paraId="336AD144" w14:textId="6D4253DE">
      <w:pPr>
        <w:spacing w:line="240" w:lineRule="auto"/>
        <w:ind w:firstLine="0"/>
        <w:rPr>
          <w:rFonts w:eastAsia="Book Antiqua" w:cs="Book Antiqua"/>
          <w:i/>
          <w:szCs w:val="26"/>
        </w:rPr>
        <w:sectPr w:rsidRPr="00461C10" w:rsidR="00D44DB6" w:rsidSect="00B20231">
          <w:headerReference w:type="default" r:id="rId13"/>
          <w:footerReference w:type="default" r:id="rId14"/>
          <w:pgSz w:w="12240" w:h="15840"/>
          <w:pgMar w:top="1728" w:right="1440" w:bottom="1440" w:left="1440" w:header="720" w:footer="720" w:gutter="0"/>
          <w:pgNumType w:fmt="lowerRoman" w:start="1"/>
          <w:cols w:space="720"/>
          <w:docGrid w:linePitch="360"/>
        </w:sectPr>
      </w:pPr>
    </w:p>
    <w:p w:rsidRPr="00461C10" w:rsidR="005A148C" w:rsidP="00496EA2" w:rsidRDefault="00727866" w14:paraId="615D0C1E" w14:textId="48E12C20">
      <w:pPr>
        <w:pStyle w:val="Main"/>
        <w:spacing w:after="240"/>
      </w:pPr>
      <w:bookmarkStart w:name="_Toc6471817" w:id="3"/>
      <w:bookmarkStart w:name="_Hlk174089396" w:id="4"/>
      <w:r w:rsidRPr="00461C10">
        <w:lastRenderedPageBreak/>
        <w:t>DECISION ESTABLISHING</w:t>
      </w:r>
      <w:r w:rsidRPr="00461C10" w:rsidR="007B4742">
        <w:t xml:space="preserve"> </w:t>
      </w:r>
      <w:r w:rsidRPr="00461C10">
        <w:t>TARGET</w:t>
      </w:r>
      <w:r w:rsidRPr="00461C10" w:rsidR="007B4742">
        <w:t xml:space="preserve"> </w:t>
      </w:r>
      <w:r w:rsidRPr="00461C10">
        <w:t>ENERGIZATION</w:t>
      </w:r>
      <w:r w:rsidRPr="00461C10" w:rsidR="007B4742">
        <w:t xml:space="preserve"> </w:t>
      </w:r>
      <w:r w:rsidRPr="00461C10">
        <w:t>TIME</w:t>
      </w:r>
      <w:r w:rsidRPr="00461C10" w:rsidR="007B4742">
        <w:br/>
      </w:r>
      <w:r w:rsidRPr="00461C10">
        <w:t>PERIODS AND</w:t>
      </w:r>
      <w:r w:rsidRPr="00461C10" w:rsidR="007B4742">
        <w:t xml:space="preserve"> </w:t>
      </w:r>
      <w:r w:rsidRPr="00461C10">
        <w:t>PROCEDURE FOR</w:t>
      </w:r>
      <w:r w:rsidRPr="00461C10" w:rsidR="007B4742">
        <w:t xml:space="preserve"> </w:t>
      </w:r>
      <w:r w:rsidRPr="00461C10">
        <w:t>CUSTOMERS</w:t>
      </w:r>
      <w:r w:rsidRPr="00461C10" w:rsidR="007B4742">
        <w:t xml:space="preserve"> </w:t>
      </w:r>
      <w:r w:rsidRPr="00461C10">
        <w:t>TO</w:t>
      </w:r>
      <w:r w:rsidRPr="00461C10" w:rsidR="007B4742">
        <w:t xml:space="preserve"> </w:t>
      </w:r>
      <w:r w:rsidRPr="00461C10">
        <w:t>REPORT ENERGIZATION DELAYS</w:t>
      </w:r>
      <w:bookmarkEnd w:id="3"/>
      <w:r w:rsidRPr="00461C10">
        <w:t xml:space="preserve"> </w:t>
      </w:r>
    </w:p>
    <w:p w:rsidRPr="00461C10" w:rsidR="005A148C" w:rsidP="00496EA2" w:rsidRDefault="005A148C" w14:paraId="065B75DD" w14:textId="10AF5B20">
      <w:pPr>
        <w:pStyle w:val="Dummy"/>
        <w:keepLines w:val="0"/>
      </w:pPr>
      <w:bookmarkStart w:name="_Toc8123714" w:id="5"/>
      <w:bookmarkStart w:name="_Toc1119803848" w:id="6"/>
      <w:bookmarkStart w:name="_Toc177469336" w:id="7"/>
      <w:r w:rsidRPr="00461C10">
        <w:t>Summary</w:t>
      </w:r>
      <w:bookmarkEnd w:id="5"/>
      <w:bookmarkEnd w:id="6"/>
      <w:bookmarkEnd w:id="7"/>
    </w:p>
    <w:p w:rsidRPr="00461C10" w:rsidR="00BB189B" w:rsidP="009B2609" w:rsidRDefault="1387452A" w14:paraId="250DDDE8" w14:textId="31549E28">
      <w:pPr>
        <w:pStyle w:val="Standard"/>
      </w:pPr>
      <w:r w:rsidRPr="00461C10">
        <w:t>T</w:t>
      </w:r>
      <w:r w:rsidRPr="00461C10" w:rsidR="5B8D0676">
        <w:t>hi</w:t>
      </w:r>
      <w:r w:rsidRPr="00461C10">
        <w:t>s decision establishes</w:t>
      </w:r>
      <w:r w:rsidRPr="00461C10" w:rsidR="003C1AF9">
        <w:t xml:space="preserve"> </w:t>
      </w:r>
      <w:r w:rsidRPr="00461C10" w:rsidR="00725326">
        <w:t>average and maximum</w:t>
      </w:r>
      <w:r w:rsidRPr="00461C10" w:rsidR="00F6328F">
        <w:t xml:space="preserve"> energization</w:t>
      </w:r>
      <w:r w:rsidRPr="00461C10" w:rsidR="6868E7E7">
        <w:t xml:space="preserve"> </w:t>
      </w:r>
      <w:r w:rsidRPr="00461C10" w:rsidR="0071090E">
        <w:t>target</w:t>
      </w:r>
      <w:r w:rsidRPr="00461C10" w:rsidR="006F47C8">
        <w:t>s and timelines</w:t>
      </w:r>
      <w:r w:rsidRPr="00461C10" w:rsidR="0AC7FBA5">
        <w:t xml:space="preserve"> for</w:t>
      </w:r>
      <w:r w:rsidRPr="00461C10" w:rsidR="00FD1980">
        <w:t xml:space="preserve"> </w:t>
      </w:r>
      <w:r w:rsidRPr="00461C10" w:rsidR="00A01891">
        <w:t>Pacific Gas and Electric Company, San D</w:t>
      </w:r>
      <w:r w:rsidRPr="00461C10" w:rsidR="006C1EB8">
        <w:t>i</w:t>
      </w:r>
      <w:r w:rsidRPr="00461C10" w:rsidR="00A01891">
        <w:t xml:space="preserve">ego Gas &amp; Electric Company, and Southern California Edison Company </w:t>
      </w:r>
      <w:r w:rsidRPr="00461C10" w:rsidR="5A47196E">
        <w:t>(</w:t>
      </w:r>
      <w:r w:rsidRPr="00461C10" w:rsidR="00A01891">
        <w:t xml:space="preserve">the large electric </w:t>
      </w:r>
      <w:r w:rsidRPr="00461C10" w:rsidR="005B0BBB">
        <w:t>IOUs)</w:t>
      </w:r>
      <w:r w:rsidRPr="00461C10" w:rsidR="00A01891">
        <w:t xml:space="preserve"> </w:t>
      </w:r>
      <w:r w:rsidRPr="00461C10" w:rsidR="00462E5E">
        <w:t xml:space="preserve">in compliance </w:t>
      </w:r>
      <w:r w:rsidRPr="00461C10" w:rsidR="009A79A8">
        <w:t xml:space="preserve">with </w:t>
      </w:r>
      <w:r w:rsidRPr="00461C10" w:rsidR="0AC7FBA5">
        <w:t>Public Utilities Code §§</w:t>
      </w:r>
      <w:r w:rsidRPr="00461C10" w:rsidR="00C17005">
        <w:t xml:space="preserve"> </w:t>
      </w:r>
      <w:r w:rsidRPr="00461C10" w:rsidR="0AC7FBA5">
        <w:t>930</w:t>
      </w:r>
      <w:r w:rsidRPr="00461C10" w:rsidR="0B4C2DC7">
        <w:t>-939</w:t>
      </w:r>
      <w:r w:rsidRPr="00461C10" w:rsidR="5E1AEDB7">
        <w:t>.</w:t>
      </w:r>
      <w:r w:rsidRPr="00461C10" w:rsidR="67469C85">
        <w:t xml:space="preserve"> </w:t>
      </w:r>
      <w:r w:rsidRPr="00461C10" w:rsidR="008B5A8E">
        <w:t xml:space="preserve">Energization activities include work associated with </w:t>
      </w:r>
      <w:r w:rsidRPr="00461C10" w:rsidR="002D51B2">
        <w:t xml:space="preserve">Electric </w:t>
      </w:r>
      <w:r w:rsidRPr="00461C10" w:rsidR="00076276">
        <w:t>Rules</w:t>
      </w:r>
      <w:r w:rsidRPr="00461C10" w:rsidR="002D51B2">
        <w:t xml:space="preserve"> </w:t>
      </w:r>
      <w:r w:rsidRPr="00461C10" w:rsidR="00AC7A40">
        <w:t xml:space="preserve">15, 16 and </w:t>
      </w:r>
      <w:r w:rsidRPr="00461C10" w:rsidR="00A42C03">
        <w:t xml:space="preserve">electric capacity upgrades on the </w:t>
      </w:r>
      <w:r w:rsidRPr="00461C10" w:rsidR="002C65D1">
        <w:t xml:space="preserve">electric </w:t>
      </w:r>
      <w:r w:rsidRPr="00461C10" w:rsidR="00523F13">
        <w:t xml:space="preserve">distribution </w:t>
      </w:r>
      <w:r w:rsidRPr="00461C10" w:rsidR="00A42C03">
        <w:t>system</w:t>
      </w:r>
      <w:r w:rsidRPr="00461C10" w:rsidR="00C22781">
        <w:t xml:space="preserve">. </w:t>
      </w:r>
      <w:r w:rsidRPr="00461C10" w:rsidR="00F37D8C">
        <w:t xml:space="preserve">Electric </w:t>
      </w:r>
      <w:r w:rsidRPr="00461C10" w:rsidR="00076276">
        <w:t xml:space="preserve">Rules </w:t>
      </w:r>
      <w:r w:rsidRPr="00461C10" w:rsidR="00F37D8C">
        <w:t xml:space="preserve">15 and 16 </w:t>
      </w:r>
      <w:r w:rsidRPr="00461C10" w:rsidR="00076276">
        <w:t xml:space="preserve">are tariffs that </w:t>
      </w:r>
      <w:r w:rsidRPr="00461C10" w:rsidR="00F37D8C">
        <w:t xml:space="preserve">contain the rules and processes for extending electric distribution and service equipment </w:t>
      </w:r>
      <w:r w:rsidRPr="00461C10" w:rsidR="00A32311">
        <w:t>to energize</w:t>
      </w:r>
      <w:r w:rsidRPr="00461C10" w:rsidR="00F37D8C">
        <w:t xml:space="preserve"> </w:t>
      </w:r>
      <w:r w:rsidRPr="00461C10" w:rsidR="0064698F">
        <w:t xml:space="preserve">new </w:t>
      </w:r>
      <w:r w:rsidRPr="00461C10" w:rsidR="00F37D8C">
        <w:t>customer</w:t>
      </w:r>
      <w:r w:rsidRPr="00461C10" w:rsidR="0064698F">
        <w:t xml:space="preserve"> load </w:t>
      </w:r>
      <w:r w:rsidRPr="00461C10" w:rsidR="007733B4">
        <w:t>such as</w:t>
      </w:r>
      <w:r w:rsidRPr="00461C10" w:rsidR="0064698F">
        <w:t xml:space="preserve"> </w:t>
      </w:r>
      <w:r w:rsidRPr="00461C10" w:rsidR="00A456D4">
        <w:t xml:space="preserve">new </w:t>
      </w:r>
      <w:r w:rsidRPr="00461C10" w:rsidR="002A2A63">
        <w:t>homes, businesses</w:t>
      </w:r>
      <w:r w:rsidRPr="00461C10" w:rsidR="00370A00">
        <w:t xml:space="preserve">, </w:t>
      </w:r>
      <w:r w:rsidRPr="00461C10" w:rsidR="00D70583">
        <w:t>and</w:t>
      </w:r>
      <w:r w:rsidRPr="00461C10" w:rsidR="00A456D4">
        <w:t xml:space="preserve"> charging stations for electric vehicles</w:t>
      </w:r>
      <w:r w:rsidRPr="00461C10" w:rsidR="00F37D8C">
        <w:t xml:space="preserve">. </w:t>
      </w:r>
      <w:r w:rsidRPr="00461C10" w:rsidR="00E13CD8">
        <w:t xml:space="preserve">This decision </w:t>
      </w:r>
      <w:r w:rsidRPr="00461C10" w:rsidR="00EE3A4F">
        <w:t>establishes</w:t>
      </w:r>
      <w:r w:rsidRPr="00461C10" w:rsidR="00E13CD8">
        <w:t xml:space="preserve"> new statewide </w:t>
      </w:r>
      <w:r w:rsidRPr="00461C10" w:rsidR="00BB189B">
        <w:t xml:space="preserve">energization </w:t>
      </w:r>
      <w:r w:rsidRPr="00461C10" w:rsidR="00E13CD8">
        <w:t xml:space="preserve">targets for </w:t>
      </w:r>
      <w:r w:rsidRPr="00461C10" w:rsidR="003168E4">
        <w:t>E</w:t>
      </w:r>
      <w:r w:rsidRPr="00461C10" w:rsidR="00E13CD8">
        <w:t xml:space="preserve">lectric </w:t>
      </w:r>
      <w:r w:rsidRPr="00461C10" w:rsidR="009A79A8">
        <w:t xml:space="preserve">Rules </w:t>
      </w:r>
      <w:r w:rsidRPr="00461C10" w:rsidR="00E13CD8">
        <w:t>15</w:t>
      </w:r>
      <w:r w:rsidRPr="00461C10" w:rsidR="009A79A8">
        <w:t xml:space="preserve"> and</w:t>
      </w:r>
      <w:r w:rsidRPr="00461C10" w:rsidR="00E13CD8">
        <w:t xml:space="preserve"> 16</w:t>
      </w:r>
      <w:r w:rsidRPr="00461C10" w:rsidR="009A79A8">
        <w:t xml:space="preserve">; upholds the timelines already established for Electric Rules 29 and 45; </w:t>
      </w:r>
      <w:r w:rsidRPr="00461C10" w:rsidR="00E13CD8">
        <w:t xml:space="preserve">and </w:t>
      </w:r>
      <w:r w:rsidRPr="00461C10" w:rsidR="009A79A8">
        <w:t xml:space="preserve">establishes statewide </w:t>
      </w:r>
      <w:r w:rsidRPr="00461C10" w:rsidR="0010265D">
        <w:t xml:space="preserve">timelines for </w:t>
      </w:r>
      <w:r w:rsidRPr="00461C10" w:rsidR="00E13CD8">
        <w:t xml:space="preserve">certain </w:t>
      </w:r>
      <w:r w:rsidRPr="00461C10" w:rsidR="009A79A8">
        <w:t xml:space="preserve">upstream </w:t>
      </w:r>
      <w:r w:rsidRPr="00461C10" w:rsidR="00E13CD8">
        <w:t>capacity upgrade activities</w:t>
      </w:r>
      <w:r w:rsidRPr="00461C10" w:rsidR="00BD64BE">
        <w:t>.</w:t>
      </w:r>
      <w:r w:rsidRPr="00461C10" w:rsidR="0047557A">
        <w:t xml:space="preserve"> This decision</w:t>
      </w:r>
      <w:r w:rsidRPr="00461C10" w:rsidR="00FB5697">
        <w:t xml:space="preserve"> requires that the three large electric </w:t>
      </w:r>
      <w:r w:rsidRPr="00461C10" w:rsidR="00501DDD">
        <w:t>IOUs</w:t>
      </w:r>
      <w:r w:rsidRPr="00461C10" w:rsidR="00FB5697">
        <w:t xml:space="preserve"> </w:t>
      </w:r>
      <w:r w:rsidRPr="00461C10" w:rsidR="005F7A26">
        <w:t xml:space="preserve">plan </w:t>
      </w:r>
      <w:r w:rsidRPr="00461C10" w:rsidR="004F38EA">
        <w:t xml:space="preserve">and prioritize energization work to </w:t>
      </w:r>
      <w:r w:rsidRPr="00461C10" w:rsidR="00D64005">
        <w:t xml:space="preserve">meet the </w:t>
      </w:r>
      <w:r w:rsidRPr="00461C10" w:rsidR="00FB5697">
        <w:t xml:space="preserve">new </w:t>
      </w:r>
      <w:r w:rsidRPr="00461C10" w:rsidR="00CA144C">
        <w:t xml:space="preserve">targets and </w:t>
      </w:r>
      <w:r w:rsidRPr="00461C10" w:rsidR="00FB5697">
        <w:t>timelines</w:t>
      </w:r>
      <w:r w:rsidRPr="00461C10" w:rsidR="0064748A">
        <w:t>,</w:t>
      </w:r>
      <w:r w:rsidRPr="00461C10" w:rsidR="00B9102E">
        <w:t xml:space="preserve"> </w:t>
      </w:r>
      <w:r w:rsidRPr="00461C10" w:rsidR="00BF5002">
        <w:t xml:space="preserve">report on </w:t>
      </w:r>
      <w:r w:rsidRPr="00461C10" w:rsidR="002426EB">
        <w:t>time periods that exceed the targets, and adopt remedial actions if the targets are exceeded</w:t>
      </w:r>
      <w:r w:rsidRPr="00461C10" w:rsidR="00BF5002">
        <w:t>.</w:t>
      </w:r>
    </w:p>
    <w:p w:rsidRPr="00461C10" w:rsidR="003602C0" w:rsidP="009B2609" w:rsidRDefault="00E13CD8" w14:paraId="0AAE49AD" w14:textId="519D86DF">
      <w:pPr>
        <w:pStyle w:val="Standard"/>
      </w:pPr>
      <w:r w:rsidRPr="00461C10">
        <w:t>The</w:t>
      </w:r>
      <w:r w:rsidRPr="00461C10" w:rsidR="00797D2C">
        <w:t xml:space="preserve"> adopted</w:t>
      </w:r>
      <w:r w:rsidRPr="00461C10">
        <w:t xml:space="preserve"> energization targets only focus on steps within </w:t>
      </w:r>
      <w:r w:rsidRPr="00461C10" w:rsidR="00CD1755">
        <w:t xml:space="preserve">the </w:t>
      </w:r>
      <w:r w:rsidRPr="00461C10" w:rsidR="00076276">
        <w:t xml:space="preserve">large electric </w:t>
      </w:r>
      <w:r w:rsidRPr="00461C10">
        <w:t xml:space="preserve">IOUs’ control, which </w:t>
      </w:r>
      <w:r w:rsidRPr="00461C10" w:rsidR="00076276">
        <w:t>can</w:t>
      </w:r>
      <w:r w:rsidRPr="00461C10">
        <w:t xml:space="preserve"> accelerate the overall energization process for customers and clarify the differences between utility and customer responsibilities. </w:t>
      </w:r>
      <w:r w:rsidRPr="00461C10" w:rsidR="00ED25D3">
        <w:t>For</w:t>
      </w:r>
      <w:r w:rsidRPr="00461C10" w:rsidR="00076276">
        <w:t xml:space="preserve"> Electric Rules 15, 16, 29, and 45</w:t>
      </w:r>
      <w:r w:rsidRPr="00461C10" w:rsidR="00A01891">
        <w:t xml:space="preserve">, the large electric IOUs are directed to complete </w:t>
      </w:r>
      <w:r w:rsidRPr="00461C10" w:rsidR="00FE144D">
        <w:t>steps in the</w:t>
      </w:r>
      <w:r w:rsidRPr="00461C10" w:rsidR="00DE752B">
        <w:t>ir control</w:t>
      </w:r>
      <w:r w:rsidRPr="00461C10" w:rsidR="00FE144D">
        <w:t xml:space="preserve"> for </w:t>
      </w:r>
      <w:r w:rsidRPr="00461C10" w:rsidR="00F70279">
        <w:t xml:space="preserve">energization </w:t>
      </w:r>
      <w:r w:rsidRPr="00461C10" w:rsidR="00945295">
        <w:t>projects</w:t>
      </w:r>
      <w:r w:rsidRPr="00461C10" w:rsidR="0065430D">
        <w:t xml:space="preserve"> that require</w:t>
      </w:r>
      <w:r w:rsidRPr="00461C10" w:rsidR="00D05169">
        <w:t xml:space="preserve"> work </w:t>
      </w:r>
      <w:r w:rsidRPr="00461C10" w:rsidR="00E93BCB">
        <w:t>associated with Electric</w:t>
      </w:r>
      <w:r w:rsidRPr="00461C10" w:rsidR="00945295">
        <w:t xml:space="preserve"> Rule 15</w:t>
      </w:r>
      <w:r w:rsidRPr="00461C10" w:rsidR="00E74B5C">
        <w:t xml:space="preserve">, </w:t>
      </w:r>
      <w:r w:rsidRPr="00461C10" w:rsidR="00945295">
        <w:t>16</w:t>
      </w:r>
      <w:r w:rsidRPr="00461C10" w:rsidR="00BC46F5">
        <w:t xml:space="preserve"> </w:t>
      </w:r>
      <w:r w:rsidRPr="00461C10" w:rsidR="00680394">
        <w:t>or</w:t>
      </w:r>
      <w:r w:rsidRPr="00461C10" w:rsidR="00E74B5C">
        <w:t xml:space="preserve"> </w:t>
      </w:r>
      <w:r w:rsidRPr="00461C10" w:rsidR="00B14478">
        <w:t>both</w:t>
      </w:r>
      <w:r w:rsidRPr="00461C10" w:rsidR="00E74B5C">
        <w:t xml:space="preserve"> tariffs</w:t>
      </w:r>
      <w:r w:rsidRPr="00461C10" w:rsidR="00E507AE">
        <w:t xml:space="preserve">. </w:t>
      </w:r>
      <w:r w:rsidRPr="00461C10" w:rsidR="00A502C2">
        <w:t>The</w:t>
      </w:r>
      <w:r w:rsidRPr="00461C10" w:rsidR="00E03592">
        <w:t xml:space="preserve"> decision also adopts</w:t>
      </w:r>
      <w:r w:rsidRPr="00461C10" w:rsidR="00A502C2">
        <w:t xml:space="preserve"> maximum </w:t>
      </w:r>
      <w:r w:rsidRPr="00461C10" w:rsidR="00D05169">
        <w:t xml:space="preserve">targets </w:t>
      </w:r>
      <w:r w:rsidRPr="00461C10" w:rsidR="00E03592">
        <w:t xml:space="preserve">that </w:t>
      </w:r>
      <w:r w:rsidRPr="00461C10" w:rsidR="00D05169">
        <w:t>vary by tariff</w:t>
      </w:r>
      <w:r w:rsidRPr="00461C10" w:rsidR="00A3482E">
        <w:t>.</w:t>
      </w:r>
      <w:r w:rsidRPr="00461C10" w:rsidR="002739BB">
        <w:t xml:space="preserve"> </w:t>
      </w:r>
      <w:r w:rsidRPr="00461C10" w:rsidR="00EF65F1">
        <w:t>T</w:t>
      </w:r>
      <w:r w:rsidRPr="00461C10" w:rsidR="002739BB">
        <w:t>he</w:t>
      </w:r>
      <w:r w:rsidRPr="00461C10" w:rsidR="004D0C92">
        <w:t xml:space="preserve"> average and maximum</w:t>
      </w:r>
      <w:r w:rsidRPr="00461C10" w:rsidR="002739BB">
        <w:t xml:space="preserve"> </w:t>
      </w:r>
      <w:r w:rsidRPr="00461C10" w:rsidR="00D65210">
        <w:t>tariff-based</w:t>
      </w:r>
      <w:r w:rsidRPr="00461C10" w:rsidR="004B5E4F">
        <w:t xml:space="preserve"> </w:t>
      </w:r>
      <w:r w:rsidRPr="00461C10" w:rsidR="00F267B5">
        <w:t xml:space="preserve">targets </w:t>
      </w:r>
      <w:r w:rsidRPr="00461C10" w:rsidR="00444711">
        <w:t>are intended to</w:t>
      </w:r>
      <w:r w:rsidRPr="00461C10" w:rsidR="00F267B5">
        <w:t xml:space="preserve"> </w:t>
      </w:r>
      <w:r w:rsidRPr="00461C10" w:rsidR="00EF65F1">
        <w:t>accelerate energization</w:t>
      </w:r>
      <w:r w:rsidRPr="00461C10" w:rsidR="005048DF">
        <w:t xml:space="preserve"> performance</w:t>
      </w:r>
      <w:r w:rsidRPr="00461C10" w:rsidR="00EF65F1">
        <w:t xml:space="preserve"> </w:t>
      </w:r>
      <w:r w:rsidRPr="00461C10" w:rsidR="004B5E4F">
        <w:t xml:space="preserve">for all </w:t>
      </w:r>
      <w:r w:rsidRPr="00461C10" w:rsidR="005048DF">
        <w:t>three</w:t>
      </w:r>
      <w:r w:rsidRPr="00461C10" w:rsidR="00F71646">
        <w:t xml:space="preserve"> large</w:t>
      </w:r>
      <w:r w:rsidRPr="00461C10" w:rsidR="005048DF">
        <w:t xml:space="preserve"> </w:t>
      </w:r>
      <w:r w:rsidRPr="00461C10" w:rsidR="005048DF">
        <w:lastRenderedPageBreak/>
        <w:t>IOUs.</w:t>
      </w:r>
      <w:r w:rsidRPr="00461C10" w:rsidR="10B056E6">
        <w:t xml:space="preserve"> </w:t>
      </w:r>
      <w:r w:rsidRPr="00461C10" w:rsidR="10B056E6">
        <w:rPr>
          <w:rFonts w:eastAsia="Book Antiqua" w:cs="Book Antiqua"/>
          <w:szCs w:val="26"/>
        </w:rPr>
        <w:t>This decision also adopts new reporting requirements to inform the Commission’s consideration of accelerating energization targets in the second phase of this proceeding and a mechanism for customers to report delays in the large electric IOUs’ completion of their energization requests to the Commission.</w:t>
      </w:r>
    </w:p>
    <w:p w:rsidRPr="00461C10" w:rsidR="00076276" w:rsidP="009B2609" w:rsidRDefault="003E582A" w14:paraId="1946D47E" w14:textId="62B1BC89">
      <w:pPr>
        <w:pStyle w:val="Standard"/>
      </w:pPr>
      <w:r w:rsidRPr="00461C10">
        <w:t xml:space="preserve">Regarding </w:t>
      </w:r>
      <w:r w:rsidRPr="00461C10" w:rsidR="00E6742B">
        <w:t xml:space="preserve">upstream </w:t>
      </w:r>
      <w:r w:rsidRPr="00461C10" w:rsidR="00DE4C0C">
        <w:t>capacity upgrade activities</w:t>
      </w:r>
      <w:r w:rsidRPr="00461C10">
        <w:t>,</w:t>
      </w:r>
      <w:r w:rsidRPr="00461C10" w:rsidR="005324CA">
        <w:t xml:space="preserve"> this decision adopts</w:t>
      </w:r>
      <w:r w:rsidRPr="00461C10" w:rsidR="001A3578">
        <w:t xml:space="preserve"> </w:t>
      </w:r>
      <w:r w:rsidRPr="00461C10" w:rsidR="00F44DE7">
        <w:t>timelines</w:t>
      </w:r>
      <w:r w:rsidRPr="00461C10" w:rsidR="00DB6921">
        <w:t xml:space="preserve"> instead of targets at this time</w:t>
      </w:r>
      <w:r w:rsidRPr="00461C10" w:rsidR="00952311">
        <w:t xml:space="preserve"> given the complexity of this work and the </w:t>
      </w:r>
      <w:r w:rsidRPr="00461C10" w:rsidR="00D86264">
        <w:t xml:space="preserve">lack of data submitted by </w:t>
      </w:r>
      <w:r w:rsidRPr="00461C10" w:rsidR="00900083">
        <w:t>large electric IOUs in this proceeding</w:t>
      </w:r>
      <w:r w:rsidRPr="00461C10" w:rsidR="00952311">
        <w:t xml:space="preserve">. </w:t>
      </w:r>
      <w:r w:rsidRPr="00461C10" w:rsidR="00E6742B">
        <w:t xml:space="preserve">Upstream capacity upgrades are associated with energization projects that require new infrastructure beyond the customer’s project site, such as new or upgraded circuits, upgraded substations, or a wholly new substation to support the new load. </w:t>
      </w:r>
    </w:p>
    <w:p w:rsidRPr="00461C10" w:rsidR="00B92A35" w:rsidP="009B2609" w:rsidRDefault="00E6742B" w14:paraId="32BF67F3" w14:textId="3C943560">
      <w:pPr>
        <w:pStyle w:val="Standard"/>
      </w:pPr>
      <w:r w:rsidRPr="00461C10">
        <w:t xml:space="preserve">The large electric IOUs </w:t>
      </w:r>
      <w:r w:rsidRPr="00461C10" w:rsidR="005324CA">
        <w:t xml:space="preserve">should </w:t>
      </w:r>
      <w:r w:rsidRPr="00461C10" w:rsidR="00A8493F">
        <w:t>utilize</w:t>
      </w:r>
      <w:r w:rsidRPr="00461C10" w:rsidR="00EB1710">
        <w:t xml:space="preserve"> the preliminary </w:t>
      </w:r>
      <w:r w:rsidRPr="00461C10">
        <w:t xml:space="preserve">upstream capacity </w:t>
      </w:r>
      <w:r w:rsidRPr="00461C10" w:rsidR="00EB1710">
        <w:t>timelines</w:t>
      </w:r>
      <w:r w:rsidRPr="00461C10" w:rsidR="00A8493F">
        <w:t xml:space="preserve"> </w:t>
      </w:r>
      <w:r w:rsidRPr="00461C10">
        <w:t xml:space="preserve">established in this decision </w:t>
      </w:r>
      <w:r w:rsidRPr="00461C10" w:rsidR="006B59A0">
        <w:t xml:space="preserve">to set expectations for </w:t>
      </w:r>
      <w:r w:rsidRPr="00461C10" w:rsidR="00F34EB6">
        <w:t xml:space="preserve">their workplans </w:t>
      </w:r>
      <w:r w:rsidRPr="00461C10" w:rsidR="00D41878">
        <w:t>regarding energi</w:t>
      </w:r>
      <w:r w:rsidRPr="00461C10" w:rsidR="00B74E4C">
        <w:t xml:space="preserve">zation projects that trigger </w:t>
      </w:r>
      <w:r w:rsidRPr="00461C10">
        <w:t>upstream</w:t>
      </w:r>
      <w:r w:rsidRPr="00461C10" w:rsidR="00F14662">
        <w:t xml:space="preserve"> capacity </w:t>
      </w:r>
      <w:r w:rsidRPr="00461C10">
        <w:t>upgrades</w:t>
      </w:r>
      <w:r w:rsidRPr="00461C10" w:rsidR="00F14662">
        <w:t>.</w:t>
      </w:r>
      <w:r w:rsidRPr="00461C10" w:rsidR="00DE4C0C">
        <w:t xml:space="preserve"> </w:t>
      </w:r>
      <w:r w:rsidRPr="00461C10" w:rsidR="003E582A">
        <w:t xml:space="preserve"> </w:t>
      </w:r>
    </w:p>
    <w:p w:rsidRPr="00461C10" w:rsidR="0073353F" w:rsidP="001D1428" w:rsidRDefault="00017A02" w14:paraId="171AB924" w14:textId="5E1C345D">
      <w:pPr>
        <w:pStyle w:val="Standard"/>
      </w:pPr>
      <w:r w:rsidRPr="00461C10">
        <w:t>T</w:t>
      </w:r>
      <w:r w:rsidRPr="00461C10" w:rsidR="002027BC">
        <w:t xml:space="preserve">he </w:t>
      </w:r>
      <w:r w:rsidRPr="00461C10" w:rsidR="00546ACB">
        <w:t xml:space="preserve">primary goals of this decision </w:t>
      </w:r>
      <w:r w:rsidRPr="00461C10" w:rsidR="00E6742B">
        <w:t>are to require</w:t>
      </w:r>
      <w:r w:rsidRPr="00461C10" w:rsidR="562E1B00">
        <w:t xml:space="preserve"> the </w:t>
      </w:r>
      <w:r w:rsidRPr="00461C10" w:rsidR="00592862">
        <w:t xml:space="preserve">large electric </w:t>
      </w:r>
      <w:r w:rsidRPr="00461C10" w:rsidR="005B0BBB">
        <w:t>IOUs</w:t>
      </w:r>
      <w:r w:rsidRPr="00461C10" w:rsidR="562E1B00">
        <w:t xml:space="preserve"> to</w:t>
      </w:r>
      <w:r w:rsidRPr="00461C10" w:rsidR="6868E7E7">
        <w:t xml:space="preserve">: </w:t>
      </w:r>
    </w:p>
    <w:p w:rsidRPr="00461C10" w:rsidR="0E35F868" w:rsidP="007B4742" w:rsidRDefault="00A85800" w14:paraId="32D39726" w14:textId="3F93FD85">
      <w:pPr>
        <w:pStyle w:val="ListBullet"/>
        <w:ind w:left="1080"/>
      </w:pPr>
      <w:r w:rsidRPr="00461C10">
        <w:t xml:space="preserve">Accelerate </w:t>
      </w:r>
      <w:r w:rsidRPr="00461C10" w:rsidR="006B5C49">
        <w:t xml:space="preserve">energization </w:t>
      </w:r>
      <w:r w:rsidRPr="00461C10" w:rsidR="005641DD">
        <w:t>of customers</w:t>
      </w:r>
      <w:r w:rsidRPr="00461C10" w:rsidR="0ED3E81E">
        <w:t>.</w:t>
      </w:r>
    </w:p>
    <w:p w:rsidRPr="00461C10" w:rsidR="04BAFC95" w:rsidP="007B4742" w:rsidRDefault="00A85800" w14:paraId="28E59ACF" w14:textId="4E239070">
      <w:pPr>
        <w:pStyle w:val="ListBullet"/>
        <w:ind w:left="1080"/>
      </w:pPr>
      <w:r w:rsidRPr="00461C10">
        <w:t>Increase</w:t>
      </w:r>
      <w:r w:rsidRPr="00461C10" w:rsidR="00E852FD">
        <w:t xml:space="preserve"> </w:t>
      </w:r>
      <w:r w:rsidRPr="00461C10" w:rsidR="19C0232C">
        <w:t xml:space="preserve">transparency </w:t>
      </w:r>
      <w:r w:rsidRPr="00461C10" w:rsidR="00E852FD">
        <w:t>a</w:t>
      </w:r>
      <w:r w:rsidRPr="00461C10" w:rsidR="00D775F6">
        <w:t>round</w:t>
      </w:r>
      <w:r w:rsidRPr="00461C10" w:rsidR="19C0232C">
        <w:t xml:space="preserve"> </w:t>
      </w:r>
      <w:r w:rsidRPr="00461C10" w:rsidR="00092949">
        <w:t>what steps</w:t>
      </w:r>
      <w:r w:rsidRPr="00461C10" w:rsidR="00210F65">
        <w:t xml:space="preserve"> of the energization process</w:t>
      </w:r>
      <w:r w:rsidRPr="00461C10" w:rsidR="00092949">
        <w:t xml:space="preserve"> are </w:t>
      </w:r>
      <w:r w:rsidRPr="00461C10" w:rsidR="0077030E">
        <w:t xml:space="preserve">in the utilities control and </w:t>
      </w:r>
      <w:r w:rsidRPr="00461C10" w:rsidR="19C0232C">
        <w:t>the time</w:t>
      </w:r>
      <w:r w:rsidRPr="00461C10" w:rsidR="00076276">
        <w:t xml:space="preserve"> necessary</w:t>
      </w:r>
      <w:r w:rsidRPr="00461C10" w:rsidR="00E22B36">
        <w:t xml:space="preserve"> </w:t>
      </w:r>
      <w:r w:rsidRPr="00461C10" w:rsidR="0077030E">
        <w:t xml:space="preserve">for </w:t>
      </w:r>
      <w:r w:rsidRPr="00461C10" w:rsidR="003377AF">
        <w:t xml:space="preserve">the </w:t>
      </w:r>
      <w:r w:rsidRPr="00461C10" w:rsidR="006B5C49">
        <w:t>large electric IOUs</w:t>
      </w:r>
      <w:r w:rsidRPr="00461C10" w:rsidR="19C0232C">
        <w:t xml:space="preserve"> </w:t>
      </w:r>
      <w:r w:rsidRPr="00461C10" w:rsidR="0077030E">
        <w:t>to</w:t>
      </w:r>
      <w:r w:rsidRPr="00461C10" w:rsidR="19C0232C">
        <w:t xml:space="preserve"> complete</w:t>
      </w:r>
      <w:r w:rsidRPr="00461C10" w:rsidR="00FD1980">
        <w:t xml:space="preserve"> the</w:t>
      </w:r>
      <w:r w:rsidRPr="00461C10" w:rsidR="19C0232C">
        <w:t xml:space="preserve"> steps</w:t>
      </w:r>
      <w:r w:rsidRPr="00461C10" w:rsidR="00F06E9E">
        <w:t xml:space="preserve"> in</w:t>
      </w:r>
      <w:r w:rsidRPr="00461C10" w:rsidR="19C0232C">
        <w:t xml:space="preserve"> </w:t>
      </w:r>
      <w:r w:rsidRPr="00461C10" w:rsidR="004D16E3">
        <w:t xml:space="preserve">customers’ </w:t>
      </w:r>
      <w:r w:rsidRPr="00461C10" w:rsidR="19C0232C">
        <w:t xml:space="preserve">energization </w:t>
      </w:r>
      <w:r w:rsidRPr="00461C10" w:rsidR="248DC058">
        <w:t>pr</w:t>
      </w:r>
      <w:r w:rsidRPr="00461C10" w:rsidR="38D132A0">
        <w:t>oject</w:t>
      </w:r>
      <w:r w:rsidRPr="00461C10" w:rsidR="00444EC4">
        <w:t xml:space="preserve"> request(s</w:t>
      </w:r>
      <w:r w:rsidRPr="00461C10" w:rsidR="005207B3">
        <w:t>).</w:t>
      </w:r>
    </w:p>
    <w:p w:rsidRPr="00461C10" w:rsidR="33DD0DBD" w:rsidP="007B4742" w:rsidRDefault="00353CC2" w14:paraId="6EDE3A48" w14:textId="33585F4D">
      <w:pPr>
        <w:pStyle w:val="ListBullet"/>
        <w:ind w:left="1080"/>
      </w:pPr>
      <w:r w:rsidRPr="00461C10">
        <w:t>Clarify</w:t>
      </w:r>
      <w:r w:rsidRPr="00461C10" w:rsidR="003A5669">
        <w:t xml:space="preserve"> the</w:t>
      </w:r>
      <w:r w:rsidRPr="00461C10" w:rsidR="00DE5AD0">
        <w:t xml:space="preserve"> process for customers to report energization delays </w:t>
      </w:r>
      <w:r w:rsidRPr="00461C10" w:rsidR="19C0232C">
        <w:t>to the California Public Utilities Commission.</w:t>
      </w:r>
      <w:r w:rsidRPr="00461C10" w:rsidR="0ED3E81E">
        <w:t xml:space="preserve">  </w:t>
      </w:r>
    </w:p>
    <w:p w:rsidRPr="00461C10" w:rsidR="006E092D" w:rsidP="006E092D" w:rsidRDefault="006E092D" w14:paraId="1136B6C4" w14:textId="6F1F4905">
      <w:pPr>
        <w:pStyle w:val="Standard"/>
      </w:pPr>
      <w:r w:rsidRPr="00461C10">
        <w:t>Rulemaking</w:t>
      </w:r>
      <w:r w:rsidRPr="00461C10" w:rsidR="00563C4F">
        <w:t> </w:t>
      </w:r>
      <w:r w:rsidRPr="00461C10">
        <w:t>24-</w:t>
      </w:r>
      <w:r w:rsidRPr="00461C10" w:rsidR="00B23945">
        <w:t>01-</w:t>
      </w:r>
      <w:r w:rsidRPr="00461C10">
        <w:t>018 remains open</w:t>
      </w:r>
      <w:r w:rsidRPr="00461C10" w:rsidR="00C67E18">
        <w:t xml:space="preserve"> as a venue</w:t>
      </w:r>
      <w:r w:rsidRPr="00461C10" w:rsidR="00FD1980">
        <w:t xml:space="preserve"> to address </w:t>
      </w:r>
      <w:r w:rsidRPr="00461C10" w:rsidR="00A400A8">
        <w:t>additional</w:t>
      </w:r>
      <w:r w:rsidRPr="00461C10" w:rsidR="00FD1980">
        <w:t xml:space="preserve"> issues </w:t>
      </w:r>
      <w:r w:rsidRPr="00461C10" w:rsidR="006B6679">
        <w:t>related to accelerating and improving energization timelines for utility customers</w:t>
      </w:r>
      <w:r w:rsidRPr="00461C10">
        <w:t>.</w:t>
      </w:r>
    </w:p>
    <w:p w:rsidRPr="00461C10" w:rsidR="005A148C" w:rsidP="00076276" w:rsidRDefault="002C7FE9" w14:paraId="7A71958C" w14:textId="1ABB0276">
      <w:pPr>
        <w:pStyle w:val="Heading1"/>
      </w:pPr>
      <w:bookmarkStart w:name="_Toc8123715" w:id="8"/>
      <w:bookmarkStart w:name="_Toc1002286201" w:id="9"/>
      <w:bookmarkStart w:name="_Toc177469337" w:id="10"/>
      <w:r w:rsidRPr="00461C10">
        <w:lastRenderedPageBreak/>
        <w:t>Background</w:t>
      </w:r>
      <w:bookmarkEnd w:id="8"/>
      <w:bookmarkEnd w:id="9"/>
      <w:bookmarkEnd w:id="10"/>
    </w:p>
    <w:p w:rsidRPr="00461C10" w:rsidR="0063491C" w:rsidP="00BB5C1C" w:rsidRDefault="0063491C" w14:paraId="6D4E4D2F" w14:textId="7DE30B8F">
      <w:pPr>
        <w:pStyle w:val="Heading2"/>
      </w:pPr>
      <w:bookmarkStart w:name="_Toc8123716" w:id="11"/>
      <w:bookmarkStart w:name="_Toc958250061" w:id="12"/>
      <w:bookmarkStart w:name="_Toc177469338" w:id="13"/>
      <w:r w:rsidRPr="00461C10">
        <w:t>Factual Background</w:t>
      </w:r>
      <w:bookmarkEnd w:id="11"/>
      <w:bookmarkEnd w:id="12"/>
      <w:bookmarkEnd w:id="13"/>
    </w:p>
    <w:p w:rsidRPr="00461C10" w:rsidR="0063491C" w:rsidP="006E6574" w:rsidRDefault="4A7F8FC4" w14:paraId="6FF3FB0F" w14:textId="0A90F1F9">
      <w:pPr>
        <w:pStyle w:val="Standard"/>
      </w:pPr>
      <w:r w:rsidRPr="00461C10">
        <w:t>The</w:t>
      </w:r>
      <w:r w:rsidRPr="00461C10" w:rsidR="00024718">
        <w:t xml:space="preserve"> </w:t>
      </w:r>
      <w:r w:rsidRPr="00461C10" w:rsidR="0067734E">
        <w:t xml:space="preserve">California Public Utilities </w:t>
      </w:r>
      <w:r w:rsidRPr="00461C10" w:rsidR="00024718">
        <w:t xml:space="preserve">Commission </w:t>
      </w:r>
      <w:r w:rsidRPr="00461C10" w:rsidR="0067734E">
        <w:t>(Commission)</w:t>
      </w:r>
      <w:r w:rsidRPr="00461C10" w:rsidR="00024718">
        <w:t xml:space="preserve"> issued</w:t>
      </w:r>
      <w:r w:rsidRPr="00461C10">
        <w:t xml:space="preserve"> Order Instituting </w:t>
      </w:r>
      <w:r w:rsidRPr="00461C10" w:rsidR="00C734B1">
        <w:t>Rulemaking (R.)</w:t>
      </w:r>
      <w:r w:rsidRPr="00461C10" w:rsidR="00BB5C1C">
        <w:t> </w:t>
      </w:r>
      <w:r w:rsidRPr="00461C10" w:rsidR="00C734B1">
        <w:t>24-01-018 on January</w:t>
      </w:r>
      <w:r w:rsidRPr="00461C10" w:rsidR="00B37200">
        <w:t> </w:t>
      </w:r>
      <w:r w:rsidRPr="00461C10" w:rsidR="00C734B1">
        <w:t>30, 2024</w:t>
      </w:r>
      <w:r w:rsidRPr="00461C10" w:rsidR="00592862">
        <w:t>,</w:t>
      </w:r>
      <w:r w:rsidRPr="00461C10" w:rsidR="002A73C6">
        <w:t xml:space="preserve"> to serve</w:t>
      </w:r>
      <w:r w:rsidRPr="00461C10" w:rsidR="00C734B1">
        <w:t xml:space="preserve"> </w:t>
      </w:r>
      <w:r w:rsidRPr="00461C10" w:rsidR="00024718">
        <w:t>as a venue for</w:t>
      </w:r>
      <w:r w:rsidRPr="00461C10" w:rsidR="00C734B1">
        <w:t xml:space="preserve"> the Commission to implement certain provisions of Senate Bill (SB)</w:t>
      </w:r>
      <w:r w:rsidRPr="00461C10" w:rsidR="00563C4F">
        <w:t> </w:t>
      </w:r>
      <w:r w:rsidRPr="00461C10" w:rsidR="00A15B8D">
        <w:t>410 and Assembly Bill (AB)</w:t>
      </w:r>
      <w:r w:rsidRPr="00461C10" w:rsidR="00B37200">
        <w:t> </w:t>
      </w:r>
      <w:r w:rsidRPr="00461C10" w:rsidR="00A15B8D">
        <w:t>50</w:t>
      </w:r>
      <w:r w:rsidRPr="00461C10" w:rsidR="002A73C6">
        <w:t>.</w:t>
      </w:r>
      <w:r w:rsidRPr="00461C10" w:rsidR="00D42ED0">
        <w:rPr>
          <w:rStyle w:val="FootnoteReference"/>
        </w:rPr>
        <w:footnoteReference w:id="2"/>
      </w:r>
      <w:r w:rsidRPr="00461C10" w:rsidR="00A15B8D">
        <w:t xml:space="preserve"> </w:t>
      </w:r>
      <w:r w:rsidRPr="00461C10" w:rsidR="002A73C6">
        <w:t xml:space="preserve">These bills </w:t>
      </w:r>
      <w:r w:rsidRPr="00461C10" w:rsidR="00A15B8D">
        <w:t xml:space="preserve">require the Commission to establish reasonable average and maximum target energization time periods and a procedure for customers to report energization delays to the Commission, along </w:t>
      </w:r>
      <w:r w:rsidRPr="00461C10" w:rsidR="006755A5">
        <w:t xml:space="preserve">with </w:t>
      </w:r>
      <w:r w:rsidRPr="00461C10" w:rsidR="00A15B8D">
        <w:t>other requirements.</w:t>
      </w:r>
      <w:r w:rsidRPr="00461C10" w:rsidR="000A09CA">
        <w:rPr>
          <w:rStyle w:val="FootnoteReference"/>
        </w:rPr>
        <w:footnoteReference w:id="3"/>
      </w:r>
      <w:r w:rsidRPr="00461C10" w:rsidR="00A15B8D">
        <w:t xml:space="preserve"> </w:t>
      </w:r>
      <w:r w:rsidRPr="00461C10" w:rsidR="00B37200">
        <w:t>SB </w:t>
      </w:r>
      <w:r w:rsidRPr="00461C10" w:rsidR="00F73052">
        <w:t xml:space="preserve">410 and </w:t>
      </w:r>
      <w:r w:rsidRPr="00461C10" w:rsidR="00B37200">
        <w:t>AB </w:t>
      </w:r>
      <w:r w:rsidRPr="00461C10" w:rsidR="00F73052">
        <w:t xml:space="preserve">50 authorize the Commission to modify or adjust the </w:t>
      </w:r>
      <w:r w:rsidRPr="00461C10" w:rsidR="009F4F11">
        <w:t>requirements</w:t>
      </w:r>
      <w:r w:rsidRPr="00461C10" w:rsidR="00F73052">
        <w:t xml:space="preserve"> considered in this </w:t>
      </w:r>
      <w:r w:rsidRPr="00461C10" w:rsidR="00976DDE">
        <w:t>r</w:t>
      </w:r>
      <w:r w:rsidRPr="00461C10" w:rsidR="00F73052">
        <w:t>ulemaking for utilities with 100,000 or fewer service connections in California.</w:t>
      </w:r>
      <w:r w:rsidRPr="00461C10" w:rsidR="002811C6">
        <w:rPr>
          <w:rStyle w:val="FootnoteReference"/>
        </w:rPr>
        <w:footnoteReference w:id="4"/>
      </w:r>
    </w:p>
    <w:p w:rsidRPr="00461C10" w:rsidR="007E04DC" w:rsidP="007E04DC" w:rsidRDefault="00F32EB8" w14:paraId="0A2BCF3D" w14:textId="77777777">
      <w:pPr>
        <w:pStyle w:val="Standard"/>
      </w:pPr>
      <w:r w:rsidRPr="00461C10">
        <w:t xml:space="preserve">R.24-01-018 intends to adopt energization targets </w:t>
      </w:r>
      <w:r w:rsidRPr="00461C10" w:rsidR="00A47469">
        <w:t xml:space="preserve">and timelines </w:t>
      </w:r>
      <w:r w:rsidRPr="00461C10">
        <w:t>and track the large electric investor-owned utilities (IOUs) compliance</w:t>
      </w:r>
      <w:r w:rsidRPr="00461C10" w:rsidR="00E6742B">
        <w:t>, while providing customers with more information about the timing of these targets and timelines and improve methods for the customer to communicate with the large electric IOUs and the Commission</w:t>
      </w:r>
      <w:r w:rsidRPr="00461C10">
        <w:t xml:space="preserve">. </w:t>
      </w:r>
      <w:r w:rsidRPr="00461C10" w:rsidR="00624051">
        <w:t>Prior to this decision, aside from the EV Infrastructure Rules</w:t>
      </w:r>
      <w:r w:rsidRPr="00461C10" w:rsidR="00E6742B">
        <w:t xml:space="preserve"> adopted in Resolution E-5247</w:t>
      </w:r>
      <w:r w:rsidRPr="00461C10" w:rsidR="00624051">
        <w:t xml:space="preserve">, investor-owned utilities were not held to specific timelines when energization requests were submitted. </w:t>
      </w:r>
      <w:r w:rsidRPr="00461C10" w:rsidR="002A73C6">
        <w:t xml:space="preserve">The </w:t>
      </w:r>
      <w:r w:rsidRPr="00461C10" w:rsidR="002A73C6">
        <w:lastRenderedPageBreak/>
        <w:t>Assigned Commissioner’s Scoping Memo and Ruling</w:t>
      </w:r>
      <w:r w:rsidRPr="00461C10" w:rsidR="00CC307C">
        <w:t xml:space="preserve"> </w:t>
      </w:r>
      <w:r w:rsidRPr="00461C10" w:rsidR="002A73C6">
        <w:t>outline</w:t>
      </w:r>
      <w:r w:rsidRPr="00461C10" w:rsidR="00E93FBC">
        <w:t>s</w:t>
      </w:r>
      <w:r w:rsidRPr="00461C10" w:rsidR="00F12C9F">
        <w:t xml:space="preserve"> two</w:t>
      </w:r>
      <w:r w:rsidRPr="00461C10" w:rsidR="00E62F70">
        <w:t> </w:t>
      </w:r>
      <w:r w:rsidRPr="00461C10" w:rsidR="00F12C9F">
        <w:t xml:space="preserve">Phases. </w:t>
      </w:r>
      <w:r w:rsidRPr="00461C10" w:rsidR="00743948">
        <w:t xml:space="preserve">This </w:t>
      </w:r>
      <w:r w:rsidRPr="00461C10" w:rsidR="00F12C9F">
        <w:t xml:space="preserve">Phase 1 </w:t>
      </w:r>
      <w:r w:rsidRPr="00461C10" w:rsidR="00743948">
        <w:t>decision</w:t>
      </w:r>
      <w:r w:rsidRPr="00461C10" w:rsidR="00F12C9F">
        <w:t xml:space="preserve"> focuses on s</w:t>
      </w:r>
      <w:r w:rsidRPr="00461C10" w:rsidR="00027308">
        <w:t>tatutory requirements that the Commission must enact by September</w:t>
      </w:r>
      <w:r w:rsidRPr="00461C10" w:rsidR="00B37200">
        <w:t> </w:t>
      </w:r>
      <w:r w:rsidRPr="00461C10" w:rsidR="00027308">
        <w:t xml:space="preserve">30, 2024. Phase 2 will focus on </w:t>
      </w:r>
      <w:r w:rsidRPr="00461C10" w:rsidR="00284F56">
        <w:t xml:space="preserve">other requirements of </w:t>
      </w:r>
      <w:r w:rsidRPr="00461C10" w:rsidR="00B37200">
        <w:t>SB </w:t>
      </w:r>
      <w:r w:rsidRPr="00461C10" w:rsidR="00284F56">
        <w:t xml:space="preserve">410 and </w:t>
      </w:r>
      <w:r w:rsidRPr="00461C10" w:rsidR="00B37200">
        <w:t>AB </w:t>
      </w:r>
      <w:r w:rsidRPr="00461C10" w:rsidR="00284F56">
        <w:t xml:space="preserve">50 </w:t>
      </w:r>
      <w:r w:rsidRPr="00461C10" w:rsidR="00743948">
        <w:t xml:space="preserve">that </w:t>
      </w:r>
      <w:r w:rsidRPr="00461C10" w:rsidR="008D4965">
        <w:t>do not have a</w:t>
      </w:r>
      <w:r w:rsidRPr="00461C10" w:rsidR="00743948">
        <w:t xml:space="preserve"> statutory</w:t>
      </w:r>
      <w:r w:rsidRPr="00461C10" w:rsidR="00284F56">
        <w:t xml:space="preserve"> deadline</w:t>
      </w:r>
      <w:r w:rsidRPr="00461C10" w:rsidR="00F7413E">
        <w:t xml:space="preserve"> and </w:t>
      </w:r>
      <w:r w:rsidRPr="00461C10" w:rsidR="0049654E">
        <w:t>explore improvements to the adopted timelines and targets</w:t>
      </w:r>
      <w:r w:rsidRPr="00461C10" w:rsidR="00A12D66">
        <w:t>.</w:t>
      </w:r>
      <w:r w:rsidRPr="00461C10" w:rsidR="008D4965">
        <w:t xml:space="preserve"> Other issues related to energization targets may be addressed in other Commission proceedings or in </w:t>
      </w:r>
      <w:r w:rsidRPr="00461C10" w:rsidR="00BE7232">
        <w:t>the</w:t>
      </w:r>
      <w:r w:rsidRPr="00461C10" w:rsidR="008D4965">
        <w:t xml:space="preserve"> second phase of this rulemaking.</w:t>
      </w:r>
    </w:p>
    <w:p w:rsidRPr="00461C10" w:rsidR="00E5243B" w:rsidP="007E04DC" w:rsidRDefault="000176A5" w14:paraId="4004C5F1" w14:textId="69E826F7">
      <w:pPr>
        <w:pStyle w:val="Heading2"/>
      </w:pPr>
      <w:r w:rsidRPr="00461C10" w:rsidDel="000176A5">
        <w:rPr>
          <w:rStyle w:val="FootnoteReference"/>
        </w:rPr>
        <w:t xml:space="preserve"> </w:t>
      </w:r>
      <w:bookmarkStart w:name="_Toc1427906002" w:id="14"/>
      <w:bookmarkStart w:name="_Toc177469339" w:id="15"/>
      <w:r w:rsidRPr="00461C10" w:rsidR="00B37200">
        <w:t>S</w:t>
      </w:r>
      <w:r w:rsidRPr="00461C10" w:rsidR="00573736">
        <w:t xml:space="preserve">enate </w:t>
      </w:r>
      <w:r w:rsidRPr="00461C10" w:rsidR="00B37200">
        <w:t>B</w:t>
      </w:r>
      <w:r w:rsidRPr="00461C10" w:rsidR="00573736">
        <w:t>ill</w:t>
      </w:r>
      <w:r w:rsidRPr="00461C10" w:rsidR="00B37200">
        <w:t> </w:t>
      </w:r>
      <w:r w:rsidRPr="00461C10" w:rsidR="00E5243B">
        <w:t>410</w:t>
      </w:r>
      <w:bookmarkEnd w:id="14"/>
      <w:bookmarkEnd w:id="15"/>
    </w:p>
    <w:p w:rsidRPr="00461C10" w:rsidR="003C6229" w:rsidP="003C6229" w:rsidRDefault="00B37200" w14:paraId="72A9AB90" w14:textId="589C8EC9">
      <w:pPr>
        <w:pStyle w:val="Standard"/>
      </w:pPr>
      <w:r w:rsidRPr="00461C10">
        <w:t>SB </w:t>
      </w:r>
      <w:r w:rsidRPr="00461C10" w:rsidR="003C6229">
        <w:t xml:space="preserve">410 </w:t>
      </w:r>
      <w:r w:rsidRPr="00461C10" w:rsidR="00113C35">
        <w:t xml:space="preserve">was </w:t>
      </w:r>
      <w:r w:rsidRPr="00461C10" w:rsidR="00697097">
        <w:t xml:space="preserve">signed into law </w:t>
      </w:r>
      <w:r w:rsidRPr="00461C10" w:rsidR="004F0FCC">
        <w:t xml:space="preserve">on October 7, 2023, </w:t>
      </w:r>
      <w:r w:rsidRPr="00461C10" w:rsidR="00B952CC">
        <w:t xml:space="preserve">as the Powering Up Californians </w:t>
      </w:r>
      <w:r w:rsidRPr="00461C10" w:rsidR="00A266E3">
        <w:t>Act</w:t>
      </w:r>
      <w:r w:rsidRPr="00461C10" w:rsidR="00B952CC">
        <w:t xml:space="preserve">. </w:t>
      </w:r>
      <w:r w:rsidRPr="00461C10" w:rsidR="0077642F">
        <w:t xml:space="preserve">It addresses </w:t>
      </w:r>
      <w:r w:rsidRPr="00461C10" w:rsidR="004A1BE1">
        <w:t xml:space="preserve">the </w:t>
      </w:r>
      <w:r w:rsidRPr="00461C10" w:rsidR="00613B86">
        <w:t>time necessary to complete customer</w:t>
      </w:r>
      <w:r w:rsidRPr="00461C10" w:rsidR="004A1BE1">
        <w:t xml:space="preserve"> energization requests, including </w:t>
      </w:r>
      <w:r w:rsidRPr="00461C10" w:rsidR="003A5661">
        <w:t>upgrades to the electric distribution system and the extension of new electric service</w:t>
      </w:r>
      <w:r w:rsidRPr="00461C10" w:rsidR="00872EB9">
        <w:t>.</w:t>
      </w:r>
      <w:r w:rsidRPr="00461C10" w:rsidR="00C464A3">
        <w:t xml:space="preserve"> The </w:t>
      </w:r>
      <w:r w:rsidRPr="00461C10" w:rsidR="00660177">
        <w:t xml:space="preserve">bill </w:t>
      </w:r>
      <w:r w:rsidRPr="00461C10" w:rsidR="002A73C6">
        <w:t>sought to</w:t>
      </w:r>
      <w:r w:rsidRPr="00461C10" w:rsidR="00660177">
        <w:t xml:space="preserve"> </w:t>
      </w:r>
      <w:r w:rsidRPr="00461C10" w:rsidR="004A4157">
        <w:t>identify the reason(s) for</w:t>
      </w:r>
      <w:r w:rsidRPr="00461C10" w:rsidR="00660177">
        <w:t xml:space="preserve"> delays customers of</w:t>
      </w:r>
      <w:r w:rsidRPr="00461C10" w:rsidR="005B0BBB">
        <w:t xml:space="preserve"> </w:t>
      </w:r>
      <w:r w:rsidRPr="00461C10" w:rsidR="004A4157">
        <w:t xml:space="preserve">large </w:t>
      </w:r>
      <w:r w:rsidRPr="00461C10" w:rsidR="00697097">
        <w:t xml:space="preserve">electric </w:t>
      </w:r>
      <w:r w:rsidRPr="00461C10" w:rsidR="00660177">
        <w:t xml:space="preserve">IOUs may face when </w:t>
      </w:r>
      <w:r w:rsidRPr="00461C10" w:rsidR="4A9545CF">
        <w:t>seeking</w:t>
      </w:r>
      <w:r w:rsidRPr="00461C10" w:rsidR="00660177">
        <w:t xml:space="preserve"> </w:t>
      </w:r>
      <w:r w:rsidRPr="00461C10" w:rsidR="00583401">
        <w:t xml:space="preserve">new </w:t>
      </w:r>
      <w:r w:rsidRPr="00461C10" w:rsidR="00A973E4">
        <w:t>or upgrade</w:t>
      </w:r>
      <w:r w:rsidRPr="00461C10" w:rsidR="004A4157">
        <w:t>d</w:t>
      </w:r>
      <w:r w:rsidRPr="00461C10" w:rsidR="00A973E4">
        <w:t xml:space="preserve"> electric </w:t>
      </w:r>
      <w:r w:rsidRPr="00461C10" w:rsidR="00660177">
        <w:t>service line</w:t>
      </w:r>
      <w:r w:rsidRPr="00461C10" w:rsidR="00A973E4">
        <w:t>s</w:t>
      </w:r>
      <w:r w:rsidRPr="00461C10" w:rsidR="00DD4BEC">
        <w:t>.</w:t>
      </w:r>
      <w:r w:rsidRPr="00461C10" w:rsidR="00422453">
        <w:rPr>
          <w:rStyle w:val="FootnoteReference"/>
        </w:rPr>
        <w:footnoteReference w:id="5"/>
      </w:r>
    </w:p>
    <w:p w:rsidRPr="00461C10" w:rsidR="003E40D4" w:rsidP="003C6229" w:rsidRDefault="00B37200" w14:paraId="70389E64" w14:textId="281042F5">
      <w:pPr>
        <w:pStyle w:val="Standard"/>
      </w:pPr>
      <w:r w:rsidRPr="00461C10">
        <w:t>SB </w:t>
      </w:r>
      <w:r w:rsidRPr="00461C10" w:rsidR="007301EC">
        <w:t xml:space="preserve">410 </w:t>
      </w:r>
      <w:r w:rsidRPr="00461C10" w:rsidR="00E75A04">
        <w:t xml:space="preserve">requires </w:t>
      </w:r>
      <w:r w:rsidRPr="00461C10" w:rsidR="00886A44">
        <w:t>the Commission to</w:t>
      </w:r>
      <w:r w:rsidRPr="00461C10" w:rsidR="00353CC2">
        <w:t xml:space="preserve">, no later than September 30, 2024, establish </w:t>
      </w:r>
      <w:r w:rsidRPr="00461C10" w:rsidR="00B17593">
        <w:t xml:space="preserve">the </w:t>
      </w:r>
      <w:r w:rsidRPr="00461C10" w:rsidR="00886A44">
        <w:t xml:space="preserve">average and maximum </w:t>
      </w:r>
      <w:r w:rsidRPr="00461C10" w:rsidR="00B17593">
        <w:t>time a</w:t>
      </w:r>
      <w:r w:rsidRPr="00461C10" w:rsidR="00CA7AD7">
        <w:t>n</w:t>
      </w:r>
      <w:r w:rsidRPr="00461C10" w:rsidR="00B17593">
        <w:t xml:space="preserve"> </w:t>
      </w:r>
      <w:r w:rsidRPr="00461C10" w:rsidR="00CA7AD7">
        <w:t xml:space="preserve">electric </w:t>
      </w:r>
      <w:r w:rsidRPr="00461C10" w:rsidR="00B17593">
        <w:t>IOU</w:t>
      </w:r>
      <w:r w:rsidRPr="00461C10" w:rsidR="005E1C28">
        <w:t xml:space="preserve"> </w:t>
      </w:r>
      <w:r w:rsidRPr="00461C10" w:rsidR="00B17593">
        <w:t xml:space="preserve">should take to complete a customer’s request to upgrade or have new electric service provided to their property. It also directs the Commission </w:t>
      </w:r>
      <w:r w:rsidRPr="00461C10" w:rsidR="006E77FB">
        <w:t>to</w:t>
      </w:r>
      <w:r w:rsidRPr="00461C10" w:rsidR="00CA7AD7">
        <w:t>, no later than September 30, 2024,</w:t>
      </w:r>
      <w:r w:rsidRPr="00461C10" w:rsidR="006E77FB">
        <w:t xml:space="preserve"> establish a method for customers to report instances when those </w:t>
      </w:r>
      <w:r w:rsidRPr="00461C10" w:rsidR="00CA7AD7">
        <w:t xml:space="preserve">energization </w:t>
      </w:r>
      <w:r w:rsidRPr="00461C10" w:rsidR="006E77FB">
        <w:t>targets are not met.</w:t>
      </w:r>
      <w:r w:rsidRPr="00461C10" w:rsidR="00E761B9">
        <w:rPr>
          <w:rStyle w:val="FootnoteReference"/>
        </w:rPr>
        <w:footnoteReference w:id="6"/>
      </w:r>
      <w:r w:rsidRPr="00461C10" w:rsidR="00611B2E">
        <w:t xml:space="preserve"> The bill recognizes that to meet</w:t>
      </w:r>
      <w:r w:rsidRPr="00461C10" w:rsidR="00175DF5">
        <w:t xml:space="preserve"> California’s</w:t>
      </w:r>
      <w:r w:rsidRPr="00461C10" w:rsidR="00611B2E">
        <w:t xml:space="preserve"> decarbonization </w:t>
      </w:r>
      <w:r w:rsidRPr="00461C10" w:rsidR="00611B2E">
        <w:lastRenderedPageBreak/>
        <w:t xml:space="preserve">goals, new customers must </w:t>
      </w:r>
      <w:r w:rsidRPr="00461C10" w:rsidR="00353CC2">
        <w:t xml:space="preserve">be </w:t>
      </w:r>
      <w:r w:rsidRPr="00461C10" w:rsidR="00611B2E">
        <w:t>promptly connect</w:t>
      </w:r>
      <w:r w:rsidRPr="00461C10" w:rsidR="00353CC2">
        <w:t>ed</w:t>
      </w:r>
      <w:r w:rsidRPr="00461C10" w:rsidR="00611B2E">
        <w:t xml:space="preserve"> to the electrical distribution system, and existing customers must have their service level upgraded</w:t>
      </w:r>
      <w:r w:rsidRPr="00461C10" w:rsidR="00573736">
        <w:t xml:space="preserve"> in a timely manner</w:t>
      </w:r>
      <w:r w:rsidRPr="00461C10" w:rsidR="00175DF5">
        <w:t>.</w:t>
      </w:r>
      <w:r w:rsidRPr="00461C10" w:rsidR="00611B2E">
        <w:rPr>
          <w:rStyle w:val="FootnoteReference"/>
        </w:rPr>
        <w:footnoteReference w:id="7"/>
      </w:r>
    </w:p>
    <w:p w:rsidRPr="00461C10" w:rsidR="00BB5C1C" w:rsidP="00BB5C1C" w:rsidRDefault="00B37200" w14:paraId="1D11D37B" w14:textId="5B26C0FE">
      <w:pPr>
        <w:pStyle w:val="Standard"/>
      </w:pPr>
      <w:r w:rsidRPr="00461C10">
        <w:t>SB </w:t>
      </w:r>
      <w:r w:rsidRPr="00461C10" w:rsidR="00BD3F94">
        <w:t xml:space="preserve">410 also </w:t>
      </w:r>
      <w:r w:rsidRPr="00461C10" w:rsidR="00A973E4">
        <w:t>mandate</w:t>
      </w:r>
      <w:r w:rsidRPr="00461C10" w:rsidR="00EB449B">
        <w:t>s</w:t>
      </w:r>
      <w:r w:rsidRPr="00461C10" w:rsidR="00BD3F94">
        <w:t xml:space="preserve"> the Commission to </w:t>
      </w:r>
      <w:r w:rsidRPr="00461C10" w:rsidR="00271E57">
        <w:t>direct the</w:t>
      </w:r>
      <w:r w:rsidRPr="00461C10" w:rsidR="00B17593">
        <w:t xml:space="preserve"> large</w:t>
      </w:r>
      <w:r w:rsidRPr="00461C10" w:rsidR="00271E57">
        <w:t xml:space="preserve"> </w:t>
      </w:r>
      <w:r w:rsidRPr="00461C10" w:rsidR="00A973E4">
        <w:t xml:space="preserve">electric </w:t>
      </w:r>
      <w:r w:rsidRPr="00461C10" w:rsidR="00271E57">
        <w:t xml:space="preserve">IOUs to </w:t>
      </w:r>
      <w:r w:rsidRPr="00461C10" w:rsidR="00457AB1">
        <w:t xml:space="preserve">improve </w:t>
      </w:r>
      <w:r w:rsidRPr="00461C10" w:rsidR="00A85BED">
        <w:t>energization planning to reduce the time necessary to complete upstream capacity projects</w:t>
      </w:r>
      <w:r w:rsidRPr="00461C10" w:rsidR="00981EDC">
        <w:t>,</w:t>
      </w:r>
      <w:r w:rsidRPr="00461C10" w:rsidR="00A85BED">
        <w:t xml:space="preserve"> distribution</w:t>
      </w:r>
      <w:r w:rsidRPr="00461C10" w:rsidR="00441FD6">
        <w:t xml:space="preserve"> upgrades</w:t>
      </w:r>
      <w:r w:rsidRPr="00461C10" w:rsidR="00981EDC">
        <w:t>,</w:t>
      </w:r>
      <w:r w:rsidRPr="00461C10" w:rsidR="00A85BED">
        <w:t xml:space="preserve"> and service extensions</w:t>
      </w:r>
      <w:r w:rsidRPr="00461C10" w:rsidR="00410C8D">
        <w:t>.</w:t>
      </w:r>
      <w:r w:rsidRPr="00461C10" w:rsidR="00410C8D">
        <w:rPr>
          <w:rStyle w:val="FootnoteReference"/>
        </w:rPr>
        <w:footnoteReference w:id="8"/>
      </w:r>
      <w:r w:rsidRPr="00461C10" w:rsidR="00D53681">
        <w:t xml:space="preserve"> Specifically, when </w:t>
      </w:r>
      <w:r w:rsidRPr="00461C10" w:rsidR="590D4A4B">
        <w:t xml:space="preserve">the large electric </w:t>
      </w:r>
      <w:r w:rsidRPr="00461C10" w:rsidR="00D53681">
        <w:t xml:space="preserve">IOUs are conducting their annual distribution planning process for Commission review, they are now required to consider </w:t>
      </w:r>
      <w:r w:rsidRPr="00461C10" w:rsidR="00780A2F">
        <w:t xml:space="preserve">(a) </w:t>
      </w:r>
      <w:r w:rsidRPr="00461C10" w:rsidR="2800FE38">
        <w:t>f</w:t>
      </w:r>
      <w:r w:rsidRPr="00461C10" w:rsidR="00780A2F">
        <w:t xml:space="preserve">ederal, </w:t>
      </w:r>
      <w:r w:rsidRPr="00461C10" w:rsidR="3BBB8C9A">
        <w:t>s</w:t>
      </w:r>
      <w:r w:rsidRPr="00461C10" w:rsidR="00780A2F">
        <w:t>tate, regional, and local air quality and decarbonization standards; (b)</w:t>
      </w:r>
      <w:r w:rsidRPr="00461C10" w:rsidR="0057467E">
        <w:t xml:space="preserve"> </w:t>
      </w:r>
      <w:r w:rsidRPr="00461C10" w:rsidR="45F0C5F0">
        <w:t>s</w:t>
      </w:r>
      <w:r w:rsidRPr="00461C10" w:rsidR="0057467E">
        <w:t>tate</w:t>
      </w:r>
      <w:r w:rsidRPr="00461C10" w:rsidR="00780A2F">
        <w:t xml:space="preserve"> </w:t>
      </w:r>
      <w:r w:rsidRPr="00461C10" w:rsidR="0057467E">
        <w:t>transportation and building electrification requirements; (c)</w:t>
      </w:r>
      <w:r w:rsidRPr="00461C10" w:rsidR="009A02D1">
        <w:t xml:space="preserve"> </w:t>
      </w:r>
      <w:r w:rsidRPr="00461C10" w:rsidR="692A04A8">
        <w:t>s</w:t>
      </w:r>
      <w:r w:rsidRPr="00461C10" w:rsidR="009A02D1">
        <w:t>tate and local housing and economic development plans</w:t>
      </w:r>
      <w:r w:rsidRPr="00461C10" w:rsidR="00EB57EF">
        <w:t>, especially those related to electrification of critical facilities, transportation infrastructure</w:t>
      </w:r>
      <w:r w:rsidRPr="00461C10" w:rsidR="00553940">
        <w:t>,</w:t>
      </w:r>
      <w:r w:rsidRPr="00461C10" w:rsidR="00EB57EF">
        <w:t xml:space="preserve"> and bui</w:t>
      </w:r>
      <w:r w:rsidRPr="00461C10" w:rsidR="00553940">
        <w:t xml:space="preserve">lding infrastructure; (d) known load and projections of load identified by the California Energy Commission (CEC); and </w:t>
      </w:r>
      <w:r w:rsidRPr="00461C10" w:rsidR="00B76B9E">
        <w:t>(e) any identified load that may exceed the projected load identified by the CEC.</w:t>
      </w:r>
      <w:r w:rsidRPr="00461C10" w:rsidR="00B76B9E">
        <w:rPr>
          <w:rStyle w:val="FootnoteReference"/>
        </w:rPr>
        <w:footnoteReference w:id="9"/>
      </w:r>
    </w:p>
    <w:p w:rsidRPr="00461C10" w:rsidR="00C43AC5" w:rsidP="00BB5C1C" w:rsidRDefault="00C43AC5" w14:paraId="0BB53536" w14:textId="32B53EC1">
      <w:pPr>
        <w:pStyle w:val="Standard"/>
      </w:pPr>
      <w:r w:rsidRPr="00461C10">
        <w:t xml:space="preserve">Separately, </w:t>
      </w:r>
      <w:r w:rsidRPr="00461C10" w:rsidR="00B37200">
        <w:t>SB </w:t>
      </w:r>
      <w:r w:rsidRPr="00461C10">
        <w:t xml:space="preserve">410 requires </w:t>
      </w:r>
      <w:r w:rsidRPr="00461C10" w:rsidR="005F4F94">
        <w:t xml:space="preserve">the Commission to ensure </w:t>
      </w:r>
      <w:r w:rsidRPr="00461C10" w:rsidR="001D15F6">
        <w:t xml:space="preserve">each large electric </w:t>
      </w:r>
      <w:r w:rsidRPr="00461C10" w:rsidR="005F4F94">
        <w:t>IOU</w:t>
      </w:r>
      <w:r w:rsidRPr="00461C10" w:rsidR="00981EDC">
        <w:t xml:space="preserve"> has a mechanism to recover </w:t>
      </w:r>
      <w:r w:rsidRPr="00461C10" w:rsidR="008B18DE">
        <w:t>costs</w:t>
      </w:r>
      <w:r w:rsidRPr="00461C10" w:rsidR="005175BD">
        <w:t xml:space="preserve"> necessary to comply</w:t>
      </w:r>
      <w:r w:rsidRPr="00461C10" w:rsidR="00A900AF">
        <w:t xml:space="preserve"> with the </w:t>
      </w:r>
      <w:r w:rsidRPr="00461C10" w:rsidR="6011F2CE">
        <w:t xml:space="preserve">bill’s </w:t>
      </w:r>
      <w:r w:rsidRPr="00461C10" w:rsidR="00A900AF">
        <w:t>findings</w:t>
      </w:r>
      <w:r w:rsidRPr="00461C10" w:rsidR="5FAA3829">
        <w:t>, requirements,</w:t>
      </w:r>
      <w:r w:rsidRPr="00461C10" w:rsidR="00A900AF">
        <w:t xml:space="preserve"> and  policies, </w:t>
      </w:r>
      <w:r w:rsidRPr="00461C10" w:rsidR="005175BD">
        <w:t>including</w:t>
      </w:r>
      <w:r w:rsidRPr="00461C10" w:rsidR="00A900AF">
        <w:t xml:space="preserve"> the energization targets</w:t>
      </w:r>
      <w:r w:rsidRPr="00461C10" w:rsidR="008E437E">
        <w:t xml:space="preserve"> and timelines</w:t>
      </w:r>
      <w:r w:rsidRPr="00461C10" w:rsidR="00A900AF">
        <w:t xml:space="preserve"> adopted in this decision</w:t>
      </w:r>
      <w:r w:rsidRPr="00461C10" w:rsidR="7E8AAFB2">
        <w:t>.</w:t>
      </w:r>
      <w:r w:rsidRPr="00461C10" w:rsidR="00A900AF">
        <w:rPr>
          <w:rStyle w:val="FootnoteReference"/>
        </w:rPr>
        <w:footnoteReference w:id="10"/>
      </w:r>
      <w:r w:rsidRPr="00461C10" w:rsidR="00A900AF">
        <w:t xml:space="preserve"> If requested and deemed reasonable, the Commission should authorize a</w:t>
      </w:r>
      <w:r w:rsidRPr="00461C10" w:rsidR="008144A0">
        <w:t xml:space="preserve"> large electric</w:t>
      </w:r>
      <w:r w:rsidRPr="00461C10" w:rsidR="00A900AF">
        <w:t xml:space="preserve"> IOU’s request for a ratemaking mechanism to track and recover costs that exceed those approved in </w:t>
      </w:r>
      <w:r w:rsidRPr="00461C10" w:rsidR="008144A0">
        <w:t xml:space="preserve">the large </w:t>
      </w:r>
      <w:r w:rsidRPr="00461C10" w:rsidR="008144A0">
        <w:lastRenderedPageBreak/>
        <w:t xml:space="preserve">electric IOU’s </w:t>
      </w:r>
      <w:r w:rsidRPr="00461C10" w:rsidR="00A900AF">
        <w:t>General Rate Case.</w:t>
      </w:r>
      <w:r w:rsidRPr="00461C10" w:rsidR="00A900AF">
        <w:rPr>
          <w:rStyle w:val="FootnoteReference"/>
        </w:rPr>
        <w:footnoteReference w:id="11"/>
      </w:r>
      <w:r w:rsidRPr="00461C10" w:rsidR="00A900AF">
        <w:t xml:space="preserve"> The Commission’s review of a</w:t>
      </w:r>
      <w:r w:rsidRPr="00461C10" w:rsidR="005175BD">
        <w:t xml:space="preserve"> large electric</w:t>
      </w:r>
      <w:r w:rsidRPr="00461C10" w:rsidR="00A900AF">
        <w:t xml:space="preserve"> IOU’s request must occur within 180 days after the request is submitted. </w:t>
      </w:r>
      <w:r w:rsidRPr="00461C10" w:rsidR="008144A0">
        <w:t>SB</w:t>
      </w:r>
      <w:r w:rsidR="00C678ED">
        <w:t> </w:t>
      </w:r>
      <w:r w:rsidRPr="00461C10" w:rsidR="008144A0">
        <w:t>410 requires any</w:t>
      </w:r>
      <w:r w:rsidRPr="00461C10" w:rsidR="005F4F94">
        <w:t xml:space="preserve"> </w:t>
      </w:r>
      <w:r w:rsidRPr="00461C10" w:rsidR="008144A0">
        <w:t xml:space="preserve">large electric IOU </w:t>
      </w:r>
      <w:r w:rsidRPr="00461C10" w:rsidR="002C6603">
        <w:t xml:space="preserve">to </w:t>
      </w:r>
      <w:r w:rsidRPr="00461C10" w:rsidR="009854CC">
        <w:t xml:space="preserve">retain an independent </w:t>
      </w:r>
      <w:r w:rsidRPr="00461C10" w:rsidR="0022045F">
        <w:t>third-party auditor</w:t>
      </w:r>
      <w:r w:rsidRPr="00461C10" w:rsidR="002C6603">
        <w:t xml:space="preserve"> bef</w:t>
      </w:r>
      <w:r w:rsidRPr="00461C10" w:rsidR="00BB4A6D">
        <w:t xml:space="preserve">ore the Commission authorizes its </w:t>
      </w:r>
      <w:r w:rsidRPr="00461C10" w:rsidR="00394EA9">
        <w:t>proposed ratemaking mechanism. The third-party auditor “</w:t>
      </w:r>
      <w:r w:rsidRPr="00461C10" w:rsidR="0022045F">
        <w:t>shall be selected by the Commission based on nonbinding recommendations from the electrical corporation, to review the electrical corporation’s business practices and procedures for energizing new customers and how the electrical corporation is planning for demand growth, including new customer energizations.”</w:t>
      </w:r>
      <w:r w:rsidRPr="00461C10" w:rsidR="001C231D">
        <w:rPr>
          <w:rStyle w:val="FootnoteReference"/>
        </w:rPr>
        <w:footnoteReference w:id="12"/>
      </w:r>
      <w:r w:rsidRPr="00461C10" w:rsidR="001E04CE">
        <w:t xml:space="preserve"> </w:t>
      </w:r>
      <w:r w:rsidRPr="00461C10" w:rsidR="00E33D3C">
        <w:t xml:space="preserve">The </w:t>
      </w:r>
      <w:r w:rsidRPr="00461C10" w:rsidR="006DF313">
        <w:t>large electric IOUs shall not recover the</w:t>
      </w:r>
      <w:r w:rsidRPr="00461C10" w:rsidR="00E33D3C">
        <w:t xml:space="preserve"> costs of the third-party auditor from ratepayers.</w:t>
      </w:r>
      <w:r w:rsidRPr="00461C10" w:rsidR="00791981">
        <w:rPr>
          <w:rStyle w:val="FootnoteReference"/>
        </w:rPr>
        <w:footnoteReference w:id="13"/>
      </w:r>
      <w:r w:rsidRPr="00461C10" w:rsidR="0022045F">
        <w:t xml:space="preserve"> </w:t>
      </w:r>
    </w:p>
    <w:p w:rsidRPr="00461C10" w:rsidR="002E1510" w:rsidP="007E04DC" w:rsidRDefault="00B37200" w14:paraId="1EB41DA5" w14:textId="748D103C">
      <w:pPr>
        <w:pStyle w:val="Heading2"/>
      </w:pPr>
      <w:bookmarkStart w:name="_Toc1248735851" w:id="16"/>
      <w:bookmarkStart w:name="_Toc177469340" w:id="17"/>
      <w:r w:rsidRPr="00461C10">
        <w:t>A</w:t>
      </w:r>
      <w:r w:rsidRPr="00461C10" w:rsidR="00353CC2">
        <w:t xml:space="preserve">ssembly </w:t>
      </w:r>
      <w:r w:rsidRPr="00461C10">
        <w:t>B</w:t>
      </w:r>
      <w:r w:rsidRPr="00461C10" w:rsidR="00353CC2">
        <w:t>ill</w:t>
      </w:r>
      <w:r w:rsidRPr="00461C10">
        <w:t> </w:t>
      </w:r>
      <w:r w:rsidRPr="00461C10" w:rsidR="002E1510">
        <w:t>50</w:t>
      </w:r>
      <w:bookmarkEnd w:id="16"/>
      <w:bookmarkEnd w:id="17"/>
    </w:p>
    <w:p w:rsidRPr="00461C10" w:rsidR="00F15E41" w:rsidP="005E1C28" w:rsidRDefault="00B37200" w14:paraId="4F23EDE4" w14:textId="16443FCC">
      <w:pPr>
        <w:pStyle w:val="Standard"/>
        <w:ind w:firstLine="360"/>
      </w:pPr>
      <w:r w:rsidRPr="00461C10">
        <w:t>AB </w:t>
      </w:r>
      <w:r w:rsidRPr="00461C10" w:rsidR="001F680A">
        <w:t>50</w:t>
      </w:r>
      <w:r w:rsidRPr="00461C10" w:rsidR="007174CB">
        <w:t xml:space="preserve"> </w:t>
      </w:r>
      <w:r w:rsidRPr="00461C10" w:rsidR="00097659">
        <w:t xml:space="preserve">was signed into law </w:t>
      </w:r>
      <w:r w:rsidRPr="00461C10" w:rsidR="00E107F7">
        <w:t xml:space="preserve">on October 7, 2023, </w:t>
      </w:r>
      <w:r w:rsidRPr="00461C10" w:rsidR="00946D46">
        <w:t xml:space="preserve">and </w:t>
      </w:r>
      <w:r w:rsidRPr="00461C10" w:rsidR="007174CB">
        <w:t xml:space="preserve">requires the Commission to determine the criteria for timely </w:t>
      </w:r>
      <w:r w:rsidRPr="00461C10" w:rsidR="4FBA20AF">
        <w:t>energization</w:t>
      </w:r>
      <w:r w:rsidRPr="00461C10" w:rsidR="007174CB">
        <w:t xml:space="preserve"> for electric customers, including </w:t>
      </w:r>
      <w:r w:rsidRPr="00461C10" w:rsidR="007174CB">
        <w:lastRenderedPageBreak/>
        <w:t xml:space="preserve">among other things, </w:t>
      </w:r>
      <w:r w:rsidRPr="00461C10" w:rsidR="61990BF7">
        <w:t xml:space="preserve">categories of timely </w:t>
      </w:r>
      <w:r w:rsidRPr="00461C10" w:rsidR="00985269">
        <w:t>electric service</w:t>
      </w:r>
      <w:r w:rsidRPr="00461C10" w:rsidR="005630AA">
        <w:t xml:space="preserve"> </w:t>
      </w:r>
      <w:r w:rsidRPr="00461C10" w:rsidR="61990BF7">
        <w:t>through energization</w:t>
      </w:r>
      <w:r w:rsidRPr="00461C10" w:rsidR="00311A68">
        <w:t>.</w:t>
      </w:r>
      <w:r w:rsidRPr="00461C10" w:rsidR="00860848">
        <w:t xml:space="preserve"> </w:t>
      </w:r>
      <w:r w:rsidRPr="00461C10">
        <w:t>AB </w:t>
      </w:r>
      <w:r w:rsidRPr="00461C10" w:rsidR="61990BF7">
        <w:t>50 requires each electrical corporation that energized less than 35</w:t>
      </w:r>
      <w:r w:rsidRPr="00461C10" w:rsidR="00333072">
        <w:t> percent </w:t>
      </w:r>
      <w:r w:rsidRPr="00461C10" w:rsidR="4DAC31E4">
        <w:t>of customers with completed applications exceeding 12 months in duration by January 31, 2023, to submit a report to the Commission on or before December 1, 2024, demonstrating that the electrical corporation has energized 80</w:t>
      </w:r>
      <w:r w:rsidRPr="00461C10" w:rsidR="00333072">
        <w:t> percent</w:t>
      </w:r>
      <w:r w:rsidRPr="00461C10" w:rsidR="4DAC31E4">
        <w:t xml:space="preserve"> of </w:t>
      </w:r>
      <w:r w:rsidRPr="00461C10" w:rsidR="00E65259">
        <w:t xml:space="preserve">those </w:t>
      </w:r>
      <w:r w:rsidRPr="00461C10" w:rsidR="4DAC31E4">
        <w:t>customers with applications deemed complete as of January 31, 2023</w:t>
      </w:r>
      <w:r w:rsidRPr="00461C10" w:rsidR="00860848">
        <w:t xml:space="preserve">. </w:t>
      </w:r>
      <w:r w:rsidRPr="00461C10" w:rsidR="206C6567">
        <w:t>To impro</w:t>
      </w:r>
      <w:r w:rsidRPr="00461C10" w:rsidR="7F8E9F6C">
        <w:t>ve</w:t>
      </w:r>
      <w:r w:rsidRPr="00461C10" w:rsidR="4DAC31E4">
        <w:t xml:space="preserve"> the accuracy</w:t>
      </w:r>
      <w:r w:rsidRPr="00461C10" w:rsidR="4C548FFD">
        <w:t xml:space="preserve"> of projected demand and facilitate the goal of timely service through energization, </w:t>
      </w:r>
      <w:r w:rsidRPr="00461C10">
        <w:t>AB </w:t>
      </w:r>
      <w:r w:rsidRPr="00461C10" w:rsidR="4C548FFD">
        <w:t xml:space="preserve">50 requires each electrical corporation to evaluate and update, as necessary, its </w:t>
      </w:r>
      <w:r w:rsidRPr="00461C10" w:rsidR="738EE66F">
        <w:t>existing</w:t>
      </w:r>
      <w:r w:rsidRPr="00461C10" w:rsidR="4C548FFD">
        <w:t xml:space="preserve"> distribution planning processes.  </w:t>
      </w:r>
      <w:r w:rsidRPr="00461C10" w:rsidR="004B720C">
        <w:t>To</w:t>
      </w:r>
      <w:r w:rsidRPr="00461C10" w:rsidR="4C548FFD">
        <w:t xml:space="preserve"> inform the Commission’s determination of </w:t>
      </w:r>
      <w:r w:rsidRPr="00461C10" w:rsidR="5B462310">
        <w:t>criteria for</w:t>
      </w:r>
      <w:r w:rsidRPr="00461C10" w:rsidR="4C548FFD">
        <w:t xml:space="preserve"> timely </w:t>
      </w:r>
      <w:r w:rsidRPr="00461C10" w:rsidR="30DDEC22">
        <w:t xml:space="preserve">service, the bill requires the Commission to annually collect certain information from each electrical corporation until </w:t>
      </w:r>
      <w:r w:rsidRPr="00461C10" w:rsidR="4B700AE6">
        <w:t>the Commission establishes</w:t>
      </w:r>
      <w:r w:rsidRPr="00461C10" w:rsidR="30DDEC22">
        <w:t xml:space="preserve"> new reporting requirements.</w:t>
      </w:r>
      <w:r w:rsidRPr="00461C10" w:rsidR="4C548FFD">
        <w:t xml:space="preserve"> </w:t>
      </w:r>
      <w:r w:rsidRPr="00461C10" w:rsidR="00985269">
        <w:t xml:space="preserve"> </w:t>
      </w:r>
    </w:p>
    <w:p w:rsidRPr="00461C10" w:rsidR="00B508C5" w:rsidP="00FC20EE" w:rsidRDefault="00E65259" w14:paraId="00111D53" w14:textId="1DA5E5AA">
      <w:pPr>
        <w:pStyle w:val="Standard"/>
      </w:pPr>
      <w:r w:rsidRPr="00461C10">
        <w:t>Activities related to</w:t>
      </w:r>
      <w:r w:rsidRPr="00461C10" w:rsidR="00985269">
        <w:t xml:space="preserve"> </w:t>
      </w:r>
      <w:r w:rsidRPr="00461C10" w:rsidR="4CFF3B7F">
        <w:t>timely</w:t>
      </w:r>
      <w:r w:rsidRPr="00461C10" w:rsidR="63E937DD">
        <w:t xml:space="preserve"> </w:t>
      </w:r>
      <w:r w:rsidRPr="00461C10" w:rsidR="00985269">
        <w:t>electric service</w:t>
      </w:r>
      <w:r w:rsidRPr="00461C10" w:rsidR="005630AA">
        <w:t xml:space="preserve"> </w:t>
      </w:r>
      <w:r w:rsidRPr="00461C10" w:rsidR="615C5517">
        <w:t>through energization includ</w:t>
      </w:r>
      <w:r w:rsidRPr="00461C10" w:rsidR="4154B2B0">
        <w:t>e</w:t>
      </w:r>
      <w:r w:rsidRPr="00461C10" w:rsidR="615C5517">
        <w:t xml:space="preserve"> but </w:t>
      </w:r>
      <w:r w:rsidRPr="00461C10" w:rsidR="7340C91D">
        <w:t>are</w:t>
      </w:r>
      <w:r w:rsidRPr="00461C10" w:rsidR="615C5517">
        <w:t xml:space="preserve"> not limited to</w:t>
      </w:r>
      <w:r w:rsidRPr="00461C10" w:rsidR="005630AA">
        <w:t xml:space="preserve"> (a) </w:t>
      </w:r>
      <w:r w:rsidRPr="00461C10" w:rsidR="1DEFDAFF">
        <w:t>the</w:t>
      </w:r>
      <w:r w:rsidRPr="00461C10" w:rsidR="30ED0093">
        <w:t xml:space="preserve"> timely start of service, and timely fulfillment of requests, for energization, including new service connections and increased load from existing service connections after a customer has submitted a request for new or increased electrical load</w:t>
      </w:r>
      <w:r w:rsidRPr="00461C10" w:rsidR="62842FAD">
        <w:t>;</w:t>
      </w:r>
      <w:r w:rsidRPr="00461C10" w:rsidR="00EB449B">
        <w:t xml:space="preserve"> and</w:t>
      </w:r>
      <w:r w:rsidRPr="00461C10" w:rsidR="005630AA">
        <w:t xml:space="preserve"> (b)</w:t>
      </w:r>
      <w:r w:rsidRPr="00461C10" w:rsidR="0B87D58C">
        <w:t xml:space="preserve"> </w:t>
      </w:r>
      <w:r w:rsidRPr="00461C10" w:rsidR="7B90B743">
        <w:t xml:space="preserve">project types that justify unique or extended energization timelines. </w:t>
      </w:r>
    </w:p>
    <w:p w:rsidRPr="00461C10" w:rsidR="00F15E41" w:rsidP="00FC20EE" w:rsidRDefault="00A21485" w14:paraId="4B85682F" w14:textId="17F01294">
      <w:pPr>
        <w:pStyle w:val="Standard"/>
      </w:pPr>
      <w:r w:rsidRPr="00461C10">
        <w:t xml:space="preserve">Projects that may justify unique or longer energization timelines </w:t>
      </w:r>
      <w:r w:rsidRPr="00461C10" w:rsidR="00B508C5">
        <w:t>include, but are not limited to, those projects that require</w:t>
      </w:r>
      <w:r w:rsidRPr="00461C10" w:rsidR="7B90B743">
        <w:t xml:space="preserve"> substantial upstream capacity upgrades or substation upgrades</w:t>
      </w:r>
      <w:r w:rsidRPr="00461C10" w:rsidR="00B508C5">
        <w:t>;</w:t>
      </w:r>
      <w:r w:rsidRPr="00461C10" w:rsidR="7B90B743">
        <w:t xml:space="preserve"> unanticipated engineering or construction work</w:t>
      </w:r>
      <w:r w:rsidRPr="00461C10" w:rsidR="00B508C5">
        <w:t>;</w:t>
      </w:r>
      <w:r w:rsidRPr="00461C10" w:rsidR="7B90B743">
        <w:t xml:space="preserve"> or projects requiring energization of significant, unanticipated new load.</w:t>
      </w:r>
      <w:r w:rsidRPr="00461C10" w:rsidR="00985269">
        <w:rPr>
          <w:rStyle w:val="FootnoteReference"/>
        </w:rPr>
        <w:footnoteReference w:id="14"/>
      </w:r>
    </w:p>
    <w:p w:rsidRPr="00461C10" w:rsidR="7B90B743" w:rsidP="50DE7403" w:rsidRDefault="6A7A6071" w14:paraId="727BBF18" w14:textId="03DEC95D">
      <w:pPr>
        <w:pStyle w:val="Standard"/>
      </w:pPr>
      <w:r w:rsidRPr="00461C10">
        <w:lastRenderedPageBreak/>
        <w:t xml:space="preserve">To improve the accuracy of projected demand, </w:t>
      </w:r>
      <w:r w:rsidRPr="00461C10" w:rsidR="00946D46">
        <w:t xml:space="preserve">AB 50 directs </w:t>
      </w:r>
      <w:r w:rsidRPr="00461C10">
        <w:t xml:space="preserve">each </w:t>
      </w:r>
      <w:r w:rsidRPr="00461C10" w:rsidR="0AE88214">
        <w:t xml:space="preserve">large </w:t>
      </w:r>
      <w:r w:rsidRPr="00461C10">
        <w:t xml:space="preserve">electric </w:t>
      </w:r>
      <w:r w:rsidRPr="00461C10" w:rsidR="50163E8D">
        <w:t>IOU</w:t>
      </w:r>
      <w:r w:rsidRPr="00461C10">
        <w:t xml:space="preserve"> </w:t>
      </w:r>
      <w:r w:rsidRPr="00461C10" w:rsidR="00092031">
        <w:t xml:space="preserve">to </w:t>
      </w:r>
      <w:r w:rsidRPr="00461C10">
        <w:t>have annual meetings with interested parties and experts in customer energization, including</w:t>
      </w:r>
      <w:r w:rsidRPr="00461C10" w:rsidR="00092031">
        <w:t>, but not limited to,</w:t>
      </w:r>
      <w:r w:rsidRPr="00461C10">
        <w:t xml:space="preserve"> representatives from local governmen</w:t>
      </w:r>
      <w:r w:rsidRPr="00461C10" w:rsidR="004758B9">
        <w:t>t</w:t>
      </w:r>
      <w:r w:rsidRPr="00461C10">
        <w:t>s and relevant county staff for ea</w:t>
      </w:r>
      <w:r w:rsidRPr="00461C10" w:rsidR="610F4E5C">
        <w:t xml:space="preserve">ch interested </w:t>
      </w:r>
      <w:r w:rsidRPr="00461C10" w:rsidR="00946D46">
        <w:t>local,</w:t>
      </w:r>
      <w:r w:rsidRPr="00461C10" w:rsidR="00F657AB">
        <w:t xml:space="preserve"> regional, and/or</w:t>
      </w:r>
      <w:r w:rsidRPr="00461C10" w:rsidR="00946D46">
        <w:t xml:space="preserve"> </w:t>
      </w:r>
      <w:r w:rsidRPr="00461C10" w:rsidR="610F4E5C">
        <w:t>county</w:t>
      </w:r>
      <w:r w:rsidRPr="00461C10" w:rsidR="00946D46">
        <w:t xml:space="preserve"> government</w:t>
      </w:r>
      <w:r w:rsidRPr="00461C10" w:rsidR="610F4E5C">
        <w:t xml:space="preserve"> in its service territory. These meetings should discuss customer service</w:t>
      </w:r>
      <w:r w:rsidRPr="00461C10" w:rsidR="00946D46">
        <w:t>;</w:t>
      </w:r>
      <w:r w:rsidRPr="00461C10" w:rsidR="610F4E5C">
        <w:t xml:space="preserve"> existing capacity</w:t>
      </w:r>
      <w:r w:rsidRPr="00461C10" w:rsidR="00946D46">
        <w:t>;</w:t>
      </w:r>
      <w:r w:rsidRPr="00461C10" w:rsidR="610F4E5C">
        <w:t xml:space="preserve"> planned capacity upgrades</w:t>
      </w:r>
      <w:r w:rsidRPr="00461C10" w:rsidR="00946D46">
        <w:t>;</w:t>
      </w:r>
      <w:r w:rsidRPr="00461C10" w:rsidR="610F4E5C">
        <w:t xml:space="preserve"> projected local demand</w:t>
      </w:r>
      <w:r w:rsidRPr="00461C10" w:rsidR="00946D46">
        <w:t>;</w:t>
      </w:r>
      <w:r w:rsidRPr="00461C10" w:rsidR="610F4E5C">
        <w:t xml:space="preserve"> local</w:t>
      </w:r>
      <w:r w:rsidRPr="00461C10" w:rsidR="00946D46">
        <w:t xml:space="preserve">, regional, </w:t>
      </w:r>
      <w:r w:rsidRPr="00461C10" w:rsidR="00F657AB">
        <w:t>and/</w:t>
      </w:r>
      <w:r w:rsidRPr="00461C10" w:rsidR="00946D46">
        <w:t xml:space="preserve">or </w:t>
      </w:r>
      <w:r w:rsidRPr="00461C10" w:rsidR="00F657AB">
        <w:t>county</w:t>
      </w:r>
      <w:r w:rsidRPr="00461C10" w:rsidR="610F4E5C">
        <w:t xml:space="preserve"> development plans</w:t>
      </w:r>
      <w:r w:rsidRPr="00461C10" w:rsidR="00946D46">
        <w:t>;</w:t>
      </w:r>
      <w:r w:rsidRPr="00461C10" w:rsidR="610F4E5C">
        <w:t xml:space="preserve"> significant delays in customer energization in </w:t>
      </w:r>
      <w:r w:rsidRPr="00461C10" w:rsidR="00946D46">
        <w:t xml:space="preserve">local, </w:t>
      </w:r>
      <w:r w:rsidRPr="00461C10" w:rsidR="00F657AB">
        <w:t xml:space="preserve">regional and/or </w:t>
      </w:r>
      <w:r w:rsidRPr="00461C10" w:rsidR="610F4E5C">
        <w:t>county</w:t>
      </w:r>
      <w:r w:rsidRPr="00461C10" w:rsidR="00946D46">
        <w:t>;</w:t>
      </w:r>
      <w:r w:rsidRPr="00461C10" w:rsidR="610F4E5C">
        <w:t xml:space="preserve"> distribution planning</w:t>
      </w:r>
      <w:r w:rsidRPr="00461C10" w:rsidR="00946D46">
        <w:t>;</w:t>
      </w:r>
      <w:r w:rsidRPr="00461C10" w:rsidR="610F4E5C">
        <w:t xml:space="preserve"> ex</w:t>
      </w:r>
      <w:r w:rsidRPr="00461C10" w:rsidR="7A3FF4FB">
        <w:t>isting workflows</w:t>
      </w:r>
      <w:r w:rsidRPr="00461C10" w:rsidR="00946D46">
        <w:t>;</w:t>
      </w:r>
      <w:r w:rsidRPr="00461C10" w:rsidR="7A3FF4FB">
        <w:t xml:space="preserve"> and potential improvements to planning, timelines, processes, customer communication</w:t>
      </w:r>
      <w:r w:rsidRPr="00461C10" w:rsidR="008B5836">
        <w:t>,</w:t>
      </w:r>
      <w:r w:rsidRPr="00461C10" w:rsidR="7A3FF4FB">
        <w:t xml:space="preserve"> and </w:t>
      </w:r>
      <w:r w:rsidRPr="00461C10" w:rsidR="008B5836">
        <w:t xml:space="preserve">customer </w:t>
      </w:r>
      <w:r w:rsidRPr="00461C10" w:rsidR="7A3FF4FB">
        <w:t>education.</w:t>
      </w:r>
      <w:r w:rsidRPr="00461C10" w:rsidR="7B90B743">
        <w:rPr>
          <w:rStyle w:val="FootnoteReference"/>
        </w:rPr>
        <w:footnoteReference w:id="15"/>
      </w:r>
    </w:p>
    <w:p w:rsidRPr="00461C10" w:rsidR="222F2B51" w:rsidP="222F2B51" w:rsidRDefault="59A44DA6" w14:paraId="758E2AFB" w14:textId="6E3542F5">
      <w:pPr>
        <w:pStyle w:val="Standard"/>
      </w:pPr>
      <w:r w:rsidRPr="00461C10">
        <w:t xml:space="preserve">For </w:t>
      </w:r>
      <w:r w:rsidRPr="00461C10" w:rsidR="0096406F">
        <w:t xml:space="preserve">the </w:t>
      </w:r>
      <w:r w:rsidRPr="00461C10">
        <w:t>purposes of</w:t>
      </w:r>
      <w:r w:rsidRPr="00461C10" w:rsidR="00402ABA">
        <w:t xml:space="preserve"> </w:t>
      </w:r>
      <w:r w:rsidRPr="00461C10" w:rsidR="0096406F">
        <w:t xml:space="preserve">implementing </w:t>
      </w:r>
      <w:r w:rsidRPr="00461C10" w:rsidR="00640AB1">
        <w:t>AB 50</w:t>
      </w:r>
      <w:r w:rsidRPr="00461C10" w:rsidR="00B17593">
        <w:t>,</w:t>
      </w:r>
      <w:r w:rsidRPr="00461C10">
        <w:t xml:space="preserve"> “energization” and “energize” mean connecting customers to the electrical distribution grid and establishing adequate electrical distribution capacity</w:t>
      </w:r>
      <w:r w:rsidRPr="00461C10" w:rsidR="00B17593">
        <w:t xml:space="preserve">, </w:t>
      </w:r>
      <w:r w:rsidRPr="00461C10">
        <w:t xml:space="preserve">upgrading electrical distribution </w:t>
      </w:r>
      <w:r w:rsidRPr="00461C10" w:rsidR="00B17593">
        <w:t>and/</w:t>
      </w:r>
      <w:r w:rsidRPr="00461C10">
        <w:t>or</w:t>
      </w:r>
      <w:r w:rsidRPr="00461C10" w:rsidR="00B17593">
        <w:t xml:space="preserve"> increasing</w:t>
      </w:r>
      <w:r w:rsidRPr="00461C10">
        <w:t xml:space="preserve"> transmission capacity to provide electrical service for a new customer, or to provide upgraded electrical service to an existing customer. The determination of adequate electrical distribution capacity includes consideration of future load</w:t>
      </w:r>
      <w:r w:rsidR="00C94E48">
        <w:t>.</w:t>
      </w:r>
      <w:r w:rsidR="00C678ED">
        <w:t xml:space="preserve"> </w:t>
      </w:r>
      <w:r w:rsidRPr="00461C10" w:rsidR="00B17593">
        <w:t>As defined in Pub. Util. Code §</w:t>
      </w:r>
      <w:r w:rsidRPr="00461C10" w:rsidR="00823466">
        <w:t xml:space="preserve"> </w:t>
      </w:r>
      <w:r w:rsidRPr="00461C10" w:rsidR="00B17593">
        <w:t xml:space="preserve">931, </w:t>
      </w:r>
      <w:r w:rsidRPr="00461C10">
        <w:t>“</w:t>
      </w:r>
      <w:r w:rsidRPr="00461C10" w:rsidR="00B17593">
        <w:t>e</w:t>
      </w:r>
      <w:r w:rsidRPr="00461C10">
        <w:t>nergization” and “energize” do not include activities related to connecting electric</w:t>
      </w:r>
      <w:r w:rsidRPr="00461C10" w:rsidR="00E25C36">
        <w:t>ity</w:t>
      </w:r>
      <w:r w:rsidRPr="00461C10">
        <w:t xml:space="preserve"> supply resources</w:t>
      </w:r>
      <w:r w:rsidRPr="00461C10" w:rsidR="005E1C28">
        <w:t xml:space="preserve">; </w:t>
      </w:r>
      <w:r w:rsidRPr="00461C10" w:rsidR="004B720C">
        <w:t>these terms instead</w:t>
      </w:r>
      <w:r w:rsidRPr="00461C10" w:rsidR="005E1C28">
        <w:t xml:space="preserve"> relate solely to the energization of new or upgraded electric service for end-use customers provided by an IOU</w:t>
      </w:r>
      <w:r w:rsidRPr="00461C10">
        <w:t>.</w:t>
      </w:r>
      <w:r w:rsidRPr="00461C10" w:rsidR="00B17593">
        <w:rPr>
          <w:rStyle w:val="FootnoteReference"/>
        </w:rPr>
        <w:footnoteReference w:id="16"/>
      </w:r>
    </w:p>
    <w:p w:rsidRPr="00461C10" w:rsidR="003F18AF" w:rsidP="00BB5C1C" w:rsidRDefault="003F18AF" w14:paraId="71FFCEFD" w14:textId="77777777">
      <w:pPr>
        <w:pStyle w:val="Heading2"/>
      </w:pPr>
      <w:bookmarkStart w:name="_Toc177469341" w:id="18"/>
      <w:r w:rsidRPr="00461C10">
        <w:lastRenderedPageBreak/>
        <w:t>Procedural Background</w:t>
      </w:r>
      <w:bookmarkEnd w:id="18"/>
    </w:p>
    <w:p w:rsidRPr="00461C10" w:rsidR="00EE3060" w:rsidP="5560DC97" w:rsidRDefault="00E35AB2" w14:paraId="07C022B0" w14:textId="31339F4F">
      <w:pPr>
        <w:pStyle w:val="Standard"/>
      </w:pPr>
      <w:r w:rsidRPr="00461C10">
        <w:t xml:space="preserve">R.24-01-018 determined that a prehearing conference on the near-term provisions raised in </w:t>
      </w:r>
      <w:r w:rsidRPr="00461C10" w:rsidR="00B37200">
        <w:t>SB </w:t>
      </w:r>
      <w:r w:rsidRPr="00461C10">
        <w:t xml:space="preserve">410 and </w:t>
      </w:r>
      <w:r w:rsidRPr="00461C10" w:rsidR="00B37200">
        <w:t>AB </w:t>
      </w:r>
      <w:r w:rsidRPr="00461C10">
        <w:t xml:space="preserve">50 was </w:t>
      </w:r>
      <w:r w:rsidRPr="00461C10" w:rsidR="3C220D73">
        <w:t>un</w:t>
      </w:r>
      <w:r w:rsidRPr="00461C10">
        <w:t>necessary.</w:t>
      </w:r>
      <w:r w:rsidRPr="00461C10" w:rsidR="009A718C">
        <w:rPr>
          <w:rStyle w:val="FootnoteReference"/>
        </w:rPr>
        <w:footnoteReference w:id="17"/>
      </w:r>
      <w:r w:rsidRPr="00461C10">
        <w:t xml:space="preserve"> </w:t>
      </w:r>
      <w:r w:rsidRPr="00461C10" w:rsidR="018CD11B">
        <w:t xml:space="preserve">The issues defined within Phase 2 of R.24-01-018 are not addressed in this decision. </w:t>
      </w:r>
    </w:p>
    <w:p w:rsidRPr="00461C10" w:rsidR="00EE3060" w:rsidP="5560DC97" w:rsidRDefault="00E35AB2" w14:paraId="7BB87324" w14:textId="74CAB0B8">
      <w:pPr>
        <w:pStyle w:val="Standard"/>
      </w:pPr>
      <w:r w:rsidRPr="00461C10">
        <w:t xml:space="preserve">The Commission’s Energy Division hosted a full-day workshop on February 2, 2024, to better define the scope of issues in this proceeding. A link to the full recording of the workshop and slides </w:t>
      </w:r>
      <w:r w:rsidRPr="00461C10" w:rsidR="00A147D5">
        <w:t xml:space="preserve">presented were incorporated into the record of this proceeding through </w:t>
      </w:r>
      <w:r w:rsidRPr="00461C10" w:rsidR="00402ABA">
        <w:t xml:space="preserve">an </w:t>
      </w:r>
      <w:r w:rsidRPr="00461C10" w:rsidR="00A147D5">
        <w:t xml:space="preserve">Administrative Law Judge (ALJ) </w:t>
      </w:r>
      <w:r w:rsidR="00C678ED">
        <w:t>R</w:t>
      </w:r>
      <w:r w:rsidRPr="00461C10" w:rsidR="00A147D5">
        <w:t>uling dated February 14, 2024.</w:t>
      </w:r>
    </w:p>
    <w:p w:rsidRPr="00461C10" w:rsidR="00250040" w:rsidP="004067FF" w:rsidRDefault="00A147D5" w14:paraId="29563FA0" w14:textId="24736F45">
      <w:pPr>
        <w:pStyle w:val="Standard"/>
      </w:pPr>
      <w:r w:rsidRPr="00461C10">
        <w:t>Opening comments on R.24-01-018</w:t>
      </w:r>
      <w:r w:rsidRPr="00461C10" w:rsidR="00AD08E5">
        <w:t xml:space="preserve"> were filed on February 20, 2024, by: Advanced Energy United (AEU)</w:t>
      </w:r>
      <w:r w:rsidRPr="00461C10" w:rsidR="00402ABA">
        <w:t>;</w:t>
      </w:r>
      <w:r w:rsidRPr="00461C10" w:rsidR="00AD08E5">
        <w:t xml:space="preserve"> California Broadband and Video Association (CalBroadband)</w:t>
      </w:r>
      <w:r w:rsidRPr="00461C10" w:rsidR="00402ABA">
        <w:t>;</w:t>
      </w:r>
      <w:r w:rsidRPr="00461C10" w:rsidR="00AD08E5">
        <w:t xml:space="preserve"> </w:t>
      </w:r>
      <w:r w:rsidRPr="00461C10" w:rsidR="006A0D83">
        <w:t>Cal Net, Inc (CalNet)</w:t>
      </w:r>
      <w:r w:rsidRPr="00461C10" w:rsidR="007D5EC6">
        <w:t>;</w:t>
      </w:r>
      <w:r w:rsidRPr="00461C10" w:rsidR="006A0D83">
        <w:t xml:space="preserve"> the Public Advocates Office at the California Public Utilities Commission (Cal Advocates)</w:t>
      </w:r>
      <w:r w:rsidRPr="00461C10" w:rsidR="00402ABA">
        <w:t>;</w:t>
      </w:r>
      <w:r w:rsidRPr="00461C10" w:rsidR="006A0D83">
        <w:t xml:space="preserve"> California Solar &amp; Storage Association (</w:t>
      </w:r>
      <w:r w:rsidRPr="00461C10" w:rsidR="00DD5AAD">
        <w:t>CALSSA)</w:t>
      </w:r>
      <w:r w:rsidRPr="00461C10" w:rsidR="007D5EC6">
        <w:t>;</w:t>
      </w:r>
      <w:r w:rsidRPr="00461C10" w:rsidR="00DD5AAD">
        <w:t xml:space="preserve"> CALSTART Inc. (CALSTART)</w:t>
      </w:r>
      <w:r w:rsidRPr="00461C10" w:rsidR="00D246AF">
        <w:t>;</w:t>
      </w:r>
      <w:r w:rsidRPr="00461C10" w:rsidR="00DD5AAD">
        <w:t xml:space="preserve"> California Association of Small and Multi-Jurisdictional</w:t>
      </w:r>
      <w:r w:rsidRPr="00461C10" w:rsidR="009F7754">
        <w:t xml:space="preserve"> Utilities (CASMU)</w:t>
      </w:r>
      <w:r w:rsidRPr="00461C10" w:rsidR="00D246AF">
        <w:t>;</w:t>
      </w:r>
      <w:r w:rsidRPr="00461C10" w:rsidR="009F7754">
        <w:t xml:space="preserve"> The Center for Biological Diversity (CBD)</w:t>
      </w:r>
      <w:r w:rsidRPr="00461C10" w:rsidR="007D5EC6">
        <w:t>;</w:t>
      </w:r>
      <w:r w:rsidRPr="00461C10" w:rsidR="009F7754">
        <w:t xml:space="preserve"> City and County of San Francisco (CCSF)</w:t>
      </w:r>
      <w:r w:rsidRPr="00461C10" w:rsidR="00D246AF">
        <w:t>;</w:t>
      </w:r>
      <w:r w:rsidRPr="00461C10" w:rsidR="009F7754">
        <w:t xml:space="preserve"> California Hydrogen Business Council (CHBC)</w:t>
      </w:r>
      <w:r w:rsidRPr="00461C10" w:rsidR="007D5EC6">
        <w:t>;</w:t>
      </w:r>
      <w:r w:rsidRPr="00461C10" w:rsidR="009F7754">
        <w:t xml:space="preserve"> </w:t>
      </w:r>
      <w:r w:rsidRPr="00461C10" w:rsidR="00106E84">
        <w:t xml:space="preserve">California Solar &amp; Storage Association; </w:t>
      </w:r>
      <w:r w:rsidRPr="00461C10" w:rsidR="009F7754">
        <w:t xml:space="preserve"> County of Los Angeles (CLA)</w:t>
      </w:r>
      <w:r w:rsidRPr="00461C10" w:rsidR="00D246AF">
        <w:t>;</w:t>
      </w:r>
      <w:r w:rsidRPr="00461C10" w:rsidR="009F7754">
        <w:t xml:space="preserve"> Clean Energy</w:t>
      </w:r>
      <w:r w:rsidRPr="00461C10" w:rsidR="007D5EC6">
        <w:t>;</w:t>
      </w:r>
      <w:r w:rsidRPr="00461C10" w:rsidR="001D0378">
        <w:t xml:space="preserve"> California Manufactures and Technology Association (CMTA)</w:t>
      </w:r>
      <w:r w:rsidRPr="00461C10" w:rsidR="00D246AF">
        <w:t>;</w:t>
      </w:r>
      <w:r w:rsidRPr="00461C10" w:rsidR="001D0378">
        <w:t xml:space="preserve"> Crown Castle Fiber LLC (Crown Castle)</w:t>
      </w:r>
      <w:r w:rsidRPr="00461C10" w:rsidR="007D5EC6">
        <w:t>;</w:t>
      </w:r>
      <w:r w:rsidRPr="00461C10" w:rsidR="001D0378">
        <w:t xml:space="preserve"> CTIA Wireless Association (CTIA)</w:t>
      </w:r>
      <w:r w:rsidRPr="00461C10" w:rsidR="00D246AF">
        <w:t>;</w:t>
      </w:r>
      <w:r w:rsidRPr="00461C10" w:rsidR="001D0378">
        <w:t xml:space="preserve"> </w:t>
      </w:r>
      <w:r w:rsidRPr="00461C10" w:rsidR="00742168">
        <w:t>Coalition of California Utility Employees</w:t>
      </w:r>
      <w:r w:rsidRPr="00461C10" w:rsidR="001D0378">
        <w:t xml:space="preserve"> (CUE)</w:t>
      </w:r>
      <w:r w:rsidRPr="00461C10" w:rsidR="00D246AF">
        <w:t>;</w:t>
      </w:r>
      <w:r w:rsidRPr="00461C10" w:rsidR="001D0378">
        <w:t xml:space="preserve"> Environmental Defense Fund and Natural </w:t>
      </w:r>
      <w:r w:rsidRPr="00461C10" w:rsidR="001E2E12">
        <w:t xml:space="preserve">Resources Defense Council </w:t>
      </w:r>
      <w:r w:rsidRPr="00461C10" w:rsidR="001E2E12">
        <w:lastRenderedPageBreak/>
        <w:t>(EDF</w:t>
      </w:r>
      <w:r w:rsidRPr="00461C10" w:rsidR="545D517D">
        <w:t>/</w:t>
      </w:r>
      <w:r w:rsidRPr="00461C10" w:rsidR="001E2E12">
        <w:t>NRDC)</w:t>
      </w:r>
      <w:r w:rsidRPr="00461C10" w:rsidR="00D246AF">
        <w:t>;</w:t>
      </w:r>
      <w:r w:rsidRPr="00461C10" w:rsidR="001E2E12">
        <w:t xml:space="preserve"> Enchanted Rock</w:t>
      </w:r>
      <w:r w:rsidRPr="00461C10" w:rsidR="00626897">
        <w:t>;</w:t>
      </w:r>
      <w:r w:rsidRPr="00461C10" w:rsidR="001E2E12">
        <w:t xml:space="preserve"> California Building Industry Association, the </w:t>
      </w:r>
      <w:r w:rsidRPr="00461C10" w:rsidR="00B613F0">
        <w:t>California Business Properties Association</w:t>
      </w:r>
      <w:r w:rsidRPr="00461C10" w:rsidR="00B8580B">
        <w:t xml:space="preserve"> and</w:t>
      </w:r>
      <w:r w:rsidRPr="00461C10" w:rsidR="00B613F0">
        <w:t xml:space="preserve"> </w:t>
      </w:r>
      <w:r w:rsidRPr="00461C10" w:rsidR="00B8580B">
        <w:t xml:space="preserve">the California </w:t>
      </w:r>
      <w:r w:rsidRPr="00461C10" w:rsidR="00752905">
        <w:t>Apartment Association (Industry Coalition)</w:t>
      </w:r>
      <w:r w:rsidRPr="00461C10" w:rsidR="00D246AF">
        <w:t xml:space="preserve">; </w:t>
      </w:r>
      <w:r w:rsidRPr="00461C10" w:rsidR="00752905">
        <w:t xml:space="preserve">ChargePoint, EVgo, FLO EV Charging, Electrify America, </w:t>
      </w:r>
      <w:r w:rsidRPr="00461C10" w:rsidR="0036102B">
        <w:t>and Tesla (Joint EV Industry Parties)</w:t>
      </w:r>
      <w:r w:rsidRPr="00461C10" w:rsidR="00D246AF">
        <w:t>;</w:t>
      </w:r>
      <w:r w:rsidRPr="00461C10" w:rsidDel="00D246AF" w:rsidR="00D246AF">
        <w:t xml:space="preserve"> </w:t>
      </w:r>
      <w:r w:rsidRPr="00461C10" w:rsidR="0036102B">
        <w:t xml:space="preserve"> Mainspring Energy, Inc. (</w:t>
      </w:r>
      <w:r w:rsidRPr="00461C10" w:rsidR="0019661F">
        <w:t>Mainspring)</w:t>
      </w:r>
      <w:r w:rsidRPr="00461C10" w:rsidR="00D246AF">
        <w:t>;</w:t>
      </w:r>
      <w:r w:rsidRPr="00461C10" w:rsidR="0019661F">
        <w:t xml:space="preserve"> Powering America’s Commercial Transportation (PACT)</w:t>
      </w:r>
      <w:r w:rsidRPr="00461C10" w:rsidR="00D246AF">
        <w:t>;</w:t>
      </w:r>
      <w:r w:rsidRPr="00461C10" w:rsidR="0019661F">
        <w:t xml:space="preserve"> Pacific Gas and Electric Company (PG&amp;E)</w:t>
      </w:r>
      <w:r w:rsidRPr="00461C10" w:rsidR="00D246AF">
        <w:t>;</w:t>
      </w:r>
      <w:r w:rsidRPr="00461C10" w:rsidR="0019661F">
        <w:t xml:space="preserve"> Pilot Travel Centers, LLC (PTC)</w:t>
      </w:r>
      <w:r w:rsidRPr="00461C10" w:rsidR="00D246AF">
        <w:t>;</w:t>
      </w:r>
      <w:r w:rsidRPr="00461C10" w:rsidR="00B022C8">
        <w:t xml:space="preserve"> Rural County Representatives of California (RCRC)</w:t>
      </w:r>
      <w:r w:rsidRPr="00461C10" w:rsidR="00D246AF">
        <w:t>;</w:t>
      </w:r>
      <w:r w:rsidRPr="00461C10" w:rsidR="00B022C8">
        <w:t xml:space="preserve"> Small Business </w:t>
      </w:r>
      <w:r w:rsidRPr="00461C10" w:rsidR="00AF1960">
        <w:t>Utility Advocates (SBUA)</w:t>
      </w:r>
      <w:r w:rsidRPr="00461C10" w:rsidR="00D246AF">
        <w:t>;</w:t>
      </w:r>
      <w:r w:rsidRPr="00461C10" w:rsidR="00AF1960">
        <w:t xml:space="preserve"> </w:t>
      </w:r>
      <w:r w:rsidRPr="00461C10" w:rsidR="00087C2C">
        <w:t xml:space="preserve">Solar Energy Industries Association (SEIA); </w:t>
      </w:r>
      <w:r w:rsidRPr="00461C10" w:rsidR="00AF1960">
        <w:t>Southern California Edison</w:t>
      </w:r>
      <w:r w:rsidRPr="00461C10" w:rsidR="007D5EC6">
        <w:t xml:space="preserve"> Company</w:t>
      </w:r>
      <w:r w:rsidRPr="00461C10" w:rsidR="00AF1960">
        <w:t xml:space="preserve"> (SCE)</w:t>
      </w:r>
      <w:r w:rsidRPr="00461C10" w:rsidR="00D246AF">
        <w:t>;</w:t>
      </w:r>
      <w:r w:rsidRPr="00461C10" w:rsidR="00AF1960">
        <w:t xml:space="preserve"> San Diego Gas &amp; Electric Company (SDG&amp;E)</w:t>
      </w:r>
      <w:r w:rsidRPr="00461C10" w:rsidR="00D246AF">
        <w:t>;</w:t>
      </w:r>
      <w:r w:rsidRPr="00461C10" w:rsidR="00AF1960">
        <w:t xml:space="preserve"> Terawatt Infrastructure (Terawatt)</w:t>
      </w:r>
      <w:r w:rsidRPr="00461C10" w:rsidR="00D246AF">
        <w:t>;</w:t>
      </w:r>
      <w:r w:rsidRPr="00461C10" w:rsidR="00AF1960">
        <w:t xml:space="preserve"> The Mobility House (TMH)</w:t>
      </w:r>
      <w:r w:rsidRPr="00461C10" w:rsidR="00D246AF">
        <w:t>;</w:t>
      </w:r>
      <w:r w:rsidRPr="00461C10" w:rsidR="00AF1960">
        <w:t xml:space="preserve"> Vehicle-Grid Integrations Council (VGIC)</w:t>
      </w:r>
      <w:r w:rsidRPr="00461C10" w:rsidR="00D246AF">
        <w:t>;</w:t>
      </w:r>
      <w:r w:rsidRPr="00461C10" w:rsidR="00F664A6">
        <w:t xml:space="preserve"> and Voltera Power, LLC (Voltera).</w:t>
      </w:r>
      <w:r w:rsidRPr="00461C10" w:rsidR="009D45CF">
        <w:t xml:space="preserve">  </w:t>
      </w:r>
    </w:p>
    <w:p w:rsidRPr="00461C10" w:rsidR="00F664A6" w:rsidP="006E6574" w:rsidRDefault="00AA6871" w14:paraId="55267896" w14:textId="1CCB4718">
      <w:pPr>
        <w:pStyle w:val="Standard"/>
      </w:pPr>
      <w:r w:rsidRPr="00461C10">
        <w:t>Reply comments</w:t>
      </w:r>
      <w:r w:rsidRPr="00461C10" w:rsidR="004067FF">
        <w:t xml:space="preserve"> on R.24-01-018</w:t>
      </w:r>
      <w:r w:rsidRPr="00461C10">
        <w:t xml:space="preserve"> were filed on March 1, 2024, by: CalBroadband, Cal Advocates, CALSTART, CMTA, Crown Castle, CTIA, CUE, EDF/NRDC, EV Realty, </w:t>
      </w:r>
      <w:r w:rsidRPr="00461C10" w:rsidR="00AA6ACF">
        <w:t>Industry Coalition, PACT, PG&amp;E, PTC, SBUA, SCE, SDG&amp;E, SEIA, VGI</w:t>
      </w:r>
      <w:r w:rsidRPr="00461C10" w:rsidR="007B1811">
        <w:t>C</w:t>
      </w:r>
      <w:r w:rsidRPr="00461C10" w:rsidR="00AA6ACF">
        <w:t>, and Voltera.</w:t>
      </w:r>
    </w:p>
    <w:p w:rsidRPr="00461C10" w:rsidR="00CC0BB1" w:rsidP="006E6574" w:rsidRDefault="00CC0BB1" w14:paraId="6119D507" w14:textId="1A2D3687">
      <w:pPr>
        <w:pStyle w:val="Standard"/>
      </w:pPr>
      <w:r w:rsidRPr="00461C10">
        <w:t>The Agricultural Energy Consumers Association, the Alliance for Automotive Innovation (Auto Innovators); the Alliance for Transportation Electrification (ATE); the Bay Area Housing Advocacy Coalition (Housing Advocacy Coalition); bp pulse; the California Community Choice Association (CalCCA); the Clean Coalition; Extenet Systems, LLC, Extenet Systems California, LLC, and Extenet Telecom Solutions, Inc (Extenet); the Interstate Renewable Energy Council (IREC); the Local Government Sustainable Energy Coalition (LGSEC); Peninsula Clean Energy (PCE); the San Francisco Bay Area Planning and Urban Research Association (SPUR); and Walmart were granted party status via ALJ Ruling.</w:t>
      </w:r>
    </w:p>
    <w:p w:rsidRPr="00461C10" w:rsidR="00110E21" w:rsidP="00100DB2" w:rsidRDefault="00267C24" w14:paraId="46E100A3" w14:textId="4C76294D">
      <w:pPr>
        <w:pStyle w:val="Standard"/>
      </w:pPr>
      <w:r w:rsidRPr="00461C10">
        <w:lastRenderedPageBreak/>
        <w:t>President Alice Reynold</w:t>
      </w:r>
      <w:r w:rsidRPr="00461C10" w:rsidR="00857128">
        <w:t>s</w:t>
      </w:r>
      <w:r w:rsidRPr="00461C10" w:rsidR="00402ABA">
        <w:t xml:space="preserve"> issued </w:t>
      </w:r>
      <w:r w:rsidRPr="00461C10" w:rsidR="3F1C35E9">
        <w:t>the</w:t>
      </w:r>
      <w:r w:rsidRPr="00461C10" w:rsidR="00402ABA">
        <w:t xml:space="preserve"> Assigned Commissioner’s </w:t>
      </w:r>
      <w:r w:rsidRPr="00461C10">
        <w:t xml:space="preserve">Scoping Memo and Ruling (Scoping Memo) on </w:t>
      </w:r>
      <w:r w:rsidRPr="00461C10" w:rsidR="00814F06">
        <w:t>March 28, 2024</w:t>
      </w:r>
      <w:r w:rsidRPr="00461C10" w:rsidR="00402ABA">
        <w:t>.</w:t>
      </w:r>
      <w:r w:rsidRPr="00461C10" w:rsidR="00C131CF">
        <w:t xml:space="preserve"> </w:t>
      </w:r>
      <w:r w:rsidRPr="00461C10" w:rsidR="00402ABA">
        <w:t>T</w:t>
      </w:r>
      <w:r w:rsidRPr="00461C10" w:rsidR="00C131CF">
        <w:t>he schedule</w:t>
      </w:r>
      <w:r w:rsidRPr="00461C10" w:rsidR="00402ABA">
        <w:t xml:space="preserve"> of the proceeding</w:t>
      </w:r>
      <w:r w:rsidRPr="00461C10" w:rsidR="00C131CF">
        <w:t xml:space="preserve"> was </w:t>
      </w:r>
      <w:r w:rsidRPr="00461C10" w:rsidR="00402ABA">
        <w:t xml:space="preserve">modified </w:t>
      </w:r>
      <w:r w:rsidRPr="00461C10" w:rsidR="00C131CF">
        <w:t>via an AL</w:t>
      </w:r>
      <w:r w:rsidRPr="00461C10" w:rsidR="00615075">
        <w:t>J</w:t>
      </w:r>
      <w:r w:rsidRPr="00461C10" w:rsidR="00563C4F">
        <w:t> </w:t>
      </w:r>
      <w:r w:rsidRPr="00461C10" w:rsidR="00615075">
        <w:t xml:space="preserve">ruling on </w:t>
      </w:r>
      <w:r w:rsidRPr="00461C10" w:rsidR="002B5388">
        <w:t>April 8, 2024.</w:t>
      </w:r>
      <w:r w:rsidRPr="00461C10" w:rsidR="00D246AF">
        <w:t xml:space="preserve"> The Scoping Memo directed parties to file opening comments no later than April 10, 2024, and reply comments not later than April 24, 2024. The April</w:t>
      </w:r>
      <w:r w:rsidR="002932C0">
        <w:t> </w:t>
      </w:r>
      <w:r w:rsidRPr="00461C10" w:rsidR="00D246AF">
        <w:t>8, 2024,</w:t>
      </w:r>
      <w:r w:rsidR="002932C0">
        <w:t> </w:t>
      </w:r>
      <w:r w:rsidRPr="00461C10" w:rsidR="00D246AF">
        <w:t>ALJ</w:t>
      </w:r>
      <w:r w:rsidR="002932C0">
        <w:t> </w:t>
      </w:r>
      <w:r w:rsidRPr="00461C10" w:rsidR="00D246AF">
        <w:t>ruling modified the schedule to allow opening comments to be filed and served on May 3, 2024, with replies due on May 17, 2024.</w:t>
      </w:r>
    </w:p>
    <w:p w:rsidRPr="00461C10" w:rsidR="00F67F9C" w:rsidP="006E6574" w:rsidRDefault="00402ABA" w14:paraId="6052BE27" w14:textId="4482E6DA">
      <w:pPr>
        <w:pStyle w:val="Standard"/>
      </w:pPr>
      <w:r w:rsidRPr="00461C10">
        <w:t>The following parties filed o</w:t>
      </w:r>
      <w:r w:rsidRPr="00461C10" w:rsidR="00F67F9C">
        <w:t xml:space="preserve">pening comments </w:t>
      </w:r>
      <w:r w:rsidRPr="00461C10" w:rsidR="009C27B8">
        <w:t>in response to guidance in the Scoping Memo</w:t>
      </w:r>
      <w:r w:rsidRPr="00461C10" w:rsidR="006849C6">
        <w:t xml:space="preserve"> and the April</w:t>
      </w:r>
      <w:r w:rsidR="002932C0">
        <w:t> </w:t>
      </w:r>
      <w:r w:rsidRPr="00461C10" w:rsidR="006849C6">
        <w:t>8, 2024,</w:t>
      </w:r>
      <w:r w:rsidR="002932C0">
        <w:t> </w:t>
      </w:r>
      <w:r w:rsidRPr="00461C10" w:rsidR="006849C6">
        <w:t>ALJ Ruling</w:t>
      </w:r>
      <w:r w:rsidRPr="00461C10" w:rsidR="009C27B8">
        <w:t xml:space="preserve"> </w:t>
      </w:r>
      <w:r w:rsidRPr="00461C10" w:rsidR="002B4D51">
        <w:t>on May 3, 2024</w:t>
      </w:r>
      <w:r w:rsidRPr="00461C10" w:rsidR="009C27B8">
        <w:t>:</w:t>
      </w:r>
      <w:r w:rsidRPr="00461C10" w:rsidR="002B4D51">
        <w:t xml:space="preserve"> </w:t>
      </w:r>
      <w:r w:rsidRPr="00461C10" w:rsidR="003039DE">
        <w:t>A</w:t>
      </w:r>
      <w:r w:rsidRPr="00461C10" w:rsidR="00626897">
        <w:t>uto Innovators</w:t>
      </w:r>
      <w:r w:rsidRPr="00461C10" w:rsidR="002B4D51">
        <w:t xml:space="preserve">, </w:t>
      </w:r>
      <w:r w:rsidRPr="00461C10" w:rsidR="00784C84">
        <w:t xml:space="preserve">ATE, </w:t>
      </w:r>
      <w:r w:rsidRPr="00461C10" w:rsidR="00360818">
        <w:t xml:space="preserve">AUE, </w:t>
      </w:r>
      <w:r w:rsidRPr="00461C10" w:rsidR="00F00625">
        <w:t xml:space="preserve">EDF/NRDC, </w:t>
      </w:r>
      <w:r w:rsidRPr="00461C10" w:rsidR="00105C07">
        <w:t xml:space="preserve">CalBroadband, </w:t>
      </w:r>
      <w:r w:rsidRPr="00461C10" w:rsidR="00AF72FE">
        <w:t xml:space="preserve">CalCCA, </w:t>
      </w:r>
      <w:r w:rsidRPr="00461C10" w:rsidR="006E54B6">
        <w:t xml:space="preserve">CALSTART, </w:t>
      </w:r>
      <w:r w:rsidRPr="00461C10" w:rsidR="002B0421">
        <w:t xml:space="preserve">CMTA, </w:t>
      </w:r>
      <w:r w:rsidRPr="00461C10" w:rsidR="001400CB">
        <w:t xml:space="preserve">Crown Castle, </w:t>
      </w:r>
      <w:r w:rsidRPr="00461C10" w:rsidR="004205FF">
        <w:t>CalSSA,</w:t>
      </w:r>
      <w:r w:rsidRPr="00461C10" w:rsidR="00800FAE">
        <w:t xml:space="preserve"> CTIA,</w:t>
      </w:r>
      <w:r w:rsidRPr="00461C10" w:rsidR="003E4D2A">
        <w:t xml:space="preserve"> </w:t>
      </w:r>
      <w:r w:rsidRPr="00461C10" w:rsidR="00F15F17">
        <w:t>Extene</w:t>
      </w:r>
      <w:r w:rsidRPr="00461C10" w:rsidR="00966043">
        <w:t>t</w:t>
      </w:r>
      <w:r w:rsidRPr="00461C10" w:rsidR="00CD31DE">
        <w:t xml:space="preserve">, </w:t>
      </w:r>
      <w:r w:rsidRPr="00461C10" w:rsidR="00DE48EA">
        <w:t>IREC</w:t>
      </w:r>
      <w:r w:rsidRPr="00461C10" w:rsidR="003E4D2A">
        <w:t>, Joint EV</w:t>
      </w:r>
      <w:r w:rsidRPr="00461C10" w:rsidR="00687300">
        <w:t xml:space="preserve"> Industry Parties, </w:t>
      </w:r>
      <w:r w:rsidRPr="00461C10" w:rsidR="00DF2742">
        <w:t>PACT,</w:t>
      </w:r>
      <w:r w:rsidRPr="00461C10" w:rsidR="004205FF">
        <w:t xml:space="preserve"> </w:t>
      </w:r>
      <w:r w:rsidRPr="00461C10" w:rsidR="00553877">
        <w:t xml:space="preserve">PG&amp;E, SCE, SDG&amp;E, </w:t>
      </w:r>
      <w:r w:rsidRPr="00461C10" w:rsidR="001732F5">
        <w:t>SEIA</w:t>
      </w:r>
      <w:r w:rsidRPr="00461C10" w:rsidR="00553877">
        <w:t>, Terawatt</w:t>
      </w:r>
      <w:r w:rsidRPr="00461C10" w:rsidR="00884F2E">
        <w:t>, VGIC, Voltera,</w:t>
      </w:r>
      <w:r w:rsidRPr="00461C10" w:rsidR="00B74485">
        <w:t xml:space="preserve"> and Walmart.</w:t>
      </w:r>
      <w:r w:rsidRPr="00461C10" w:rsidR="00DC64E7">
        <w:t xml:space="preserve"> Reply comments on the Scoping Memo were filed by </w:t>
      </w:r>
      <w:r w:rsidRPr="00461C10" w:rsidR="007C2026">
        <w:t>ATE</w:t>
      </w:r>
      <w:r w:rsidRPr="00461C10" w:rsidR="009A0436">
        <w:t xml:space="preserve">; </w:t>
      </w:r>
      <w:r w:rsidRPr="00461C10" w:rsidR="007C2026">
        <w:t>AUE</w:t>
      </w:r>
      <w:r w:rsidRPr="00461C10" w:rsidR="009A0436">
        <w:t>;</w:t>
      </w:r>
      <w:r w:rsidRPr="00461C10" w:rsidR="00DA2419">
        <w:t xml:space="preserve"> CALSTART</w:t>
      </w:r>
      <w:r w:rsidRPr="00461C10" w:rsidR="009A0436">
        <w:t>;</w:t>
      </w:r>
      <w:r w:rsidRPr="00461C10" w:rsidR="00DA2419">
        <w:t xml:space="preserve"> </w:t>
      </w:r>
      <w:r w:rsidRPr="00461C10" w:rsidR="001A074E">
        <w:t>the California Building Industry Association</w:t>
      </w:r>
      <w:r w:rsidRPr="00461C10" w:rsidR="009A0436">
        <w:t xml:space="preserve">, California Business Properties Association (CBPA), and the California Apartment Association (CAA); </w:t>
      </w:r>
      <w:r w:rsidRPr="00461C10" w:rsidR="00DA2419">
        <w:t>C</w:t>
      </w:r>
      <w:r w:rsidRPr="00461C10" w:rsidR="006452F4">
        <w:t>MTA</w:t>
      </w:r>
      <w:r w:rsidRPr="00461C10" w:rsidR="009A0436">
        <w:t>;</w:t>
      </w:r>
      <w:r w:rsidRPr="00461C10" w:rsidR="006452F4">
        <w:t xml:space="preserve"> CUE</w:t>
      </w:r>
      <w:r w:rsidRPr="00461C10" w:rsidR="009A0436">
        <w:t>;</w:t>
      </w:r>
      <w:r w:rsidRPr="00461C10" w:rsidR="006452F4">
        <w:t xml:space="preserve"> CalSSA</w:t>
      </w:r>
      <w:r w:rsidRPr="00461C10" w:rsidR="009A0436">
        <w:t>;</w:t>
      </w:r>
      <w:r w:rsidRPr="00461C10" w:rsidR="006452F4">
        <w:t xml:space="preserve"> CalBroadband</w:t>
      </w:r>
      <w:r w:rsidRPr="00461C10" w:rsidR="009A0436">
        <w:t>;</w:t>
      </w:r>
      <w:r w:rsidRPr="00461C10" w:rsidR="006452F4">
        <w:t xml:space="preserve"> Crown Castle</w:t>
      </w:r>
      <w:r w:rsidRPr="00461C10" w:rsidR="009A0436">
        <w:t>;</w:t>
      </w:r>
      <w:r w:rsidRPr="00461C10" w:rsidR="006452F4">
        <w:t xml:space="preserve"> </w:t>
      </w:r>
      <w:r w:rsidRPr="00461C10" w:rsidR="00C26C56">
        <w:t>CTIA</w:t>
      </w:r>
      <w:r w:rsidRPr="00461C10" w:rsidR="009A0436">
        <w:t>;</w:t>
      </w:r>
      <w:r w:rsidRPr="00461C10" w:rsidR="00C26C56">
        <w:t xml:space="preserve"> </w:t>
      </w:r>
      <w:r w:rsidRPr="00461C10" w:rsidR="006452F4">
        <w:t>EDF/NRDC</w:t>
      </w:r>
      <w:r w:rsidRPr="00461C10" w:rsidR="009A0436">
        <w:t>;</w:t>
      </w:r>
      <w:r w:rsidRPr="00461C10" w:rsidR="00EA5EB6">
        <w:t xml:space="preserve"> Industry Coalition</w:t>
      </w:r>
      <w:r w:rsidRPr="00461C10" w:rsidR="009A0436">
        <w:t>;</w:t>
      </w:r>
      <w:r w:rsidRPr="00461C10" w:rsidR="00EA5EB6">
        <w:t xml:space="preserve"> IREC</w:t>
      </w:r>
      <w:r w:rsidRPr="00461C10" w:rsidR="009A0436">
        <w:t>;</w:t>
      </w:r>
      <w:r w:rsidRPr="00461C10" w:rsidR="00A37E63">
        <w:t xml:space="preserve"> PACT; PG&amp;E; Pilot</w:t>
      </w:r>
      <w:r w:rsidRPr="00461C10" w:rsidR="004C1CDA">
        <w:t>; SCE; SDG&amp;E; SEIA</w:t>
      </w:r>
      <w:r w:rsidRPr="00461C10" w:rsidR="00BD3663">
        <w:t>; VGIC; and Voltera.</w:t>
      </w:r>
    </w:p>
    <w:p w:rsidRPr="00461C10" w:rsidR="00AC3B76" w:rsidP="006E6574" w:rsidRDefault="00AC3B76" w14:paraId="6D297843" w14:textId="1A31AECD">
      <w:pPr>
        <w:pStyle w:val="Standard"/>
      </w:pPr>
      <w:r w:rsidRPr="00461C10">
        <w:t xml:space="preserve">On June </w:t>
      </w:r>
      <w:r w:rsidRPr="00461C10" w:rsidR="008468F1">
        <w:t>6, 2024, the</w:t>
      </w:r>
      <w:r w:rsidRPr="00461C10" w:rsidR="009C27B8">
        <w:t xml:space="preserve"> assigned</w:t>
      </w:r>
      <w:r w:rsidRPr="00461C10" w:rsidR="008468F1">
        <w:t xml:space="preserve"> ALJs issued a ruling directing parties to respond to specific questions to </w:t>
      </w:r>
      <w:r w:rsidRPr="00461C10" w:rsidR="009C27B8">
        <w:t xml:space="preserve">build a more robust record related to </w:t>
      </w:r>
      <w:r w:rsidRPr="00461C10" w:rsidR="008468F1">
        <w:t xml:space="preserve">the </w:t>
      </w:r>
      <w:r w:rsidRPr="00461C10" w:rsidR="009C27B8">
        <w:t xml:space="preserve">energization related </w:t>
      </w:r>
      <w:r w:rsidRPr="00461C10" w:rsidR="008468F1">
        <w:t xml:space="preserve">processes that are outside of the </w:t>
      </w:r>
      <w:r w:rsidRPr="00461C10" w:rsidR="00A44245">
        <w:t xml:space="preserve">large electric IOUs’ </w:t>
      </w:r>
      <w:r w:rsidRPr="00461C10" w:rsidR="008468F1">
        <w:t>control</w:t>
      </w:r>
      <w:r w:rsidRPr="00461C10" w:rsidR="00E45E1E">
        <w:t xml:space="preserve">, including specific geographical issues </w:t>
      </w:r>
      <w:r w:rsidRPr="00461C10" w:rsidR="009C27B8">
        <w:t>and</w:t>
      </w:r>
      <w:r w:rsidRPr="00461C10" w:rsidR="00E45E1E">
        <w:t xml:space="preserve"> items that </w:t>
      </w:r>
      <w:r w:rsidRPr="00461C10" w:rsidR="003E4C77">
        <w:t>would fall under other authorities having jurisdiction (AHJ)</w:t>
      </w:r>
      <w:r w:rsidRPr="00461C10" w:rsidR="008468F1">
        <w:t>.</w:t>
      </w:r>
      <w:r w:rsidRPr="00461C10" w:rsidR="00BB5C1C">
        <w:t xml:space="preserve"> </w:t>
      </w:r>
      <w:r w:rsidRPr="00461C10" w:rsidR="00A44245">
        <w:t>Parties filed opening</w:t>
      </w:r>
      <w:r w:rsidRPr="00461C10" w:rsidR="004B675B">
        <w:t xml:space="preserve"> responses to this </w:t>
      </w:r>
      <w:r w:rsidRPr="00461C10" w:rsidR="004B675B">
        <w:lastRenderedPageBreak/>
        <w:t xml:space="preserve">ruling </w:t>
      </w:r>
      <w:r w:rsidRPr="00461C10" w:rsidR="00D56BB8">
        <w:t>on June 18,</w:t>
      </w:r>
      <w:r w:rsidRPr="00461C10" w:rsidR="005E1C28">
        <w:t xml:space="preserve"> 2024,</w:t>
      </w:r>
      <w:r w:rsidRPr="00461C10" w:rsidR="004B675B">
        <w:t xml:space="preserve"> and </w:t>
      </w:r>
      <w:r w:rsidRPr="00461C10" w:rsidR="00A44245">
        <w:t xml:space="preserve">provided </w:t>
      </w:r>
      <w:r w:rsidRPr="00461C10" w:rsidR="004B675B">
        <w:t xml:space="preserve">replies </w:t>
      </w:r>
      <w:r w:rsidRPr="00461C10" w:rsidR="00D56BB8">
        <w:t>on June</w:t>
      </w:r>
      <w:r w:rsidRPr="00461C10" w:rsidR="00563C4F">
        <w:t> </w:t>
      </w:r>
      <w:r w:rsidRPr="00461C10" w:rsidR="00D56BB8">
        <w:t>28, 2024</w:t>
      </w:r>
      <w:r w:rsidRPr="00461C10" w:rsidR="004B675B">
        <w:t>.</w:t>
      </w:r>
      <w:r w:rsidRPr="00461C10" w:rsidR="00D56BB8">
        <w:rPr>
          <w:rStyle w:val="FootnoteReference"/>
        </w:rPr>
        <w:footnoteReference w:id="18"/>
      </w:r>
      <w:r w:rsidRPr="00461C10" w:rsidR="00D56BB8">
        <w:t xml:space="preserve"> The ruling and the parties responses are incorporated into the record of this proceeding.</w:t>
      </w:r>
    </w:p>
    <w:p w:rsidRPr="00461C10" w:rsidR="00683B2C" w:rsidP="009F794F" w:rsidRDefault="00683B2C" w14:paraId="6E261FFD" w14:textId="77777777">
      <w:pPr>
        <w:pStyle w:val="Heading1"/>
      </w:pPr>
      <w:bookmarkStart w:name="_Toc1461210743" w:id="19"/>
      <w:bookmarkStart w:name="_Toc177469342" w:id="20"/>
      <w:r w:rsidRPr="00461C10">
        <w:t>Submission Date</w:t>
      </w:r>
      <w:bookmarkEnd w:id="19"/>
      <w:bookmarkEnd w:id="20"/>
    </w:p>
    <w:p w:rsidRPr="00461C10" w:rsidR="00683B2C" w:rsidP="00AC61DA" w:rsidRDefault="004C7E17" w14:paraId="4D1D8348" w14:textId="17F8CA10">
      <w:pPr>
        <w:pStyle w:val="Standard"/>
      </w:pPr>
      <w:r w:rsidRPr="00461C10">
        <w:t>Phase 1 of R.24-01-018</w:t>
      </w:r>
      <w:r w:rsidRPr="00461C10" w:rsidR="00683B2C">
        <w:t xml:space="preserve"> was submitted on </w:t>
      </w:r>
      <w:r w:rsidRPr="00461C10" w:rsidR="00A569F4">
        <w:t>June 28, 2024,</w:t>
      </w:r>
      <w:r w:rsidRPr="00461C10" w:rsidR="00683B2C">
        <w:t xml:space="preserve"> upon receipt of reply </w:t>
      </w:r>
      <w:r w:rsidRPr="00461C10" w:rsidR="00A569F4">
        <w:t xml:space="preserve">comments to the </w:t>
      </w:r>
      <w:r w:rsidRPr="00461C10" w:rsidR="00AA79DC">
        <w:t>June</w:t>
      </w:r>
      <w:r w:rsidR="002932C0">
        <w:t> </w:t>
      </w:r>
      <w:r w:rsidRPr="00461C10" w:rsidR="00AA79DC">
        <w:t>6, 2024</w:t>
      </w:r>
      <w:r w:rsidR="002932C0">
        <w:t>, </w:t>
      </w:r>
      <w:r w:rsidRPr="00461C10" w:rsidR="00AA79DC">
        <w:t>ALJ</w:t>
      </w:r>
      <w:r w:rsidRPr="00461C10" w:rsidR="005A1675">
        <w:t> R</w:t>
      </w:r>
      <w:r w:rsidRPr="00461C10" w:rsidR="00AA79DC">
        <w:t xml:space="preserve">uling. R.24-01-018 remains open to consider additional </w:t>
      </w:r>
      <w:r w:rsidRPr="00461C10" w:rsidR="00C9451D">
        <w:t xml:space="preserve">statutory requirements defined in </w:t>
      </w:r>
      <w:r w:rsidRPr="00461C10" w:rsidR="00B37200">
        <w:t>SB </w:t>
      </w:r>
      <w:r w:rsidRPr="00461C10" w:rsidR="00C9451D">
        <w:t xml:space="preserve">410 and </w:t>
      </w:r>
      <w:r w:rsidRPr="00461C10" w:rsidR="00B37200">
        <w:t>AB </w:t>
      </w:r>
      <w:r w:rsidRPr="00461C10" w:rsidR="00C9451D">
        <w:t>50</w:t>
      </w:r>
      <w:r w:rsidRPr="00461C10" w:rsidR="00D11DCE">
        <w:t xml:space="preserve"> that may not be addressed in other Commission proceedings</w:t>
      </w:r>
      <w:r w:rsidRPr="00461C10" w:rsidR="00C9451D">
        <w:t>.</w:t>
      </w:r>
    </w:p>
    <w:p w:rsidRPr="00461C10" w:rsidR="005A148C" w:rsidP="009F794F" w:rsidRDefault="0063491C" w14:paraId="00424185" w14:textId="5E5AB91D">
      <w:pPr>
        <w:pStyle w:val="Heading1"/>
      </w:pPr>
      <w:bookmarkStart w:name="_Toc8123718" w:id="21"/>
      <w:bookmarkStart w:name="_Toc730486425" w:id="22"/>
      <w:bookmarkStart w:name="_Toc177469343" w:id="23"/>
      <w:r w:rsidRPr="00461C10">
        <w:t>Jurisdiction</w:t>
      </w:r>
      <w:bookmarkEnd w:id="21"/>
      <w:bookmarkEnd w:id="22"/>
      <w:bookmarkEnd w:id="23"/>
    </w:p>
    <w:p w:rsidRPr="00461C10" w:rsidR="00260506" w:rsidP="006E6574" w:rsidRDefault="00B37200" w14:paraId="35E3D1D1" w14:textId="373470F4">
      <w:pPr>
        <w:pStyle w:val="Standard"/>
      </w:pPr>
      <w:r w:rsidRPr="00461C10">
        <w:t>SB </w:t>
      </w:r>
      <w:r w:rsidRPr="00461C10" w:rsidR="00472714">
        <w:t xml:space="preserve">410 </w:t>
      </w:r>
      <w:r w:rsidRPr="00461C10" w:rsidR="004C6A29">
        <w:t xml:space="preserve">requires the Commission and </w:t>
      </w:r>
      <w:r w:rsidRPr="00461C10" w:rsidR="00A44245">
        <w:t xml:space="preserve">all California </w:t>
      </w:r>
      <w:r w:rsidRPr="00461C10" w:rsidR="004C6A29">
        <w:t xml:space="preserve">electrical corporations to undertake a variety of activities to promote timely energization of customer connections in California. </w:t>
      </w:r>
      <w:r w:rsidRPr="00461C10">
        <w:t>AB </w:t>
      </w:r>
      <w:r w:rsidRPr="00461C10" w:rsidR="4AAFCA4F">
        <w:t xml:space="preserve">50 </w:t>
      </w:r>
      <w:r w:rsidRPr="00461C10" w:rsidR="009469D1">
        <w:t xml:space="preserve">requires the Commission to determine the criteria for timely service for electric customers to be energized, including, among other things, categories of timely electric service through energization. </w:t>
      </w:r>
      <w:r w:rsidRPr="00461C10">
        <w:t>AB </w:t>
      </w:r>
      <w:r w:rsidRPr="00461C10" w:rsidR="009469D1">
        <w:t xml:space="preserve">50 also requires </w:t>
      </w:r>
      <w:r w:rsidRPr="00461C10" w:rsidR="00A44245">
        <w:t xml:space="preserve">all California </w:t>
      </w:r>
      <w:r w:rsidRPr="00461C10" w:rsidR="009469D1">
        <w:t xml:space="preserve">electrical corporations to meet certain energization timeliness </w:t>
      </w:r>
      <w:r w:rsidRPr="00461C10" w:rsidR="00172566">
        <w:t xml:space="preserve">targets and make changes to their distribution planning process, </w:t>
      </w:r>
      <w:r w:rsidRPr="00461C10" w:rsidR="50D75883">
        <w:t>as</w:t>
      </w:r>
      <w:r w:rsidRPr="00461C10" w:rsidR="00172566">
        <w:t xml:space="preserve"> determined by the Commission.</w:t>
      </w:r>
      <w:r w:rsidRPr="00461C10" w:rsidR="00A44245">
        <w:t xml:space="preserve"> Both SB 410 and AB 50 provide the Commission discretion to adjust the targets for electrical utilities that provide electricity to 100,000 or fewer service lines. The energization targets adopted in this decision only apply to PG&amp;E, SCE, and SDG&amp;E, as the largest </w:t>
      </w:r>
      <w:r w:rsidRPr="00461C10" w:rsidR="00823466">
        <w:t xml:space="preserve">electric </w:t>
      </w:r>
      <w:r w:rsidRPr="00461C10" w:rsidR="00A44245">
        <w:t xml:space="preserve">IOUs operating California. The small and multi-jurisdictional IOUs operating in California (Bear Valley Electric Service, Liberty </w:t>
      </w:r>
      <w:r w:rsidRPr="00461C10" w:rsidR="004E2F60">
        <w:t>Utilities, and PacifiCorp) are not subject to the targets adopted in this decision at this time.</w:t>
      </w:r>
    </w:p>
    <w:p w:rsidRPr="00461C10" w:rsidR="00196300" w:rsidP="006E6574" w:rsidRDefault="000D2E39" w14:paraId="69ACAEE8" w14:textId="0341DEF8">
      <w:pPr>
        <w:pStyle w:val="Standard"/>
      </w:pPr>
      <w:r w:rsidRPr="00461C10">
        <w:lastRenderedPageBreak/>
        <w:t>This rulemaking is being conducted in accordance with Article 6 of the Commission’s Rules of Practice and Procedure (Rules).</w:t>
      </w:r>
    </w:p>
    <w:p w:rsidRPr="00461C10" w:rsidR="005A148C" w:rsidP="009F794F" w:rsidRDefault="005939A5" w14:paraId="68921E93" w14:textId="77777777">
      <w:pPr>
        <w:pStyle w:val="Heading1"/>
      </w:pPr>
      <w:bookmarkStart w:name="_Toc8123719" w:id="24"/>
      <w:bookmarkStart w:name="_Toc1020923100" w:id="25"/>
      <w:bookmarkStart w:name="_Toc177469344" w:id="26"/>
      <w:r w:rsidRPr="00461C10">
        <w:t xml:space="preserve">Issues Before the </w:t>
      </w:r>
      <w:bookmarkEnd w:id="24"/>
      <w:r w:rsidRPr="00461C10" w:rsidR="008A08BF">
        <w:t>Commission</w:t>
      </w:r>
      <w:bookmarkEnd w:id="25"/>
      <w:bookmarkEnd w:id="26"/>
    </w:p>
    <w:p w:rsidRPr="00461C10" w:rsidR="008942E0" w:rsidP="006C1F91" w:rsidRDefault="710C0953" w14:paraId="3502D2EA" w14:textId="1129340D">
      <w:pPr>
        <w:pStyle w:val="Standard"/>
      </w:pPr>
      <w:r w:rsidRPr="00461C10">
        <w:t>Phase 1 of this</w:t>
      </w:r>
      <w:r w:rsidRPr="00461C10" w:rsidR="00504687">
        <w:t xml:space="preserve"> proceeding</w:t>
      </w:r>
      <w:r w:rsidRPr="00461C10" w:rsidR="009C27B8">
        <w:t xml:space="preserve"> addresses issues </w:t>
      </w:r>
      <w:r w:rsidRPr="00461C10" w:rsidR="00D307AC">
        <w:t>the Commission must address by</w:t>
      </w:r>
      <w:r w:rsidRPr="00461C10" w:rsidR="009C27B8">
        <w:t xml:space="preserve"> September 30, 2024</w:t>
      </w:r>
      <w:r w:rsidRPr="00461C10" w:rsidR="00504687">
        <w:t xml:space="preserve">. </w:t>
      </w:r>
      <w:r w:rsidRPr="00461C10" w:rsidR="006F1419">
        <w:t>Issues identified</w:t>
      </w:r>
      <w:r w:rsidRPr="00461C10" w:rsidR="009C27B8">
        <w:t xml:space="preserve"> in the Scoping Memo</w:t>
      </w:r>
      <w:r w:rsidRPr="00461C10" w:rsidR="006F1419">
        <w:t xml:space="preserve"> </w:t>
      </w:r>
      <w:r w:rsidRPr="00461C10" w:rsidR="009C27B8">
        <w:t>for</w:t>
      </w:r>
      <w:r w:rsidRPr="00461C10" w:rsidR="006F1419">
        <w:t xml:space="preserve"> Phase 2 of this </w:t>
      </w:r>
      <w:r w:rsidRPr="00461C10" w:rsidR="00976DDE">
        <w:t>r</w:t>
      </w:r>
      <w:r w:rsidRPr="00461C10" w:rsidR="006F1419">
        <w:t>ulemaking are not addressed in this decision.</w:t>
      </w:r>
      <w:r w:rsidRPr="00461C10" w:rsidR="00D668B5">
        <w:t xml:space="preserve"> </w:t>
      </w:r>
    </w:p>
    <w:p w:rsidRPr="00461C10" w:rsidR="009B2D39" w:rsidP="009B2D39" w:rsidRDefault="009C27B8" w14:paraId="2FA90F74" w14:textId="3322ADA7">
      <w:pPr>
        <w:pStyle w:val="Standard"/>
      </w:pPr>
      <w:r w:rsidRPr="00461C10">
        <w:t>The Phase 1 issues in this Rulemaking</w:t>
      </w:r>
      <w:r w:rsidRPr="00461C10" w:rsidR="0090177B">
        <w:t xml:space="preserve">, </w:t>
      </w:r>
      <w:r w:rsidRPr="00461C10" w:rsidR="004E2F60">
        <w:t xml:space="preserve">as </w:t>
      </w:r>
      <w:r w:rsidRPr="00461C10" w:rsidR="0090177B">
        <w:t>identified in the Scoping Memo,</w:t>
      </w:r>
      <w:r w:rsidRPr="00461C10" w:rsidR="00B05873">
        <w:t xml:space="preserve"> are</w:t>
      </w:r>
      <w:r w:rsidRPr="00461C10">
        <w:t xml:space="preserve"> as follows:</w:t>
      </w:r>
    </w:p>
    <w:p w:rsidRPr="00461C10" w:rsidR="0086502A" w:rsidP="004F4D1C" w:rsidRDefault="0086502A" w14:paraId="4CE79EA7" w14:textId="218AB060">
      <w:pPr>
        <w:pStyle w:val="Sec5"/>
        <w:ind w:left="1080"/>
      </w:pPr>
      <w:r w:rsidRPr="00461C10">
        <w:t>What average and maximum energization time periods should the Commission establish as target timelines on or before September 3</w:t>
      </w:r>
      <w:r w:rsidRPr="00461C10" w:rsidR="00B84CC8">
        <w:t>0</w:t>
      </w:r>
      <w:r w:rsidRPr="00461C10">
        <w:t>, 2024</w:t>
      </w:r>
      <w:r w:rsidRPr="00461C10" w:rsidR="00986106">
        <w:t xml:space="preserve">, in order to comply with Pub. Util. Code </w:t>
      </w:r>
      <w:r w:rsidRPr="00461C10" w:rsidR="00254D0F">
        <w:t>§</w:t>
      </w:r>
      <w:r w:rsidRPr="00461C10" w:rsidR="00823466">
        <w:t xml:space="preserve"> </w:t>
      </w:r>
      <w:r w:rsidRPr="00461C10" w:rsidR="00986106">
        <w:t>934(a)(1) for electric utility customers?</w:t>
      </w:r>
    </w:p>
    <w:p w:rsidRPr="00461C10" w:rsidR="00752709" w:rsidP="004F4D1C" w:rsidRDefault="00752709" w14:paraId="713014A5" w14:textId="3D9CB66F">
      <w:pPr>
        <w:pStyle w:val="Section5"/>
      </w:pPr>
      <w:r w:rsidRPr="00461C10">
        <w:t xml:space="preserve">What are the typical steps in the energization process, or energization of electric service under Rules </w:t>
      </w:r>
      <w:r w:rsidRPr="00461C10" w:rsidR="00726B10">
        <w:t>15, 16, 29, and 45?</w:t>
      </w:r>
      <w:r w:rsidRPr="00461C10" w:rsidR="007F664C">
        <w:rPr>
          <w:rStyle w:val="FootnoteReference"/>
        </w:rPr>
        <w:footnoteReference w:id="19"/>
      </w:r>
    </w:p>
    <w:p w:rsidRPr="00461C10" w:rsidR="00726B10" w:rsidP="004F4D1C" w:rsidRDefault="00726B10" w14:paraId="0ADF7164" w14:textId="35E6850E">
      <w:pPr>
        <w:pStyle w:val="Section5"/>
      </w:pPr>
      <w:r w:rsidRPr="00461C10">
        <w:t>How long does it take for a utility to complete each step in an energization request?</w:t>
      </w:r>
    </w:p>
    <w:p w:rsidRPr="00461C10" w:rsidR="00FC079F" w:rsidP="004F4D1C" w:rsidRDefault="00543A98" w14:paraId="00B1D694" w14:textId="77777777">
      <w:pPr>
        <w:pStyle w:val="Sect5"/>
      </w:pPr>
      <w:r w:rsidRPr="00461C10">
        <w:t xml:space="preserve">Does it differ for new service line requests and upgrades to existing service lines, or across different </w:t>
      </w:r>
      <w:r w:rsidRPr="00461C10" w:rsidR="00C65F08">
        <w:t>customer</w:t>
      </w:r>
      <w:r w:rsidRPr="00461C10">
        <w:t xml:space="preserve"> types?</w:t>
      </w:r>
    </w:p>
    <w:p w:rsidRPr="00461C10" w:rsidR="00543A98" w:rsidP="004F4D1C" w:rsidRDefault="00543A98" w14:paraId="1A5DC418" w14:textId="328A5A2A">
      <w:pPr>
        <w:pStyle w:val="Sect5"/>
      </w:pPr>
      <w:r w:rsidRPr="00461C10">
        <w:t>If so, how?</w:t>
      </w:r>
    </w:p>
    <w:p w:rsidRPr="00461C10" w:rsidR="00726B10" w:rsidP="004F4D1C" w:rsidRDefault="00726B10" w14:paraId="36A49596" w14:textId="4E654F26">
      <w:pPr>
        <w:pStyle w:val="Section5"/>
      </w:pPr>
      <w:r w:rsidRPr="00461C10">
        <w:t>What steps in the utilities’ energization process should have assigned target timelines?</w:t>
      </w:r>
    </w:p>
    <w:p w:rsidRPr="00461C10" w:rsidR="00726B10" w:rsidP="004F4D1C" w:rsidRDefault="00871BB3" w14:paraId="50350708" w14:textId="36F9F1D5">
      <w:pPr>
        <w:pStyle w:val="Section5"/>
      </w:pPr>
      <w:r w:rsidRPr="00461C10">
        <w:t>How should the Commission determine whether an energization timeline is reasonable?</w:t>
      </w:r>
    </w:p>
    <w:p w:rsidRPr="00461C10" w:rsidR="00871BB3" w:rsidP="004F4D1C" w:rsidRDefault="00871BB3" w14:paraId="32BBB0B4" w14:textId="7B1E3FD4">
      <w:pPr>
        <w:pStyle w:val="Section5"/>
      </w:pPr>
      <w:r w:rsidRPr="00461C10">
        <w:lastRenderedPageBreak/>
        <w:t>How should</w:t>
      </w:r>
      <w:r w:rsidRPr="00461C10" w:rsidR="00F273EA">
        <w:t xml:space="preserve"> energization </w:t>
      </w:r>
      <w:r w:rsidRPr="00461C10">
        <w:t>targets be structured to minimize delays when addressing existing and future customer energization requests?</w:t>
      </w:r>
    </w:p>
    <w:p w:rsidRPr="00461C10" w:rsidR="00871BB3" w:rsidP="004F4D1C" w:rsidRDefault="00871BB3" w14:paraId="6FF87CDB" w14:textId="56A556CB">
      <w:pPr>
        <w:pStyle w:val="Section5"/>
      </w:pPr>
      <w:r w:rsidRPr="00461C10">
        <w:t>What information should be tracked to assess improvement in utility timelines for energization after the targets set on or before September 30, 2024</w:t>
      </w:r>
      <w:r w:rsidRPr="00461C10" w:rsidR="0044603E">
        <w:t>, are established?</w:t>
      </w:r>
    </w:p>
    <w:p w:rsidRPr="00461C10" w:rsidR="00986106" w:rsidP="004F4D1C" w:rsidRDefault="00986106" w14:paraId="099E00A0" w14:textId="2C196779">
      <w:pPr>
        <w:pStyle w:val="Sec5"/>
        <w:ind w:left="1080"/>
      </w:pPr>
      <w:r w:rsidRPr="00461C10">
        <w:t>Should the utilities be required to est</w:t>
      </w:r>
      <w:r w:rsidRPr="00461C10" w:rsidR="009564B0">
        <w:t>ablish reporting processes for Commission review of their compliance with the targets set no later than September 30, 2024</w:t>
      </w:r>
      <w:r w:rsidRPr="00461C10" w:rsidR="00822F1C">
        <w:t xml:space="preserve">, pursuant to Pub. Util. Code </w:t>
      </w:r>
      <w:r w:rsidRPr="00461C10" w:rsidR="00254D0F">
        <w:t>§</w:t>
      </w:r>
      <w:r w:rsidRPr="00461C10" w:rsidR="00823466">
        <w:t xml:space="preserve"> </w:t>
      </w:r>
      <w:r w:rsidRPr="00461C10" w:rsidR="00822F1C">
        <w:t>934(a)(2)?</w:t>
      </w:r>
    </w:p>
    <w:p w:rsidRPr="00461C10" w:rsidR="00822F1C" w:rsidP="004F4D1C" w:rsidRDefault="00822F1C" w14:paraId="00BA322F" w14:textId="3B80F08D">
      <w:pPr>
        <w:pStyle w:val="Sec5"/>
        <w:ind w:left="1080"/>
      </w:pPr>
      <w:r w:rsidRPr="00461C10">
        <w:t>What procedure(s) for customers should exist to report energization delays for new and upgraded electric service? What additional procedure(s) or improvements should be made for customers on or before September 30, 2024</w:t>
      </w:r>
      <w:r w:rsidRPr="00461C10" w:rsidR="00FE4B69">
        <w:t>?</w:t>
      </w:r>
    </w:p>
    <w:p w:rsidRPr="00461C10" w:rsidR="00B84CC8" w:rsidP="004F4D1C" w:rsidRDefault="00BC423B" w14:paraId="2EED7A1D" w14:textId="77777777">
      <w:pPr>
        <w:pStyle w:val="Section5"/>
      </w:pPr>
      <w:r w:rsidRPr="00461C10">
        <w:t xml:space="preserve">How do utilities currently engage with customers that may have pending or missed deadlines in their energization project requests? </w:t>
      </w:r>
    </w:p>
    <w:p w:rsidRPr="00461C10" w:rsidR="00BC423B" w:rsidP="004F4D1C" w:rsidRDefault="00BC423B" w14:paraId="2F2378F3" w14:textId="2FF396D0">
      <w:pPr>
        <w:pStyle w:val="Section5"/>
      </w:pPr>
      <w:r w:rsidRPr="00461C10">
        <w:t>How should utilities improve engagement with customers?</w:t>
      </w:r>
    </w:p>
    <w:p w:rsidRPr="00461C10" w:rsidR="00F36036" w:rsidP="004F4D1C" w:rsidRDefault="00F36036" w14:paraId="614E22AD" w14:textId="21ECED8D">
      <w:pPr>
        <w:pStyle w:val="Section5"/>
      </w:pPr>
      <w:r w:rsidRPr="00461C10">
        <w:t>How should the Commission improve the existing processes for how customers report ongoing energization delays to the Commission?</w:t>
      </w:r>
    </w:p>
    <w:p w:rsidRPr="00461C10" w:rsidR="00FE4B69" w:rsidP="004F4D1C" w:rsidRDefault="00FE4B69" w14:paraId="0CDC7A11" w14:textId="7C4DD913">
      <w:pPr>
        <w:pStyle w:val="Sec5"/>
        <w:ind w:left="1080"/>
      </w:pPr>
      <w:r w:rsidRPr="00461C10">
        <w:t xml:space="preserve">Are there end-use project types that justify unique energization timelines pursuant to Pub. Util. Code </w:t>
      </w:r>
      <w:r w:rsidRPr="00461C10" w:rsidR="00254D0F">
        <w:t>§</w:t>
      </w:r>
      <w:r w:rsidR="00E73849">
        <w:t> </w:t>
      </w:r>
      <w:r w:rsidRPr="00461C10">
        <w:t>933.5(a)(1)(B)</w:t>
      </w:r>
      <w:r w:rsidRPr="00461C10" w:rsidR="00772D3C">
        <w:t>? If so, what types of end-use projects, and for which electric tariffs?</w:t>
      </w:r>
      <w:r w:rsidRPr="00461C10" w:rsidR="002B7714">
        <w:rPr>
          <w:rStyle w:val="FootnoteReference"/>
        </w:rPr>
        <w:footnoteReference w:id="20"/>
      </w:r>
    </w:p>
    <w:p w:rsidRPr="00461C10" w:rsidR="00772D3C" w:rsidP="004F4D1C" w:rsidRDefault="00772D3C" w14:paraId="0C07CDF5" w14:textId="652EA310">
      <w:pPr>
        <w:pStyle w:val="Sec5"/>
        <w:ind w:left="1080"/>
      </w:pPr>
      <w:r w:rsidRPr="00461C10">
        <w:t>What are the existing utility timelines for upstream capacity upgrades that are triggered by energization projects including, but not limited to, new substation construction?</w:t>
      </w:r>
    </w:p>
    <w:p w:rsidRPr="00461C10" w:rsidR="004E47A3" w:rsidP="004F4D1C" w:rsidRDefault="004E47A3" w14:paraId="5923DD46" w14:textId="1EBD320F">
      <w:pPr>
        <w:pStyle w:val="Section5"/>
      </w:pPr>
      <w:r w:rsidRPr="00461C10">
        <w:lastRenderedPageBreak/>
        <w:t xml:space="preserve">Should upstream requests justify a unique energization target pursuant to Pub. Util. Code </w:t>
      </w:r>
      <w:r w:rsidRPr="00461C10" w:rsidR="00254D0F">
        <w:t>§</w:t>
      </w:r>
      <w:r w:rsidRPr="00461C10" w:rsidR="00823466">
        <w:t xml:space="preserve"> </w:t>
      </w:r>
      <w:r w:rsidRPr="00461C10" w:rsidR="00377885">
        <w:t>933.5(a)?</w:t>
      </w:r>
    </w:p>
    <w:p w:rsidRPr="00461C10" w:rsidR="00B84CC8" w:rsidP="004F4D1C" w:rsidRDefault="00377885" w14:paraId="475BFB8A" w14:textId="77777777">
      <w:pPr>
        <w:pStyle w:val="Section5"/>
      </w:pPr>
      <w:r w:rsidRPr="00461C10">
        <w:t xml:space="preserve">If so, why, and which steps of upstream capacity upgrade projects are unique? </w:t>
      </w:r>
    </w:p>
    <w:p w:rsidRPr="00461C10" w:rsidR="00377885" w:rsidP="004F4D1C" w:rsidRDefault="00377885" w14:paraId="3807C5F5" w14:textId="7459B14C">
      <w:pPr>
        <w:pStyle w:val="Section5"/>
      </w:pPr>
      <w:r w:rsidRPr="00461C10">
        <w:t>What type of upstream infrastructure projects should receive unique timelines</w:t>
      </w:r>
      <w:r w:rsidRPr="00461C10" w:rsidR="00B84CC8">
        <w:t>, if any</w:t>
      </w:r>
      <w:r w:rsidRPr="00461C10">
        <w:t>?</w:t>
      </w:r>
      <w:r w:rsidRPr="00461C10" w:rsidR="001E3E7B">
        <w:rPr>
          <w:rStyle w:val="FootnoteReference"/>
        </w:rPr>
        <w:footnoteReference w:id="21"/>
      </w:r>
    </w:p>
    <w:p w:rsidRPr="00461C10" w:rsidR="00772D3C" w:rsidP="004F4D1C" w:rsidRDefault="00F57A90" w14:paraId="66933FCE" w14:textId="0422AB08">
      <w:pPr>
        <w:pStyle w:val="Sec5"/>
        <w:ind w:left="1080"/>
      </w:pPr>
      <w:r w:rsidRPr="00461C10">
        <w:t xml:space="preserve">What specific criteria should the Commission establish as annual reporting requirements for the electrical corporations pursuant to Pub. Util. Code </w:t>
      </w:r>
      <w:r w:rsidRPr="00461C10" w:rsidR="00254D0F">
        <w:t>§</w:t>
      </w:r>
      <w:r w:rsidRPr="00461C10" w:rsidR="00823466">
        <w:t xml:space="preserve"> </w:t>
      </w:r>
      <w:r w:rsidRPr="00461C10">
        <w:t>933.5(a)(2)?</w:t>
      </w:r>
    </w:p>
    <w:p w:rsidRPr="00461C10" w:rsidR="00F57A90" w:rsidP="004F4D1C" w:rsidRDefault="00F57A90" w14:paraId="37210C8E" w14:textId="7912A8BF">
      <w:pPr>
        <w:pStyle w:val="Sec5"/>
        <w:ind w:left="1080"/>
      </w:pPr>
      <w:r w:rsidRPr="00461C10">
        <w:t>What potential impacts on environmental and social justice</w:t>
      </w:r>
      <w:r w:rsidRPr="00461C10" w:rsidR="00A16F51">
        <w:t xml:space="preserve"> </w:t>
      </w:r>
      <w:r w:rsidRPr="00461C10" w:rsidR="007A1AC2">
        <w:t xml:space="preserve">(ESJ) </w:t>
      </w:r>
      <w:r w:rsidRPr="00461C10">
        <w:t xml:space="preserve">communities should be considered </w:t>
      </w:r>
      <w:r w:rsidRPr="00461C10" w:rsidR="00CE4F08">
        <w:t xml:space="preserve">or prioritized in the development of energization timelines and reporting processes to ensure the processes adopted in this </w:t>
      </w:r>
      <w:r w:rsidRPr="00461C10" w:rsidR="00976DDE">
        <w:t>r</w:t>
      </w:r>
      <w:r w:rsidRPr="00461C10" w:rsidR="00CE4F08">
        <w:t>ulemaking are in alignment with the Commission’s</w:t>
      </w:r>
      <w:r w:rsidRPr="00461C10" w:rsidR="007A1AC2">
        <w:t xml:space="preserve"> </w:t>
      </w:r>
      <w:r w:rsidRPr="00461C10" w:rsidR="00A16F51">
        <w:t>ESJ</w:t>
      </w:r>
      <w:r w:rsidRPr="00461C10" w:rsidR="007A1AC2">
        <w:t> </w:t>
      </w:r>
      <w:r w:rsidRPr="00461C10" w:rsidR="00CE4F08">
        <w:t>Action Plan?</w:t>
      </w:r>
    </w:p>
    <w:p w:rsidRPr="00461C10" w:rsidR="00CE4F08" w:rsidP="004F4D1C" w:rsidRDefault="00CE4F08" w14:paraId="553CB107" w14:textId="5A3D755D">
      <w:pPr>
        <w:pStyle w:val="Sec5"/>
        <w:ind w:left="1080"/>
      </w:pPr>
      <w:r w:rsidRPr="00461C10">
        <w:t>How often should the Commission update the average and maximum energization targets, and what factors should trigger updates to the targets?</w:t>
      </w:r>
    </w:p>
    <w:p w:rsidRPr="00461C10" w:rsidR="00CE4F08" w:rsidP="004F4D1C" w:rsidRDefault="004E47A3" w14:paraId="79FFBDEA" w14:textId="51FD6CEF">
      <w:pPr>
        <w:pStyle w:val="Sec5"/>
        <w:ind w:left="1080"/>
      </w:pPr>
      <w:r w:rsidRPr="00461C10">
        <w:t>Should the energization targets be phased over time?</w:t>
      </w:r>
    </w:p>
    <w:p w:rsidRPr="00461C10" w:rsidR="00577BA7" w:rsidP="009F794F" w:rsidRDefault="00577BA7" w14:paraId="5B3AC598" w14:textId="024D5AC5">
      <w:pPr>
        <w:pStyle w:val="Heading1"/>
      </w:pPr>
      <w:bookmarkStart w:name="_Toc177469345" w:id="27"/>
      <w:r w:rsidRPr="00461C10">
        <w:t xml:space="preserve">Definitions of Technical </w:t>
      </w:r>
      <w:r w:rsidRPr="00461C10" w:rsidR="00B41643">
        <w:t>Terms</w:t>
      </w:r>
      <w:bookmarkEnd w:id="27"/>
    </w:p>
    <w:p w:rsidRPr="00461C10" w:rsidR="005C7B17" w:rsidP="005C7B17" w:rsidRDefault="005C7B17" w14:paraId="78BB4B28" w14:textId="046328D0">
      <w:pPr>
        <w:pStyle w:val="Standard"/>
      </w:pPr>
      <w:r w:rsidRPr="00461C10">
        <w:t>SB</w:t>
      </w:r>
      <w:r w:rsidRPr="00461C10" w:rsidR="00563C4F">
        <w:t> </w:t>
      </w:r>
      <w:r w:rsidRPr="00461C10">
        <w:t xml:space="preserve">410 directs the Commission to develop average and maximum energization targets. </w:t>
      </w:r>
      <w:r w:rsidRPr="00461C10" w:rsidR="00B37200">
        <w:t>AB </w:t>
      </w:r>
      <w:r w:rsidRPr="00461C10" w:rsidR="00C90C99">
        <w:t xml:space="preserve">50 </w:t>
      </w:r>
      <w:r w:rsidRPr="00461C10" w:rsidR="005E2F23">
        <w:t xml:space="preserve">further specifies that the </w:t>
      </w:r>
      <w:r w:rsidRPr="00461C10" w:rsidR="009036B0">
        <w:t>C</w:t>
      </w:r>
      <w:r w:rsidRPr="00461C10" w:rsidR="00577BA7">
        <w:t>ommission</w:t>
      </w:r>
      <w:r w:rsidRPr="00461C10" w:rsidR="00256B7C">
        <w:t xml:space="preserve"> </w:t>
      </w:r>
      <w:r w:rsidRPr="00461C10" w:rsidR="00A5654D">
        <w:t>shall</w:t>
      </w:r>
      <w:r w:rsidRPr="00461C10" w:rsidR="00256B7C">
        <w:t xml:space="preserve"> establish </w:t>
      </w:r>
      <w:r w:rsidRPr="00461C10" w:rsidR="004127C4">
        <w:t xml:space="preserve">criteria for “timely service” </w:t>
      </w:r>
      <w:r w:rsidRPr="00461C10" w:rsidR="0058424F">
        <w:t>for electrical customers to be energized</w:t>
      </w:r>
      <w:r w:rsidRPr="00461C10" w:rsidR="004127C4">
        <w:t>.</w:t>
      </w:r>
      <w:r w:rsidRPr="00461C10" w:rsidR="006F5C07">
        <w:rPr>
          <w:rStyle w:val="FootnoteReference"/>
        </w:rPr>
        <w:footnoteReference w:id="22"/>
      </w:r>
      <w:r w:rsidRPr="00461C10" w:rsidR="00C90C99">
        <w:t xml:space="preserve"> </w:t>
      </w:r>
      <w:r w:rsidRPr="00461C10">
        <w:t xml:space="preserve">For the purposes of this </w:t>
      </w:r>
      <w:r w:rsidRPr="00461C10" w:rsidR="00503FA3">
        <w:t>decision</w:t>
      </w:r>
      <w:r w:rsidRPr="00461C10">
        <w:t>, the Commission defines the following terms:</w:t>
      </w:r>
    </w:p>
    <w:p w:rsidRPr="00461C10" w:rsidR="00E47B0C" w:rsidP="004F4D1C" w:rsidRDefault="005C7B17" w14:paraId="443F2FCC" w14:textId="03E920EA">
      <w:pPr>
        <w:pStyle w:val="Section6"/>
      </w:pPr>
      <w:r w:rsidRPr="00461C10">
        <w:rPr>
          <w:b/>
        </w:rPr>
        <w:t>Average energization target</w:t>
      </w:r>
      <w:r w:rsidRPr="00461C10">
        <w:t xml:space="preserve">: </w:t>
      </w:r>
      <w:r w:rsidRPr="00461C10" w:rsidR="001940DD">
        <w:t xml:space="preserve">a </w:t>
      </w:r>
      <w:r w:rsidRPr="00461C10" w:rsidR="00031049">
        <w:t xml:space="preserve">specific goal set for </w:t>
      </w:r>
      <w:r w:rsidRPr="00461C10" w:rsidR="005E1C28">
        <w:t>t</w:t>
      </w:r>
      <w:r w:rsidRPr="00461C10">
        <w:t xml:space="preserve">he average number of days it </w:t>
      </w:r>
      <w:r w:rsidRPr="00461C10" w:rsidR="004171C1">
        <w:t xml:space="preserve">should </w:t>
      </w:r>
      <w:r w:rsidRPr="00461C10">
        <w:t xml:space="preserve">take a utility to complete the </w:t>
      </w:r>
      <w:r w:rsidRPr="00461C10" w:rsidR="000126B0">
        <w:t xml:space="preserve">steps in the </w:t>
      </w:r>
      <w:r w:rsidRPr="00461C10">
        <w:t xml:space="preserve">energization </w:t>
      </w:r>
      <w:r w:rsidRPr="00461C10" w:rsidR="000126B0">
        <w:t xml:space="preserve">process under their control </w:t>
      </w:r>
      <w:r w:rsidRPr="00461C10" w:rsidR="00854153">
        <w:t xml:space="preserve">for </w:t>
      </w:r>
      <w:r w:rsidRPr="00461C10" w:rsidR="00854153">
        <w:lastRenderedPageBreak/>
        <w:t xml:space="preserve">any given energization </w:t>
      </w:r>
      <w:r w:rsidRPr="00461C10">
        <w:t xml:space="preserve">request based on </w:t>
      </w:r>
      <w:r w:rsidRPr="00461C10" w:rsidR="00814E92">
        <w:t xml:space="preserve">electric </w:t>
      </w:r>
      <w:r w:rsidRPr="00461C10">
        <w:t xml:space="preserve">tariff or </w:t>
      </w:r>
      <w:r w:rsidRPr="00461C10" w:rsidR="000A2262">
        <w:t xml:space="preserve">type of </w:t>
      </w:r>
      <w:r w:rsidRPr="00461C10">
        <w:t>capacity upgrade, adjusted for outliers.</w:t>
      </w:r>
      <w:r w:rsidRPr="00461C10">
        <w:rPr>
          <w:rStyle w:val="FootnoteReference"/>
        </w:rPr>
        <w:footnoteReference w:id="23"/>
      </w:r>
      <w:r w:rsidRPr="00461C10" w:rsidR="00520686">
        <w:rPr>
          <w:b/>
        </w:rPr>
        <w:t xml:space="preserve"> </w:t>
      </w:r>
    </w:p>
    <w:p w:rsidRPr="00461C10" w:rsidR="00854153" w:rsidP="00854153" w:rsidRDefault="00854153" w14:paraId="32F18962" w14:textId="5537B11E">
      <w:pPr>
        <w:pStyle w:val="Section6"/>
        <w:ind w:hanging="450"/>
        <w:rPr>
          <w:szCs w:val="26"/>
        </w:rPr>
      </w:pPr>
      <w:r w:rsidRPr="00461C10">
        <w:rPr>
          <w:b/>
          <w:bCs/>
          <w:szCs w:val="26"/>
        </w:rPr>
        <w:t>Maximum energization target</w:t>
      </w:r>
      <w:r w:rsidRPr="00461C10">
        <w:rPr>
          <w:szCs w:val="26"/>
        </w:rPr>
        <w:t xml:space="preserve">: </w:t>
      </w:r>
      <w:r w:rsidRPr="00461C10">
        <w:t xml:space="preserve">a specific goal set for </w:t>
      </w:r>
      <w:r w:rsidRPr="00461C10">
        <w:rPr>
          <w:szCs w:val="26"/>
        </w:rPr>
        <w:t>the maximum number of days it should take</w:t>
      </w:r>
      <w:r w:rsidRPr="00461C10" w:rsidDel="00A96E06">
        <w:rPr>
          <w:szCs w:val="26"/>
        </w:rPr>
        <w:t>s</w:t>
      </w:r>
      <w:r w:rsidRPr="00461C10">
        <w:rPr>
          <w:szCs w:val="26"/>
        </w:rPr>
        <w:t xml:space="preserve"> a utility to complete the steps in the energization process under their control for any given</w:t>
      </w:r>
      <w:r w:rsidRPr="00461C10" w:rsidR="00CD1755">
        <w:rPr>
          <w:szCs w:val="26"/>
        </w:rPr>
        <w:t xml:space="preserve"> </w:t>
      </w:r>
      <w:r w:rsidRPr="00461C10" w:rsidDel="0041513E">
        <w:rPr>
          <w:szCs w:val="26"/>
        </w:rPr>
        <w:t>the</w:t>
      </w:r>
      <w:r w:rsidRPr="00461C10">
        <w:rPr>
          <w:szCs w:val="26"/>
        </w:rPr>
        <w:t xml:space="preserve"> </w:t>
      </w:r>
      <w:r w:rsidRPr="00461C10">
        <w:rPr>
          <w:bCs/>
        </w:rPr>
        <w:t>energization</w:t>
      </w:r>
      <w:r w:rsidRPr="00461C10">
        <w:rPr>
          <w:szCs w:val="26"/>
        </w:rPr>
        <w:t xml:space="preserve"> request based on the electric tariff or type of capacity upgrade </w:t>
      </w:r>
      <w:r w:rsidRPr="00461C10" w:rsidDel="00331B8C">
        <w:rPr>
          <w:szCs w:val="26"/>
        </w:rPr>
        <w:t>type</w:t>
      </w:r>
      <w:r w:rsidRPr="00461C10">
        <w:rPr>
          <w:szCs w:val="26"/>
        </w:rPr>
        <w:t>, adjusted for outliers.</w:t>
      </w:r>
      <w:r w:rsidRPr="00461C10">
        <w:rPr>
          <w:rStyle w:val="FootnoteReference"/>
          <w:szCs w:val="26"/>
        </w:rPr>
        <w:footnoteReference w:id="24"/>
      </w:r>
      <w:r w:rsidRPr="00461C10">
        <w:rPr>
          <w:szCs w:val="26"/>
        </w:rPr>
        <w:t xml:space="preserve"> </w:t>
      </w:r>
    </w:p>
    <w:p w:rsidRPr="00461C10" w:rsidR="00C17ABC" w:rsidP="004F4D1C" w:rsidRDefault="00520686" w14:paraId="47197F19" w14:textId="2EA5DA07">
      <w:pPr>
        <w:pStyle w:val="Section6"/>
      </w:pPr>
      <w:r w:rsidRPr="00461C10">
        <w:rPr>
          <w:b/>
        </w:rPr>
        <w:t>Baseline</w:t>
      </w:r>
      <w:r w:rsidRPr="00461C10">
        <w:t xml:space="preserve">: </w:t>
      </w:r>
      <w:r w:rsidRPr="00461C10" w:rsidR="005E1C28">
        <w:t>w</w:t>
      </w:r>
      <w:r w:rsidRPr="00461C10">
        <w:t>hat would occur if no action is taken</w:t>
      </w:r>
      <w:r w:rsidRPr="00461C10" w:rsidR="00BA4E72">
        <w:t xml:space="preserve"> by the Commission</w:t>
      </w:r>
      <w:r w:rsidRPr="00461C10">
        <w:t xml:space="preserve">, </w:t>
      </w:r>
      <w:r w:rsidRPr="00461C10" w:rsidR="00B00B46">
        <w:t xml:space="preserve">(i.e., </w:t>
      </w:r>
      <w:r w:rsidRPr="00461C10">
        <w:t>“business-as-usual”</w:t>
      </w:r>
      <w:r w:rsidRPr="00461C10" w:rsidR="00B00B46">
        <w:t>)</w:t>
      </w:r>
      <w:r w:rsidRPr="00461C10">
        <w:t>.</w:t>
      </w:r>
    </w:p>
    <w:p w:rsidR="00B4155B" w:rsidP="00591858" w:rsidRDefault="00B4155B" w14:paraId="39F0EA61" w14:textId="090F9276">
      <w:pPr>
        <w:pStyle w:val="Section6"/>
      </w:pPr>
      <w:r w:rsidRPr="00461C10">
        <w:rPr>
          <w:b/>
        </w:rPr>
        <w:t>Combined Electric Rule 15/16 Project</w:t>
      </w:r>
      <w:r w:rsidRPr="00461C10">
        <w:t xml:space="preserve">: </w:t>
      </w:r>
      <w:r w:rsidRPr="00461C10" w:rsidR="00446E0A">
        <w:t>a</w:t>
      </w:r>
      <w:r w:rsidRPr="00461C10">
        <w:t xml:space="preserve">n energization project in which </w:t>
      </w:r>
      <w:r w:rsidRPr="00461C10" w:rsidR="005673EF">
        <w:t xml:space="preserve">utility </w:t>
      </w:r>
      <w:r w:rsidRPr="00461C10" w:rsidR="00EE68A5">
        <w:t xml:space="preserve">work </w:t>
      </w:r>
      <w:r w:rsidRPr="00461C10" w:rsidR="001B422E">
        <w:t>associated with</w:t>
      </w:r>
      <w:r w:rsidRPr="00461C10" w:rsidR="00EE68A5">
        <w:t xml:space="preserve"> </w:t>
      </w:r>
      <w:r w:rsidRPr="00461C10">
        <w:t>both Electric Rules 15 and 16</w:t>
      </w:r>
      <w:r w:rsidRPr="00461C10" w:rsidR="00560874">
        <w:t xml:space="preserve"> is required</w:t>
      </w:r>
      <w:r w:rsidRPr="00461C10">
        <w:t xml:space="preserve"> </w:t>
      </w:r>
      <w:r w:rsidRPr="00461C10" w:rsidR="003D3100">
        <w:t>based on the</w:t>
      </w:r>
      <w:r w:rsidRPr="00461C10" w:rsidR="00D54A29">
        <w:t xml:space="preserve"> utility</w:t>
      </w:r>
      <w:r w:rsidRPr="00461C10" w:rsidR="003D3100">
        <w:t xml:space="preserve"> engineering assessment.</w:t>
      </w:r>
      <w:r w:rsidRPr="00461C10">
        <w:t xml:space="preserve"> </w:t>
      </w:r>
    </w:p>
    <w:p w:rsidRPr="007D461C" w:rsidR="007D461C" w:rsidP="00591858" w:rsidRDefault="007D461C" w14:paraId="665105ED" w14:textId="51DFEA70">
      <w:pPr>
        <w:pStyle w:val="Section6"/>
      </w:pPr>
      <w:r w:rsidRPr="007D461C">
        <w:rPr>
          <w:b/>
          <w:bCs/>
        </w:rPr>
        <w:t>Combined Electric Rule 16/29/45 project:</w:t>
      </w:r>
      <w:r>
        <w:rPr>
          <w:b/>
          <w:bCs/>
        </w:rPr>
        <w:t xml:space="preserve"> </w:t>
      </w:r>
      <w:r w:rsidRPr="007D461C">
        <w:t>an energization project for which utility work is associated with Electric Rule 16 and Electric Rule 29 (PG&amp;E and SCE) or Electric Rule 45 (SDG&amp;E) is required based on the utility engineering assessment.</w:t>
      </w:r>
    </w:p>
    <w:p w:rsidRPr="00461C10" w:rsidR="00254D0F" w:rsidP="004F4D1C" w:rsidRDefault="00254D0F" w14:paraId="76B465DB" w14:textId="04FFBA09">
      <w:pPr>
        <w:pStyle w:val="Section6"/>
      </w:pPr>
      <w:r w:rsidRPr="00461C10">
        <w:rPr>
          <w:b/>
        </w:rPr>
        <w:t>Dependencies:</w:t>
      </w:r>
      <w:r w:rsidRPr="00461C10">
        <w:t xml:space="preserve"> </w:t>
      </w:r>
      <w:r w:rsidRPr="00461C10" w:rsidR="005E1C28">
        <w:t>s</w:t>
      </w:r>
      <w:r w:rsidRPr="00461C10">
        <w:t xml:space="preserve">teps outside of the </w:t>
      </w:r>
      <w:r w:rsidRPr="00461C10" w:rsidR="5E01A71D">
        <w:t xml:space="preserve">large electric </w:t>
      </w:r>
      <w:r w:rsidRPr="00461C10">
        <w:t xml:space="preserve">IOUs’ direct control, including, but not limited to, customer actions necessary to acquire permits, acquisition of easements, and other requirements as identified by the </w:t>
      </w:r>
      <w:r w:rsidRPr="00461C10" w:rsidR="00823466">
        <w:lastRenderedPageBreak/>
        <w:t xml:space="preserve">local, regional, or state </w:t>
      </w:r>
      <w:r w:rsidRPr="00461C10">
        <w:t>authority</w:t>
      </w:r>
      <w:r w:rsidRPr="00461C10" w:rsidR="00823466">
        <w:t>/authorities</w:t>
      </w:r>
      <w:r w:rsidRPr="00461C10">
        <w:t xml:space="preserve"> having jurisdiction (AHJ) over the site.</w:t>
      </w:r>
    </w:p>
    <w:p w:rsidRPr="00461C10" w:rsidR="00E47B0C" w:rsidP="004F4D1C" w:rsidRDefault="00C17ABC" w14:paraId="4E6C7473" w14:textId="2CAFCA7A">
      <w:pPr>
        <w:pStyle w:val="Section6"/>
        <w:rPr>
          <w:szCs w:val="26"/>
        </w:rPr>
      </w:pPr>
      <w:r w:rsidRPr="00461C10">
        <w:rPr>
          <w:b/>
          <w:bCs/>
          <w:szCs w:val="26"/>
        </w:rPr>
        <w:t>Distributed Energy Resources (DER)</w:t>
      </w:r>
      <w:r w:rsidRPr="00461C10" w:rsidR="00C25A38">
        <w:rPr>
          <w:szCs w:val="26"/>
        </w:rPr>
        <w:t>:</w:t>
      </w:r>
      <w:r w:rsidRPr="00461C10">
        <w:rPr>
          <w:szCs w:val="26"/>
        </w:rPr>
        <w:t xml:space="preserve"> </w:t>
      </w:r>
      <w:r w:rsidRPr="00461C10" w:rsidR="005E1C28">
        <w:rPr>
          <w:szCs w:val="26"/>
        </w:rPr>
        <w:t>s</w:t>
      </w:r>
      <w:r w:rsidRPr="00461C10">
        <w:rPr>
          <w:szCs w:val="26"/>
        </w:rPr>
        <w:t xml:space="preserve">mall-scale units of local generation </w:t>
      </w:r>
      <w:r w:rsidRPr="00461C10" w:rsidR="00BA4E72">
        <w:rPr>
          <w:szCs w:val="26"/>
        </w:rPr>
        <w:t xml:space="preserve">or controllable load </w:t>
      </w:r>
      <w:r w:rsidRPr="00461C10">
        <w:rPr>
          <w:szCs w:val="26"/>
        </w:rPr>
        <w:t xml:space="preserve">connected to the </w:t>
      </w:r>
      <w:r w:rsidRPr="00461C10">
        <w:rPr>
          <w:bCs/>
        </w:rPr>
        <w:t>grid</w:t>
      </w:r>
      <w:r w:rsidRPr="00461C10">
        <w:rPr>
          <w:szCs w:val="26"/>
        </w:rPr>
        <w:t xml:space="preserve"> at</w:t>
      </w:r>
      <w:r w:rsidRPr="00461C10" w:rsidR="00885CD4">
        <w:rPr>
          <w:szCs w:val="26"/>
        </w:rPr>
        <w:t xml:space="preserve"> the</w:t>
      </w:r>
      <w:r w:rsidRPr="00461C10">
        <w:rPr>
          <w:szCs w:val="26"/>
        </w:rPr>
        <w:t xml:space="preserve"> distribution level. Examples include solar </w:t>
      </w:r>
      <w:r w:rsidRPr="00461C10" w:rsidR="00B86732">
        <w:rPr>
          <w:szCs w:val="26"/>
        </w:rPr>
        <w:t xml:space="preserve">photovoltaic </w:t>
      </w:r>
      <w:r w:rsidRPr="00461C10">
        <w:rPr>
          <w:szCs w:val="26"/>
        </w:rPr>
        <w:t xml:space="preserve">panels, </w:t>
      </w:r>
      <w:r w:rsidRPr="00461C10" w:rsidR="00B86732">
        <w:rPr>
          <w:szCs w:val="26"/>
        </w:rPr>
        <w:t xml:space="preserve">grid-responsive heat-pumps, </w:t>
      </w:r>
      <w:r w:rsidRPr="00461C10">
        <w:rPr>
          <w:szCs w:val="26"/>
        </w:rPr>
        <w:t>wind turbines, and battery storage systems. DERs</w:t>
      </w:r>
      <w:r w:rsidRPr="00461C10" w:rsidR="00B86732">
        <w:rPr>
          <w:szCs w:val="26"/>
        </w:rPr>
        <w:t>, whether load reducing or load increasing,</w:t>
      </w:r>
      <w:r w:rsidRPr="00461C10">
        <w:rPr>
          <w:szCs w:val="26"/>
        </w:rPr>
        <w:t xml:space="preserve"> play a role in energization discussions as they impact grid management and reliability.</w:t>
      </w:r>
    </w:p>
    <w:p w:rsidRPr="00461C10" w:rsidR="00E47B0C" w:rsidP="004F4D1C" w:rsidRDefault="00C17ABC" w14:paraId="31BC2EC1" w14:textId="72426736">
      <w:pPr>
        <w:pStyle w:val="Section6"/>
        <w:rPr>
          <w:szCs w:val="26"/>
        </w:rPr>
      </w:pPr>
      <w:r w:rsidRPr="00461C10">
        <w:rPr>
          <w:b/>
          <w:bCs/>
          <w:szCs w:val="26"/>
        </w:rPr>
        <w:t>Electrical Distribution Infrastructure</w:t>
      </w:r>
      <w:r w:rsidRPr="00461C10" w:rsidR="00C25A38">
        <w:rPr>
          <w:szCs w:val="26"/>
        </w:rPr>
        <w:t>:</w:t>
      </w:r>
      <w:r w:rsidRPr="00461C10" w:rsidR="004A6901">
        <w:rPr>
          <w:szCs w:val="26"/>
        </w:rPr>
        <w:t xml:space="preserve"> </w:t>
      </w:r>
      <w:r w:rsidRPr="00461C10" w:rsidR="0071493F">
        <w:rPr>
          <w:szCs w:val="26"/>
        </w:rPr>
        <w:t xml:space="preserve">utility owned </w:t>
      </w:r>
      <w:r w:rsidRPr="00461C10" w:rsidR="00BA4E72">
        <w:rPr>
          <w:szCs w:val="26"/>
        </w:rPr>
        <w:t xml:space="preserve">physical equipment including, but not limited to, </w:t>
      </w:r>
      <w:r w:rsidRPr="00461C10" w:rsidR="004A6901">
        <w:rPr>
          <w:szCs w:val="26"/>
        </w:rPr>
        <w:t xml:space="preserve">cables, capacitators, </w:t>
      </w:r>
      <w:r w:rsidRPr="00461C10" w:rsidR="001477BA">
        <w:rPr>
          <w:szCs w:val="26"/>
        </w:rPr>
        <w:t xml:space="preserve">conduit, </w:t>
      </w:r>
      <w:r w:rsidRPr="00461C10" w:rsidR="004A6901">
        <w:rPr>
          <w:szCs w:val="26"/>
        </w:rPr>
        <w:t>fuses,</w:t>
      </w:r>
      <w:r w:rsidRPr="00461C10">
        <w:rPr>
          <w:szCs w:val="26"/>
        </w:rPr>
        <w:t xml:space="preserve"> </w:t>
      </w:r>
      <w:r w:rsidRPr="00461C10" w:rsidR="001477BA">
        <w:rPr>
          <w:szCs w:val="26"/>
        </w:rPr>
        <w:t xml:space="preserve">meters, </w:t>
      </w:r>
      <w:r w:rsidRPr="00461C10" w:rsidR="005E1C28">
        <w:rPr>
          <w:szCs w:val="26"/>
        </w:rPr>
        <w:t>p</w:t>
      </w:r>
      <w:r w:rsidRPr="00461C10">
        <w:rPr>
          <w:szCs w:val="26"/>
        </w:rPr>
        <w:t xml:space="preserve">oles, service drops, transformers, mounting pads, </w:t>
      </w:r>
      <w:r w:rsidRPr="00461C10" w:rsidR="004A6901">
        <w:rPr>
          <w:szCs w:val="26"/>
        </w:rPr>
        <w:t xml:space="preserve">substation and associated equipment </w:t>
      </w:r>
      <w:r w:rsidRPr="00461C10">
        <w:rPr>
          <w:szCs w:val="26"/>
        </w:rPr>
        <w:t xml:space="preserve">trenching, </w:t>
      </w:r>
      <w:r w:rsidRPr="00461C10" w:rsidR="001477BA">
        <w:rPr>
          <w:szCs w:val="26"/>
        </w:rPr>
        <w:t xml:space="preserve">vaults, </w:t>
      </w:r>
      <w:r w:rsidRPr="00461C10">
        <w:rPr>
          <w:szCs w:val="26"/>
        </w:rPr>
        <w:t>wire</w:t>
      </w:r>
      <w:r w:rsidRPr="00461C10" w:rsidR="001477BA">
        <w:rPr>
          <w:szCs w:val="26"/>
        </w:rPr>
        <w:t>s</w:t>
      </w:r>
      <w:r w:rsidRPr="00461C10">
        <w:rPr>
          <w:szCs w:val="26"/>
        </w:rPr>
        <w:t xml:space="preserve">, other equipment </w:t>
      </w:r>
      <w:r w:rsidRPr="00461C10">
        <w:rPr>
          <w:bCs/>
        </w:rPr>
        <w:t>as</w:t>
      </w:r>
      <w:r w:rsidRPr="00461C10">
        <w:rPr>
          <w:szCs w:val="26"/>
        </w:rPr>
        <w:t xml:space="preserve"> necessary, and associated engineering work.</w:t>
      </w:r>
    </w:p>
    <w:p w:rsidRPr="00461C10" w:rsidR="00BD419E" w:rsidP="00BD419E" w:rsidRDefault="00BD419E" w14:paraId="7B6F2226" w14:textId="117FBAC5">
      <w:pPr>
        <w:pStyle w:val="Section6"/>
        <w:ind w:hanging="450"/>
      </w:pPr>
      <w:r w:rsidRPr="00461C10">
        <w:rPr>
          <w:b/>
        </w:rPr>
        <w:t xml:space="preserve">Electric Rule 15-only Projects: </w:t>
      </w:r>
      <w:r w:rsidRPr="00461C10" w:rsidR="00446E0A">
        <w:t>p</w:t>
      </w:r>
      <w:r w:rsidRPr="00461C10">
        <w:t xml:space="preserve">rojects that </w:t>
      </w:r>
      <w:r w:rsidRPr="00461C10" w:rsidR="009C2C23">
        <w:t xml:space="preserve">only </w:t>
      </w:r>
      <w:r w:rsidRPr="00461C10" w:rsidR="00451696">
        <w:t xml:space="preserve">require </w:t>
      </w:r>
      <w:r w:rsidRPr="00461C10" w:rsidR="009C2C23">
        <w:t>utility work associated with</w:t>
      </w:r>
      <w:r w:rsidRPr="00461C10">
        <w:t xml:space="preserve"> Electric </w:t>
      </w:r>
      <w:r w:rsidRPr="00461C10" w:rsidR="00E6742B">
        <w:t>Rule</w:t>
      </w:r>
      <w:r w:rsidRPr="00461C10">
        <w:t xml:space="preserve"> 15 </w:t>
      </w:r>
      <w:r w:rsidRPr="00461C10" w:rsidR="009C2C23">
        <w:t xml:space="preserve">based on the </w:t>
      </w:r>
      <w:r w:rsidRPr="00461C10" w:rsidR="005538B1">
        <w:t>E</w:t>
      </w:r>
      <w:r w:rsidRPr="00461C10" w:rsidR="009C2C23">
        <w:t xml:space="preserve">ngineering </w:t>
      </w:r>
      <w:r w:rsidRPr="00461C10" w:rsidR="005538B1">
        <w:t>and Design step</w:t>
      </w:r>
      <w:r w:rsidRPr="00461C10">
        <w:t xml:space="preserve">. </w:t>
      </w:r>
      <w:r w:rsidRPr="00461C10" w:rsidR="005538B1">
        <w:t xml:space="preserve">The work for Electric </w:t>
      </w:r>
      <w:r w:rsidRPr="00461C10" w:rsidR="00E6742B">
        <w:t>Rule</w:t>
      </w:r>
      <w:r w:rsidRPr="00461C10" w:rsidR="00976856">
        <w:t xml:space="preserve"> 15</w:t>
      </w:r>
      <w:r w:rsidRPr="00461C10" w:rsidR="004B1623">
        <w:t xml:space="preserve"> invo</w:t>
      </w:r>
      <w:r w:rsidRPr="00461C10" w:rsidR="00451696">
        <w:t>lve</w:t>
      </w:r>
      <w:r w:rsidRPr="00461C10" w:rsidR="005D5FE8">
        <w:t>s</w:t>
      </w:r>
      <w:r w:rsidRPr="00461C10" w:rsidR="00451696">
        <w:t xml:space="preserve"> </w:t>
      </w:r>
      <w:r w:rsidRPr="00461C10" w:rsidR="002A1352">
        <w:t>activities that extend electric distribution</w:t>
      </w:r>
      <w:r w:rsidRPr="00461C10" w:rsidR="0010043A">
        <w:t xml:space="preserve"> to service facilities</w:t>
      </w:r>
      <w:r w:rsidRPr="00461C10" w:rsidR="00267D2B">
        <w:t xml:space="preserve"> under Electric Tariff 16.</w:t>
      </w:r>
      <w:r w:rsidRPr="00461C10" w:rsidR="002A1352">
        <w:t xml:space="preserve"> </w:t>
      </w:r>
    </w:p>
    <w:p w:rsidRPr="00461C10" w:rsidR="00BD419E" w:rsidP="00E73849" w:rsidRDefault="00BD419E" w14:paraId="6EF8F3AD" w14:textId="2191087E">
      <w:pPr>
        <w:pStyle w:val="Section6"/>
        <w:ind w:hanging="450"/>
      </w:pPr>
      <w:r w:rsidRPr="00461C10">
        <w:rPr>
          <w:b/>
        </w:rPr>
        <w:t xml:space="preserve">Electric Rule 16-only Projects: </w:t>
      </w:r>
      <w:r w:rsidRPr="00461C10" w:rsidR="00446E0A">
        <w:t>p</w:t>
      </w:r>
      <w:r w:rsidRPr="00461C10">
        <w:t xml:space="preserve">rojects that </w:t>
      </w:r>
      <w:r w:rsidRPr="00461C10" w:rsidR="0062472F">
        <w:t xml:space="preserve">only </w:t>
      </w:r>
      <w:r w:rsidRPr="00461C10" w:rsidR="00267D2B">
        <w:t xml:space="preserve">require </w:t>
      </w:r>
      <w:r w:rsidRPr="00461C10" w:rsidR="00DD4753">
        <w:t xml:space="preserve">work associated with </w:t>
      </w:r>
      <w:r w:rsidRPr="00461C10">
        <w:t xml:space="preserve">Electric Rule 16 </w:t>
      </w:r>
      <w:r w:rsidRPr="00461C10" w:rsidR="00AF2402">
        <w:t>as</w:t>
      </w:r>
      <w:r w:rsidRPr="00461C10">
        <w:t xml:space="preserve"> identified </w:t>
      </w:r>
      <w:r w:rsidRPr="00461C10" w:rsidR="00AF2402">
        <w:t xml:space="preserve">during </w:t>
      </w:r>
      <w:r w:rsidRPr="00461C10" w:rsidR="00024402">
        <w:t>the Engineering</w:t>
      </w:r>
      <w:r w:rsidRPr="00461C10" w:rsidR="00FE4050">
        <w:t xml:space="preserve"> </w:t>
      </w:r>
      <w:r w:rsidRPr="00461C10" w:rsidR="00267D2B">
        <w:t>and Design step</w:t>
      </w:r>
      <w:r w:rsidRPr="00461C10">
        <w:t>.</w:t>
      </w:r>
      <w:r w:rsidRPr="00461C10" w:rsidR="00C33195">
        <w:t xml:space="preserve"> The work for </w:t>
      </w:r>
      <w:r w:rsidRPr="00461C10" w:rsidR="005742E5">
        <w:t xml:space="preserve">Electric </w:t>
      </w:r>
      <w:r w:rsidRPr="00461C10" w:rsidR="00E6742B">
        <w:t>Rule</w:t>
      </w:r>
      <w:r w:rsidRPr="00461C10" w:rsidR="005742E5">
        <w:t xml:space="preserve">16 involves activities that extend </w:t>
      </w:r>
      <w:r w:rsidRPr="00461C10" w:rsidR="009125AA">
        <w:t xml:space="preserve">electric </w:t>
      </w:r>
      <w:r w:rsidRPr="00461C10" w:rsidR="005742E5">
        <w:t xml:space="preserve">service </w:t>
      </w:r>
      <w:r w:rsidRPr="00461C10" w:rsidR="009125AA">
        <w:t>facilities</w:t>
      </w:r>
      <w:r w:rsidRPr="00461C10" w:rsidR="005E59B1">
        <w:t xml:space="preserve"> to the </w:t>
      </w:r>
      <w:r w:rsidRPr="00461C10" w:rsidR="00F0572D">
        <w:t>utility meter</w:t>
      </w:r>
      <w:r w:rsidRPr="00461C10" w:rsidR="009125AA">
        <w:t xml:space="preserve"> </w:t>
      </w:r>
      <w:r w:rsidRPr="00461C10" w:rsidR="005742E5">
        <w:t xml:space="preserve">from </w:t>
      </w:r>
      <w:r w:rsidRPr="00461C10" w:rsidR="00BC1DC8">
        <w:t xml:space="preserve">the nearest point of distribution </w:t>
      </w:r>
      <w:r w:rsidRPr="00461C10" w:rsidR="00167F7D">
        <w:t xml:space="preserve">under Electric </w:t>
      </w:r>
      <w:r w:rsidRPr="00461C10" w:rsidR="00E6742B">
        <w:t>Rule</w:t>
      </w:r>
      <w:r w:rsidRPr="00461C10" w:rsidR="00167F7D">
        <w:t>15.</w:t>
      </w:r>
    </w:p>
    <w:p w:rsidRPr="00461C10" w:rsidR="005415EA" w:rsidP="005415EA" w:rsidRDefault="005415EA" w14:paraId="54458FDE" w14:textId="4AA14A72">
      <w:pPr>
        <w:pStyle w:val="Section6"/>
        <w:ind w:hanging="450"/>
      </w:pPr>
      <w:r w:rsidRPr="00461C10">
        <w:rPr>
          <w:b/>
        </w:rPr>
        <w:t>Overdue project</w:t>
      </w:r>
      <w:r w:rsidRPr="00461C10">
        <w:t xml:space="preserve">: </w:t>
      </w:r>
      <w:r w:rsidRPr="00461C10" w:rsidR="00446E0A">
        <w:t>a</w:t>
      </w:r>
      <w:r w:rsidRPr="00461C10">
        <w:t>ny project that exceeds the maximum energization target will be deemed an “overdue project</w:t>
      </w:r>
      <w:r w:rsidRPr="00461C10" w:rsidR="6088DA15">
        <w:t>.</w:t>
      </w:r>
      <w:r w:rsidRPr="00461C10">
        <w:t xml:space="preserve">” </w:t>
      </w:r>
    </w:p>
    <w:p w:rsidRPr="00461C10" w:rsidR="00C17ABC" w:rsidP="009F794F" w:rsidRDefault="00C17ABC" w14:paraId="209407B9" w14:textId="357271BD">
      <w:pPr>
        <w:pStyle w:val="Section6"/>
        <w:ind w:hanging="450"/>
      </w:pPr>
      <w:r w:rsidRPr="00461C10">
        <w:rPr>
          <w:b/>
          <w:bCs/>
        </w:rPr>
        <w:t xml:space="preserve">Project </w:t>
      </w:r>
      <w:r w:rsidRPr="00461C10" w:rsidR="28F975FD">
        <w:rPr>
          <w:b/>
          <w:bCs/>
        </w:rPr>
        <w:t>t</w:t>
      </w:r>
      <w:r w:rsidRPr="00461C10">
        <w:rPr>
          <w:b/>
          <w:bCs/>
        </w:rPr>
        <w:t>ypes</w:t>
      </w:r>
      <w:r w:rsidRPr="00461C10" w:rsidR="00C53E31">
        <w:rPr>
          <w:b/>
          <w:bCs/>
        </w:rPr>
        <w:t xml:space="preserve">: </w:t>
      </w:r>
      <w:r w:rsidRPr="00461C10" w:rsidR="00AB490C">
        <w:t xml:space="preserve">the </w:t>
      </w:r>
      <w:r w:rsidRPr="00461C10" w:rsidR="0056155C">
        <w:t>specific</w:t>
      </w:r>
      <w:r w:rsidRPr="00461C10" w:rsidR="0056155C">
        <w:rPr>
          <w:b/>
          <w:bCs/>
        </w:rPr>
        <w:t xml:space="preserve"> </w:t>
      </w:r>
      <w:r w:rsidRPr="00461C10" w:rsidR="00284A01">
        <w:t>project</w:t>
      </w:r>
      <w:r w:rsidRPr="00461C10">
        <w:t xml:space="preserve"> for </w:t>
      </w:r>
      <w:r w:rsidRPr="00461C10" w:rsidR="00284A01">
        <w:t xml:space="preserve">which the customer is requesting </w:t>
      </w:r>
      <w:r w:rsidRPr="00461C10" w:rsidR="00707910">
        <w:t xml:space="preserve">new or upgraded </w:t>
      </w:r>
      <w:r w:rsidRPr="00461C10" w:rsidR="00024402">
        <w:t xml:space="preserve">electric </w:t>
      </w:r>
      <w:r w:rsidRPr="00461C10" w:rsidR="00707910">
        <w:t>service</w:t>
      </w:r>
      <w:r w:rsidRPr="00461C10" w:rsidR="00024402">
        <w:t>(s)</w:t>
      </w:r>
      <w:r w:rsidRPr="00461C10">
        <w:t xml:space="preserve">, such as </w:t>
      </w:r>
      <w:r w:rsidRPr="00461C10" w:rsidR="00024402">
        <w:t>electric vehicle</w:t>
      </w:r>
      <w:r w:rsidRPr="00461C10">
        <w:t xml:space="preserve"> infrastructure, residential subdivision</w:t>
      </w:r>
      <w:r w:rsidRPr="00461C10" w:rsidR="00DC6C3E">
        <w:t xml:space="preserve"> development</w:t>
      </w:r>
      <w:r w:rsidRPr="00461C10">
        <w:t xml:space="preserve">, </w:t>
      </w:r>
      <w:r w:rsidRPr="00461C10" w:rsidR="00203901">
        <w:t xml:space="preserve">agriculture, etc. </w:t>
      </w:r>
      <w:r w:rsidRPr="00461C10" w:rsidR="003D240D">
        <w:t xml:space="preserve"> </w:t>
      </w:r>
    </w:p>
    <w:p w:rsidRPr="00461C10" w:rsidR="00C53E31" w:rsidP="009F794F" w:rsidRDefault="00C53E31" w14:paraId="716F9242" w14:textId="6F8E40A1">
      <w:pPr>
        <w:pStyle w:val="Section6"/>
        <w:ind w:hanging="450"/>
      </w:pPr>
      <w:r w:rsidRPr="00461C10">
        <w:rPr>
          <w:b/>
          <w:bCs/>
          <w:szCs w:val="26"/>
        </w:rPr>
        <w:t>Statewide</w:t>
      </w:r>
      <w:r w:rsidRPr="00461C10">
        <w:rPr>
          <w:b/>
        </w:rPr>
        <w:t xml:space="preserve"> targets</w:t>
      </w:r>
      <w:r w:rsidRPr="00461C10">
        <w:t xml:space="preserve">: </w:t>
      </w:r>
      <w:r w:rsidRPr="00461C10" w:rsidR="00446E0A">
        <w:t>u</w:t>
      </w:r>
      <w:r w:rsidRPr="00461C10">
        <w:t xml:space="preserve">niform energization </w:t>
      </w:r>
      <w:r w:rsidRPr="00461C10" w:rsidR="00024402">
        <w:t xml:space="preserve">requirements </w:t>
      </w:r>
      <w:r w:rsidRPr="00461C10" w:rsidR="003E54BC">
        <w:t xml:space="preserve">that are applicable to </w:t>
      </w:r>
      <w:r w:rsidRPr="00461C10">
        <w:t xml:space="preserve">all three </w:t>
      </w:r>
      <w:r w:rsidRPr="00461C10" w:rsidR="004D1464">
        <w:t>large electric IOU</w:t>
      </w:r>
      <w:r w:rsidRPr="00461C10">
        <w:t>s</w:t>
      </w:r>
      <w:r w:rsidRPr="00461C10" w:rsidR="003E54BC">
        <w:t xml:space="preserve"> (PG&amp;E, SCE, and SDG&amp;E)</w:t>
      </w:r>
      <w:r w:rsidRPr="00461C10">
        <w:t>.</w:t>
      </w:r>
    </w:p>
    <w:p w:rsidRPr="00461C10" w:rsidR="1BF7780A" w:rsidP="009F794F" w:rsidRDefault="0CB2CD20" w14:paraId="20CEED8A" w14:textId="4F96E8C8">
      <w:pPr>
        <w:pStyle w:val="Heading1"/>
      </w:pPr>
      <w:bookmarkStart w:name="_Toc458114181" w:id="28"/>
      <w:bookmarkStart w:name="_Toc177469346" w:id="29"/>
      <w:r w:rsidRPr="00461C10">
        <w:lastRenderedPageBreak/>
        <w:t>Information</w:t>
      </w:r>
      <w:r w:rsidRPr="00461C10" w:rsidR="1BF7780A">
        <w:t xml:space="preserve"> Utilized </w:t>
      </w:r>
      <w:r w:rsidRPr="00461C10" w:rsidR="20129205">
        <w:t>for</w:t>
      </w:r>
      <w:r w:rsidRPr="00461C10" w:rsidR="1BF7780A">
        <w:t xml:space="preserve"> Analysis and Discussion</w:t>
      </w:r>
      <w:bookmarkEnd w:id="28"/>
      <w:bookmarkEnd w:id="29"/>
      <w:r w:rsidRPr="00461C10" w:rsidR="1BF7780A">
        <w:t xml:space="preserve"> </w:t>
      </w:r>
    </w:p>
    <w:p w:rsidRPr="00461C10" w:rsidR="009D37FD" w:rsidP="00B37200" w:rsidRDefault="001D2686" w14:paraId="1FDBBFAC" w14:textId="04B6CC93">
      <w:pPr>
        <w:pStyle w:val="Standard"/>
      </w:pPr>
      <w:r w:rsidRPr="00461C10">
        <w:t xml:space="preserve">On March </w:t>
      </w:r>
      <w:r w:rsidRPr="00461C10" w:rsidR="00E62D82">
        <w:t xml:space="preserve">21, 2024, </w:t>
      </w:r>
      <w:r w:rsidRPr="00461C10" w:rsidR="00BB60E6">
        <w:t xml:space="preserve">the assigned </w:t>
      </w:r>
      <w:r w:rsidRPr="00461C10" w:rsidR="00E62D82">
        <w:t>ALJ</w:t>
      </w:r>
      <w:r w:rsidRPr="00461C10" w:rsidR="00BB60E6">
        <w:t>s issued a r</w:t>
      </w:r>
      <w:r w:rsidRPr="00461C10" w:rsidR="00E62D82">
        <w:t>uling</w:t>
      </w:r>
      <w:r w:rsidRPr="00461C10" w:rsidR="00BB60E6">
        <w:t xml:space="preserve"> </w:t>
      </w:r>
      <w:r w:rsidRPr="00461C10" w:rsidR="00D50481">
        <w:t>t</w:t>
      </w:r>
      <w:r w:rsidRPr="00461C10" w:rsidR="00BB60E6">
        <w:t>hat</w:t>
      </w:r>
      <w:r w:rsidRPr="00461C10" w:rsidR="00E62D82">
        <w:t xml:space="preserve"> </w:t>
      </w:r>
      <w:r w:rsidRPr="00461C10" w:rsidR="00F517C9">
        <w:t xml:space="preserve">directed </w:t>
      </w:r>
      <w:r w:rsidRPr="00461C10" w:rsidR="004C25C7">
        <w:t xml:space="preserve">PG&amp;E, SCE, and SDG&amp;E to provide more detailed data about the timing for their existing energization processes. </w:t>
      </w:r>
      <w:r w:rsidRPr="00461C10" w:rsidR="00346A02">
        <w:t>The</w:t>
      </w:r>
      <w:r w:rsidRPr="00461C10" w:rsidR="00573736">
        <w:t xml:space="preserve"> large electric</w:t>
      </w:r>
      <w:r w:rsidRPr="00461C10" w:rsidR="00346A02">
        <w:t xml:space="preserve"> </w:t>
      </w:r>
      <w:r w:rsidRPr="00461C10" w:rsidR="00446E0A">
        <w:t>IOUs’</w:t>
      </w:r>
      <w:r w:rsidRPr="00461C10" w:rsidR="00346A02">
        <w:t xml:space="preserve"> responses were </w:t>
      </w:r>
      <w:r w:rsidRPr="00461C10" w:rsidR="008F01CD">
        <w:t>filed on April 15, 2024</w:t>
      </w:r>
      <w:r w:rsidRPr="00461C10" w:rsidR="001656B0">
        <w:t>, utilizing templates attached to the ALJ Ruling.</w:t>
      </w:r>
    </w:p>
    <w:p w:rsidRPr="00461C10" w:rsidR="001656B0" w:rsidP="00B37200" w:rsidRDefault="009D37FD" w14:paraId="192FE299" w14:textId="63FDCA44">
      <w:pPr>
        <w:pStyle w:val="Standard"/>
      </w:pPr>
      <w:r w:rsidRPr="00461C10">
        <w:t>The</w:t>
      </w:r>
      <w:r w:rsidRPr="00461C10" w:rsidR="00C90B32">
        <w:t xml:space="preserve"> large electric</w:t>
      </w:r>
      <w:r w:rsidRPr="00461C10">
        <w:t xml:space="preserve"> </w:t>
      </w:r>
      <w:r w:rsidRPr="00461C10" w:rsidR="00254D0F">
        <w:t xml:space="preserve">IOUs’ </w:t>
      </w:r>
      <w:r w:rsidRPr="00461C10">
        <w:t>data w</w:t>
      </w:r>
      <w:r w:rsidRPr="00461C10" w:rsidR="00CF1D7F">
        <w:t>as</w:t>
      </w:r>
      <w:r w:rsidRPr="00461C10">
        <w:t xml:space="preserve"> analyzed to identify the average, median, standard deviation, and maximum timelines for </w:t>
      </w:r>
      <w:r w:rsidRPr="00461C10" w:rsidR="00586C28">
        <w:t>energization</w:t>
      </w:r>
      <w:r w:rsidRPr="00461C10" w:rsidR="0031192F">
        <w:t xml:space="preserve">. </w:t>
      </w:r>
      <w:r w:rsidRPr="00461C10" w:rsidR="001656B0">
        <w:t xml:space="preserve"> </w:t>
      </w:r>
    </w:p>
    <w:p w:rsidRPr="00461C10" w:rsidR="16A3791E" w:rsidP="00B37200" w:rsidRDefault="16A3791E" w14:paraId="73FD6D71" w14:textId="2DE8EBAF">
      <w:pPr>
        <w:pStyle w:val="Standard"/>
      </w:pPr>
      <w:r w:rsidRPr="00461C10">
        <w:t>Reply Comments were filed on May 17, 2024</w:t>
      </w:r>
      <w:r w:rsidRPr="00461C10" w:rsidR="007D040C">
        <w:t>,</w:t>
      </w:r>
      <w:r w:rsidRPr="00461C10">
        <w:t xml:space="preserve"> by the following parties: </w:t>
      </w:r>
      <w:r w:rsidRPr="00461C10" w:rsidR="00446C27">
        <w:t xml:space="preserve">ATE, CalBroadband, CALSSA, CMTA, </w:t>
      </w:r>
      <w:r w:rsidRPr="00461C10" w:rsidR="002B1436">
        <w:t>Crown Castle, CTIA, CUE,</w:t>
      </w:r>
      <w:r w:rsidRPr="00461C10" w:rsidR="0032153E">
        <w:t xml:space="preserve"> EDF/NRDC, </w:t>
      </w:r>
      <w:r w:rsidRPr="00461C10" w:rsidR="0093618E">
        <w:t xml:space="preserve">IREC, </w:t>
      </w:r>
      <w:r w:rsidRPr="00461C10" w:rsidR="00946090">
        <w:t xml:space="preserve">PACT, PG&amp;E, </w:t>
      </w:r>
      <w:r w:rsidRPr="00461C10" w:rsidR="002F1C0C">
        <w:t xml:space="preserve">PTC, </w:t>
      </w:r>
      <w:r w:rsidRPr="00461C10" w:rsidR="004B482C">
        <w:t>SCE, SDG&amp;E, SEIA, SPUR</w:t>
      </w:r>
      <w:r w:rsidRPr="00461C10" w:rsidR="0093618E">
        <w:t>, and Voltera.</w:t>
      </w:r>
      <w:r w:rsidRPr="00461C10" w:rsidR="0A4D10A6">
        <w:t xml:space="preserve"> </w:t>
      </w:r>
    </w:p>
    <w:p w:rsidRPr="00461C10" w:rsidR="540D45BF" w:rsidP="00B37200" w:rsidRDefault="540D45BF" w14:paraId="043B7E92" w14:textId="32695B2D">
      <w:pPr>
        <w:pStyle w:val="Standard"/>
      </w:pPr>
      <w:r w:rsidRPr="00461C10">
        <w:t xml:space="preserve">In addition to the Opening and Reply comments on the </w:t>
      </w:r>
      <w:r w:rsidRPr="00461C10" w:rsidR="000D2A83">
        <w:t xml:space="preserve">issues raised in the </w:t>
      </w:r>
      <w:r w:rsidRPr="00461C10">
        <w:t xml:space="preserve">Scoping Memo, the assigned </w:t>
      </w:r>
      <w:r w:rsidRPr="00461C10" w:rsidR="00DB5648">
        <w:t>ALJs</w:t>
      </w:r>
      <w:r w:rsidRPr="00461C10">
        <w:t xml:space="preserve"> convened a telephonic status conference on May</w:t>
      </w:r>
      <w:r w:rsidRPr="00461C10" w:rsidR="00A16F51">
        <w:t> </w:t>
      </w:r>
      <w:r w:rsidRPr="00461C10">
        <w:t>21, 2024</w:t>
      </w:r>
      <w:r w:rsidRPr="00461C10" w:rsidR="00B53707">
        <w:t>,</w:t>
      </w:r>
      <w:r w:rsidRPr="00461C10">
        <w:t xml:space="preserve"> to solicit feedback on Phase 1 issues from active parties to the proceeding.</w:t>
      </w:r>
      <w:r w:rsidRPr="00461C10">
        <w:rPr>
          <w:rStyle w:val="FootnoteReference"/>
        </w:rPr>
        <w:footnoteReference w:id="25"/>
      </w:r>
      <w:r w:rsidRPr="00461C10" w:rsidR="2CAAB1D1">
        <w:t xml:space="preserve"> Parties also provided status conference statements in advance of the telephonic hearing.</w:t>
      </w:r>
      <w:r w:rsidRPr="00461C10">
        <w:t xml:space="preserve">  </w:t>
      </w:r>
    </w:p>
    <w:p w:rsidRPr="00461C10" w:rsidR="00303C41" w:rsidP="00303C41" w:rsidRDefault="439FD4E1" w14:paraId="4F8785B2" w14:textId="6A9F7532">
      <w:pPr>
        <w:pStyle w:val="Standard"/>
      </w:pPr>
      <w:r w:rsidRPr="00461C10">
        <w:t>On June 6, 2024</w:t>
      </w:r>
      <w:r w:rsidRPr="00461C10" w:rsidR="0023324D">
        <w:t>,</w:t>
      </w:r>
      <w:r w:rsidRPr="00461C10">
        <w:t xml:space="preserve"> an ALJ Ruling was issued directing parties to respond to specific questions on energization issues. This ruling aimed to better inform the record for Phase 1 of th</w:t>
      </w:r>
      <w:r w:rsidRPr="00461C10" w:rsidR="6BC0F1EF">
        <w:t>e instant proceeding.</w:t>
      </w:r>
      <w:r w:rsidRPr="00461C10" w:rsidR="00240515">
        <w:rPr>
          <w:rStyle w:val="FootnoteReference"/>
        </w:rPr>
        <w:footnoteReference w:id="26"/>
      </w:r>
    </w:p>
    <w:p w:rsidRPr="00461C10" w:rsidR="439FD4E1" w:rsidP="00303C41" w:rsidRDefault="6060FE4A" w14:paraId="5ED2C5FF" w14:textId="64ED6A18">
      <w:pPr>
        <w:pStyle w:val="Standard"/>
      </w:pPr>
      <w:r w:rsidRPr="00461C10">
        <w:t xml:space="preserve">We utilize </w:t>
      </w:r>
      <w:r w:rsidRPr="00461C10" w:rsidR="6C693378">
        <w:t xml:space="preserve">comments on the </w:t>
      </w:r>
      <w:r w:rsidRPr="00461C10" w:rsidR="009532A0">
        <w:t>Scoping Memo</w:t>
      </w:r>
      <w:r w:rsidRPr="00461C10" w:rsidR="6C693378">
        <w:t>, statements and discussions at the telephonic status conference, and responses to the June</w:t>
      </w:r>
      <w:r w:rsidRPr="00461C10" w:rsidR="005A1675">
        <w:t> </w:t>
      </w:r>
      <w:r w:rsidRPr="00461C10" w:rsidR="0023324D">
        <w:t>6,</w:t>
      </w:r>
      <w:r w:rsidRPr="00461C10" w:rsidR="005A1675">
        <w:t> </w:t>
      </w:r>
      <w:r w:rsidR="00C678ED">
        <w:t>2024,</w:t>
      </w:r>
      <w:r w:rsidR="002932C0">
        <w:t> </w:t>
      </w:r>
      <w:r w:rsidR="00C678ED">
        <w:t xml:space="preserve">ALJ Ruling </w:t>
      </w:r>
      <w:r w:rsidRPr="00461C10" w:rsidR="6C693378">
        <w:t xml:space="preserve">in our analysis of Phase 1 issues. </w:t>
      </w:r>
    </w:p>
    <w:p w:rsidRPr="00461C10" w:rsidR="00350C5F" w:rsidP="009F794F" w:rsidRDefault="00A52BD6" w14:paraId="362664F3" w14:textId="2F5E6F96">
      <w:pPr>
        <w:pStyle w:val="Heading1"/>
      </w:pPr>
      <w:bookmarkStart w:name="_Toc1810770619" w:id="30"/>
      <w:bookmarkStart w:name="_Toc177469347" w:id="31"/>
      <w:r w:rsidRPr="00461C10">
        <w:lastRenderedPageBreak/>
        <w:t>E</w:t>
      </w:r>
      <w:r w:rsidRPr="00461C10" w:rsidR="4FE2B606">
        <w:t xml:space="preserve">nergization </w:t>
      </w:r>
      <w:r w:rsidRPr="00461C10">
        <w:t>Targets</w:t>
      </w:r>
      <w:bookmarkEnd w:id="30"/>
      <w:bookmarkEnd w:id="31"/>
    </w:p>
    <w:p w:rsidRPr="00461C10" w:rsidR="00B84F45" w:rsidP="00BA2303" w:rsidRDefault="00152D66" w14:paraId="368FB717" w14:textId="32B0A369">
      <w:pPr>
        <w:pStyle w:val="Standard"/>
      </w:pPr>
      <w:r w:rsidRPr="00461C10">
        <w:t>Pub. Util. Code §</w:t>
      </w:r>
      <w:r w:rsidRPr="00461C10" w:rsidR="00507547">
        <w:t xml:space="preserve"> 934 (a) requires the </w:t>
      </w:r>
      <w:r w:rsidRPr="00461C10" w:rsidR="37D480FD">
        <w:t>C</w:t>
      </w:r>
      <w:r w:rsidRPr="00461C10" w:rsidR="7AD9B0D9">
        <w:t>ommission</w:t>
      </w:r>
      <w:r w:rsidRPr="00461C10" w:rsidR="00507547">
        <w:t xml:space="preserve"> to establish “reasonable average and maximum t</w:t>
      </w:r>
      <w:r w:rsidRPr="00461C10" w:rsidR="00D11A9E">
        <w:t xml:space="preserve">arget energization periods.” </w:t>
      </w:r>
      <w:r w:rsidRPr="00461C10" w:rsidR="00EB7454">
        <w:t xml:space="preserve">The </w:t>
      </w:r>
      <w:r w:rsidRPr="00461C10" w:rsidR="00560FB0">
        <w:t xml:space="preserve">energization </w:t>
      </w:r>
      <w:r w:rsidRPr="00461C10" w:rsidR="00EB7454">
        <w:t xml:space="preserve">targets </w:t>
      </w:r>
      <w:r w:rsidRPr="00461C10" w:rsidR="006F0F5C">
        <w:t xml:space="preserve">established in this decision </w:t>
      </w:r>
      <w:r w:rsidRPr="00461C10" w:rsidR="00EB7454">
        <w:t xml:space="preserve">are intended to </w:t>
      </w:r>
      <w:r w:rsidRPr="00461C10" w:rsidR="003D4DE3">
        <w:t>expedite California’s</w:t>
      </w:r>
      <w:r w:rsidRPr="00461C10" w:rsidR="00EB7454">
        <w:t xml:space="preserve"> </w:t>
      </w:r>
      <w:r w:rsidRPr="00461C10" w:rsidR="00156965">
        <w:t xml:space="preserve">electrification </w:t>
      </w:r>
      <w:r w:rsidRPr="00461C10" w:rsidR="00EB7454">
        <w:t>efforts</w:t>
      </w:r>
      <w:r w:rsidRPr="00461C10" w:rsidR="00713C5D">
        <w:t>, which are</w:t>
      </w:r>
      <w:r w:rsidRPr="00461C10" w:rsidR="00156965">
        <w:t xml:space="preserve"> necessary</w:t>
      </w:r>
      <w:r w:rsidRPr="00461C10" w:rsidR="00EB7454">
        <w:t xml:space="preserve"> to meet </w:t>
      </w:r>
      <w:r w:rsidRPr="00461C10" w:rsidR="00FF025E">
        <w:t xml:space="preserve">and sustain </w:t>
      </w:r>
      <w:r w:rsidRPr="00461C10" w:rsidR="006F0F5C">
        <w:t xml:space="preserve">the state’s </w:t>
      </w:r>
      <w:r w:rsidRPr="00461C10" w:rsidR="00FF025E">
        <w:t>carbon neutrality goals as soon as 2045. Th</w:t>
      </w:r>
      <w:r w:rsidRPr="00461C10" w:rsidR="005C19D5">
        <w:t>is decision’s</w:t>
      </w:r>
      <w:r w:rsidRPr="00461C10" w:rsidR="00FF025E">
        <w:t xml:space="preserve"> targets aim to </w:t>
      </w:r>
      <w:r w:rsidRPr="00461C10" w:rsidR="00BF6496">
        <w:t xml:space="preserve">enable customers seeking to electrify </w:t>
      </w:r>
      <w:r w:rsidRPr="00461C10" w:rsidR="005C19D5">
        <w:t xml:space="preserve">to have their requested </w:t>
      </w:r>
      <w:r w:rsidRPr="00461C10" w:rsidR="00BF6496">
        <w:t xml:space="preserve">new or upgraded services </w:t>
      </w:r>
      <w:r w:rsidRPr="00461C10" w:rsidR="005C19D5">
        <w:t xml:space="preserve">electrified </w:t>
      </w:r>
      <w:r w:rsidRPr="00461C10" w:rsidR="00BF6496">
        <w:t>more quickly</w:t>
      </w:r>
      <w:r w:rsidRPr="00461C10" w:rsidR="001A1AF6">
        <w:t xml:space="preserve"> than the baselines provided by the large electric IOUs in response to the May</w:t>
      </w:r>
      <w:r w:rsidR="00C678ED">
        <w:t> </w:t>
      </w:r>
      <w:r w:rsidRPr="00461C10" w:rsidR="001A1AF6">
        <w:t>21, 2024</w:t>
      </w:r>
      <w:r w:rsidR="00C678ED">
        <w:t>, </w:t>
      </w:r>
      <w:r w:rsidRPr="00461C10" w:rsidR="001A1AF6">
        <w:t>ALJ Ruling</w:t>
      </w:r>
      <w:r w:rsidRPr="00461C10" w:rsidR="00B37404">
        <w:t xml:space="preserve">, as described </w:t>
      </w:r>
      <w:r w:rsidRPr="00461C10" w:rsidR="00B84F45">
        <w:t>in more detail in Appendix A</w:t>
      </w:r>
      <w:r w:rsidRPr="00461C10" w:rsidR="007F6D64">
        <w:t>, Statewide Energization Timelines Analys</w:t>
      </w:r>
      <w:r w:rsidRPr="00461C10" w:rsidR="008A01FB">
        <w:t>es Report</w:t>
      </w:r>
      <w:r w:rsidRPr="00461C10" w:rsidR="001A1AF6">
        <w:t>.</w:t>
      </w:r>
      <w:r w:rsidRPr="00461C10" w:rsidR="009A15E3">
        <w:t xml:space="preserve"> </w:t>
      </w:r>
    </w:p>
    <w:p w:rsidRPr="00461C10" w:rsidR="007B267C" w:rsidP="007409EA" w:rsidRDefault="001821FD" w14:paraId="64D0B602" w14:textId="4467FC10">
      <w:pPr>
        <w:pStyle w:val="Standard"/>
      </w:pPr>
      <w:r w:rsidRPr="00461C10">
        <w:t xml:space="preserve">The </w:t>
      </w:r>
      <w:r w:rsidRPr="00461C10" w:rsidR="00BC23BD">
        <w:t>l</w:t>
      </w:r>
      <w:r w:rsidRPr="00461C10">
        <w:t>arge electric IOUs</w:t>
      </w:r>
      <w:r w:rsidRPr="00461C10" w:rsidR="006146E3">
        <w:t xml:space="preserve"> raised that t</w:t>
      </w:r>
      <w:r w:rsidRPr="00461C10" w:rsidR="009A15E3">
        <w:t>h</w:t>
      </w:r>
      <w:r w:rsidRPr="00461C10" w:rsidR="001A1AF6">
        <w:t>is decision’s</w:t>
      </w:r>
      <w:r w:rsidRPr="00461C10" w:rsidR="009A15E3">
        <w:t xml:space="preserve"> </w:t>
      </w:r>
      <w:r w:rsidRPr="00461C10" w:rsidR="00202020">
        <w:t>requirements</w:t>
      </w:r>
      <w:r w:rsidRPr="00461C10" w:rsidR="009A15E3">
        <w:t xml:space="preserve"> </w:t>
      </w:r>
      <w:r w:rsidRPr="00461C10" w:rsidR="00645F44">
        <w:t>may</w:t>
      </w:r>
      <w:r w:rsidRPr="00461C10" w:rsidR="009A15E3">
        <w:t xml:space="preserve"> </w:t>
      </w:r>
      <w:r w:rsidRPr="00461C10">
        <w:t xml:space="preserve">require </w:t>
      </w:r>
      <w:r w:rsidRPr="00461C10" w:rsidR="006146E3">
        <w:t xml:space="preserve">additional funding </w:t>
      </w:r>
      <w:r w:rsidRPr="00461C10">
        <w:t xml:space="preserve">for </w:t>
      </w:r>
      <w:r w:rsidR="00397D21">
        <w:t>staffing</w:t>
      </w:r>
      <w:r w:rsidRPr="00461C10" w:rsidR="009A41FC">
        <w:t xml:space="preserve"> </w:t>
      </w:r>
      <w:r w:rsidRPr="00461C10" w:rsidR="002016F8">
        <w:t xml:space="preserve">and </w:t>
      </w:r>
      <w:r w:rsidR="00397D21">
        <w:t xml:space="preserve">other incremental </w:t>
      </w:r>
      <w:r w:rsidRPr="00461C10" w:rsidR="002016F8">
        <w:t>resources</w:t>
      </w:r>
      <w:r w:rsidRPr="00461C10" w:rsidR="009A15E3">
        <w:t>. The costs of any new staff or upgraded systems cannot be addressed in this quasi</w:t>
      </w:r>
      <w:r w:rsidRPr="00461C10" w:rsidR="00366E17">
        <w:t>-</w:t>
      </w:r>
      <w:r w:rsidRPr="00461C10" w:rsidR="009A15E3">
        <w:t xml:space="preserve">legislative </w:t>
      </w:r>
      <w:r w:rsidRPr="00461C10" w:rsidR="001A1AF6">
        <w:t>proceeding but</w:t>
      </w:r>
      <w:r w:rsidRPr="00461C10" w:rsidR="009A15E3">
        <w:t xml:space="preserve"> may be raised in </w:t>
      </w:r>
      <w:r w:rsidRPr="00461C10" w:rsidR="00A55A91">
        <w:t>separate applications by the large electric IOUs</w:t>
      </w:r>
      <w:r w:rsidRPr="00461C10" w:rsidR="00645F44">
        <w:t>, as provided in Pub. Util. Code §</w:t>
      </w:r>
      <w:r w:rsidRPr="00461C10" w:rsidR="004366A7">
        <w:t>§ 933</w:t>
      </w:r>
      <w:r w:rsidRPr="00461C10" w:rsidR="00EE6131">
        <w:t xml:space="preserve"> </w:t>
      </w:r>
      <w:r w:rsidRPr="00461C10" w:rsidR="004366A7">
        <w:t>and 937</w:t>
      </w:r>
      <w:r w:rsidRPr="00461C10" w:rsidR="00EA40F4">
        <w:t xml:space="preserve"> or through General Rate Cases</w:t>
      </w:r>
      <w:r w:rsidRPr="00461C10" w:rsidR="004366A7">
        <w:t>.</w:t>
      </w:r>
    </w:p>
    <w:p w:rsidRPr="00461C10" w:rsidR="001B5EA4" w:rsidP="00BB5C1C" w:rsidRDefault="00E76333" w14:paraId="61470346" w14:textId="787C48BA">
      <w:pPr>
        <w:pStyle w:val="Heading2"/>
      </w:pPr>
      <w:bookmarkStart w:name="_Toc176858353" w:id="32"/>
      <w:bookmarkStart w:name="_Toc176858354" w:id="33"/>
      <w:bookmarkStart w:name="_Toc177469348" w:id="34"/>
      <w:bookmarkEnd w:id="32"/>
      <w:bookmarkEnd w:id="33"/>
      <w:r w:rsidRPr="00461C10">
        <w:t xml:space="preserve">Discussion Regarding </w:t>
      </w:r>
      <w:r w:rsidRPr="00461C10" w:rsidR="005D087D">
        <w:t>Statewide</w:t>
      </w:r>
      <w:r w:rsidRPr="00461C10" w:rsidR="0017267D">
        <w:t xml:space="preserve"> </w:t>
      </w:r>
      <w:r w:rsidRPr="00461C10">
        <w:t xml:space="preserve">versus IOU-specific </w:t>
      </w:r>
      <w:r w:rsidRPr="00461C10" w:rsidR="00CC1BD6">
        <w:t>Average and Maximum Energization Targets</w:t>
      </w:r>
      <w:bookmarkEnd w:id="34"/>
      <w:r w:rsidRPr="00461C10" w:rsidR="00BA173C">
        <w:t xml:space="preserve"> </w:t>
      </w:r>
    </w:p>
    <w:p w:rsidRPr="00461C10" w:rsidR="00965A14" w:rsidP="00B37200" w:rsidRDefault="00107F7A" w14:paraId="52330F44" w14:textId="70373281">
      <w:pPr>
        <w:pStyle w:val="Standard"/>
      </w:pPr>
      <w:r w:rsidRPr="00461C10">
        <w:t xml:space="preserve">At the February 2, 2024, Energization </w:t>
      </w:r>
      <w:r w:rsidRPr="00461C10" w:rsidR="00C25F11">
        <w:t>W</w:t>
      </w:r>
      <w:r w:rsidRPr="00461C10">
        <w:t xml:space="preserve">orkshop, </w:t>
      </w:r>
      <w:r w:rsidRPr="00461C10" w:rsidR="00FA0C8E">
        <w:t xml:space="preserve">staff from the </w:t>
      </w:r>
      <w:r w:rsidRPr="00461C10">
        <w:t xml:space="preserve">Energy Division </w:t>
      </w:r>
      <w:r w:rsidRPr="00461C10" w:rsidR="00FA0C8E">
        <w:t>of the California Public Utilities Commission (Energy Division)</w:t>
      </w:r>
      <w:r w:rsidRPr="00461C10">
        <w:t xml:space="preserve"> and attending parties discussed whether the Commission should adopt statewide energization targets or </w:t>
      </w:r>
      <w:r w:rsidRPr="00461C10" w:rsidR="0014490A">
        <w:t>IOU</w:t>
      </w:r>
      <w:r w:rsidRPr="00461C10" w:rsidR="00783689">
        <w:t>-</w:t>
      </w:r>
      <w:r w:rsidRPr="00461C10">
        <w:t xml:space="preserve">specific targets. </w:t>
      </w:r>
      <w:r w:rsidRPr="00461C10" w:rsidR="00D040DE">
        <w:t xml:space="preserve">In opening comments to the </w:t>
      </w:r>
      <w:r w:rsidRPr="00461C10" w:rsidR="00317F09">
        <w:t>Rulemaking, s</w:t>
      </w:r>
      <w:r w:rsidRPr="00461C10">
        <w:t xml:space="preserve">ix parties supported statewide targets (CalBroadband, Crown Castle, EDF/NRDC, SBUA, SEIA, and SVCE), while PG&amp;E and SDG&amp;E supported </w:t>
      </w:r>
      <w:r w:rsidRPr="00461C10" w:rsidR="0014490A">
        <w:t>IOU</w:t>
      </w:r>
      <w:r w:rsidRPr="00461C10">
        <w:t xml:space="preserve">-specific targets. Parties supporting statewide targets </w:t>
      </w:r>
      <w:r w:rsidRPr="00461C10" w:rsidR="00A304A1">
        <w:t>spoke</w:t>
      </w:r>
      <w:r w:rsidRPr="00461C10" w:rsidR="00055C2F">
        <w:t xml:space="preserve"> to</w:t>
      </w:r>
      <w:r w:rsidRPr="00461C10">
        <w:t xml:space="preserve"> </w:t>
      </w:r>
      <w:r w:rsidRPr="00461C10" w:rsidR="50F3DDC3">
        <w:t>the importance of having</w:t>
      </w:r>
      <w:r w:rsidRPr="00461C10">
        <w:t xml:space="preserve"> consistent timeframes across all three </w:t>
      </w:r>
      <w:r w:rsidRPr="00461C10" w:rsidR="0014490A">
        <w:t xml:space="preserve">IOUs </w:t>
      </w:r>
      <w:r w:rsidRPr="00461C10">
        <w:t xml:space="preserve">to avoid a </w:t>
      </w:r>
      <w:r w:rsidRPr="00461C10">
        <w:lastRenderedPageBreak/>
        <w:t>patchwork approach</w:t>
      </w:r>
      <w:r w:rsidRPr="00461C10" w:rsidR="00C4075D">
        <w:t xml:space="preserve"> across the state.</w:t>
      </w:r>
      <w:r w:rsidRPr="00461C10" w:rsidR="00BA0F36">
        <w:rPr>
          <w:rStyle w:val="FootnoteReference"/>
        </w:rPr>
        <w:footnoteReference w:id="27"/>
      </w:r>
      <w:r w:rsidRPr="00461C10" w:rsidR="00C4075D">
        <w:t xml:space="preserve"> </w:t>
      </w:r>
      <w:r w:rsidRPr="00461C10">
        <w:t>EDF/NRDC assert</w:t>
      </w:r>
      <w:r w:rsidRPr="00461C10" w:rsidR="003434BF">
        <w:t>ed</w:t>
      </w:r>
      <w:r w:rsidRPr="00461C10">
        <w:t xml:space="preserve"> that uniform energization targets will allow for more effective comparison between the </w:t>
      </w:r>
      <w:r w:rsidRPr="00461C10" w:rsidR="0014490A">
        <w:t xml:space="preserve">IOUs </w:t>
      </w:r>
      <w:r w:rsidRPr="00461C10" w:rsidR="00516EA0">
        <w:t>per</w:t>
      </w:r>
      <w:r w:rsidRPr="00461C10" w:rsidR="00522FA3">
        <w:t xml:space="preserve">formance, </w:t>
      </w:r>
      <w:r w:rsidRPr="00461C10">
        <w:t xml:space="preserve">relative </w:t>
      </w:r>
      <w:r w:rsidRPr="00461C10" w:rsidR="002C113C">
        <w:t>to their ability to</w:t>
      </w:r>
      <w:r w:rsidRPr="00461C10">
        <w:t xml:space="preserve"> meet the targets</w:t>
      </w:r>
      <w:r w:rsidRPr="00461C10" w:rsidR="004E61FA">
        <w:t>,</w:t>
      </w:r>
      <w:r w:rsidRPr="00461C10">
        <w:t xml:space="preserve"> </w:t>
      </w:r>
      <w:r w:rsidRPr="00461C10" w:rsidR="008C532B">
        <w:t>which could help</w:t>
      </w:r>
      <w:r w:rsidRPr="00461C10">
        <w:t xml:space="preserve"> identify areas </w:t>
      </w:r>
      <w:r w:rsidRPr="00461C10" w:rsidR="00847974">
        <w:t xml:space="preserve">where the energization timelines could be improved </w:t>
      </w:r>
      <w:r w:rsidRPr="00461C10" w:rsidR="008C532B">
        <w:t>in this or future proceedings</w:t>
      </w:r>
      <w:r w:rsidRPr="00461C10">
        <w:t>.</w:t>
      </w:r>
      <w:r w:rsidRPr="00461C10" w:rsidR="00F40519">
        <w:rPr>
          <w:rStyle w:val="FootnoteReference"/>
        </w:rPr>
        <w:footnoteReference w:id="28"/>
      </w:r>
      <w:r w:rsidRPr="00461C10">
        <w:t xml:space="preserve"> PG&amp;E and SDG&amp;E </w:t>
      </w:r>
      <w:r w:rsidRPr="00461C10" w:rsidR="001868B3">
        <w:t>noted the</w:t>
      </w:r>
      <w:r w:rsidRPr="00461C10">
        <w:t xml:space="preserve"> demographic and geographic</w:t>
      </w:r>
      <w:r w:rsidRPr="00461C10" w:rsidR="00965A14">
        <w:t xml:space="preserve"> differences between and within the </w:t>
      </w:r>
      <w:r w:rsidRPr="00461C10" w:rsidR="002A3119">
        <w:t xml:space="preserve">large electric </w:t>
      </w:r>
      <w:r w:rsidRPr="00461C10" w:rsidR="0014490A">
        <w:t>IOU</w:t>
      </w:r>
      <w:r w:rsidRPr="00461C10" w:rsidR="001868B3">
        <w:t>s’</w:t>
      </w:r>
      <w:r w:rsidRPr="00461C10" w:rsidR="0014490A">
        <w:t xml:space="preserve"> </w:t>
      </w:r>
      <w:r w:rsidRPr="00461C10" w:rsidR="00965A14">
        <w:t>service territories, and</w:t>
      </w:r>
      <w:r w:rsidRPr="00461C10" w:rsidR="002A3119">
        <w:t xml:space="preserve"> that the large electric</w:t>
      </w:r>
      <w:r w:rsidRPr="00461C10" w:rsidR="00965A14">
        <w:t xml:space="preserve"> </w:t>
      </w:r>
      <w:r w:rsidRPr="00461C10" w:rsidR="0014490A">
        <w:t xml:space="preserve">IOUs’ </w:t>
      </w:r>
      <w:r w:rsidRPr="00461C10" w:rsidR="00965A14">
        <w:t xml:space="preserve">unique information technology systems and processes for completing an energization request justify the need for </w:t>
      </w:r>
      <w:r w:rsidRPr="00461C10" w:rsidR="0014490A">
        <w:t>IOU</w:t>
      </w:r>
      <w:r w:rsidRPr="00461C10" w:rsidR="00965A14">
        <w:t>-specific targets.</w:t>
      </w:r>
      <w:r w:rsidRPr="00461C10" w:rsidR="00FB215E">
        <w:rPr>
          <w:rStyle w:val="FootnoteReference"/>
        </w:rPr>
        <w:footnoteReference w:id="29"/>
      </w:r>
    </w:p>
    <w:p w:rsidRPr="00461C10" w:rsidR="00A6209C" w:rsidP="00024402" w:rsidRDefault="00965A14" w14:paraId="3D989B45" w14:textId="75B826C5">
      <w:r w:rsidRPr="00461C10">
        <w:t>Upon review of party comments, we agree with parties supporting statewide targets</w:t>
      </w:r>
      <w:r w:rsidRPr="00461C10" w:rsidR="00E05520">
        <w:t xml:space="preserve"> that are focused on energization of new </w:t>
      </w:r>
      <w:r w:rsidRPr="00461C10" w:rsidR="005352BB">
        <w:t>or upgraded load</w:t>
      </w:r>
      <w:r w:rsidRPr="00461C10">
        <w:t xml:space="preserve">. One of the primary goals of this </w:t>
      </w:r>
      <w:r w:rsidRPr="00461C10" w:rsidR="00E82112">
        <w:t xml:space="preserve">decision </w:t>
      </w:r>
      <w:r w:rsidRPr="00461C10">
        <w:t>is to</w:t>
      </w:r>
      <w:r w:rsidRPr="00461C10" w:rsidR="00D062D5">
        <w:t xml:space="preserve"> increase transparency around</w:t>
      </w:r>
      <w:r w:rsidRPr="00461C10">
        <w:t xml:space="preserve"> the steps</w:t>
      </w:r>
      <w:r w:rsidRPr="00461C10" w:rsidR="00024402">
        <w:t xml:space="preserve"> the</w:t>
      </w:r>
      <w:r w:rsidRPr="00461C10" w:rsidR="002A3119">
        <w:t xml:space="preserve"> large electric </w:t>
      </w:r>
      <w:r w:rsidRPr="00461C10" w:rsidR="00575910">
        <w:t>IOU</w:t>
      </w:r>
      <w:r w:rsidRPr="00461C10" w:rsidR="007D4B2F">
        <w:t>s</w:t>
      </w:r>
      <w:r w:rsidRPr="00461C10" w:rsidR="00575910">
        <w:t xml:space="preserve"> </w:t>
      </w:r>
      <w:r w:rsidRPr="00461C10" w:rsidR="00AB15EE">
        <w:t xml:space="preserve">must </w:t>
      </w:r>
      <w:r w:rsidRPr="00461C10" w:rsidR="002659D0">
        <w:t>complete and</w:t>
      </w:r>
      <w:r w:rsidRPr="00461C10" w:rsidR="00AB15EE">
        <w:t xml:space="preserve"> </w:t>
      </w:r>
      <w:r w:rsidRPr="00461C10" w:rsidR="00F00433">
        <w:t xml:space="preserve">accelerate </w:t>
      </w:r>
      <w:r w:rsidRPr="00461C10" w:rsidR="00AB15EE">
        <w:t>the associated</w:t>
      </w:r>
      <w:r w:rsidRPr="00461C10">
        <w:t xml:space="preserve"> time necessary</w:t>
      </w:r>
      <w:r w:rsidRPr="00461C10" w:rsidR="00AB15EE">
        <w:t xml:space="preserve"> for </w:t>
      </w:r>
      <w:r w:rsidRPr="00461C10" w:rsidR="00024402">
        <w:t xml:space="preserve">the large electric </w:t>
      </w:r>
      <w:r w:rsidRPr="00461C10" w:rsidR="00575910">
        <w:t xml:space="preserve">IOUs </w:t>
      </w:r>
      <w:r w:rsidRPr="00461C10">
        <w:t xml:space="preserve">to </w:t>
      </w:r>
      <w:r w:rsidRPr="00461C10" w:rsidR="006728D2">
        <w:t>energize new or upgraded electric service requests</w:t>
      </w:r>
      <w:r w:rsidRPr="00461C10" w:rsidR="00AD740D">
        <w:t>.</w:t>
      </w:r>
      <w:r w:rsidRPr="00461C10" w:rsidR="00CD70D2">
        <w:t xml:space="preserve"> </w:t>
      </w:r>
      <w:r w:rsidRPr="00461C10" w:rsidR="00197CFE">
        <w:t xml:space="preserve">A </w:t>
      </w:r>
      <w:r w:rsidRPr="00461C10" w:rsidR="00AD1683">
        <w:t>s</w:t>
      </w:r>
      <w:r w:rsidRPr="00461C10" w:rsidR="00197CFE">
        <w:t xml:space="preserve">tatewide energization target </w:t>
      </w:r>
      <w:r w:rsidRPr="00461C10" w:rsidR="009F2477">
        <w:t xml:space="preserve">that accounts for all </w:t>
      </w:r>
      <w:r w:rsidRPr="00461C10" w:rsidR="007F4CC2">
        <w:t>new or upgraded load</w:t>
      </w:r>
      <w:r w:rsidRPr="00461C10" w:rsidR="00641F6A">
        <w:t xml:space="preserve"> will</w:t>
      </w:r>
      <w:r w:rsidRPr="00461C10" w:rsidR="00197CFE">
        <w:t xml:space="preserve"> provide the </w:t>
      </w:r>
      <w:r w:rsidRPr="00461C10" w:rsidR="00024402">
        <w:t xml:space="preserve">large electric </w:t>
      </w:r>
      <w:r w:rsidRPr="00461C10" w:rsidR="001F3C07">
        <w:t>IOUs</w:t>
      </w:r>
      <w:r w:rsidRPr="00461C10" w:rsidR="00197CFE">
        <w:t xml:space="preserve"> with the same “goal post” </w:t>
      </w:r>
      <w:r w:rsidRPr="00461C10" w:rsidR="006F0C66">
        <w:t>for all energization requests</w:t>
      </w:r>
      <w:r w:rsidRPr="00461C10" w:rsidR="00382387">
        <w:t>.</w:t>
      </w:r>
      <w:r w:rsidRPr="00461C10" w:rsidR="000C5DED">
        <w:t xml:space="preserve"> A</w:t>
      </w:r>
      <w:r w:rsidRPr="00461C10" w:rsidR="00197CFE">
        <w:t xml:space="preserve">ll </w:t>
      </w:r>
      <w:r w:rsidRPr="00461C10" w:rsidR="000C5DED">
        <w:t xml:space="preserve">large electric IOU </w:t>
      </w:r>
      <w:r w:rsidRPr="00461C10" w:rsidR="00197CFE">
        <w:t xml:space="preserve">customers </w:t>
      </w:r>
      <w:r w:rsidRPr="00461C10" w:rsidR="000C5DED">
        <w:t xml:space="preserve">would therefore have </w:t>
      </w:r>
      <w:r w:rsidRPr="00461C10" w:rsidR="00197CFE">
        <w:t>the same experience and expectation</w:t>
      </w:r>
      <w:r w:rsidRPr="00461C10" w:rsidR="00A6209C">
        <w:t xml:space="preserve"> of the time necessary to complete their energization requests</w:t>
      </w:r>
      <w:r w:rsidRPr="00461C10" w:rsidR="00197CFE">
        <w:t>.</w:t>
      </w:r>
      <w:r w:rsidRPr="00461C10" w:rsidR="0044131E">
        <w:t xml:space="preserve"> </w:t>
      </w:r>
    </w:p>
    <w:p w:rsidRPr="00461C10" w:rsidR="00AD2C11" w:rsidP="00024402" w:rsidRDefault="0044131E" w14:paraId="0405769A" w14:textId="34B44921">
      <w:r w:rsidRPr="00461C10">
        <w:t xml:space="preserve">While the </w:t>
      </w:r>
      <w:r w:rsidRPr="00461C10" w:rsidR="00024402">
        <w:t>large electric IOUs have suggested that</w:t>
      </w:r>
      <w:r w:rsidRPr="00461C10">
        <w:t xml:space="preserve"> that the demographics and geography of </w:t>
      </w:r>
      <w:r w:rsidRPr="00461C10" w:rsidR="00024402">
        <w:t xml:space="preserve">their </w:t>
      </w:r>
      <w:r w:rsidRPr="00461C10">
        <w:t xml:space="preserve">service territories may differ, the urgency to energize </w:t>
      </w:r>
      <w:r w:rsidRPr="00461C10">
        <w:lastRenderedPageBreak/>
        <w:t xml:space="preserve">customers in light of California’s economic </w:t>
      </w:r>
      <w:r w:rsidRPr="00461C10" w:rsidR="005445BE">
        <w:t>electrification</w:t>
      </w:r>
      <w:r w:rsidRPr="00461C10" w:rsidR="00CA0A5C">
        <w:t xml:space="preserve"> </w:t>
      </w:r>
      <w:r w:rsidRPr="00461C10">
        <w:t>and climate</w:t>
      </w:r>
      <w:r w:rsidRPr="00461C10" w:rsidR="00CA0A5C">
        <w:t xml:space="preserve"> adaptation</w:t>
      </w:r>
      <w:r w:rsidRPr="00461C10">
        <w:t xml:space="preserve"> goals is the same across the entire state</w:t>
      </w:r>
      <w:r w:rsidRPr="00461C10" w:rsidR="00BD598A">
        <w:t>,</w:t>
      </w:r>
      <w:r w:rsidRPr="00461C10">
        <w:t xml:space="preserve"> regardless of </w:t>
      </w:r>
      <w:r w:rsidRPr="00461C10" w:rsidR="00BD598A">
        <w:t xml:space="preserve">the large electric IOU </w:t>
      </w:r>
      <w:r w:rsidRPr="00461C10">
        <w:t xml:space="preserve">service territory. </w:t>
      </w:r>
      <w:r w:rsidRPr="00461C10" w:rsidR="00024402">
        <w:t>In short</w:t>
      </w:r>
      <w:r w:rsidRPr="00461C10">
        <w:t>, all customers</w:t>
      </w:r>
      <w:r w:rsidRPr="00461C10" w:rsidR="00696962">
        <w:t xml:space="preserve"> need</w:t>
      </w:r>
      <w:r w:rsidRPr="00461C10" w:rsidR="00195056">
        <w:t xml:space="preserve"> timely electric service,</w:t>
      </w:r>
      <w:r w:rsidRPr="00461C10" w:rsidR="00024402">
        <w:t xml:space="preserve"> </w:t>
      </w:r>
      <w:r w:rsidRPr="00461C10" w:rsidR="00BD598A">
        <w:t xml:space="preserve">and </w:t>
      </w:r>
      <w:r w:rsidRPr="00461C10" w:rsidR="00024402">
        <w:t>the targets</w:t>
      </w:r>
      <w:r w:rsidRPr="00461C10" w:rsidR="00195056">
        <w:t xml:space="preserve"> defined </w:t>
      </w:r>
      <w:r w:rsidRPr="00461C10" w:rsidR="00BD598A">
        <w:t xml:space="preserve">in this decision </w:t>
      </w:r>
      <w:r w:rsidRPr="00461C10" w:rsidR="00024402">
        <w:t>will accelerate energization processes statewide</w:t>
      </w:r>
      <w:r w:rsidRPr="00461C10" w:rsidR="00AD2C11">
        <w:t xml:space="preserve"> based on the tariffs for which customers are requesting new or upgraded electric service</w:t>
      </w:r>
      <w:r w:rsidRPr="00461C10" w:rsidR="001573D7">
        <w:t xml:space="preserve">. </w:t>
      </w:r>
      <w:r w:rsidRPr="00461C10" w:rsidR="00AD740D">
        <w:t xml:space="preserve"> </w:t>
      </w:r>
    </w:p>
    <w:p w:rsidRPr="00461C10" w:rsidR="00BC6CA6" w:rsidP="00024402" w:rsidRDefault="0011367F" w14:paraId="4CF3B48D" w14:textId="036650AE">
      <w:r w:rsidRPr="00461C10">
        <w:t xml:space="preserve">Large customers, such as </w:t>
      </w:r>
      <w:r w:rsidRPr="00461C10" w:rsidR="00AD1683">
        <w:t>m</w:t>
      </w:r>
      <w:r w:rsidRPr="00461C10">
        <w:t xml:space="preserve">edium and </w:t>
      </w:r>
      <w:r w:rsidRPr="00461C10" w:rsidR="00AD1683">
        <w:t>h</w:t>
      </w:r>
      <w:r w:rsidRPr="00461C10">
        <w:t>eavy-</w:t>
      </w:r>
      <w:r w:rsidRPr="00461C10" w:rsidR="00024402">
        <w:t>duty</w:t>
      </w:r>
      <w:r w:rsidRPr="00461C10">
        <w:t xml:space="preserve"> </w:t>
      </w:r>
      <w:r w:rsidRPr="00461C10" w:rsidR="00AD1683">
        <w:t xml:space="preserve">electric vehicle </w:t>
      </w:r>
      <w:r w:rsidRPr="00461C10">
        <w:t>charging developers and residential housing subdivision developers</w:t>
      </w:r>
      <w:r w:rsidRPr="00461C10" w:rsidR="00BD598A">
        <w:t>,</w:t>
      </w:r>
      <w:r w:rsidRPr="00461C10">
        <w:t xml:space="preserve"> serve customers throughout the state and should be able to rely on a standard timeline, rather than keeping track of different IOU-specific targets across California. </w:t>
      </w:r>
      <w:r w:rsidRPr="00461C10" w:rsidR="00AD1683">
        <w:t xml:space="preserve">The </w:t>
      </w:r>
      <w:r w:rsidRPr="00461C10">
        <w:t xml:space="preserve">unique demographics and geography </w:t>
      </w:r>
      <w:r w:rsidRPr="00461C10" w:rsidR="00AD1683">
        <w:t xml:space="preserve">associated with each of the large electric IOUs </w:t>
      </w:r>
      <w:r w:rsidRPr="00461C10">
        <w:t xml:space="preserve">may be further considered in Phase 2 of this proceeding. </w:t>
      </w:r>
    </w:p>
    <w:p w:rsidRPr="00461C10" w:rsidR="00FB2B2D" w:rsidP="00B37200" w:rsidRDefault="004D2FBA" w14:paraId="12FAFAF7" w14:textId="2075B38C">
      <w:pPr>
        <w:pStyle w:val="Standard"/>
      </w:pPr>
      <w:r w:rsidRPr="00461C10">
        <w:t>Further, w</w:t>
      </w:r>
      <w:r w:rsidRPr="00461C10" w:rsidR="00BC6CA6">
        <w:t>e agree with</w:t>
      </w:r>
      <w:r w:rsidRPr="00461C10" w:rsidR="00965A14">
        <w:t xml:space="preserve"> EDF/NRDC </w:t>
      </w:r>
      <w:r w:rsidRPr="00461C10" w:rsidR="00BC6CA6">
        <w:t>that</w:t>
      </w:r>
      <w:r w:rsidRPr="00461C10" w:rsidR="00965A14">
        <w:t xml:space="preserve"> making the targets and processes as identical as possible </w:t>
      </w:r>
      <w:r w:rsidRPr="00461C10" w:rsidR="00FB312E">
        <w:t>for the Electric Rules identified in Section 7.2, Adopted Statewide Average and Maximum Energization Targets, below, will</w:t>
      </w:r>
      <w:r w:rsidRPr="00461C10" w:rsidR="00965A14">
        <w:t xml:space="preserve"> </w:t>
      </w:r>
      <w:r w:rsidRPr="00461C10" w:rsidR="00E50120">
        <w:t>enable</w:t>
      </w:r>
      <w:r w:rsidRPr="00461C10" w:rsidR="008124FB">
        <w:t xml:space="preserve"> customers and the Commission</w:t>
      </w:r>
      <w:r w:rsidRPr="00461C10" w:rsidR="00965A14">
        <w:t xml:space="preserve"> to </w:t>
      </w:r>
      <w:r w:rsidRPr="00461C10" w:rsidR="008124FB">
        <w:t>more accurately compare</w:t>
      </w:r>
      <w:r w:rsidRPr="00461C10" w:rsidR="00965A14">
        <w:t xml:space="preserve"> how </w:t>
      </w:r>
      <w:r w:rsidRPr="00461C10" w:rsidR="008124FB">
        <w:t xml:space="preserve">long it takes </w:t>
      </w:r>
      <w:r w:rsidRPr="00461C10" w:rsidR="00965A14">
        <w:t xml:space="preserve">each </w:t>
      </w:r>
      <w:r w:rsidRPr="00461C10" w:rsidR="006C308A">
        <w:t xml:space="preserve">large electric </w:t>
      </w:r>
      <w:r w:rsidRPr="00461C10" w:rsidR="00B90566">
        <w:t xml:space="preserve">IOU </w:t>
      </w:r>
      <w:r w:rsidRPr="00461C10" w:rsidR="008124FB">
        <w:t>to</w:t>
      </w:r>
      <w:r w:rsidRPr="00461C10" w:rsidR="00965A14">
        <w:t xml:space="preserve"> </w:t>
      </w:r>
      <w:r w:rsidRPr="00461C10" w:rsidR="008124FB">
        <w:t>meet the</w:t>
      </w:r>
      <w:r w:rsidRPr="00461C10" w:rsidR="00965A14">
        <w:t xml:space="preserve"> targets</w:t>
      </w:r>
      <w:r w:rsidRPr="00461C10" w:rsidR="008124FB">
        <w:t xml:space="preserve"> </w:t>
      </w:r>
      <w:r w:rsidRPr="00461C10" w:rsidR="0006225B">
        <w:t xml:space="preserve">and timelines </w:t>
      </w:r>
      <w:r w:rsidRPr="00461C10" w:rsidR="008124FB">
        <w:t>adopted in this decision</w:t>
      </w:r>
      <w:r w:rsidRPr="00461C10" w:rsidR="00965A14">
        <w:t xml:space="preserve">, and in turn, </w:t>
      </w:r>
      <w:r w:rsidRPr="00461C10" w:rsidR="008124FB">
        <w:t xml:space="preserve">determine </w:t>
      </w:r>
      <w:r w:rsidRPr="00461C10" w:rsidR="002F3556">
        <w:t>when and how</w:t>
      </w:r>
      <w:r w:rsidRPr="00461C10" w:rsidR="00965A14">
        <w:t xml:space="preserve"> the timing to complete each step can be </w:t>
      </w:r>
      <w:r w:rsidRPr="00461C10" w:rsidR="0009321C">
        <w:t xml:space="preserve">further </w:t>
      </w:r>
      <w:r w:rsidRPr="00461C10" w:rsidR="00965A14">
        <w:t>accelerated.</w:t>
      </w:r>
      <w:r w:rsidRPr="00461C10" w:rsidR="00BC6CA6">
        <w:rPr>
          <w:rStyle w:val="FootnoteReference"/>
        </w:rPr>
        <w:footnoteReference w:id="30"/>
      </w:r>
      <w:r w:rsidRPr="00461C10" w:rsidR="00965A14">
        <w:t xml:space="preserve"> SDG&amp;E’s claim that the </w:t>
      </w:r>
      <w:r w:rsidRPr="00461C10" w:rsidR="006C308A">
        <w:t xml:space="preserve">large electric </w:t>
      </w:r>
      <w:r w:rsidRPr="00461C10" w:rsidR="009B56DA">
        <w:t xml:space="preserve">IOUs </w:t>
      </w:r>
      <w:r w:rsidRPr="00461C10" w:rsidR="00965A14">
        <w:t xml:space="preserve">have different </w:t>
      </w:r>
      <w:r w:rsidRPr="00461C10" w:rsidR="002F3556">
        <w:t xml:space="preserve">billing and customer </w:t>
      </w:r>
      <w:r w:rsidRPr="00461C10" w:rsidR="001C5506">
        <w:t xml:space="preserve">tracking </w:t>
      </w:r>
      <w:r w:rsidRPr="00461C10" w:rsidR="00965A14">
        <w:t xml:space="preserve">systems </w:t>
      </w:r>
      <w:r w:rsidRPr="00461C10" w:rsidR="008124FB">
        <w:t>does</w:t>
      </w:r>
      <w:r w:rsidRPr="00461C10" w:rsidR="00965A14">
        <w:t xml:space="preserve"> not </w:t>
      </w:r>
      <w:r w:rsidRPr="00461C10" w:rsidR="008124FB">
        <w:t>align with</w:t>
      </w:r>
      <w:r w:rsidRPr="00461C10" w:rsidR="00965A14">
        <w:t xml:space="preserve"> the </w:t>
      </w:r>
      <w:r w:rsidRPr="00461C10" w:rsidR="008124FB">
        <w:t>directives</w:t>
      </w:r>
      <w:r w:rsidRPr="00461C10" w:rsidR="00965A14">
        <w:t xml:space="preserve"> adopted </w:t>
      </w:r>
      <w:r w:rsidRPr="00461C10" w:rsidR="008124FB">
        <w:t xml:space="preserve">in </w:t>
      </w:r>
      <w:r w:rsidRPr="00461C10" w:rsidR="00B37200">
        <w:t>SB </w:t>
      </w:r>
      <w:r w:rsidRPr="00461C10" w:rsidR="008124FB">
        <w:t xml:space="preserve">410 and </w:t>
      </w:r>
      <w:r w:rsidRPr="00461C10" w:rsidR="00B37200">
        <w:t>AB </w:t>
      </w:r>
      <w:r w:rsidRPr="00461C10" w:rsidR="008124FB">
        <w:t>50, which require the Commission to adopt</w:t>
      </w:r>
      <w:r w:rsidRPr="00461C10" w:rsidR="00965A14">
        <w:t xml:space="preserve"> consistent, efficient processes </w:t>
      </w:r>
      <w:r w:rsidRPr="00461C10" w:rsidR="008124FB">
        <w:t>that minimize the timing associated with customer energization requests</w:t>
      </w:r>
      <w:r w:rsidRPr="00461C10" w:rsidR="00965A14">
        <w:t>.</w:t>
      </w:r>
      <w:r w:rsidRPr="00461C10" w:rsidR="00BC6CA6">
        <w:rPr>
          <w:rStyle w:val="FootnoteReference"/>
        </w:rPr>
        <w:footnoteReference w:id="31"/>
      </w:r>
      <w:r w:rsidRPr="00461C10" w:rsidR="00E32ED8">
        <w:t xml:space="preserve"> </w:t>
      </w:r>
    </w:p>
    <w:p w:rsidRPr="00461C10" w:rsidR="00F57767" w:rsidP="00B37200" w:rsidRDefault="00863420" w14:paraId="645AA88A" w14:textId="38D043B2">
      <w:pPr>
        <w:pStyle w:val="Standard"/>
      </w:pPr>
      <w:r w:rsidRPr="00461C10">
        <w:lastRenderedPageBreak/>
        <w:t xml:space="preserve">In the Joint </w:t>
      </w:r>
      <w:r w:rsidRPr="00461C10" w:rsidR="0058483D">
        <w:t xml:space="preserve">IOUs’ </w:t>
      </w:r>
      <w:r w:rsidRPr="00461C10">
        <w:t xml:space="preserve">response </w:t>
      </w:r>
      <w:r w:rsidRPr="00461C10" w:rsidR="000D2A83">
        <w:t>to the March</w:t>
      </w:r>
      <w:r w:rsidR="002932C0">
        <w:t> </w:t>
      </w:r>
      <w:r w:rsidRPr="00461C10" w:rsidR="000D2A83">
        <w:t>21, 2024,</w:t>
      </w:r>
      <w:r w:rsidR="002932C0">
        <w:t> </w:t>
      </w:r>
      <w:r w:rsidRPr="00461C10" w:rsidR="000D2A83">
        <w:t xml:space="preserve">ALJ Ruling </w:t>
      </w:r>
      <w:r w:rsidRPr="00461C10">
        <w:t xml:space="preserve">filed </w:t>
      </w:r>
      <w:r w:rsidRPr="00461C10" w:rsidR="009B5154">
        <w:t>April</w:t>
      </w:r>
      <w:r w:rsidRPr="00461C10" w:rsidR="00E62F70">
        <w:t> </w:t>
      </w:r>
      <w:r w:rsidRPr="00461C10" w:rsidR="009B5154">
        <w:t xml:space="preserve">15, 2024, the </w:t>
      </w:r>
      <w:r w:rsidRPr="00461C10" w:rsidR="006C308A">
        <w:t xml:space="preserve">large electric </w:t>
      </w:r>
      <w:r w:rsidRPr="00461C10" w:rsidR="009B5154">
        <w:t xml:space="preserve">IOUs </w:t>
      </w:r>
      <w:r w:rsidRPr="00461C10" w:rsidR="001E321E">
        <w:t xml:space="preserve">recommended a five-step </w:t>
      </w:r>
      <w:r w:rsidRPr="00461C10" w:rsidR="00D511A0">
        <w:t xml:space="preserve">list of typical steps to complete the </w:t>
      </w:r>
      <w:r w:rsidRPr="00461C10" w:rsidR="008E5949">
        <w:t>energization p</w:t>
      </w:r>
      <w:r w:rsidRPr="00461C10" w:rsidR="00E345A5">
        <w:t>rocess</w:t>
      </w:r>
      <w:r w:rsidRPr="00461C10" w:rsidR="00D36AFC">
        <w:t xml:space="preserve"> and what party is responsible for completing each step: </w:t>
      </w:r>
    </w:p>
    <w:p w:rsidRPr="00461C10" w:rsidR="00F57767" w:rsidP="00960526" w:rsidRDefault="00D36AFC" w14:paraId="2302A0E0" w14:textId="160A5F7F">
      <w:pPr>
        <w:pStyle w:val="ListBullet"/>
        <w:numPr>
          <w:ilvl w:val="0"/>
          <w:numId w:val="12"/>
        </w:numPr>
      </w:pPr>
      <w:r w:rsidRPr="00461C10">
        <w:t>Customer Intake (</w:t>
      </w:r>
      <w:r w:rsidRPr="00461C10" w:rsidR="006C308A">
        <w:t xml:space="preserve">this includes the steps a customer must take to initiate an application, and the steps the large </w:t>
      </w:r>
      <w:r w:rsidRPr="00461C10" w:rsidR="00820929">
        <w:t xml:space="preserve">electric </w:t>
      </w:r>
      <w:r w:rsidRPr="00461C10" w:rsidR="006C308A">
        <w:t xml:space="preserve">IOU must complete </w:t>
      </w:r>
      <w:r w:rsidRPr="00461C10" w:rsidR="00F57767">
        <w:t>to intake the energization request</w:t>
      </w:r>
      <w:r w:rsidRPr="00461C10">
        <w:t>)</w:t>
      </w:r>
      <w:r w:rsidRPr="00461C10" w:rsidR="00F57767">
        <w:t>;</w:t>
      </w:r>
    </w:p>
    <w:p w:rsidRPr="00461C10" w:rsidR="00F57767" w:rsidP="00960526" w:rsidRDefault="00D36AFC" w14:paraId="55C8A3AD" w14:textId="437C2025">
      <w:pPr>
        <w:pStyle w:val="ListBullet"/>
        <w:numPr>
          <w:ilvl w:val="0"/>
          <w:numId w:val="12"/>
        </w:numPr>
      </w:pPr>
      <w:r w:rsidRPr="00461C10">
        <w:t>Engineering &amp; Design (</w:t>
      </w:r>
      <w:r w:rsidRPr="00461C10" w:rsidR="00F57767">
        <w:t xml:space="preserve">steps taken by the large electric </w:t>
      </w:r>
      <w:r w:rsidRPr="00461C10">
        <w:t>IOU</w:t>
      </w:r>
      <w:r w:rsidRPr="00461C10" w:rsidR="00F57767">
        <w:t xml:space="preserve"> to </w:t>
      </w:r>
      <w:r w:rsidRPr="00461C10" w:rsidR="00820929">
        <w:t>develop the site plan for the energization request</w:t>
      </w:r>
      <w:r w:rsidRPr="00461C10">
        <w:t>)</w:t>
      </w:r>
      <w:r w:rsidRPr="00461C10" w:rsidR="00820929">
        <w:t>;</w:t>
      </w:r>
    </w:p>
    <w:p w:rsidRPr="00461C10" w:rsidR="00F57767" w:rsidP="00960526" w:rsidRDefault="00D36AFC" w14:paraId="7AEFF0B4" w14:textId="2214BA5D">
      <w:pPr>
        <w:pStyle w:val="ListBullet"/>
        <w:numPr>
          <w:ilvl w:val="0"/>
          <w:numId w:val="12"/>
        </w:numPr>
      </w:pPr>
      <w:r w:rsidRPr="00461C10">
        <w:t>Dependencies (</w:t>
      </w:r>
      <w:r w:rsidRPr="00461C10" w:rsidR="009D79CB">
        <w:t xml:space="preserve">time necessary to complete steps of the energization process that are not fully under the </w:t>
      </w:r>
      <w:r w:rsidRPr="00461C10" w:rsidR="00820929">
        <w:t xml:space="preserve">large electric </w:t>
      </w:r>
      <w:r w:rsidRPr="00461C10" w:rsidR="009D79CB">
        <w:t>IOUs’ control</w:t>
      </w:r>
      <w:r w:rsidRPr="00461C10" w:rsidR="00820929">
        <w:t xml:space="preserve">, such as applications </w:t>
      </w:r>
      <w:r w:rsidRPr="00461C10" w:rsidR="0088467F">
        <w:t>and receiving local, regional, and/or state authority having jurisdiction</w:t>
      </w:r>
      <w:r w:rsidRPr="00461C10" w:rsidR="00C30E90">
        <w:t xml:space="preserve"> approval</w:t>
      </w:r>
      <w:r w:rsidRPr="00461C10">
        <w:t>)</w:t>
      </w:r>
      <w:r w:rsidRPr="00461C10" w:rsidR="00C30E90">
        <w:t>;</w:t>
      </w:r>
      <w:r w:rsidRPr="00461C10" w:rsidR="00D450FA">
        <w:rPr>
          <w:rStyle w:val="FootnoteReference"/>
        </w:rPr>
        <w:footnoteReference w:id="32"/>
      </w:r>
      <w:r w:rsidRPr="00461C10" w:rsidR="001C66EC">
        <w:t xml:space="preserve"> </w:t>
      </w:r>
    </w:p>
    <w:p w:rsidRPr="00461C10" w:rsidR="00C30E90" w:rsidP="00960526" w:rsidRDefault="001C66EC" w14:paraId="7B85C74A" w14:textId="7C967F53">
      <w:pPr>
        <w:pStyle w:val="ListBullet"/>
        <w:numPr>
          <w:ilvl w:val="0"/>
          <w:numId w:val="12"/>
        </w:numPr>
      </w:pPr>
      <w:r w:rsidRPr="00461C10">
        <w:t>Site Readiness (</w:t>
      </w:r>
      <w:r w:rsidRPr="00461C10" w:rsidR="009D79CB">
        <w:t xml:space="preserve">time necessary to complete site readiness processes that </w:t>
      </w:r>
      <w:r w:rsidRPr="00461C10" w:rsidR="00C30E90">
        <w:t xml:space="preserve">are </w:t>
      </w:r>
      <w:r w:rsidRPr="00461C10" w:rsidR="009D79CB">
        <w:t>outside of the</w:t>
      </w:r>
      <w:r w:rsidRPr="00461C10" w:rsidR="00C30E90">
        <w:t xml:space="preserve"> large electric</w:t>
      </w:r>
      <w:r w:rsidRPr="00461C10" w:rsidR="009D79CB">
        <w:t xml:space="preserve"> IOUs’ control</w:t>
      </w:r>
      <w:r w:rsidRPr="00461C10">
        <w:t>)</w:t>
      </w:r>
      <w:r w:rsidRPr="00461C10" w:rsidR="00C30E90">
        <w:t>;</w:t>
      </w:r>
      <w:r w:rsidRPr="00461C10">
        <w:t xml:space="preserve"> and </w:t>
      </w:r>
    </w:p>
    <w:p w:rsidRPr="00461C10" w:rsidR="00C30E90" w:rsidP="00960526" w:rsidRDefault="001C66EC" w14:paraId="38CDE772" w14:textId="542EF197">
      <w:pPr>
        <w:pStyle w:val="ListBullet"/>
        <w:numPr>
          <w:ilvl w:val="0"/>
          <w:numId w:val="12"/>
        </w:numPr>
      </w:pPr>
      <w:r w:rsidRPr="00461C10">
        <w:t>Construction (</w:t>
      </w:r>
      <w:r w:rsidRPr="00461C10" w:rsidR="00C30E90">
        <w:t xml:space="preserve">steps taken by the large electric </w:t>
      </w:r>
      <w:r w:rsidRPr="00461C10">
        <w:t>IOU</w:t>
      </w:r>
      <w:r w:rsidRPr="00461C10" w:rsidR="00C30E90">
        <w:t xml:space="preserve"> to construct the site</w:t>
      </w:r>
      <w:r w:rsidRPr="00461C10">
        <w:t>)</w:t>
      </w:r>
      <w:r w:rsidRPr="00461C10" w:rsidR="00E345A5">
        <w:t>.</w:t>
      </w:r>
      <w:r w:rsidRPr="00461C10" w:rsidR="00A31E1D">
        <w:rPr>
          <w:rStyle w:val="FootnoteReference"/>
        </w:rPr>
        <w:footnoteReference w:id="33"/>
      </w:r>
      <w:r w:rsidRPr="00461C10" w:rsidR="00E345A5">
        <w:t xml:space="preserve"> </w:t>
      </w:r>
    </w:p>
    <w:p w:rsidRPr="00461C10" w:rsidR="00E007DA" w:rsidP="00B37200" w:rsidRDefault="006347F0" w14:paraId="784592B6" w14:textId="54FE01B2">
      <w:pPr>
        <w:pStyle w:val="Standard"/>
      </w:pPr>
      <w:r w:rsidRPr="00461C10">
        <w:t xml:space="preserve">ATE, </w:t>
      </w:r>
      <w:r w:rsidRPr="00461C10" w:rsidR="000F5E95">
        <w:t>CMTA</w:t>
      </w:r>
      <w:r w:rsidRPr="00461C10" w:rsidR="00C8691E">
        <w:t xml:space="preserve">, </w:t>
      </w:r>
      <w:r w:rsidRPr="00461C10" w:rsidR="00A35D6F">
        <w:t xml:space="preserve">EDF/NRDC, </w:t>
      </w:r>
      <w:r w:rsidRPr="00461C10" w:rsidR="003F39B6">
        <w:t xml:space="preserve">and </w:t>
      </w:r>
      <w:r w:rsidRPr="00461C10" w:rsidR="00AA512E">
        <w:t>Walmart</w:t>
      </w:r>
      <w:r w:rsidRPr="00461C10" w:rsidR="003F39B6">
        <w:t xml:space="preserve"> </w:t>
      </w:r>
      <w:r w:rsidRPr="00461C10" w:rsidR="00CC4167">
        <w:t>agreed that the IOUs’ recommended five-step list was reasonable.</w:t>
      </w:r>
      <w:r w:rsidRPr="00461C10" w:rsidR="00AA512E">
        <w:rPr>
          <w:rStyle w:val="FootnoteReference"/>
        </w:rPr>
        <w:footnoteReference w:id="34"/>
      </w:r>
      <w:r w:rsidRPr="00461C10" w:rsidR="00CC4167">
        <w:t xml:space="preserve"> </w:t>
      </w:r>
      <w:r w:rsidRPr="00461C10" w:rsidR="001F1A0E">
        <w:t>CALSTART,</w:t>
      </w:r>
      <w:r w:rsidRPr="00461C10" w:rsidR="00412C02">
        <w:t xml:space="preserve"> CALSSA, </w:t>
      </w:r>
      <w:r w:rsidRPr="00461C10" w:rsidR="009A7E22">
        <w:t xml:space="preserve">Crown Castle, </w:t>
      </w:r>
      <w:r w:rsidRPr="00461C10" w:rsidR="008C02D2">
        <w:t xml:space="preserve">PACT, </w:t>
      </w:r>
      <w:r w:rsidRPr="00461C10" w:rsidR="009A7E22">
        <w:t xml:space="preserve">and </w:t>
      </w:r>
      <w:r w:rsidRPr="00461C10" w:rsidR="0034680F">
        <w:t>SEIA</w:t>
      </w:r>
      <w:r w:rsidRPr="00461C10" w:rsidR="00FE5D70">
        <w:t xml:space="preserve"> recommended modifications to the </w:t>
      </w:r>
      <w:r w:rsidRPr="00461C10" w:rsidR="001E5B66">
        <w:t>IOUs’ propo</w:t>
      </w:r>
      <w:r w:rsidRPr="00461C10" w:rsidR="00802891">
        <w:t>se five-</w:t>
      </w:r>
      <w:r w:rsidRPr="00461C10" w:rsidR="00802891">
        <w:lastRenderedPageBreak/>
        <w:t>step energization process</w:t>
      </w:r>
      <w:r w:rsidRPr="00461C10" w:rsidR="001E5B66">
        <w:t>.</w:t>
      </w:r>
      <w:r w:rsidRPr="00461C10" w:rsidR="00A90BA2">
        <w:rPr>
          <w:rStyle w:val="FootnoteReference"/>
        </w:rPr>
        <w:footnoteReference w:id="35"/>
      </w:r>
      <w:r w:rsidRPr="00461C10" w:rsidR="007B025C">
        <w:t xml:space="preserve"> </w:t>
      </w:r>
      <w:r w:rsidRPr="00461C10" w:rsidR="009D79CB">
        <w:t xml:space="preserve">For example, CALSTART noted that the five steps outlined by the IOUs are not sufficiently granular for project tracking purposes, because some steps </w:t>
      </w:r>
      <w:r w:rsidRPr="00461C10" w:rsidR="03CCC7B6">
        <w:t xml:space="preserve">may occur </w:t>
      </w:r>
      <w:r w:rsidRPr="00461C10" w:rsidR="009D79CB">
        <w:t>concurrently, while other steps cannot occur until a prior step is complete.</w:t>
      </w:r>
      <w:r w:rsidRPr="00461C10" w:rsidR="009D79CB">
        <w:rPr>
          <w:rStyle w:val="FootnoteReference"/>
        </w:rPr>
        <w:footnoteReference w:id="36"/>
      </w:r>
      <w:r w:rsidRPr="00461C10" w:rsidR="009D79CB">
        <w:t xml:space="preserve"> Crown Castle </w:t>
      </w:r>
      <w:r w:rsidRPr="00461C10" w:rsidR="794D9B67">
        <w:t>agreed</w:t>
      </w:r>
      <w:r w:rsidRPr="00461C10" w:rsidR="009D79CB">
        <w:t>, stating that customers can, and often do, begin certain site readiness work before the IOUs secure permits.</w:t>
      </w:r>
      <w:r w:rsidRPr="00461C10" w:rsidR="009D79CB">
        <w:rPr>
          <w:rStyle w:val="FootnoteReference"/>
        </w:rPr>
        <w:footnoteReference w:id="37"/>
      </w:r>
      <w:r w:rsidRPr="00461C10" w:rsidR="009D79CB">
        <w:t xml:space="preserve"> </w:t>
      </w:r>
      <w:r w:rsidRPr="00461C10" w:rsidR="00E007DA">
        <w:t xml:space="preserve">CalSSA suggested that the customer initiation/intake phase should </w:t>
      </w:r>
      <w:r w:rsidRPr="00461C10" w:rsidR="34701230">
        <w:t>occur</w:t>
      </w:r>
      <w:r w:rsidRPr="00461C10" w:rsidR="00E007DA">
        <w:t xml:space="preserve"> almost instantaneous</w:t>
      </w:r>
      <w:r w:rsidRPr="00461C10" w:rsidR="5CABA381">
        <w:t>ly</w:t>
      </w:r>
      <w:r w:rsidRPr="00461C10" w:rsidR="00E007DA">
        <w:t xml:space="preserve"> and the IOUs could use photos taken by a customer’s contractor to consider virtual meter spots, rather than requiring IOU employees to visit a site before approving an application.</w:t>
      </w:r>
      <w:r w:rsidRPr="00461C10" w:rsidR="00E007DA">
        <w:rPr>
          <w:rStyle w:val="FootnoteReference"/>
        </w:rPr>
        <w:footnoteReference w:id="38"/>
      </w:r>
      <w:r w:rsidRPr="00461C10" w:rsidR="00E007DA">
        <w:t xml:space="preserve"> </w:t>
      </w:r>
      <w:r w:rsidRPr="00461C10" w:rsidR="00024402">
        <w:t>AUE, CalCCA, and EDF/NRDC s</w:t>
      </w:r>
      <w:r w:rsidRPr="00461C10" w:rsidR="006F4249">
        <w:t>uggested</w:t>
      </w:r>
      <w:r w:rsidRPr="00461C10" w:rsidR="00024402">
        <w:t xml:space="preserve"> that the targets adopted in this decision </w:t>
      </w:r>
      <w:r w:rsidRPr="00461C10" w:rsidR="006F4249">
        <w:t>should be considered as</w:t>
      </w:r>
      <w:r w:rsidRPr="00461C10" w:rsidR="00024402">
        <w:t xml:space="preserve"> preliminary</w:t>
      </w:r>
      <w:r w:rsidRPr="00461C10" w:rsidR="006F4249">
        <w:t xml:space="preserve"> </w:t>
      </w:r>
      <w:r w:rsidRPr="00461C10" w:rsidR="00024402">
        <w:t xml:space="preserve">and that additional work </w:t>
      </w:r>
      <w:r w:rsidRPr="00461C10" w:rsidR="006F4249">
        <w:t>will be</w:t>
      </w:r>
      <w:r w:rsidRPr="00461C10" w:rsidR="00024402">
        <w:t xml:space="preserve"> necessary to refine them in Phase 2 of this proceeding.</w:t>
      </w:r>
      <w:r w:rsidRPr="00461C10" w:rsidR="006F4249">
        <w:t xml:space="preserve"> </w:t>
      </w:r>
      <w:r w:rsidRPr="00461C10" w:rsidR="00024402">
        <w:t xml:space="preserve">  </w:t>
      </w:r>
    </w:p>
    <w:p w:rsidRPr="00461C10" w:rsidR="00863420" w:rsidP="00B37200" w:rsidRDefault="007B025C" w14:paraId="144597C4" w14:textId="689FE909">
      <w:pPr>
        <w:pStyle w:val="Standard"/>
      </w:pPr>
      <w:r w:rsidRPr="00461C10">
        <w:t xml:space="preserve">We </w:t>
      </w:r>
      <w:r w:rsidRPr="00461C10" w:rsidR="009871A9">
        <w:t xml:space="preserve">agree </w:t>
      </w:r>
      <w:r w:rsidRPr="00461C10" w:rsidR="001B2D86">
        <w:t xml:space="preserve">with parties </w:t>
      </w:r>
      <w:r w:rsidRPr="00461C10" w:rsidR="00860BAB">
        <w:t xml:space="preserve">that </w:t>
      </w:r>
      <w:r w:rsidRPr="00461C10" w:rsidR="00F03ED5">
        <w:t xml:space="preserve">modifications to the </w:t>
      </w:r>
      <w:r w:rsidRPr="00461C10" w:rsidR="00E62D02">
        <w:t>J</w:t>
      </w:r>
      <w:r w:rsidRPr="00461C10" w:rsidR="00F03ED5">
        <w:t xml:space="preserve">oint IOUs’ </w:t>
      </w:r>
      <w:r w:rsidRPr="00461C10" w:rsidR="00860BAB">
        <w:t xml:space="preserve">five step </w:t>
      </w:r>
      <w:r w:rsidRPr="00461C10" w:rsidR="00F03ED5">
        <w:t>proposal</w:t>
      </w:r>
      <w:r w:rsidRPr="00461C10" w:rsidR="00512DAE">
        <w:t xml:space="preserve"> </w:t>
      </w:r>
      <w:r w:rsidRPr="00461C10" w:rsidR="00860BAB">
        <w:t>could better</w:t>
      </w:r>
      <w:r w:rsidRPr="00461C10" w:rsidR="00512DAE">
        <w:t xml:space="preserve"> ensure each step accurately reflects </w:t>
      </w:r>
      <w:r w:rsidRPr="00461C10" w:rsidR="000507C1">
        <w:t xml:space="preserve">the actions being taken to complete the </w:t>
      </w:r>
      <w:r w:rsidRPr="00461C10" w:rsidR="00A37214">
        <w:t>energization process, and the party responsible for completing the step.</w:t>
      </w:r>
      <w:r w:rsidRPr="00461C10" w:rsidR="0068729F">
        <w:t xml:space="preserve"> Considering this, we adopt the following steps:</w:t>
      </w:r>
    </w:p>
    <w:p w:rsidRPr="00461C10" w:rsidR="00512EE0" w:rsidP="00303C41" w:rsidRDefault="00512EE0" w14:paraId="2E978CBC" w14:textId="0521C668">
      <w:pPr>
        <w:pStyle w:val="71sublevel"/>
        <w:ind w:left="1080"/>
      </w:pPr>
      <w:r w:rsidRPr="00461C10">
        <w:rPr>
          <w:b/>
          <w:bCs/>
        </w:rPr>
        <w:t>Customer Intake:</w:t>
      </w:r>
      <w:r w:rsidRPr="00461C10">
        <w:t xml:space="preserve"> </w:t>
      </w:r>
      <w:r w:rsidRPr="00461C10" w:rsidR="53B7866C">
        <w:t xml:space="preserve">the </w:t>
      </w:r>
      <w:r w:rsidRPr="00461C10" w:rsidR="00066B99">
        <w:t>c</w:t>
      </w:r>
      <w:r w:rsidRPr="00461C10">
        <w:t xml:space="preserve">ustomer submits service energization request; </w:t>
      </w:r>
      <w:r w:rsidRPr="00461C10" w:rsidR="7E41F713">
        <w:t xml:space="preserve">the </w:t>
      </w:r>
      <w:r w:rsidRPr="00461C10" w:rsidR="00FB036B">
        <w:t xml:space="preserve">large electric </w:t>
      </w:r>
      <w:r w:rsidRPr="00461C10">
        <w:t xml:space="preserve">IOU reviews customer submission, educates customer on the energization process and submission requirements; </w:t>
      </w:r>
      <w:r w:rsidRPr="00461C10" w:rsidR="045C82E7">
        <w:t xml:space="preserve">the </w:t>
      </w:r>
      <w:r w:rsidRPr="00461C10">
        <w:t xml:space="preserve">Applicant Final Submittal (AFS) date is </w:t>
      </w:r>
      <w:r w:rsidRPr="00461C10" w:rsidR="00FB036B">
        <w:t>established</w:t>
      </w:r>
      <w:r w:rsidRPr="00461C10" w:rsidR="00ED764E">
        <w:t>.</w:t>
      </w:r>
      <w:r w:rsidRPr="00461C10">
        <w:t xml:space="preserve"> </w:t>
      </w:r>
      <w:r w:rsidRPr="00461C10" w:rsidR="00ED764E">
        <w:t xml:space="preserve">The </w:t>
      </w:r>
      <w:r w:rsidRPr="00461C10">
        <w:lastRenderedPageBreak/>
        <w:t xml:space="preserve">energization clock starts once </w:t>
      </w:r>
      <w:r w:rsidRPr="00461C10" w:rsidR="00ED764E">
        <w:t>the large electric IOU notifies the customer that its application is deemed complete</w:t>
      </w:r>
      <w:r w:rsidRPr="00461C10">
        <w:t xml:space="preserve">. </w:t>
      </w:r>
    </w:p>
    <w:p w:rsidRPr="00461C10" w:rsidR="00512EE0" w:rsidP="00303C41" w:rsidRDefault="00512EE0" w14:paraId="7A199730" w14:textId="179D60D9">
      <w:pPr>
        <w:pStyle w:val="71sublevel"/>
        <w:ind w:left="1080"/>
      </w:pPr>
      <w:r w:rsidRPr="00461C10">
        <w:rPr>
          <w:b/>
        </w:rPr>
        <w:t>Engineering and Design:</w:t>
      </w:r>
      <w:r w:rsidRPr="00461C10">
        <w:t xml:space="preserve"> </w:t>
      </w:r>
      <w:r w:rsidRPr="00461C10" w:rsidR="00ED764E">
        <w:t xml:space="preserve">the </w:t>
      </w:r>
      <w:r w:rsidRPr="00461C10" w:rsidR="00FB036B">
        <w:t xml:space="preserve">large electric </w:t>
      </w:r>
      <w:r w:rsidRPr="00461C10">
        <w:t xml:space="preserve">IOU completes </w:t>
      </w:r>
      <w:r w:rsidRPr="00461C10" w:rsidR="00932953">
        <w:t xml:space="preserve">its </w:t>
      </w:r>
      <w:r w:rsidRPr="00461C10">
        <w:t>field visit</w:t>
      </w:r>
      <w:r w:rsidRPr="00461C10" w:rsidR="00932953">
        <w:t>(s)</w:t>
      </w:r>
      <w:r w:rsidRPr="00461C10">
        <w:t xml:space="preserve">, engineering study, creates project design and determines cost of project. </w:t>
      </w:r>
    </w:p>
    <w:p w:rsidRPr="00461C10" w:rsidR="00512EE0" w:rsidP="00303C41" w:rsidRDefault="00512EE0" w14:paraId="5A28FA5C" w14:textId="38C039A1">
      <w:pPr>
        <w:pStyle w:val="71sublevel"/>
        <w:ind w:left="1080"/>
      </w:pPr>
      <w:r w:rsidRPr="00461C10">
        <w:rPr>
          <w:b/>
        </w:rPr>
        <w:t>Customer Dependencies:</w:t>
      </w:r>
      <w:r w:rsidRPr="00461C10">
        <w:t xml:space="preserve"> </w:t>
      </w:r>
      <w:r w:rsidRPr="00461C10" w:rsidR="00ED764E">
        <w:t xml:space="preserve">the customer obtains necessary </w:t>
      </w:r>
      <w:r w:rsidRPr="00461C10" w:rsidR="00066B99">
        <w:t>p</w:t>
      </w:r>
      <w:r w:rsidRPr="00461C10">
        <w:t>ermits,</w:t>
      </w:r>
      <w:r w:rsidRPr="00461C10" w:rsidR="00ED764E">
        <w:t xml:space="preserve"> secures</w:t>
      </w:r>
      <w:r w:rsidRPr="00461C10">
        <w:t xml:space="preserve"> easements, </w:t>
      </w:r>
      <w:r w:rsidRPr="00461C10" w:rsidR="00ED764E">
        <w:t xml:space="preserve">signs </w:t>
      </w:r>
      <w:r w:rsidRPr="00461C10">
        <w:t xml:space="preserve">contracts, </w:t>
      </w:r>
      <w:r w:rsidRPr="00461C10" w:rsidR="00ED764E">
        <w:t>pays necessary fees</w:t>
      </w:r>
      <w:r w:rsidRPr="00461C10">
        <w:t xml:space="preserve">, and </w:t>
      </w:r>
      <w:r w:rsidRPr="00461C10" w:rsidR="00ED764E">
        <w:t xml:space="preserve">receives and documents any </w:t>
      </w:r>
      <w:r w:rsidRPr="00461C10">
        <w:t>other</w:t>
      </w:r>
      <w:r w:rsidRPr="00461C10" w:rsidR="00ED764E">
        <w:t xml:space="preserve"> required</w:t>
      </w:r>
      <w:r w:rsidRPr="00461C10">
        <w:t xml:space="preserve"> third-party approvals</w:t>
      </w:r>
      <w:r w:rsidR="005D0FB0">
        <w:t>.</w:t>
      </w:r>
      <w:r w:rsidRPr="00461C10">
        <w:t xml:space="preserve"> </w:t>
      </w:r>
    </w:p>
    <w:p w:rsidRPr="00461C10" w:rsidR="00512EE0" w:rsidP="00303C41" w:rsidRDefault="00512EE0" w14:paraId="792FF773" w14:textId="7A90AE27">
      <w:pPr>
        <w:pStyle w:val="71sublevel"/>
        <w:ind w:left="1080"/>
      </w:pPr>
      <w:r w:rsidRPr="00461C10">
        <w:rPr>
          <w:b/>
          <w:bCs/>
        </w:rPr>
        <w:t>Utility Dependencies:</w:t>
      </w:r>
      <w:r w:rsidRPr="00461C10">
        <w:t xml:space="preserve"> </w:t>
      </w:r>
      <w:r w:rsidRPr="00461C10" w:rsidR="002F1907">
        <w:t xml:space="preserve">the large electric IOU </w:t>
      </w:r>
      <w:r w:rsidRPr="00461C10" w:rsidR="343B0AD6">
        <w:t>s</w:t>
      </w:r>
      <w:r w:rsidRPr="00461C10" w:rsidR="747F1164">
        <w:t>ubmits documentation for</w:t>
      </w:r>
      <w:r w:rsidRPr="00461C10" w:rsidR="002F1907">
        <w:t xml:space="preserve"> </w:t>
      </w:r>
      <w:r w:rsidRPr="00461C10">
        <w:t>all permits and easements</w:t>
      </w:r>
      <w:r w:rsidRPr="00461C10" w:rsidR="00CE0AC0">
        <w:t>,</w:t>
      </w:r>
      <w:r w:rsidRPr="00461C10">
        <w:t xml:space="preserve"> </w:t>
      </w:r>
      <w:r w:rsidRPr="00461C10" w:rsidR="00CB57F7">
        <w:t xml:space="preserve">and </w:t>
      </w:r>
      <w:r w:rsidRPr="00461C10" w:rsidR="002F1907">
        <w:t xml:space="preserve">completes </w:t>
      </w:r>
      <w:r w:rsidRPr="00461C10" w:rsidR="00E65C8B">
        <w:t xml:space="preserve">other </w:t>
      </w:r>
      <w:r w:rsidRPr="00461C10" w:rsidR="00656309">
        <w:t xml:space="preserve">large electric </w:t>
      </w:r>
      <w:r w:rsidRPr="00461C10" w:rsidR="002F1907">
        <w:t>IOU</w:t>
      </w:r>
      <w:r w:rsidRPr="00461C10" w:rsidR="00656309">
        <w:t>-</w:t>
      </w:r>
      <w:r w:rsidRPr="00461C10" w:rsidR="00E65C8B">
        <w:t>required approvals</w:t>
      </w:r>
      <w:r w:rsidRPr="00461C10" w:rsidR="004360E1">
        <w:t xml:space="preserve"> related to the specific project and/or site</w:t>
      </w:r>
      <w:r w:rsidR="005D0FB0">
        <w:t>.</w:t>
      </w:r>
    </w:p>
    <w:p w:rsidRPr="00461C10" w:rsidR="00512EE0" w:rsidP="69AD9DA9" w:rsidRDefault="72202A89" w14:paraId="1BD0E1E2" w14:textId="39D7EF11">
      <w:pPr>
        <w:pStyle w:val="71sublevel"/>
        <w:ind w:left="1080"/>
        <w:rPr>
          <w:szCs w:val="26"/>
        </w:rPr>
      </w:pPr>
      <w:r w:rsidRPr="00461C10">
        <w:rPr>
          <w:rFonts w:eastAsia="Book Antiqua" w:cs="Book Antiqua"/>
          <w:b/>
          <w:bCs/>
          <w:szCs w:val="26"/>
        </w:rPr>
        <w:t xml:space="preserve">Customer Site Readiness: </w:t>
      </w:r>
    </w:p>
    <w:p w:rsidRPr="00461C10" w:rsidR="00512EE0" w:rsidP="005D0FB0" w:rsidRDefault="72202A89" w14:paraId="2700C8DC" w14:textId="1B761351">
      <w:pPr>
        <w:pStyle w:val="ListParagraph"/>
        <w:numPr>
          <w:ilvl w:val="1"/>
          <w:numId w:val="9"/>
        </w:numPr>
        <w:spacing w:after="120" w:line="240" w:lineRule="auto"/>
        <w:ind w:left="1620" w:right="1440" w:hanging="180"/>
        <w:contextualSpacing w:val="0"/>
        <w:rPr>
          <w:szCs w:val="26"/>
        </w:rPr>
      </w:pPr>
      <w:r w:rsidRPr="00461C10">
        <w:rPr>
          <w:rFonts w:eastAsia="Book Antiqua" w:cs="Book Antiqua"/>
          <w:szCs w:val="26"/>
        </w:rPr>
        <w:t>For non-Rule 29/45 projects</w:t>
      </w:r>
      <w:r w:rsidR="007D461C">
        <w:rPr>
          <w:rFonts w:eastAsia="Book Antiqua" w:cs="Book Antiqua"/>
          <w:szCs w:val="26"/>
        </w:rPr>
        <w:t>:</w:t>
      </w:r>
      <w:r w:rsidRPr="00461C10">
        <w:rPr>
          <w:rFonts w:eastAsia="Book Antiqua" w:cs="Book Antiqua"/>
          <w:szCs w:val="26"/>
        </w:rPr>
        <w:t xml:space="preserve"> the step reflects the time when a customer requests pre-construction meeting and inspection from utility; and the customer-</w:t>
      </w:r>
      <w:r w:rsidRPr="00461C10">
        <w:rPr>
          <w:rFonts w:eastAsia="Book Antiqua" w:cs="Book Antiqua"/>
          <w:strike/>
          <w:szCs w:val="26"/>
        </w:rPr>
        <w:t xml:space="preserve"> </w:t>
      </w:r>
      <w:r w:rsidRPr="00461C10">
        <w:rPr>
          <w:rFonts w:eastAsia="Book Antiqua" w:cs="Book Antiqua"/>
          <w:szCs w:val="26"/>
        </w:rPr>
        <w:t>required onsite construction is deemed complete after the customer schedules and completes all civil construction. For these projects, the energization clock starts when the customer is cleared for construction and stops when the customer releases the site to the large electric IOU for utility-side construction and energization.</w:t>
      </w:r>
    </w:p>
    <w:p w:rsidRPr="00461C10" w:rsidR="00512EE0" w:rsidP="005D0FB0" w:rsidRDefault="72202A89" w14:paraId="75E37A2C" w14:textId="102D251F">
      <w:pPr>
        <w:pStyle w:val="ListParagraph"/>
        <w:numPr>
          <w:ilvl w:val="1"/>
          <w:numId w:val="9"/>
        </w:numPr>
        <w:spacing w:after="120" w:line="240" w:lineRule="auto"/>
        <w:ind w:left="1620" w:right="1440" w:hanging="180"/>
        <w:contextualSpacing w:val="0"/>
        <w:rPr>
          <w:szCs w:val="26"/>
        </w:rPr>
      </w:pPr>
      <w:r w:rsidRPr="00461C10">
        <w:rPr>
          <w:rFonts w:eastAsia="Book Antiqua" w:cs="Book Antiqua"/>
          <w:szCs w:val="26"/>
        </w:rPr>
        <w:t xml:space="preserve">For Rule 29/45 </w:t>
      </w:r>
      <w:r w:rsidRPr="007D461C">
        <w:rPr>
          <w:rFonts w:eastAsia="Book Antiqua" w:cs="Book Antiqua"/>
          <w:szCs w:val="26"/>
        </w:rPr>
        <w:t>project</w:t>
      </w:r>
      <w:r w:rsidRPr="007D461C" w:rsidR="007D461C">
        <w:rPr>
          <w:rFonts w:eastAsia="Book Antiqua" w:cs="Book Antiqua"/>
          <w:szCs w:val="26"/>
        </w:rPr>
        <w:t>s</w:t>
      </w:r>
      <w:r w:rsidR="007D461C">
        <w:rPr>
          <w:rFonts w:eastAsia="Book Antiqua" w:cs="Book Antiqua"/>
          <w:szCs w:val="26"/>
        </w:rPr>
        <w:t>:</w:t>
      </w:r>
      <w:r w:rsidRPr="007D461C">
        <w:rPr>
          <w:rFonts w:eastAsia="Book Antiqua" w:cs="Book Antiqua"/>
          <w:szCs w:val="26"/>
        </w:rPr>
        <w:t xml:space="preserve"> the</w:t>
      </w:r>
      <w:r w:rsidRPr="00461C10">
        <w:rPr>
          <w:rFonts w:eastAsia="Book Antiqua" w:cs="Book Antiqua"/>
          <w:szCs w:val="26"/>
        </w:rPr>
        <w:t xml:space="preserve"> customer requests a pre-construction meeting and inspection from a large electric IOU. The energization clock would stop</w:t>
      </w:r>
      <w:r w:rsidRPr="00461C10">
        <w:rPr>
          <w:rFonts w:eastAsia="Book Antiqua" w:cs="Book Antiqua"/>
          <w:strike/>
          <w:szCs w:val="26"/>
        </w:rPr>
        <w:t>s</w:t>
      </w:r>
      <w:r w:rsidRPr="00461C10">
        <w:rPr>
          <w:rFonts w:eastAsia="Book Antiqua" w:cs="Book Antiqua"/>
          <w:szCs w:val="26"/>
        </w:rPr>
        <w:t xml:space="preserve"> once a date for preconstruction meeting and inspection is scheduled.</w:t>
      </w:r>
    </w:p>
    <w:p w:rsidRPr="00461C10" w:rsidR="00512EE0" w:rsidP="005D0FB0" w:rsidRDefault="72202A89" w14:paraId="6175F6CB" w14:textId="0B6B9965">
      <w:pPr>
        <w:pStyle w:val="71sublevel"/>
        <w:ind w:left="1080"/>
        <w:rPr>
          <w:szCs w:val="26"/>
        </w:rPr>
      </w:pPr>
      <w:r w:rsidRPr="00461C10">
        <w:rPr>
          <w:rFonts w:eastAsia="Book Antiqua" w:cs="Book Antiqua"/>
          <w:b/>
          <w:bCs/>
          <w:szCs w:val="26"/>
        </w:rPr>
        <w:t xml:space="preserve">Large Electric IOU Site Readiness: </w:t>
      </w:r>
    </w:p>
    <w:p w:rsidRPr="00461C10" w:rsidR="00512EE0" w:rsidP="005D0FB0" w:rsidRDefault="72202A89" w14:paraId="63F6C21B" w14:textId="1E22DA03">
      <w:pPr>
        <w:pStyle w:val="ListParagraph"/>
        <w:numPr>
          <w:ilvl w:val="1"/>
          <w:numId w:val="34"/>
        </w:numPr>
        <w:spacing w:after="120" w:line="240" w:lineRule="auto"/>
        <w:ind w:left="1620" w:right="1440" w:hanging="180"/>
        <w:contextualSpacing w:val="0"/>
        <w:rPr>
          <w:szCs w:val="26"/>
        </w:rPr>
      </w:pPr>
      <w:r w:rsidRPr="00461C10">
        <w:rPr>
          <w:rFonts w:eastAsia="Book Antiqua" w:cs="Book Antiqua"/>
          <w:szCs w:val="26"/>
        </w:rPr>
        <w:t>For non-Rule 29/45 projects: large electric IOU completes pre-construction meetings and inspections. The energization clock would start</w:t>
      </w:r>
      <w:r w:rsidRPr="00461C10">
        <w:rPr>
          <w:rFonts w:eastAsia="Book Antiqua" w:cs="Book Antiqua"/>
          <w:strike/>
          <w:szCs w:val="26"/>
        </w:rPr>
        <w:t>s</w:t>
      </w:r>
      <w:r w:rsidRPr="00461C10">
        <w:rPr>
          <w:rFonts w:eastAsia="Book Antiqua" w:cs="Book Antiqua"/>
          <w:szCs w:val="26"/>
        </w:rPr>
        <w:t xml:space="preserve"> when the customer requests the preconstruction meeting and inspection, and pauses at the first available date the </w:t>
      </w:r>
      <w:r w:rsidRPr="00461C10">
        <w:rPr>
          <w:rFonts w:eastAsia="Book Antiqua" w:cs="Book Antiqua"/>
          <w:szCs w:val="26"/>
        </w:rPr>
        <w:lastRenderedPageBreak/>
        <w:t>utility representative is able to perform the inspection and meeting.</w:t>
      </w:r>
      <w:r w:rsidRPr="00461C10">
        <w:rPr>
          <w:rFonts w:eastAsia="Book Antiqua" w:cs="Book Antiqua"/>
          <w:b/>
          <w:bCs/>
          <w:i/>
          <w:iCs/>
          <w:szCs w:val="26"/>
        </w:rPr>
        <w:t xml:space="preserve"> </w:t>
      </w:r>
    </w:p>
    <w:p w:rsidRPr="00461C10" w:rsidR="00512EE0" w:rsidP="00303C41" w:rsidRDefault="00512EE0" w14:paraId="1554AF1B" w14:textId="2EF5D2BB">
      <w:pPr>
        <w:pStyle w:val="71sublevel"/>
        <w:ind w:left="1080"/>
      </w:pPr>
      <w:r w:rsidRPr="00461C10">
        <w:rPr>
          <w:b/>
        </w:rPr>
        <w:t>Construction:</w:t>
      </w:r>
      <w:r w:rsidRPr="00461C10">
        <w:t xml:space="preserve"> </w:t>
      </w:r>
      <w:r w:rsidRPr="00461C10" w:rsidR="00D42BA0">
        <w:t xml:space="preserve">the </w:t>
      </w:r>
      <w:r w:rsidRPr="00461C10" w:rsidR="00656309">
        <w:t xml:space="preserve">large electric </w:t>
      </w:r>
      <w:r w:rsidRPr="00461C10">
        <w:t xml:space="preserve">IOU schedules and completes electrical construction, including traffic control, scheduling outages, </w:t>
      </w:r>
      <w:r w:rsidRPr="00461C10" w:rsidR="00914355">
        <w:t>and other construction activities</w:t>
      </w:r>
      <w:r w:rsidR="005D0FB0">
        <w:t>.</w:t>
      </w:r>
      <w:r w:rsidRPr="00461C10">
        <w:t xml:space="preserve"> </w:t>
      </w:r>
    </w:p>
    <w:p w:rsidRPr="00461C10" w:rsidR="00B43CB0" w:rsidP="00303C41" w:rsidRDefault="00512EE0" w14:paraId="73C5A8C4" w14:textId="067515AF">
      <w:pPr>
        <w:pStyle w:val="71sublevel"/>
        <w:ind w:left="1080"/>
      </w:pPr>
      <w:r w:rsidRPr="00461C10">
        <w:rPr>
          <w:b/>
          <w:bCs/>
        </w:rPr>
        <w:t>Service Energization Provided to Customer:</w:t>
      </w:r>
      <w:r w:rsidRPr="00461C10">
        <w:t xml:space="preserve"> </w:t>
      </w:r>
      <w:r w:rsidRPr="00461C10" w:rsidR="00B43CB0">
        <w:t xml:space="preserve">all final inspections are scheduled, and if performed by </w:t>
      </w:r>
      <w:r w:rsidRPr="00461C10" w:rsidR="00656309">
        <w:t xml:space="preserve">the large electric </w:t>
      </w:r>
      <w:r w:rsidRPr="00461C10" w:rsidR="00B43CB0">
        <w:t xml:space="preserve">IOU, completed; </w:t>
      </w:r>
      <w:r w:rsidRPr="00461C10" w:rsidR="33B88093">
        <w:t xml:space="preserve">the </w:t>
      </w:r>
      <w:r w:rsidRPr="00461C10" w:rsidR="00B43CB0">
        <w:t xml:space="preserve">site is “energized”, allowing </w:t>
      </w:r>
      <w:r w:rsidRPr="00461C10" w:rsidR="5086A38E">
        <w:t xml:space="preserve">the </w:t>
      </w:r>
      <w:r w:rsidRPr="00461C10" w:rsidR="00B43CB0">
        <w:t>customer to start receiving service.</w:t>
      </w:r>
    </w:p>
    <w:p w:rsidRPr="00461C10" w:rsidR="24608805" w:rsidP="001D1428" w:rsidRDefault="24608805" w14:paraId="074300C6" w14:textId="7485486A">
      <w:pPr>
        <w:pStyle w:val="Standard"/>
      </w:pPr>
      <w:r w:rsidRPr="00461C10">
        <w:rPr>
          <w:rFonts w:eastAsia="Book Antiqua" w:cs="Book Antiqua"/>
          <w:szCs w:val="26"/>
        </w:rPr>
        <w:t>In their Opening Comments on the Proposed Decision filed on August 29, 2024, the Joint EV Industry parties recommended splitting the “Site Readiness” step into two distinct steps that recognizes the roles and responsibilities of the large electric IOUs and the customer in completing the steps.</w:t>
      </w:r>
      <w:r w:rsidRPr="00461C10">
        <w:rPr>
          <w:rFonts w:eastAsia="Book Antiqua" w:cs="Book Antiqua"/>
          <w:szCs w:val="26"/>
          <w:vertAlign w:val="superscript"/>
        </w:rPr>
        <w:t>42</w:t>
      </w:r>
      <w:r w:rsidRPr="00461C10">
        <w:rPr>
          <w:rFonts w:eastAsia="Book Antiqua" w:cs="Book Antiqua"/>
          <w:szCs w:val="26"/>
        </w:rPr>
        <w:t xml:space="preserve"> They further highlight that Electric Rule 29/45 expressly makes the large electric IOUs the primary party responsible for all site readiness work.</w:t>
      </w:r>
      <w:r w:rsidRPr="00461C10">
        <w:rPr>
          <w:rFonts w:eastAsia="Book Antiqua" w:cs="Book Antiqua"/>
          <w:szCs w:val="26"/>
          <w:vertAlign w:val="superscript"/>
        </w:rPr>
        <w:t>43</w:t>
      </w:r>
      <w:r w:rsidRPr="00461C10">
        <w:rPr>
          <w:rFonts w:eastAsia="Book Antiqua" w:cs="Book Antiqua"/>
          <w:szCs w:val="26"/>
        </w:rPr>
        <w:t xml:space="preserve"> We agree with the Joint EV Industry’s recommendation and split the “Site Readiness” step between “Large Electric IOU Site Readiness” and “Customer Site Readiness”, and further clarified how these steps should be tracked for Electric Rule 29/45 projects.</w:t>
      </w:r>
    </w:p>
    <w:p w:rsidRPr="00461C10" w:rsidR="005958B0" w:rsidP="006C4B60" w:rsidRDefault="00C774B5" w14:paraId="410CE38F" w14:textId="27A219D1">
      <w:pPr>
        <w:pStyle w:val="Standard"/>
      </w:pPr>
      <w:r w:rsidRPr="00461C10">
        <w:t xml:space="preserve">The Commission considers steps </w:t>
      </w:r>
      <w:r w:rsidRPr="00461C10" w:rsidR="00CD6EC6">
        <w:t>2, 4, 6</w:t>
      </w:r>
      <w:r w:rsidRPr="00461C10" w:rsidR="00375C7D">
        <w:t>,</w:t>
      </w:r>
      <w:r w:rsidRPr="00461C10" w:rsidR="00CD6EC6">
        <w:t xml:space="preserve"> 7</w:t>
      </w:r>
      <w:r w:rsidRPr="00461C10" w:rsidR="00375C7D">
        <w:t>, and 8</w:t>
      </w:r>
      <w:r w:rsidRPr="00461C10" w:rsidR="00CD6EC6">
        <w:t xml:space="preserve"> </w:t>
      </w:r>
      <w:r w:rsidRPr="00461C10" w:rsidR="00DC3A83">
        <w:t xml:space="preserve">as </w:t>
      </w:r>
      <w:r w:rsidRPr="00461C10" w:rsidR="00D70461">
        <w:t xml:space="preserve">solely under the large electric IOUs’ control. </w:t>
      </w:r>
      <w:r w:rsidRPr="00461C10" w:rsidR="006D1124">
        <w:t xml:space="preserve">Some steps, such as engineering and design, dependencies, and site readiness may </w:t>
      </w:r>
      <w:r w:rsidRPr="00461C10" w:rsidR="00DD669B">
        <w:t>occur concurrently</w:t>
      </w:r>
      <w:r w:rsidRPr="00461C10" w:rsidR="00F03163">
        <w:t xml:space="preserve"> with the other steps described above</w:t>
      </w:r>
      <w:r w:rsidRPr="00461C10" w:rsidR="006D1124">
        <w:t>.</w:t>
      </w:r>
      <w:r w:rsidRPr="00461C10" w:rsidR="007C581D">
        <w:t xml:space="preserve"> </w:t>
      </w:r>
      <w:r w:rsidRPr="00461C10" w:rsidR="000F7FF3">
        <w:t>Thus</w:t>
      </w:r>
      <w:r w:rsidRPr="00461C10" w:rsidR="007C581D">
        <w:t>,</w:t>
      </w:r>
      <w:r w:rsidRPr="00461C10" w:rsidR="00DD669B">
        <w:t xml:space="preserve"> </w:t>
      </w:r>
      <w:r w:rsidRPr="00461C10" w:rsidR="004F38AA">
        <w:t>i</w:t>
      </w:r>
      <w:r w:rsidRPr="00461C10" w:rsidR="0093564A">
        <w:t>t</w:t>
      </w:r>
      <w:r w:rsidRPr="00461C10" w:rsidR="00DD669B">
        <w:t xml:space="preserve"> is reasonable to adopt a</w:t>
      </w:r>
      <w:r w:rsidRPr="00461C10" w:rsidR="008E1437">
        <w:t>n</w:t>
      </w:r>
      <w:r w:rsidRPr="00461C10" w:rsidR="00DD669B">
        <w:t xml:space="preserve"> </w:t>
      </w:r>
      <w:r w:rsidRPr="00461C10" w:rsidR="008E1437">
        <w:t xml:space="preserve">overall </w:t>
      </w:r>
      <w:r w:rsidRPr="00461C10" w:rsidR="0011507D">
        <w:t xml:space="preserve">average </w:t>
      </w:r>
      <w:r w:rsidRPr="00461C10" w:rsidR="008E1437">
        <w:t xml:space="preserve">energization target for each </w:t>
      </w:r>
      <w:r w:rsidRPr="00461C10" w:rsidR="001C245D">
        <w:t>tariff-related energization request</w:t>
      </w:r>
      <w:r w:rsidRPr="00461C10" w:rsidR="00B43CB0">
        <w:t xml:space="preserve">, </w:t>
      </w:r>
      <w:r w:rsidRPr="00461C10" w:rsidR="00B50C61">
        <w:t xml:space="preserve">based on the data provided by the </w:t>
      </w:r>
      <w:r w:rsidRPr="00461C10" w:rsidR="00656309">
        <w:t xml:space="preserve">large electric </w:t>
      </w:r>
      <w:r w:rsidRPr="00461C10" w:rsidR="00B50C61">
        <w:t xml:space="preserve">IOUs, </w:t>
      </w:r>
      <w:r w:rsidRPr="00461C10" w:rsidR="00B43CB0">
        <w:t xml:space="preserve">rather than </w:t>
      </w:r>
      <w:r w:rsidRPr="00461C10" w:rsidR="00B50C61">
        <w:t xml:space="preserve">establish </w:t>
      </w:r>
      <w:r w:rsidRPr="00461C10" w:rsidR="00B43CB0">
        <w:t>separate targets for each step described above</w:t>
      </w:r>
      <w:r w:rsidRPr="00461C10" w:rsidR="001C245D">
        <w:t xml:space="preserve">. </w:t>
      </w:r>
      <w:r w:rsidRPr="00461C10" w:rsidR="00C5148B">
        <w:t>The tar</w:t>
      </w:r>
      <w:r w:rsidRPr="00461C10" w:rsidR="00765504">
        <w:t>gets adopted in this decision apply only to portions of the energization process(es) that are fully under the electric corporation’s control</w:t>
      </w:r>
      <w:r w:rsidRPr="00461C10" w:rsidR="002D364F">
        <w:t xml:space="preserve"> for each tariff. </w:t>
      </w:r>
    </w:p>
    <w:p w:rsidRPr="00461C10" w:rsidR="002C5421" w:rsidP="002C5421" w:rsidRDefault="00186FAD" w14:paraId="670DCFC0" w14:textId="75226C9F">
      <w:pPr>
        <w:pStyle w:val="Standard"/>
      </w:pPr>
      <w:r w:rsidRPr="00461C10">
        <w:lastRenderedPageBreak/>
        <w:t xml:space="preserve">Commission staff worked with a </w:t>
      </w:r>
      <w:r w:rsidRPr="00461C10" w:rsidR="00C670CB">
        <w:t xml:space="preserve">consultant </w:t>
      </w:r>
      <w:r w:rsidRPr="00461C10">
        <w:t>to develop assumptions to better</w:t>
      </w:r>
      <w:r w:rsidRPr="00461C10" w:rsidR="002C5421">
        <w:t xml:space="preserve"> align the </w:t>
      </w:r>
      <w:r w:rsidRPr="00461C10" w:rsidR="004B232D">
        <w:t>large electric</w:t>
      </w:r>
      <w:r w:rsidRPr="00461C10" w:rsidR="002C5421">
        <w:t xml:space="preserve"> IOU data to the adopted </w:t>
      </w:r>
      <w:r w:rsidRPr="00461C10" w:rsidR="0044271F">
        <w:t>seven</w:t>
      </w:r>
      <w:r w:rsidRPr="00461C10" w:rsidR="002C5421">
        <w:t xml:space="preserve"> steps</w:t>
      </w:r>
      <w:r w:rsidRPr="00461C10" w:rsidR="008D1978">
        <w:t xml:space="preserve"> of the energization process</w:t>
      </w:r>
      <w:r w:rsidRPr="00461C10">
        <w:t xml:space="preserve"> as </w:t>
      </w:r>
      <w:r w:rsidRPr="00461C10" w:rsidR="002D4C92">
        <w:t xml:space="preserve">presented in Appendix A of this decision, </w:t>
      </w:r>
      <w:r w:rsidRPr="00461C10" w:rsidR="00B562E9">
        <w:t xml:space="preserve">the </w:t>
      </w:r>
      <w:r w:rsidRPr="00461C10" w:rsidR="00AC1CC3">
        <w:t>Statewide Energization Timelines Analyses Report</w:t>
      </w:r>
      <w:r w:rsidRPr="00461C10" w:rsidR="002C5421">
        <w:t xml:space="preserve">. </w:t>
      </w:r>
      <w:r w:rsidRPr="00461C10" w:rsidR="00AC1CC3">
        <w:t xml:space="preserve">Staff and the </w:t>
      </w:r>
      <w:r w:rsidRPr="00461C10" w:rsidR="0033663C">
        <w:t xml:space="preserve">consultant </w:t>
      </w:r>
      <w:r w:rsidRPr="00461C10" w:rsidR="00AC1CC3">
        <w:t>also performed a</w:t>
      </w:r>
      <w:r w:rsidRPr="00461C10" w:rsidR="002C5421">
        <w:t xml:space="preserve">n outlier adjustment to remove any data that might otherwise skew the average. </w:t>
      </w:r>
      <w:r w:rsidRPr="00461C10" w:rsidR="00AC1CC3">
        <w:t xml:space="preserve">The analysis identified outliers </w:t>
      </w:r>
      <w:r w:rsidRPr="00461C10" w:rsidR="002C5421">
        <w:t xml:space="preserve">for each of </w:t>
      </w:r>
      <w:r w:rsidRPr="00461C10" w:rsidR="001750F7">
        <w:t xml:space="preserve">the </w:t>
      </w:r>
      <w:r w:rsidRPr="00461C10" w:rsidR="00C21165">
        <w:t xml:space="preserve">large electric </w:t>
      </w:r>
      <w:r w:rsidRPr="00461C10" w:rsidR="002C5421">
        <w:t>IOU</w:t>
      </w:r>
      <w:r w:rsidRPr="00461C10" w:rsidR="001750F7">
        <w:t>’s</w:t>
      </w:r>
      <w:r w:rsidRPr="00461C10" w:rsidR="002C5421">
        <w:t xml:space="preserve"> </w:t>
      </w:r>
      <w:r w:rsidRPr="00461C10" w:rsidR="00C21165">
        <w:t xml:space="preserve">electric </w:t>
      </w:r>
      <w:r w:rsidRPr="00461C10" w:rsidR="002C5421">
        <w:t>tariff</w:t>
      </w:r>
      <w:r w:rsidRPr="00461C10" w:rsidR="001750F7">
        <w:t>s</w:t>
      </w:r>
      <w:r w:rsidRPr="00461C10" w:rsidR="002C5421">
        <w:t>, and energization step</w:t>
      </w:r>
      <w:r w:rsidRPr="00461C10" w:rsidR="001B11F2">
        <w:t>s</w:t>
      </w:r>
      <w:r w:rsidRPr="00461C10" w:rsidR="002C5421">
        <w:t xml:space="preserve"> independently </w:t>
      </w:r>
      <w:r w:rsidRPr="00461C10" w:rsidR="00F20507">
        <w:t xml:space="preserve">given the </w:t>
      </w:r>
      <w:r w:rsidRPr="00461C10" w:rsidR="00077225">
        <w:t>difference in</w:t>
      </w:r>
      <w:r w:rsidRPr="00461C10" w:rsidR="00F20507">
        <w:t xml:space="preserve"> the scope of Rule 15 and 16 projects</w:t>
      </w:r>
      <w:r w:rsidRPr="00461C10" w:rsidR="002C5421">
        <w:t xml:space="preserve">. </w:t>
      </w:r>
      <w:r w:rsidRPr="00461C10" w:rsidR="00AC1CC3">
        <w:t xml:space="preserve">The analysis defined these outliers as </w:t>
      </w:r>
      <w:r w:rsidRPr="00461C10" w:rsidR="002C5421">
        <w:t>datapoints that were either negative (as no energization step could take negative days) or</w:t>
      </w:r>
      <w:r w:rsidRPr="00461C10" w:rsidR="00AC1CC3">
        <w:t xml:space="preserve"> well above the average</w:t>
      </w:r>
      <w:r w:rsidRPr="00461C10" w:rsidR="00E77AD3">
        <w:t xml:space="preserve"> by</w:t>
      </w:r>
      <w:r w:rsidRPr="00461C10" w:rsidR="002C5421">
        <w:t xml:space="preserve"> </w:t>
      </w:r>
      <w:r w:rsidRPr="00461C10" w:rsidR="43503A6C">
        <w:t>two</w:t>
      </w:r>
      <w:r w:rsidRPr="00461C10" w:rsidR="002C5421">
        <w:t xml:space="preserve"> standard deviations </w:t>
      </w:r>
      <w:r w:rsidRPr="00461C10" w:rsidR="00E77AD3">
        <w:t xml:space="preserve">(or more) </w:t>
      </w:r>
      <w:r w:rsidRPr="00461C10" w:rsidR="002C5421">
        <w:t xml:space="preserve">for </w:t>
      </w:r>
      <w:r w:rsidRPr="00461C10" w:rsidR="008C3E2D">
        <w:t xml:space="preserve">each large electric </w:t>
      </w:r>
      <w:r w:rsidRPr="00461C10" w:rsidR="00E76333">
        <w:t>IOU’s</w:t>
      </w:r>
      <w:r w:rsidRPr="00461C10" w:rsidDel="008C3E2D" w:rsidR="00E76333">
        <w:t xml:space="preserve"> </w:t>
      </w:r>
      <w:r w:rsidRPr="00461C10" w:rsidR="00E76333">
        <w:t>individual</w:t>
      </w:r>
      <w:r w:rsidRPr="00461C10" w:rsidR="00C21165">
        <w:t xml:space="preserve"> </w:t>
      </w:r>
      <w:r w:rsidRPr="00461C10" w:rsidR="002C5421">
        <w:t>step</w:t>
      </w:r>
      <w:r w:rsidRPr="00461C10" w:rsidR="00C21165">
        <w:t>s</w:t>
      </w:r>
      <w:r w:rsidRPr="00461C10" w:rsidR="008C3E2D">
        <w:t xml:space="preserve"> and</w:t>
      </w:r>
      <w:r w:rsidRPr="00461C10" w:rsidR="002C5421">
        <w:t xml:space="preserve"> </w:t>
      </w:r>
      <w:r w:rsidRPr="00461C10" w:rsidR="00C21165">
        <w:t xml:space="preserve">electric </w:t>
      </w:r>
      <w:r w:rsidRPr="00461C10" w:rsidR="002C5421">
        <w:t>tariff</w:t>
      </w:r>
      <w:r w:rsidRPr="00461C10" w:rsidR="004F0724">
        <w:t>s</w:t>
      </w:r>
      <w:r w:rsidRPr="00461C10" w:rsidR="002C5421">
        <w:t xml:space="preserve">. More information on the assumptions and outlier adjustment can be found in Appendix A. </w:t>
      </w:r>
      <w:r w:rsidRPr="00461C10" w:rsidR="00A72FD6">
        <w:t>In their comments on the Proposed Decision, SCE noted that they had already performed an outlier adjustment on their timeline data. This meant that the Staff and consultant outlier adjustment excluded additional data points from SCE’s data set, bringing the average and maximum values down. Commission staff acknowledge that this was an oversight and recommend that SCE note this point in their first biannual data reporting.</w:t>
      </w:r>
      <w:r w:rsidRPr="00461C10" w:rsidR="002C5421">
        <w:t xml:space="preserve"> </w:t>
      </w:r>
      <w:r w:rsidRPr="00461C10" w:rsidR="0053740D">
        <w:t xml:space="preserve">However, </w:t>
      </w:r>
      <w:r w:rsidRPr="00461C10" w:rsidR="00501B6C">
        <w:t xml:space="preserve">we find that the changes in the acceleration rates when considering </w:t>
      </w:r>
      <w:r w:rsidRPr="00461C10" w:rsidR="00F96670">
        <w:t xml:space="preserve">SCE’s </w:t>
      </w:r>
      <w:r w:rsidRPr="00461C10" w:rsidR="006F45AE">
        <w:t>original</w:t>
      </w:r>
      <w:r w:rsidRPr="00461C10" w:rsidR="00F96670">
        <w:t xml:space="preserve"> outlier</w:t>
      </w:r>
      <w:r w:rsidRPr="00461C10" w:rsidR="006F45AE">
        <w:t>-</w:t>
      </w:r>
      <w:r w:rsidRPr="00461C10" w:rsidR="00F96670">
        <w:t>adjus</w:t>
      </w:r>
      <w:r w:rsidRPr="00461C10" w:rsidR="006F45AE">
        <w:t>ted data</w:t>
      </w:r>
      <w:r w:rsidRPr="00461C10" w:rsidR="00F96670">
        <w:t xml:space="preserve"> </w:t>
      </w:r>
      <w:r w:rsidRPr="00461C10" w:rsidR="002C79D3">
        <w:t xml:space="preserve">are not substantial enough to warrant a change in the </w:t>
      </w:r>
      <w:r w:rsidRPr="00461C10" w:rsidR="4B0DB678">
        <w:t>energization</w:t>
      </w:r>
      <w:r w:rsidRPr="00461C10" w:rsidR="6AF139FE">
        <w:t xml:space="preserve"> targets</w:t>
      </w:r>
      <w:r w:rsidRPr="00461C10" w:rsidR="74257196">
        <w:t xml:space="preserve"> adopted in Table 1, Average Energization Targets effective September 2024</w:t>
      </w:r>
      <w:r w:rsidRPr="00461C10" w:rsidR="6AF139FE">
        <w:t xml:space="preserve">. </w:t>
      </w:r>
    </w:p>
    <w:p w:rsidRPr="00461C10" w:rsidR="0099012A" w:rsidP="006C4B60" w:rsidRDefault="009B5E7A" w14:paraId="557EDA5D" w14:textId="525CCCBA">
      <w:pPr>
        <w:pStyle w:val="Standard"/>
      </w:pPr>
      <w:r w:rsidRPr="00461C10">
        <w:t xml:space="preserve">The Joint </w:t>
      </w:r>
      <w:r w:rsidRPr="00461C10" w:rsidR="000D306F">
        <w:t xml:space="preserve">IOUs </w:t>
      </w:r>
      <w:r w:rsidRPr="00461C10" w:rsidDel="00857D43" w:rsidR="00481061">
        <w:t xml:space="preserve">provided </w:t>
      </w:r>
      <w:r w:rsidRPr="00461C10" w:rsidR="00481061">
        <w:t xml:space="preserve">data </w:t>
      </w:r>
      <w:r w:rsidRPr="00461C10" w:rsidR="00857D43">
        <w:t xml:space="preserve">on </w:t>
      </w:r>
      <w:r w:rsidRPr="00461C10" w:rsidR="005E0A28">
        <w:t xml:space="preserve">dependencies </w:t>
      </w:r>
      <w:r w:rsidRPr="00461C10" w:rsidR="002A7DDE">
        <w:t>that</w:t>
      </w:r>
      <w:r w:rsidRPr="00461C10" w:rsidR="005E0A28">
        <w:t xml:space="preserve"> did not differentiate between steps that the customer or the utility </w:t>
      </w:r>
      <w:r w:rsidRPr="00461C10" w:rsidR="000B6BC0">
        <w:t>is responsible for</w:t>
      </w:r>
      <w:r w:rsidRPr="00461C10" w:rsidR="005A5A50">
        <w:t>. As a result, the analysis</w:t>
      </w:r>
      <w:r w:rsidRPr="00461C10" w:rsidR="000F12F1">
        <w:t xml:space="preserve"> make</w:t>
      </w:r>
      <w:r w:rsidRPr="00461C10" w:rsidR="005A5A50">
        <w:t>s</w:t>
      </w:r>
      <w:r w:rsidRPr="00461C10" w:rsidR="000F12F1">
        <w:t xml:space="preserve"> assumptions about which </w:t>
      </w:r>
      <w:r w:rsidRPr="00461C10" w:rsidR="00087547">
        <w:t>portion</w:t>
      </w:r>
      <w:r w:rsidRPr="00461C10" w:rsidR="000F12F1">
        <w:t xml:space="preserve"> of the dependencies</w:t>
      </w:r>
      <w:r w:rsidRPr="00461C10" w:rsidR="00146CEB">
        <w:t xml:space="preserve"> timeline</w:t>
      </w:r>
      <w:r w:rsidRPr="00461C10" w:rsidR="000A055D">
        <w:t xml:space="preserve"> fall</w:t>
      </w:r>
      <w:r w:rsidRPr="00461C10" w:rsidR="007D45B6">
        <w:t>s</w:t>
      </w:r>
      <w:r w:rsidRPr="00461C10" w:rsidR="000A055D">
        <w:t xml:space="preserve"> under the large electric IOUs’ control and which </w:t>
      </w:r>
      <w:r w:rsidRPr="00461C10" w:rsidR="0030454E">
        <w:t xml:space="preserve">does </w:t>
      </w:r>
      <w:r w:rsidRPr="00461C10" w:rsidR="00E76333">
        <w:t xml:space="preserve">may fall on customers </w:t>
      </w:r>
      <w:r w:rsidRPr="00461C10" w:rsidR="00E76333">
        <w:lastRenderedPageBreak/>
        <w:t>or other entities and/or processes the large electric IOUs cannot control</w:t>
      </w:r>
      <w:r w:rsidRPr="00461C10" w:rsidR="00B86474">
        <w:t>.</w:t>
      </w:r>
      <w:r w:rsidRPr="00461C10" w:rsidR="00B50C61">
        <w:rPr>
          <w:rStyle w:val="FootnoteReference"/>
        </w:rPr>
        <w:footnoteReference w:id="39"/>
      </w:r>
      <w:r w:rsidRPr="00461C10" w:rsidR="00B86474">
        <w:t xml:space="preserve"> </w:t>
      </w:r>
      <w:r w:rsidRPr="00461C10" w:rsidR="004F062C">
        <w:t xml:space="preserve">The </w:t>
      </w:r>
      <w:r w:rsidRPr="00461C10" w:rsidR="00656309">
        <w:t xml:space="preserve">large electric </w:t>
      </w:r>
      <w:r w:rsidRPr="00461C10" w:rsidR="008A6677">
        <w:t>IOU</w:t>
      </w:r>
      <w:r w:rsidRPr="00461C10" w:rsidR="004F062C">
        <w:t xml:space="preserve"> </w:t>
      </w:r>
      <w:r w:rsidRPr="00461C10" w:rsidR="00C7104E">
        <w:t>d</w:t>
      </w:r>
      <w:r w:rsidRPr="00461C10" w:rsidR="004F062C">
        <w:t xml:space="preserve">ependencies </w:t>
      </w:r>
      <w:r w:rsidRPr="00461C10" w:rsidR="0023586C">
        <w:t>are</w:t>
      </w:r>
      <w:r w:rsidRPr="00461C10" w:rsidR="004F062C">
        <w:t xml:space="preserve"> preliminarily determined to be one half of t</w:t>
      </w:r>
      <w:r w:rsidRPr="00461C10" w:rsidR="001245C5">
        <w:t xml:space="preserve">he </w:t>
      </w:r>
      <w:r w:rsidRPr="00461C10" w:rsidR="00C7104E">
        <w:t>d</w:t>
      </w:r>
      <w:r w:rsidRPr="00461C10" w:rsidR="001245C5">
        <w:t>ependencies</w:t>
      </w:r>
      <w:r w:rsidRPr="00461C10" w:rsidR="00C62EAF">
        <w:t>’</w:t>
      </w:r>
      <w:r w:rsidRPr="00461C10" w:rsidR="001245C5">
        <w:t xml:space="preserve"> timeline</w:t>
      </w:r>
      <w:r w:rsidRPr="00461C10" w:rsidR="00421D72">
        <w:t>s</w:t>
      </w:r>
      <w:r w:rsidRPr="00461C10" w:rsidR="00992CC7">
        <w:t>, because</w:t>
      </w:r>
      <w:r w:rsidRPr="00461C10" w:rsidR="00761CCA">
        <w:t xml:space="preserve"> Energy Division did not </w:t>
      </w:r>
      <w:r w:rsidRPr="00461C10" w:rsidR="00A57892">
        <w:t xml:space="preserve">receive more specific data  from </w:t>
      </w:r>
      <w:r w:rsidRPr="00461C10" w:rsidR="00B41FD1">
        <w:t xml:space="preserve">parties to further refine this </w:t>
      </w:r>
      <w:r w:rsidRPr="00461C10" w:rsidR="000622FC">
        <w:t>allocation</w:t>
      </w:r>
      <w:r w:rsidRPr="00461C10" w:rsidR="0025408E">
        <w:t xml:space="preserve"> of responsibility</w:t>
      </w:r>
      <w:r w:rsidRPr="00461C10" w:rsidR="00654B6E">
        <w:t>.</w:t>
      </w:r>
      <w:r w:rsidRPr="00461C10" w:rsidR="009A3B41">
        <w:t xml:space="preserve"> </w:t>
      </w:r>
      <w:r w:rsidRPr="00461C10" w:rsidR="3BB897B2">
        <w:t xml:space="preserve">Phase 2 of this proceeding may further refine </w:t>
      </w:r>
      <w:r w:rsidRPr="00461C10" w:rsidR="4438859E">
        <w:t>t</w:t>
      </w:r>
      <w:r w:rsidRPr="00461C10" w:rsidR="00D3693D">
        <w:t xml:space="preserve">his </w:t>
      </w:r>
      <w:r w:rsidRPr="00461C10" w:rsidR="00FA2A1D">
        <w:t xml:space="preserve">allocation of </w:t>
      </w:r>
      <w:r w:rsidRPr="00461C10" w:rsidR="00BE2571">
        <w:t>the dependencies</w:t>
      </w:r>
      <w:r w:rsidRPr="00461C10" w:rsidR="00932953">
        <w:t xml:space="preserve"> </w:t>
      </w:r>
      <w:r w:rsidRPr="00461C10" w:rsidR="00FA2A1D">
        <w:t xml:space="preserve">as more data </w:t>
      </w:r>
      <w:r w:rsidRPr="00461C10" w:rsidR="69F40BFF">
        <w:t>becomes available</w:t>
      </w:r>
      <w:r w:rsidRPr="00461C10" w:rsidR="00FA2A1D">
        <w:t>.</w:t>
      </w:r>
      <w:r w:rsidRPr="00461C10" w:rsidR="00D3693D">
        <w:t xml:space="preserve"> </w:t>
      </w:r>
    </w:p>
    <w:p w:rsidRPr="00461C10" w:rsidR="00D83D5D" w:rsidP="00932953" w:rsidRDefault="0099012A" w14:paraId="39CCBC37" w14:textId="4E7A8592">
      <w:pPr>
        <w:pStyle w:val="Standard"/>
      </w:pPr>
      <w:r w:rsidRPr="00461C10">
        <w:t xml:space="preserve">The Joint </w:t>
      </w:r>
      <w:r w:rsidRPr="00461C10" w:rsidR="00A81FF6">
        <w:t xml:space="preserve">IOUs </w:t>
      </w:r>
      <w:r w:rsidRPr="00461C10">
        <w:t>did not provide data for the Service Energization Provided to Customer Step</w:t>
      </w:r>
      <w:r w:rsidRPr="00461C10" w:rsidR="00C7104E">
        <w:t xml:space="preserve"> (</w:t>
      </w:r>
      <w:r w:rsidRPr="00461C10" w:rsidR="000A3D03">
        <w:t xml:space="preserve">defined as </w:t>
      </w:r>
      <w:r w:rsidRPr="00461C10" w:rsidR="00C7104E">
        <w:t xml:space="preserve">Step </w:t>
      </w:r>
      <w:r w:rsidRPr="00461C10" w:rsidR="02CEF450">
        <w:t>8</w:t>
      </w:r>
      <w:r w:rsidRPr="00461C10" w:rsidR="00C7104E">
        <w:t>, above)</w:t>
      </w:r>
      <w:r w:rsidRPr="00461C10" w:rsidR="00C533A1">
        <w:t>, but it is a critical step in the energization process</w:t>
      </w:r>
      <w:r w:rsidRPr="00461C10" w:rsidR="000A3D03">
        <w:t>. Th</w:t>
      </w:r>
      <w:r w:rsidRPr="00461C10" w:rsidR="001D27E7">
        <w:t>e Service Energization Provided to Customer Step was</w:t>
      </w:r>
      <w:r w:rsidRPr="00461C10" w:rsidR="000A3D03">
        <w:t xml:space="preserve"> added</w:t>
      </w:r>
      <w:r w:rsidRPr="00461C10">
        <w:t xml:space="preserve"> to the </w:t>
      </w:r>
      <w:r w:rsidRPr="00461C10" w:rsidR="008D4020">
        <w:t xml:space="preserve">five </w:t>
      </w:r>
      <w:r w:rsidRPr="00461C10" w:rsidR="009017BE">
        <w:t>steps</w:t>
      </w:r>
      <w:r w:rsidRPr="00461C10" w:rsidR="008D4020">
        <w:t xml:space="preserve"> </w:t>
      </w:r>
      <w:r w:rsidRPr="00461C10">
        <w:t xml:space="preserve">that the </w:t>
      </w:r>
      <w:r w:rsidRPr="00461C10" w:rsidR="009017BE">
        <w:t>large electric</w:t>
      </w:r>
      <w:r w:rsidRPr="00461C10">
        <w:t xml:space="preserve"> </w:t>
      </w:r>
      <w:r w:rsidRPr="00461C10" w:rsidR="00D133C8">
        <w:t xml:space="preserve">IOUs </w:t>
      </w:r>
      <w:r w:rsidRPr="00461C10">
        <w:t>originally identified</w:t>
      </w:r>
      <w:r w:rsidRPr="00461C10" w:rsidR="006A6CE8">
        <w:t xml:space="preserve"> in an effort to make clear that the energization process cannot be complete until </w:t>
      </w:r>
      <w:r w:rsidRPr="00461C10" w:rsidR="00F56EEC">
        <w:t>the customer’s new or upgraded service can be utilized</w:t>
      </w:r>
      <w:r w:rsidRPr="00461C10" w:rsidR="009017BE">
        <w:t>. N</w:t>
      </w:r>
      <w:r w:rsidRPr="00461C10" w:rsidR="000A3D03">
        <w:t xml:space="preserve">o data </w:t>
      </w:r>
      <w:r w:rsidRPr="00461C10" w:rsidR="009017BE">
        <w:t>associated with the timeframe for this Service Energization Provided to Customer</w:t>
      </w:r>
      <w:r w:rsidRPr="00461C10" w:rsidR="00AD1683">
        <w:t xml:space="preserve"> step</w:t>
      </w:r>
      <w:r w:rsidRPr="00461C10" w:rsidR="007E04DC">
        <w:t xml:space="preserve"> (Step </w:t>
      </w:r>
      <w:r w:rsidRPr="00461C10" w:rsidR="6ABB8593">
        <w:t>8</w:t>
      </w:r>
      <w:r w:rsidRPr="00461C10" w:rsidR="007E04DC">
        <w:t>)</w:t>
      </w:r>
      <w:r w:rsidRPr="00461C10" w:rsidR="009017BE">
        <w:t xml:space="preserve"> </w:t>
      </w:r>
      <w:r w:rsidRPr="00461C10" w:rsidR="000A3D03">
        <w:t xml:space="preserve">was </w:t>
      </w:r>
      <w:r w:rsidRPr="00461C10" w:rsidR="009017BE">
        <w:t xml:space="preserve">included </w:t>
      </w:r>
      <w:r w:rsidRPr="00461C10" w:rsidR="000A3D03">
        <w:t xml:space="preserve">in the responses from the </w:t>
      </w:r>
      <w:r w:rsidRPr="00461C10" w:rsidR="009017BE">
        <w:t xml:space="preserve">large electric </w:t>
      </w:r>
      <w:r w:rsidRPr="00461C10" w:rsidR="000A3D03">
        <w:t>IOU</w:t>
      </w:r>
      <w:r w:rsidRPr="00461C10" w:rsidR="009017BE">
        <w:t>s</w:t>
      </w:r>
      <w:r w:rsidRPr="00461C10" w:rsidR="000A3D03">
        <w:t xml:space="preserve"> throughout Phase 1 of this proceeding</w:t>
      </w:r>
      <w:r w:rsidRPr="00461C10">
        <w:t xml:space="preserve">. </w:t>
      </w:r>
      <w:r w:rsidRPr="00461C10" w:rsidR="007F0BB1">
        <w:t xml:space="preserve">Therefore, </w:t>
      </w:r>
      <w:r w:rsidRPr="00461C10" w:rsidR="00A81FF6">
        <w:t xml:space="preserve">the large electric IOUs shall ensure </w:t>
      </w:r>
      <w:r w:rsidRPr="00461C10" w:rsidR="007F0BB1">
        <w:t xml:space="preserve">the last step of the energization process </w:t>
      </w:r>
      <w:r w:rsidRPr="00461C10" w:rsidR="00A81FF6">
        <w:t>described above</w:t>
      </w:r>
      <w:r w:rsidRPr="00461C10" w:rsidR="00AA250A">
        <w:t xml:space="preserve"> (Ser</w:t>
      </w:r>
      <w:r w:rsidRPr="00461C10" w:rsidR="006F60A8">
        <w:t xml:space="preserve">vice Energization Provided to the Customer, or Step </w:t>
      </w:r>
      <w:r w:rsidRPr="00461C10" w:rsidR="10F60E56">
        <w:t>8</w:t>
      </w:r>
      <w:r w:rsidRPr="00461C10" w:rsidR="006F60A8">
        <w:t>)</w:t>
      </w:r>
      <w:r w:rsidRPr="00461C10" w:rsidR="0025597C">
        <w:t xml:space="preserve">, </w:t>
      </w:r>
      <w:r w:rsidRPr="00461C10" w:rsidR="00A81FF6">
        <w:t>is</w:t>
      </w:r>
      <w:r w:rsidRPr="00461C10" w:rsidR="00080750">
        <w:t xml:space="preserve"> </w:t>
      </w:r>
      <w:r w:rsidRPr="00461C10" w:rsidR="00412E1C">
        <w:t>completed</w:t>
      </w:r>
      <w:r w:rsidRPr="00461C10" w:rsidR="00080750">
        <w:t xml:space="preserve"> within the</w:t>
      </w:r>
      <w:r w:rsidRPr="00461C10" w:rsidR="00867D72">
        <w:t xml:space="preserve"> average and maximum</w:t>
      </w:r>
      <w:r w:rsidRPr="00461C10" w:rsidR="00080750">
        <w:t xml:space="preserve"> targets for Electric Rules 15, 16, 15</w:t>
      </w:r>
      <w:r w:rsidRPr="00461C10" w:rsidR="00D152B9">
        <w:t>/29/45</w:t>
      </w:r>
      <w:r w:rsidRPr="00461C10" w:rsidR="00080750">
        <w:t xml:space="preserve">, and </w:t>
      </w:r>
      <w:r w:rsidRPr="00461C10" w:rsidR="00A14EBA">
        <w:t>29/45 defined in Table 1 below.</w:t>
      </w:r>
      <w:r w:rsidRPr="00461C10" w:rsidR="00D02A4F">
        <w:t xml:space="preserve"> The average and maximum targets are intended to encompass </w:t>
      </w:r>
      <w:r w:rsidRPr="00461C10" w:rsidR="000C31EF">
        <w:t xml:space="preserve">the time necessary for large electric IOUs to complete their portion of the energization steps described above for all energization requests, even those that trigger </w:t>
      </w:r>
      <w:r w:rsidRPr="00461C10" w:rsidR="00AC5670">
        <w:t>upgrades for more than one tariff. For example, a project that triggers Electric Rule 15 upgrade and a</w:t>
      </w:r>
      <w:r w:rsidRPr="00461C10" w:rsidR="004A340B">
        <w:t>n Electric</w:t>
      </w:r>
      <w:r w:rsidRPr="00461C10" w:rsidR="00AC5670">
        <w:t xml:space="preserve"> </w:t>
      </w:r>
      <w:r w:rsidRPr="00461C10" w:rsidR="00AC5670">
        <w:lastRenderedPageBreak/>
        <w:t xml:space="preserve">Rule 29 or </w:t>
      </w:r>
      <w:r w:rsidRPr="00461C10" w:rsidR="004A340B">
        <w:t xml:space="preserve">Electric </w:t>
      </w:r>
      <w:r w:rsidRPr="00461C10" w:rsidR="00AC5670">
        <w:t>Rule 45 upgrade should be completed in the same amount of time for a project that triggers an</w:t>
      </w:r>
      <w:r w:rsidRPr="00461C10" w:rsidR="004A340B">
        <w:t>y Electric Rule 15 or Electric Rule 16 upgrade (or a combination of Electric Rules 15/16).</w:t>
      </w:r>
    </w:p>
    <w:p w:rsidRPr="00461C10" w:rsidR="00653A3B" w:rsidP="00653A3B" w:rsidRDefault="00653A3B" w14:paraId="35BBF145" w14:textId="4D17D473">
      <w:pPr>
        <w:pStyle w:val="Standard"/>
      </w:pPr>
      <w:r w:rsidRPr="00461C10">
        <w:t xml:space="preserve">The </w:t>
      </w:r>
      <w:r w:rsidRPr="00461C10" w:rsidR="003259A7">
        <w:t>large electric</w:t>
      </w:r>
      <w:r w:rsidRPr="00461C10">
        <w:t xml:space="preserve"> IOUs </w:t>
      </w:r>
      <w:r w:rsidRPr="00461C10" w:rsidR="00106BF3">
        <w:t xml:space="preserve">also </w:t>
      </w:r>
      <w:r w:rsidRPr="00461C10">
        <w:t xml:space="preserve">did not provide enough data for Energy Division staff to independently analyze Electric Rule 29/45 timelines; therefore, the timelines for these projects are set to match those of Electric Rule 16. </w:t>
      </w:r>
    </w:p>
    <w:p w:rsidRPr="00461C10" w:rsidR="0017267D" w:rsidP="00E76333" w:rsidRDefault="00E76333" w14:paraId="7659E9D2" w14:textId="6E345C36">
      <w:pPr>
        <w:pStyle w:val="Heading2"/>
      </w:pPr>
      <w:bookmarkStart w:name="_Toc177469349" w:id="35"/>
      <w:r w:rsidRPr="00461C10">
        <w:t xml:space="preserve">Adopted </w:t>
      </w:r>
      <w:r w:rsidRPr="00461C10" w:rsidR="0017267D">
        <w:t>Statewide Average and Maximum Energization Targets</w:t>
      </w:r>
      <w:bookmarkEnd w:id="35"/>
      <w:r w:rsidRPr="00461C10" w:rsidR="0017267D">
        <w:t xml:space="preserve"> </w:t>
      </w:r>
    </w:p>
    <w:p w:rsidRPr="00461C10" w:rsidR="00A14807" w:rsidP="006C4B60" w:rsidRDefault="001C245D" w14:paraId="2D1B7843" w14:textId="0A4EDB43">
      <w:pPr>
        <w:pStyle w:val="Standard"/>
      </w:pPr>
      <w:r w:rsidRPr="00461C10">
        <w:t xml:space="preserve">The </w:t>
      </w:r>
      <w:r w:rsidRPr="00461C10" w:rsidR="00D83D5D">
        <w:t xml:space="preserve">adopted </w:t>
      </w:r>
      <w:r w:rsidRPr="00461C10" w:rsidR="00E76333">
        <w:t xml:space="preserve">statewide </w:t>
      </w:r>
      <w:r w:rsidRPr="00461C10" w:rsidR="0011507D">
        <w:t>average energization target</w:t>
      </w:r>
      <w:r w:rsidRPr="00461C10" w:rsidR="00D83D5D">
        <w:t>s</w:t>
      </w:r>
      <w:r w:rsidRPr="00461C10">
        <w:t xml:space="preserve"> for </w:t>
      </w:r>
      <w:r w:rsidRPr="00461C10" w:rsidR="001F09FF">
        <w:t xml:space="preserve">each </w:t>
      </w:r>
      <w:r w:rsidRPr="00461C10" w:rsidR="00C25F32">
        <w:t>electric</w:t>
      </w:r>
      <w:r w:rsidRPr="00461C10" w:rsidR="001F09FF">
        <w:t xml:space="preserve"> tariff </w:t>
      </w:r>
      <w:r w:rsidRPr="00461C10" w:rsidR="00D83D5D">
        <w:t xml:space="preserve">are </w:t>
      </w:r>
      <w:r w:rsidRPr="00461C10" w:rsidR="001F09FF">
        <w:t xml:space="preserve">listed in Table </w:t>
      </w:r>
      <w:r w:rsidRPr="00461C10" w:rsidR="00C52B3C">
        <w:t>1</w:t>
      </w:r>
      <w:r w:rsidRPr="00461C10" w:rsidR="0011507D">
        <w:t xml:space="preserve">, and the </w:t>
      </w:r>
      <w:r w:rsidRPr="00461C10" w:rsidR="00D83D5D">
        <w:t xml:space="preserve">adopted </w:t>
      </w:r>
      <w:r w:rsidRPr="00461C10" w:rsidR="00E76333">
        <w:t xml:space="preserve">statewide </w:t>
      </w:r>
      <w:r w:rsidRPr="00461C10" w:rsidR="0011507D">
        <w:t>maximum energization targe</w:t>
      </w:r>
      <w:r w:rsidRPr="00461C10" w:rsidR="00D83D5D">
        <w:t xml:space="preserve">ts </w:t>
      </w:r>
      <w:r w:rsidRPr="00461C10" w:rsidR="0011507D">
        <w:t xml:space="preserve">for each </w:t>
      </w:r>
      <w:r w:rsidRPr="00461C10" w:rsidR="00B50EE7">
        <w:t xml:space="preserve">electric </w:t>
      </w:r>
      <w:r w:rsidRPr="00461C10" w:rsidR="0011507D">
        <w:t xml:space="preserve">tariff </w:t>
      </w:r>
      <w:r w:rsidRPr="00461C10" w:rsidR="00D83D5D">
        <w:t>are</w:t>
      </w:r>
      <w:r w:rsidRPr="00461C10" w:rsidR="0011507D">
        <w:t xml:space="preserve"> listed in Table </w:t>
      </w:r>
      <w:r w:rsidRPr="00461C10" w:rsidR="00C52B3C">
        <w:t>2</w:t>
      </w:r>
      <w:r w:rsidRPr="00461C10" w:rsidR="00E3775A">
        <w:t xml:space="preserve"> below</w:t>
      </w:r>
      <w:r w:rsidRPr="00461C10" w:rsidR="0024049C">
        <w:t xml:space="preserve">. </w:t>
      </w:r>
      <w:r w:rsidRPr="00461C10" w:rsidR="180927C4">
        <w:t xml:space="preserve">The Statewide Energization Timeline Analysis Report, </w:t>
      </w:r>
      <w:r w:rsidRPr="00461C10" w:rsidR="6BB21DFA">
        <w:t>included as</w:t>
      </w:r>
      <w:r w:rsidRPr="00461C10" w:rsidR="180927C4">
        <w:t xml:space="preserve"> </w:t>
      </w:r>
      <w:r w:rsidRPr="00461C10" w:rsidR="244F1D14">
        <w:t>Appendix A of this decision</w:t>
      </w:r>
      <w:r w:rsidRPr="00461C10" w:rsidR="4B38249C">
        <w:t>,</w:t>
      </w:r>
      <w:r w:rsidRPr="00461C10" w:rsidR="244F1D14">
        <w:t xml:space="preserve"> has </w:t>
      </w:r>
      <w:r w:rsidRPr="00461C10" w:rsidR="718BA13C">
        <w:t>m</w:t>
      </w:r>
      <w:r w:rsidRPr="00461C10" w:rsidR="0024049C">
        <w:t xml:space="preserve">ore information regarding the calculation of these </w:t>
      </w:r>
      <w:r w:rsidRPr="00461C10" w:rsidR="007E4B4F">
        <w:t xml:space="preserve">average and </w:t>
      </w:r>
      <w:r w:rsidRPr="00461C10" w:rsidR="00A14807">
        <w:t>maximum energization</w:t>
      </w:r>
      <w:r w:rsidRPr="00461C10" w:rsidR="007E4B4F">
        <w:t xml:space="preserve"> </w:t>
      </w:r>
      <w:r w:rsidRPr="00461C10" w:rsidR="0024049C">
        <w:t>targets, including the assumptions used</w:t>
      </w:r>
      <w:r w:rsidRPr="00461C10" w:rsidR="008D71CF">
        <w:t>.</w:t>
      </w:r>
      <w:r w:rsidRPr="00461C10" w:rsidR="0024049C">
        <w:t xml:space="preserve"> </w:t>
      </w:r>
      <w:r w:rsidRPr="00461C10" w:rsidR="00A14807">
        <w:t xml:space="preserve">As discussed in more detail in Section 10 of this decision, Annual Energization Reporting Requirements, and Section 14 of this decision, Enforcement of Energization Targets, the Commission expects the IOUs to </w:t>
      </w:r>
      <w:r w:rsidRPr="00461C10" w:rsidR="00BF2DE8">
        <w:t xml:space="preserve">accelerate </w:t>
      </w:r>
      <w:r w:rsidRPr="00461C10" w:rsidR="00A14807">
        <w:t>the time it takes to energize all customers’ requests, rather than targeting certain industry types or customer groups</w:t>
      </w:r>
      <w:r w:rsidRPr="00461C10" w:rsidR="009165AA">
        <w:t>.</w:t>
      </w:r>
      <w:r w:rsidRPr="00461C10" w:rsidR="00A14807">
        <w:t xml:space="preserve"> </w:t>
      </w:r>
      <w:r w:rsidRPr="00461C10" w:rsidR="008D0C23">
        <w:t xml:space="preserve"> </w:t>
      </w:r>
    </w:p>
    <w:p w:rsidRPr="00461C10" w:rsidR="001F09FF" w:rsidP="00A16F51" w:rsidRDefault="001F09FF" w14:paraId="4EC6F484" w14:textId="48AF1225">
      <w:pPr>
        <w:pStyle w:val="Standard"/>
        <w:keepNext/>
        <w:keepLines/>
        <w:spacing w:before="360" w:after="120" w:line="240" w:lineRule="auto"/>
        <w:ind w:firstLine="0"/>
        <w:jc w:val="center"/>
        <w:rPr>
          <w:b/>
          <w:bCs/>
        </w:rPr>
      </w:pPr>
      <w:r w:rsidRPr="00461C10">
        <w:rPr>
          <w:b/>
          <w:bCs/>
        </w:rPr>
        <w:lastRenderedPageBreak/>
        <w:t xml:space="preserve">Table </w:t>
      </w:r>
      <w:r w:rsidRPr="00461C10" w:rsidR="00C52B3C">
        <w:rPr>
          <w:b/>
          <w:bCs/>
        </w:rPr>
        <w:t>1</w:t>
      </w:r>
      <w:r w:rsidRPr="00461C10" w:rsidR="00B43CB0">
        <w:rPr>
          <w:b/>
          <w:bCs/>
        </w:rPr>
        <w:t>:</w:t>
      </w:r>
      <w:r w:rsidRPr="00461C10" w:rsidR="00447946">
        <w:rPr>
          <w:b/>
          <w:bCs/>
        </w:rPr>
        <w:br/>
      </w:r>
      <w:r w:rsidRPr="00461C10" w:rsidR="00B43CB0">
        <w:rPr>
          <w:b/>
          <w:bCs/>
        </w:rPr>
        <w:t>Average Energization Targets</w:t>
      </w:r>
      <w:r w:rsidRPr="00461C10" w:rsidR="001A4991">
        <w:rPr>
          <w:b/>
          <w:bCs/>
        </w:rPr>
        <w:t xml:space="preserve"> effective September 2024</w:t>
      </w:r>
      <w:r w:rsidRPr="00461C10" w:rsidR="00191940">
        <w:rPr>
          <w:rStyle w:val="FootnoteReference"/>
        </w:rPr>
        <w:footnoteReference w:id="40"/>
      </w:r>
    </w:p>
    <w:tbl>
      <w:tblPr>
        <w:tblStyle w:val="TableGrid"/>
        <w:tblW w:w="0" w:type="auto"/>
        <w:jc w:val="center"/>
        <w:tblCellMar>
          <w:top w:w="58" w:type="dxa"/>
          <w:bottom w:w="58" w:type="dxa"/>
        </w:tblCellMar>
        <w:tblLook w:val="04A0" w:firstRow="1" w:lastRow="0" w:firstColumn="1" w:lastColumn="0" w:noHBand="0" w:noVBand="1"/>
      </w:tblPr>
      <w:tblGrid>
        <w:gridCol w:w="3116"/>
        <w:gridCol w:w="3117"/>
        <w:gridCol w:w="3117"/>
      </w:tblGrid>
      <w:tr w:rsidRPr="00461C10" w:rsidR="00461C10" w:rsidTr="007F0D0A" w14:paraId="6CA5D845" w14:textId="2B85285D">
        <w:trPr>
          <w:tblHeader/>
          <w:jc w:val="center"/>
        </w:trPr>
        <w:tc>
          <w:tcPr>
            <w:tcW w:w="3116" w:type="dxa"/>
            <w:vAlign w:val="bottom"/>
          </w:tcPr>
          <w:p w:rsidRPr="00461C10" w:rsidR="00B50C61" w:rsidP="00E62F70" w:rsidRDefault="00B50C61" w14:paraId="2F8B6E31" w14:textId="49675466">
            <w:pPr>
              <w:pStyle w:val="Standard"/>
              <w:keepNext/>
              <w:keepLines/>
              <w:spacing w:line="240" w:lineRule="auto"/>
              <w:ind w:firstLine="0"/>
              <w:jc w:val="center"/>
              <w:rPr>
                <w:b/>
                <w:bCs/>
              </w:rPr>
            </w:pPr>
            <w:r w:rsidRPr="00461C10">
              <w:rPr>
                <w:b/>
                <w:bCs/>
              </w:rPr>
              <w:t>Tariff</w:t>
            </w:r>
          </w:p>
        </w:tc>
        <w:tc>
          <w:tcPr>
            <w:tcW w:w="3117" w:type="dxa"/>
            <w:vAlign w:val="bottom"/>
          </w:tcPr>
          <w:p w:rsidRPr="00461C10" w:rsidR="00B50C61" w:rsidP="00E62F70" w:rsidRDefault="00B50C61" w14:paraId="67FCE9E5" w14:textId="4FD55147">
            <w:pPr>
              <w:pStyle w:val="Standard"/>
              <w:keepNext/>
              <w:keepLines/>
              <w:spacing w:line="240" w:lineRule="auto"/>
              <w:ind w:firstLine="0"/>
              <w:jc w:val="center"/>
              <w:rPr>
                <w:b/>
                <w:bCs/>
              </w:rPr>
            </w:pPr>
            <w:r w:rsidRPr="00461C10">
              <w:rPr>
                <w:b/>
                <w:bCs/>
              </w:rPr>
              <w:t>Average Energization Target (business days)</w:t>
            </w:r>
          </w:p>
        </w:tc>
        <w:tc>
          <w:tcPr>
            <w:tcW w:w="3117" w:type="dxa"/>
            <w:vAlign w:val="bottom"/>
          </w:tcPr>
          <w:p w:rsidRPr="00461C10" w:rsidR="00B50C61" w:rsidP="00E62F70" w:rsidRDefault="00B50C61" w14:paraId="2E6A463D" w14:textId="718C33B4">
            <w:pPr>
              <w:pStyle w:val="Standard"/>
              <w:keepNext/>
              <w:keepLines/>
              <w:spacing w:line="240" w:lineRule="auto"/>
              <w:ind w:firstLine="0"/>
              <w:jc w:val="center"/>
              <w:rPr>
                <w:b/>
                <w:bCs/>
              </w:rPr>
            </w:pPr>
            <w:r w:rsidRPr="00461C10">
              <w:rPr>
                <w:b/>
                <w:bCs/>
              </w:rPr>
              <w:t>Average Energization Target (calendar days)</w:t>
            </w:r>
          </w:p>
        </w:tc>
      </w:tr>
      <w:tr w:rsidRPr="00461C10" w:rsidR="00461C10" w:rsidTr="007F0D0A" w14:paraId="581D6A04" w14:textId="3E154C74">
        <w:trPr>
          <w:jc w:val="center"/>
        </w:trPr>
        <w:tc>
          <w:tcPr>
            <w:tcW w:w="3116" w:type="dxa"/>
          </w:tcPr>
          <w:p w:rsidRPr="00461C10" w:rsidR="00B50C61" w:rsidP="00E62F70" w:rsidRDefault="006819B5" w14:paraId="3166C65A" w14:textId="080C2FAE">
            <w:pPr>
              <w:pStyle w:val="Standard"/>
              <w:keepNext/>
              <w:keepLines/>
              <w:spacing w:line="240" w:lineRule="auto"/>
              <w:ind w:firstLine="0"/>
            </w:pPr>
            <w:r w:rsidRPr="00461C10">
              <w:t xml:space="preserve">Electric </w:t>
            </w:r>
            <w:r w:rsidRPr="00461C10" w:rsidR="00B50C61">
              <w:t>Rule 15</w:t>
            </w:r>
          </w:p>
        </w:tc>
        <w:tc>
          <w:tcPr>
            <w:tcW w:w="3117" w:type="dxa"/>
          </w:tcPr>
          <w:p w:rsidRPr="00461C10" w:rsidR="00B50C61" w:rsidP="00E62F70" w:rsidRDefault="00B50C61" w14:paraId="41042C1F" w14:textId="083D0E30">
            <w:pPr>
              <w:pStyle w:val="Standard"/>
              <w:keepNext/>
              <w:keepLines/>
              <w:spacing w:line="240" w:lineRule="auto"/>
              <w:ind w:firstLine="0"/>
              <w:jc w:val="center"/>
            </w:pPr>
            <w:r w:rsidRPr="00461C10" w:rsidDel="00E967B3">
              <w:t>125</w:t>
            </w:r>
          </w:p>
        </w:tc>
        <w:tc>
          <w:tcPr>
            <w:tcW w:w="3117" w:type="dxa"/>
          </w:tcPr>
          <w:p w:rsidRPr="00461C10" w:rsidR="00B50C61" w:rsidDel="00E967B3" w:rsidP="00E62F70" w:rsidRDefault="00576D0E" w14:paraId="5222E41E" w14:textId="0F312977">
            <w:pPr>
              <w:pStyle w:val="Standard"/>
              <w:keepNext/>
              <w:keepLines/>
              <w:spacing w:line="240" w:lineRule="auto"/>
              <w:ind w:firstLine="0"/>
              <w:jc w:val="center"/>
            </w:pPr>
            <w:r w:rsidRPr="00461C10">
              <w:t>18</w:t>
            </w:r>
            <w:r w:rsidRPr="00461C10" w:rsidR="0080101E">
              <w:t>2</w:t>
            </w:r>
          </w:p>
        </w:tc>
      </w:tr>
      <w:tr w:rsidRPr="00461C10" w:rsidR="00461C10" w:rsidTr="007F0D0A" w14:paraId="3A52C4AA" w14:textId="1F9634E8">
        <w:trPr>
          <w:jc w:val="center"/>
        </w:trPr>
        <w:tc>
          <w:tcPr>
            <w:tcW w:w="3116" w:type="dxa"/>
          </w:tcPr>
          <w:p w:rsidRPr="00461C10" w:rsidR="00B50C61" w:rsidP="00E62F70" w:rsidRDefault="006819B5" w14:paraId="7B79039A" w14:textId="61BB5AC5">
            <w:pPr>
              <w:pStyle w:val="Standard"/>
              <w:keepNext/>
              <w:keepLines/>
              <w:spacing w:line="240" w:lineRule="auto"/>
              <w:ind w:firstLine="0"/>
            </w:pPr>
            <w:r w:rsidRPr="00461C10">
              <w:t xml:space="preserve">Electric </w:t>
            </w:r>
            <w:r w:rsidRPr="00461C10" w:rsidR="00B50C61">
              <w:t>Rule 16</w:t>
            </w:r>
          </w:p>
        </w:tc>
        <w:tc>
          <w:tcPr>
            <w:tcW w:w="3117" w:type="dxa"/>
          </w:tcPr>
          <w:p w:rsidRPr="00461C10" w:rsidR="00B50C61" w:rsidP="00E62F70" w:rsidRDefault="00B50C61" w14:paraId="4FEFB72B" w14:textId="2A9F9032">
            <w:pPr>
              <w:pStyle w:val="Standard"/>
              <w:keepNext/>
              <w:keepLines/>
              <w:spacing w:line="240" w:lineRule="auto"/>
              <w:ind w:firstLine="0"/>
              <w:jc w:val="center"/>
            </w:pPr>
            <w:r w:rsidRPr="00461C10" w:rsidDel="00E967B3">
              <w:t>125</w:t>
            </w:r>
          </w:p>
        </w:tc>
        <w:tc>
          <w:tcPr>
            <w:tcW w:w="3117" w:type="dxa"/>
          </w:tcPr>
          <w:p w:rsidRPr="00461C10" w:rsidR="00B50C61" w:rsidDel="00E967B3" w:rsidP="00E62F70" w:rsidRDefault="00576D0E" w14:paraId="6078723C" w14:textId="710141C7">
            <w:pPr>
              <w:pStyle w:val="Standard"/>
              <w:keepNext/>
              <w:keepLines/>
              <w:spacing w:line="240" w:lineRule="auto"/>
              <w:ind w:firstLine="0"/>
              <w:jc w:val="center"/>
            </w:pPr>
            <w:r w:rsidRPr="00461C10">
              <w:t>182</w:t>
            </w:r>
          </w:p>
        </w:tc>
      </w:tr>
      <w:tr w:rsidRPr="00461C10" w:rsidR="00461C10" w:rsidTr="007F0D0A" w14:paraId="7EB56C34" w14:textId="07C34C5B">
        <w:trPr>
          <w:jc w:val="center"/>
        </w:trPr>
        <w:tc>
          <w:tcPr>
            <w:tcW w:w="3116" w:type="dxa"/>
          </w:tcPr>
          <w:p w:rsidRPr="00461C10" w:rsidR="00B50C61" w:rsidP="00E62F70" w:rsidRDefault="00066EA0" w14:paraId="7DF40CBB" w14:textId="5458FDEE">
            <w:pPr>
              <w:pStyle w:val="Standard"/>
              <w:keepNext/>
              <w:keepLines/>
              <w:spacing w:line="240" w:lineRule="auto"/>
              <w:ind w:firstLine="0"/>
            </w:pPr>
            <w:r w:rsidRPr="00461C10">
              <w:t xml:space="preserve">Combined </w:t>
            </w:r>
            <w:r w:rsidRPr="00461C10" w:rsidR="002C0467">
              <w:t xml:space="preserve">Electric </w:t>
            </w:r>
            <w:r w:rsidRPr="00461C10" w:rsidR="00B50C61">
              <w:t xml:space="preserve">Rule 15/16 </w:t>
            </w:r>
            <w:r w:rsidRPr="00461C10" w:rsidR="00D35562">
              <w:t>or Rule 15</w:t>
            </w:r>
            <w:r w:rsidRPr="00461C10" w:rsidR="00783AF0">
              <w:t xml:space="preserve"> and 29/45</w:t>
            </w:r>
          </w:p>
        </w:tc>
        <w:tc>
          <w:tcPr>
            <w:tcW w:w="3117" w:type="dxa"/>
          </w:tcPr>
          <w:p w:rsidRPr="00461C10" w:rsidR="00B50C61" w:rsidP="00E62F70" w:rsidRDefault="00B50C61" w14:paraId="45C05624" w14:textId="0AF1D502">
            <w:pPr>
              <w:pStyle w:val="Standard"/>
              <w:keepNext/>
              <w:keepLines/>
              <w:spacing w:line="240" w:lineRule="auto"/>
              <w:ind w:firstLine="0"/>
              <w:jc w:val="center"/>
            </w:pPr>
            <w:r w:rsidRPr="00461C10">
              <w:t>125</w:t>
            </w:r>
          </w:p>
        </w:tc>
        <w:tc>
          <w:tcPr>
            <w:tcW w:w="3117" w:type="dxa"/>
          </w:tcPr>
          <w:p w:rsidRPr="00461C10" w:rsidR="00B50C61" w:rsidP="00E62F70" w:rsidRDefault="00576D0E" w14:paraId="6A54E964" w14:textId="7F1D508A">
            <w:pPr>
              <w:pStyle w:val="Standard"/>
              <w:keepNext/>
              <w:keepLines/>
              <w:spacing w:line="240" w:lineRule="auto"/>
              <w:ind w:firstLine="0"/>
              <w:jc w:val="center"/>
            </w:pPr>
            <w:r w:rsidRPr="00461C10">
              <w:t>182</w:t>
            </w:r>
          </w:p>
        </w:tc>
      </w:tr>
      <w:tr w:rsidRPr="00461C10" w:rsidR="00B50C61" w:rsidTr="007F0D0A" w14:paraId="388725EF" w14:textId="568A9338">
        <w:trPr>
          <w:jc w:val="center"/>
        </w:trPr>
        <w:tc>
          <w:tcPr>
            <w:tcW w:w="3116" w:type="dxa"/>
          </w:tcPr>
          <w:p w:rsidRPr="00461C10" w:rsidR="00B50C61" w:rsidP="00E62F70" w:rsidRDefault="006819B5" w14:paraId="144F71A5" w14:textId="7CE25A74">
            <w:pPr>
              <w:pStyle w:val="Standard"/>
              <w:spacing w:line="240" w:lineRule="auto"/>
              <w:ind w:firstLine="0"/>
            </w:pPr>
            <w:r w:rsidRPr="00461C10">
              <w:t xml:space="preserve">Electric </w:t>
            </w:r>
            <w:r w:rsidRPr="00461C10" w:rsidR="00B50C61">
              <w:t>Rule 29/45</w:t>
            </w:r>
            <w:r w:rsidRPr="00461C10">
              <w:rPr>
                <w:rStyle w:val="FootnoteReference"/>
              </w:rPr>
              <w:footnoteReference w:id="41"/>
            </w:r>
          </w:p>
        </w:tc>
        <w:tc>
          <w:tcPr>
            <w:tcW w:w="3117" w:type="dxa"/>
          </w:tcPr>
          <w:p w:rsidRPr="00461C10" w:rsidR="00B50C61" w:rsidP="00E62F70" w:rsidRDefault="00B50C61" w14:paraId="365A1291" w14:textId="63D02392">
            <w:pPr>
              <w:pStyle w:val="Standard"/>
              <w:keepNext/>
              <w:keepLines/>
              <w:spacing w:line="240" w:lineRule="auto"/>
              <w:ind w:firstLine="0"/>
              <w:jc w:val="center"/>
            </w:pPr>
            <w:r w:rsidRPr="00461C10">
              <w:t>125</w:t>
            </w:r>
          </w:p>
        </w:tc>
        <w:tc>
          <w:tcPr>
            <w:tcW w:w="3117" w:type="dxa"/>
          </w:tcPr>
          <w:p w:rsidRPr="00461C10" w:rsidR="00B50C61" w:rsidP="00E62F70" w:rsidRDefault="005A39FA" w14:paraId="1D3EA8C8" w14:textId="3D442F89">
            <w:pPr>
              <w:pStyle w:val="Standard"/>
              <w:keepNext/>
              <w:keepLines/>
              <w:spacing w:line="240" w:lineRule="auto"/>
              <w:ind w:firstLine="0"/>
              <w:jc w:val="center"/>
            </w:pPr>
            <w:r w:rsidRPr="00461C10">
              <w:t>182</w:t>
            </w:r>
          </w:p>
        </w:tc>
      </w:tr>
    </w:tbl>
    <w:p w:rsidRPr="00461C10" w:rsidR="003377AF" w:rsidP="00E62F70" w:rsidRDefault="003377AF" w14:paraId="46B9E61E" w14:textId="77777777">
      <w:pPr>
        <w:pStyle w:val="Standard"/>
        <w:spacing w:line="240" w:lineRule="auto"/>
      </w:pPr>
    </w:p>
    <w:p w:rsidRPr="00461C10" w:rsidR="0028216A" w:rsidP="0028216A" w:rsidRDefault="0044441A" w14:paraId="254F44E9" w14:textId="40B9110B">
      <w:pPr>
        <w:pStyle w:val="Standard"/>
      </w:pPr>
      <w:r w:rsidRPr="00461C10">
        <w:t xml:space="preserve">The Electric Rule 15-only or Electric Rule 16-only </w:t>
      </w:r>
      <w:r w:rsidRPr="00461C10" w:rsidR="003A2570">
        <w:t>targets are</w:t>
      </w:r>
      <w:r w:rsidRPr="00461C10" w:rsidR="00AD1683">
        <w:t xml:space="preserve"> </w:t>
      </w:r>
      <w:r w:rsidRPr="00461C10">
        <w:t>for p</w:t>
      </w:r>
      <w:r w:rsidRPr="00461C10" w:rsidR="00721495">
        <w:t>roject</w:t>
      </w:r>
      <w:r w:rsidRPr="00461C10" w:rsidR="31BE0EB0">
        <w:t>s</w:t>
      </w:r>
      <w:r w:rsidRPr="00461C10" w:rsidR="00721495">
        <w:t xml:space="preserve"> </w:t>
      </w:r>
      <w:r w:rsidRPr="00461C10" w:rsidR="363A62CB">
        <w:t xml:space="preserve">that </w:t>
      </w:r>
      <w:r w:rsidRPr="00461C10">
        <w:t xml:space="preserve">only </w:t>
      </w:r>
      <w:r w:rsidRPr="00461C10" w:rsidR="000E712D">
        <w:t xml:space="preserve">require </w:t>
      </w:r>
      <w:r w:rsidRPr="00461C10" w:rsidR="00EC2423">
        <w:t xml:space="preserve">utility </w:t>
      </w:r>
      <w:r w:rsidRPr="00461C10" w:rsidR="000E712D">
        <w:t>work associate</w:t>
      </w:r>
      <w:r w:rsidRPr="00461C10" w:rsidR="00D07405">
        <w:t>d</w:t>
      </w:r>
      <w:r w:rsidRPr="00461C10" w:rsidR="000E712D">
        <w:t xml:space="preserve"> with </w:t>
      </w:r>
      <w:r w:rsidRPr="00461C10" w:rsidR="25F7C1D4">
        <w:t>one</w:t>
      </w:r>
      <w:r w:rsidRPr="00461C10" w:rsidR="00721495">
        <w:t xml:space="preserve"> tariff</w:t>
      </w:r>
      <w:r w:rsidRPr="00461C10" w:rsidR="0028216A">
        <w:t xml:space="preserve">. </w:t>
      </w:r>
      <w:r w:rsidRPr="00461C10" w:rsidR="0070738F">
        <w:t xml:space="preserve">The Combined Electric Rule 15/16 </w:t>
      </w:r>
      <w:r w:rsidRPr="00461C10" w:rsidR="00AD1683">
        <w:t>target</w:t>
      </w:r>
      <w:r w:rsidRPr="00461C10" w:rsidR="0070738F">
        <w:t xml:space="preserve"> </w:t>
      </w:r>
      <w:r w:rsidRPr="00461C10" w:rsidR="00EB48F4">
        <w:t xml:space="preserve">is </w:t>
      </w:r>
      <w:r w:rsidRPr="00461C10" w:rsidR="0070738F">
        <w:t>for projects</w:t>
      </w:r>
      <w:r w:rsidRPr="00461C10" w:rsidR="0028216A">
        <w:t xml:space="preserve"> that </w:t>
      </w:r>
      <w:r w:rsidRPr="00461C10" w:rsidR="00920C94">
        <w:t xml:space="preserve">require work associated with </w:t>
      </w:r>
      <w:r w:rsidRPr="00461C10" w:rsidR="0028216A">
        <w:t>both tariffs</w:t>
      </w:r>
      <w:r w:rsidRPr="00461C10" w:rsidR="0070738F">
        <w:t>.</w:t>
      </w:r>
      <w:r w:rsidRPr="00461C10" w:rsidR="0028216A">
        <w:t xml:space="preserve"> </w:t>
      </w:r>
      <w:r w:rsidRPr="00461C10" w:rsidR="00AD1683">
        <w:t>The Electric Rule 29/45 row reflects the targets that were already established in Resolution E-5247 dated December 15, 2022</w:t>
      </w:r>
      <w:r w:rsidRPr="00461C10" w:rsidR="00EB48F4">
        <w:t>, and are intended to align with the targets established for other projects that require work under one or more tariffs</w:t>
      </w:r>
      <w:r w:rsidRPr="00461C10" w:rsidR="00AD1683">
        <w:t>.</w:t>
      </w:r>
      <w:r w:rsidRPr="00461C10">
        <w:rPr>
          <w:rStyle w:val="FootnoteReference"/>
        </w:rPr>
        <w:footnoteReference w:id="42"/>
      </w:r>
      <w:r w:rsidRPr="00461C10" w:rsidR="00AD1683">
        <w:t xml:space="preserve"> </w:t>
      </w:r>
    </w:p>
    <w:p w:rsidRPr="00461C10" w:rsidR="0028216A" w:rsidP="00C11FA2" w:rsidRDefault="0028216A" w14:paraId="450A9AF4" w14:textId="5C7B4881">
      <w:pPr>
        <w:pStyle w:val="Standard"/>
      </w:pPr>
      <w:r w:rsidRPr="00461C10">
        <w:t xml:space="preserve">Typically, </w:t>
      </w:r>
      <w:r w:rsidRPr="00461C10" w:rsidR="00A52750">
        <w:t xml:space="preserve">coordination of </w:t>
      </w:r>
      <w:r w:rsidRPr="00461C10">
        <w:t>projects deemed as Electric Rule 15- or Electric Rule 16-only</w:t>
      </w:r>
      <w:r w:rsidRPr="00461C10" w:rsidR="00A52750">
        <w:t xml:space="preserve"> that result in separate infrastructure projects</w:t>
      </w:r>
      <w:r w:rsidRPr="00461C10">
        <w:t xml:space="preserve"> are more complex, </w:t>
      </w:r>
      <w:r w:rsidRPr="00461C10">
        <w:lastRenderedPageBreak/>
        <w:t xml:space="preserve">while projects that implicate both </w:t>
      </w:r>
      <w:r w:rsidRPr="00461C10" w:rsidR="00A17CEC">
        <w:t xml:space="preserve">tariffs </w:t>
      </w:r>
      <w:r w:rsidRPr="00461C10">
        <w:t xml:space="preserve">(Combined Electric Rule 15/16 Projects) are considered </w:t>
      </w:r>
      <w:r w:rsidRPr="00461C10" w:rsidR="00A17CEC">
        <w:t xml:space="preserve">less complex because it is </w:t>
      </w:r>
      <w:r w:rsidRPr="00461C10">
        <w:t>one infrastructure project and may be streamlined.</w:t>
      </w:r>
      <w:r w:rsidRPr="00461C10">
        <w:rPr>
          <w:rStyle w:val="FootnoteReference"/>
        </w:rPr>
        <w:footnoteReference w:id="43"/>
      </w:r>
      <w:r w:rsidRPr="00461C10">
        <w:t xml:space="preserve"> </w:t>
      </w:r>
      <w:r w:rsidRPr="00461C10" w:rsidR="00E977A6">
        <w:t>As mentioned earlier, a</w:t>
      </w:r>
      <w:r w:rsidRPr="00461C10" w:rsidR="00F272A5">
        <w:t xml:space="preserve"> project can be considered a Combined </w:t>
      </w:r>
      <w:r w:rsidRPr="00461C10" w:rsidR="00AD1683">
        <w:t xml:space="preserve">Electric </w:t>
      </w:r>
      <w:r w:rsidRPr="00461C10" w:rsidR="00F272A5">
        <w:t xml:space="preserve">Rule 15/16 project if scope involving both tariffs is identified in the </w:t>
      </w:r>
      <w:r w:rsidRPr="00461C10" w:rsidR="00F52ED3">
        <w:t>Engineering and Design</w:t>
      </w:r>
      <w:r w:rsidRPr="00461C10" w:rsidR="00F272A5">
        <w:t xml:space="preserve"> step. A project is classified as</w:t>
      </w:r>
      <w:r w:rsidRPr="00461C10" w:rsidR="00AD1683">
        <w:t xml:space="preserve"> Electric</w:t>
      </w:r>
      <w:r w:rsidRPr="00461C10" w:rsidR="00F272A5">
        <w:t xml:space="preserve"> Rule 15-only or </w:t>
      </w:r>
      <w:r w:rsidRPr="00461C10" w:rsidR="00AD1683">
        <w:t xml:space="preserve">Electric </w:t>
      </w:r>
      <w:r w:rsidRPr="00461C10" w:rsidR="00F272A5">
        <w:t xml:space="preserve">Rule 16-only if the project </w:t>
      </w:r>
      <w:r w:rsidRPr="00461C10" w:rsidR="003971FE">
        <w:t xml:space="preserve">only </w:t>
      </w:r>
      <w:r w:rsidRPr="00461C10" w:rsidR="00F272A5">
        <w:t xml:space="preserve">involves scope under </w:t>
      </w:r>
      <w:r w:rsidRPr="00461C10" w:rsidR="003971FE">
        <w:t xml:space="preserve">one of </w:t>
      </w:r>
      <w:r w:rsidRPr="00461C10" w:rsidR="00F272A5">
        <w:t>th</w:t>
      </w:r>
      <w:r w:rsidRPr="00461C10" w:rsidR="003971FE">
        <w:t>e</w:t>
      </w:r>
      <w:r w:rsidRPr="00461C10" w:rsidR="00F272A5">
        <w:t xml:space="preserve"> tariff</w:t>
      </w:r>
      <w:r w:rsidRPr="00461C10" w:rsidR="00175C9F">
        <w:t>s during the</w:t>
      </w:r>
      <w:r w:rsidRPr="00461C10" w:rsidR="00F272A5">
        <w:t xml:space="preserve"> Engineering and Design</w:t>
      </w:r>
      <w:r w:rsidRPr="00461C10" w:rsidR="00175C9F">
        <w:t xml:space="preserve"> step</w:t>
      </w:r>
      <w:r w:rsidRPr="00461C10" w:rsidR="00F272A5">
        <w:t xml:space="preserve">. </w:t>
      </w:r>
      <w:r w:rsidRPr="00461C10">
        <w:t>In many cases, the large electric IOUs can complete the Combined Electric Rule 15/16 Projects in equal or less time than Electric Rule 15- or Electric Rule 16-only projects</w:t>
      </w:r>
      <w:r w:rsidRPr="00461C10" w:rsidR="000C666F">
        <w:t>, because many of the steps</w:t>
      </w:r>
      <w:r w:rsidRPr="00461C10" w:rsidR="009966C7">
        <w:t xml:space="preserve"> described above can occur concurrently for both Electric Rule 15 and Electric Rule 16</w:t>
      </w:r>
      <w:r w:rsidRPr="00461C10" w:rsidR="003A4EC0">
        <w:t>/29/45</w:t>
      </w:r>
      <w:r w:rsidRPr="00461C10" w:rsidR="009966C7">
        <w:t xml:space="preserve"> projects</w:t>
      </w:r>
      <w:r w:rsidRPr="00461C10">
        <w:t>. Therefore,</w:t>
      </w:r>
      <w:r w:rsidRPr="00461C10" w:rsidR="003901F5">
        <w:t xml:space="preserve"> the</w:t>
      </w:r>
      <w:r w:rsidRPr="00461C10">
        <w:t xml:space="preserve"> Combined Electric Rule 15/16 Projects shall have a timeline that reflects that they may be completed within the same timeframe as Electric Rule 15-only or Electric Rule 16</w:t>
      </w:r>
      <w:r w:rsidRPr="00461C10" w:rsidR="003A4EC0">
        <w:t>/29/45</w:t>
      </w:r>
      <w:r w:rsidRPr="00461C10">
        <w:t>-only project</w:t>
      </w:r>
      <w:r w:rsidRPr="00461C10" w:rsidR="00864480">
        <w:t>s</w:t>
      </w:r>
      <w:r w:rsidRPr="00461C10">
        <w:t xml:space="preserve">. </w:t>
      </w:r>
    </w:p>
    <w:p w:rsidRPr="00461C10" w:rsidR="00D64014" w:rsidP="00D64014" w:rsidRDefault="00D64014" w14:paraId="10B12E06" w14:textId="2F0AE0D3">
      <w:pPr>
        <w:pStyle w:val="Standard"/>
      </w:pPr>
      <w:r w:rsidRPr="00461C10">
        <w:t xml:space="preserve">If </w:t>
      </w:r>
      <w:r w:rsidRPr="00461C10" w:rsidR="00A16007">
        <w:t>the large electric utility identifies the need for</w:t>
      </w:r>
      <w:r w:rsidRPr="00461C10">
        <w:t xml:space="preserve"> </w:t>
      </w:r>
      <w:r w:rsidRPr="00461C10" w:rsidR="00A16007">
        <w:t>an Electric Rule 15 upgrade</w:t>
      </w:r>
      <w:r w:rsidRPr="00461C10">
        <w:t xml:space="preserve"> after </w:t>
      </w:r>
      <w:r w:rsidRPr="00461C10" w:rsidR="00D90898">
        <w:t>an</w:t>
      </w:r>
      <w:r w:rsidRPr="00461C10" w:rsidR="001160BF">
        <w:t xml:space="preserve"> </w:t>
      </w:r>
      <w:r w:rsidRPr="00461C10">
        <w:t>Electric Rule 16</w:t>
      </w:r>
      <w:r w:rsidRPr="00461C10" w:rsidR="00C1044E">
        <w:t>/29/45</w:t>
      </w:r>
      <w:r w:rsidRPr="00461C10">
        <w:t xml:space="preserve"> </w:t>
      </w:r>
      <w:r w:rsidRPr="00461C10" w:rsidR="001160BF">
        <w:t xml:space="preserve">project </w:t>
      </w:r>
      <w:r w:rsidRPr="00461C10" w:rsidR="004B5FE6">
        <w:t>goes through</w:t>
      </w:r>
      <w:r w:rsidRPr="00461C10">
        <w:t xml:space="preserve"> Engineering and Design</w:t>
      </w:r>
      <w:r w:rsidRPr="00461C10" w:rsidR="00D00DAE">
        <w:t>,</w:t>
      </w:r>
      <w:r w:rsidRPr="00461C10">
        <w:t xml:space="preserve"> the applicable timeline for the </w:t>
      </w:r>
      <w:r w:rsidRPr="00461C10" w:rsidR="005E0CA4">
        <w:t xml:space="preserve">Electric Rule 15 </w:t>
      </w:r>
      <w:r w:rsidRPr="00461C10" w:rsidR="00EF25ED">
        <w:t>project</w:t>
      </w:r>
      <w:r w:rsidRPr="00461C10">
        <w:t xml:space="preserve"> shall be applied as if the upgrade was identified at the end of the </w:t>
      </w:r>
      <w:r w:rsidRPr="00461C10" w:rsidR="00C96B60">
        <w:t>Electric Rule 16</w:t>
      </w:r>
      <w:r w:rsidRPr="00461C10" w:rsidR="00C1044E">
        <w:t>/29/45</w:t>
      </w:r>
      <w:r w:rsidRPr="00461C10" w:rsidR="00C96B60">
        <w:t>’s</w:t>
      </w:r>
      <w:r w:rsidRPr="00461C10">
        <w:t xml:space="preserve"> Engineering and Design phase. This is to prevent an excessive extension of a customer’s energization timeline if there is a late identification of </w:t>
      </w:r>
      <w:r w:rsidRPr="00461C10" w:rsidR="00E17A46">
        <w:t>the need for a</w:t>
      </w:r>
      <w:r w:rsidRPr="00461C10" w:rsidR="00003455">
        <w:t xml:space="preserve">n </w:t>
      </w:r>
      <w:r w:rsidRPr="00461C10" w:rsidR="00686615">
        <w:t>Electric</w:t>
      </w:r>
      <w:r w:rsidRPr="00461C10">
        <w:t xml:space="preserve"> </w:t>
      </w:r>
      <w:r w:rsidRPr="00461C10" w:rsidR="00E17A46">
        <w:t>Rule 15 upgrade</w:t>
      </w:r>
      <w:r w:rsidRPr="00461C10">
        <w:t xml:space="preserve">, such as in the Construction phase. The </w:t>
      </w:r>
      <w:r w:rsidRPr="00461C10" w:rsidR="007C6CFD">
        <w:t>large</w:t>
      </w:r>
      <w:r w:rsidRPr="00461C10">
        <w:t xml:space="preserve"> electric </w:t>
      </w:r>
      <w:r w:rsidRPr="00461C10" w:rsidR="007C6CFD">
        <w:t>utilities</w:t>
      </w:r>
      <w:r w:rsidRPr="00461C10">
        <w:t xml:space="preserve"> are expected to expedite the development of this newly identified project so as not to overly extend the overall energization timeline for that customer. </w:t>
      </w:r>
      <w:r w:rsidRPr="00461C10" w:rsidR="00493199">
        <w:t xml:space="preserve">As </w:t>
      </w:r>
      <w:r w:rsidRPr="00461C10" w:rsidR="00493199">
        <w:lastRenderedPageBreak/>
        <w:t xml:space="preserve">discussed in Section </w:t>
      </w:r>
      <w:r w:rsidRPr="00461C10" w:rsidR="00C43587">
        <w:t xml:space="preserve">11 below, </w:t>
      </w:r>
      <w:r w:rsidRPr="00461C10" w:rsidR="00740435">
        <w:t xml:space="preserve">Customer Reporting Procedures for Delays in Providing New or Upgraded Electric Service Requests, </w:t>
      </w:r>
      <w:r w:rsidRPr="00461C10" w:rsidR="00C43587">
        <w:t xml:space="preserve">customers will have the opportunity to report delays, and as required in Section 10 below, Biannual Energization Reporting Requirements, the large electric IOUs shall </w:t>
      </w:r>
      <w:r w:rsidRPr="00461C10" w:rsidR="007202A9">
        <w:t>report</w:t>
      </w:r>
      <w:r w:rsidRPr="00461C10" w:rsidR="00F47647">
        <w:t xml:space="preserve"> instances when a customer’s project is delayed due to a change in project scope.</w:t>
      </w:r>
    </w:p>
    <w:p w:rsidRPr="00461C10" w:rsidR="00C97806" w:rsidP="00721495" w:rsidRDefault="00721495" w14:paraId="6020BEF0" w14:textId="16CFB322">
      <w:pPr>
        <w:pStyle w:val="Standard"/>
      </w:pPr>
      <w:r w:rsidRPr="00461C10">
        <w:t xml:space="preserve">The </w:t>
      </w:r>
      <w:r w:rsidRPr="00461C10" w:rsidR="0024190D">
        <w:t>large electric IOUs</w:t>
      </w:r>
      <w:r w:rsidRPr="00461C10">
        <w:t xml:space="preserve"> </w:t>
      </w:r>
      <w:r w:rsidRPr="00461C10" w:rsidR="01F41D31">
        <w:t>shall</w:t>
      </w:r>
      <w:r w:rsidRPr="00461C10">
        <w:t xml:space="preserve"> clearly communicate with the customer which targets apply to their</w:t>
      </w:r>
      <w:r w:rsidRPr="00461C10" w:rsidR="00DB14F5">
        <w:t xml:space="preserve"> requested</w:t>
      </w:r>
      <w:r w:rsidRPr="00461C10">
        <w:t xml:space="preserve"> project and why</w:t>
      </w:r>
      <w:r w:rsidRPr="00461C10" w:rsidR="00BF4126">
        <w:t>.</w:t>
      </w:r>
      <w:r w:rsidRPr="00461C10" w:rsidR="001D3738">
        <w:t xml:space="preserve"> </w:t>
      </w:r>
      <w:r w:rsidRPr="00461C10" w:rsidR="00656B2F">
        <w:t xml:space="preserve">As </w:t>
      </w:r>
      <w:r w:rsidRPr="00461C10" w:rsidR="00446D7D">
        <w:t xml:space="preserve">additional data is </w:t>
      </w:r>
      <w:r w:rsidRPr="00461C10" w:rsidR="00E76333">
        <w:t>collected, as</w:t>
      </w:r>
      <w:r w:rsidRPr="00461C10" w:rsidR="00656B2F">
        <w:t xml:space="preserve"> required in Section 10 of this decision, Biannual Energization Reporting Requirements, the Commission may refine what types of projects fall into these Electric Rule 15-only, Electric Rule 16</w:t>
      </w:r>
      <w:r w:rsidRPr="00461C10" w:rsidR="006B7A90">
        <w:t>/29/45</w:t>
      </w:r>
      <w:r w:rsidRPr="00461C10" w:rsidR="00656B2F">
        <w:t>-only, and Combined Electric Rule</w:t>
      </w:r>
      <w:r w:rsidR="005D0FB0">
        <w:t> </w:t>
      </w:r>
      <w:r w:rsidRPr="00461C10" w:rsidR="00656B2F">
        <w:t>15</w:t>
      </w:r>
      <w:r w:rsidRPr="00461C10" w:rsidR="00365B52">
        <w:t>/16 or 16</w:t>
      </w:r>
      <w:r w:rsidRPr="00461C10" w:rsidR="006B7A90">
        <w:t>/29/45</w:t>
      </w:r>
      <w:r w:rsidRPr="00461C10" w:rsidR="00656B2F">
        <w:t xml:space="preserve"> classifications.</w:t>
      </w:r>
    </w:p>
    <w:p w:rsidRPr="00461C10" w:rsidR="000E64CE" w:rsidP="0033378A" w:rsidRDefault="58ACA771" w14:paraId="567E8BA3" w14:textId="502D12F6">
      <w:pPr>
        <w:pStyle w:val="Standard"/>
      </w:pPr>
      <w:r w:rsidRPr="00461C10">
        <w:t>The</w:t>
      </w:r>
      <w:r w:rsidRPr="00461C10" w:rsidR="00242A69">
        <w:t xml:space="preserve"> data for Electric Rule 15-only projects</w:t>
      </w:r>
      <w:r w:rsidRPr="00461C10" w:rsidR="00BB5D88">
        <w:t xml:space="preserve"> and</w:t>
      </w:r>
      <w:r w:rsidRPr="00461C10" w:rsidR="00242A69">
        <w:t xml:space="preserve"> Electric Rule 16-only projects</w:t>
      </w:r>
      <w:r w:rsidRPr="00461C10" w:rsidR="00BB5D88">
        <w:t xml:space="preserve"> </w:t>
      </w:r>
      <w:r w:rsidRPr="00461C10" w:rsidR="00242A69">
        <w:t>resulted in the same average timeline: 125 </w:t>
      </w:r>
      <w:r w:rsidRPr="00461C10" w:rsidR="004C3FBF">
        <w:t xml:space="preserve">business </w:t>
      </w:r>
      <w:r w:rsidRPr="00461C10" w:rsidR="00242A69">
        <w:t>days.</w:t>
      </w:r>
      <w:r w:rsidRPr="00461C10" w:rsidR="00983DF9">
        <w:t xml:space="preserve"> This may seem counterintuitive seeing that Electric Rule 15 projects are </w:t>
      </w:r>
      <w:r w:rsidRPr="00461C10" w:rsidR="44AAAFB0">
        <w:t>typically</w:t>
      </w:r>
      <w:r w:rsidRPr="00461C10" w:rsidR="00983DF9">
        <w:t xml:space="preserve"> more complex than Electric Rule 16 projects</w:t>
      </w:r>
      <w:r w:rsidRPr="00461C10" w:rsidR="006E769A">
        <w:t xml:space="preserve"> and thus take longer</w:t>
      </w:r>
      <w:r w:rsidRPr="00461C10" w:rsidR="00983DF9">
        <w:t xml:space="preserve">. </w:t>
      </w:r>
      <w:r w:rsidRPr="00461C10" w:rsidR="5645C99B">
        <w:t xml:space="preserve">However, </w:t>
      </w:r>
      <w:r w:rsidRPr="00461C10" w:rsidR="00561E59">
        <w:t>Energy Division</w:t>
      </w:r>
      <w:r w:rsidRPr="00461C10" w:rsidR="00051A3C">
        <w:t xml:space="preserve">’s analysis of the </w:t>
      </w:r>
      <w:r w:rsidRPr="00461C10" w:rsidR="004D5809">
        <w:t xml:space="preserve">large electric IOUs’ </w:t>
      </w:r>
      <w:r w:rsidRPr="00461C10" w:rsidR="00892B81">
        <w:t>energization dat</w:t>
      </w:r>
      <w:r w:rsidRPr="00461C10" w:rsidR="00BC0828">
        <w:t xml:space="preserve">a </w:t>
      </w:r>
      <w:r w:rsidRPr="00461C10" w:rsidR="007D758B">
        <w:t>showed that</w:t>
      </w:r>
      <w:r w:rsidRPr="00461C10" w:rsidR="00BC0828">
        <w:t xml:space="preserve"> the </w:t>
      </w:r>
      <w:r w:rsidRPr="00461C10" w:rsidR="00F32F81">
        <w:t xml:space="preserve">separation of </w:t>
      </w:r>
      <w:r w:rsidRPr="00461C10" w:rsidR="00E93508">
        <w:t xml:space="preserve">large electric </w:t>
      </w:r>
      <w:r w:rsidRPr="00461C10" w:rsidR="00F32F81">
        <w:t>IOU</w:t>
      </w:r>
      <w:r w:rsidRPr="00461C10" w:rsidR="00774761">
        <w:t xml:space="preserve"> </w:t>
      </w:r>
      <w:r w:rsidRPr="00461C10" w:rsidR="00FA0E1F">
        <w:t xml:space="preserve">and </w:t>
      </w:r>
      <w:r w:rsidRPr="00461C10" w:rsidR="00E93508">
        <w:t>c</w:t>
      </w:r>
      <w:r w:rsidRPr="00461C10" w:rsidR="00F32F81">
        <w:t xml:space="preserve">ustomer-steps </w:t>
      </w:r>
      <w:r w:rsidRPr="00461C10" w:rsidR="009C78A1">
        <w:t xml:space="preserve">contributed to </w:t>
      </w:r>
      <w:r w:rsidRPr="00461C10" w:rsidR="00F32F81">
        <w:t xml:space="preserve">this result. </w:t>
      </w:r>
      <w:r w:rsidRPr="00461C10" w:rsidR="64C5F4E2">
        <w:t xml:space="preserve">Evidently, </w:t>
      </w:r>
      <w:r w:rsidRPr="00461C10" w:rsidR="00F32F81">
        <w:t>the customer-responsibility steps take longer for Electric Rule 15 than Electric Rule 16 projects on average, wh</w:t>
      </w:r>
      <w:r w:rsidRPr="00461C10" w:rsidR="2BFE19C4">
        <w:t>ile</w:t>
      </w:r>
      <w:r w:rsidRPr="00461C10" w:rsidR="00F32F81">
        <w:t xml:space="preserve"> the </w:t>
      </w:r>
      <w:r w:rsidRPr="00461C10" w:rsidR="00C64751">
        <w:t>large electric</w:t>
      </w:r>
      <w:r w:rsidRPr="00461C10" w:rsidR="00F32F81">
        <w:t xml:space="preserve"> IOU-responsibility step timelines are very similar between the tariffs.</w:t>
      </w:r>
      <w:r w:rsidRPr="00461C10" w:rsidR="00E93508">
        <w:t xml:space="preserve"> </w:t>
      </w:r>
    </w:p>
    <w:p w:rsidRPr="00461C10" w:rsidR="000E64CE" w:rsidP="0033378A" w:rsidRDefault="000E64CE" w14:paraId="7398D4B5" w14:textId="30195283">
      <w:pPr>
        <w:pStyle w:val="Standard"/>
      </w:pPr>
      <w:r w:rsidRPr="00461C10">
        <w:t>In addition to requiring the Commission to establish average targets, Pub. Util. Code §</w:t>
      </w:r>
      <w:r w:rsidRPr="00461C10" w:rsidR="00AC7740">
        <w:t xml:space="preserve"> </w:t>
      </w:r>
      <w:r w:rsidRPr="00461C10">
        <w:t xml:space="preserve">934 directs the Commission to establish maximum targets that reflect the longest amount of time the </w:t>
      </w:r>
      <w:r w:rsidRPr="00461C10" w:rsidR="00E93508">
        <w:t xml:space="preserve">large electric </w:t>
      </w:r>
      <w:r w:rsidRPr="00461C10">
        <w:t xml:space="preserve">IOUs should take to complete an energization request. </w:t>
      </w:r>
      <w:r w:rsidRPr="00461C10" w:rsidR="00E97E69">
        <w:t xml:space="preserve">The maximum targets, as adopted in Table 2 below, </w:t>
      </w:r>
      <w:r w:rsidRPr="00461C10" w:rsidR="00CD22FB">
        <w:t xml:space="preserve">require </w:t>
      </w:r>
      <w:r w:rsidRPr="00461C10" w:rsidR="00E97E69">
        <w:t xml:space="preserve">every </w:t>
      </w:r>
      <w:r w:rsidRPr="00461C10" w:rsidR="00E93508">
        <w:t xml:space="preserve">large electric </w:t>
      </w:r>
      <w:r w:rsidRPr="00461C10" w:rsidR="00E97E69">
        <w:t xml:space="preserve">IOU to have at least a </w:t>
      </w:r>
      <w:r w:rsidRPr="00461C10" w:rsidR="009D51FC">
        <w:t>five percent</w:t>
      </w:r>
      <w:r w:rsidRPr="00461C10" w:rsidR="00E97E69">
        <w:t xml:space="preserve"> acceleration</w:t>
      </w:r>
      <w:r w:rsidRPr="00461C10" w:rsidR="008E432D">
        <w:t xml:space="preserve"> of</w:t>
      </w:r>
      <w:r w:rsidRPr="00461C10" w:rsidR="009D51FC">
        <w:t xml:space="preserve"> their reported maximum energization timelines provided in the Joint IOU</w:t>
      </w:r>
      <w:r w:rsidRPr="00461C10" w:rsidR="00A81FF6">
        <w:t>s’</w:t>
      </w:r>
      <w:r w:rsidRPr="00461C10" w:rsidR="009D51FC">
        <w:t xml:space="preserve"> response </w:t>
      </w:r>
      <w:r w:rsidRPr="00461C10" w:rsidR="009D51FC">
        <w:lastRenderedPageBreak/>
        <w:t>to the March</w:t>
      </w:r>
      <w:r w:rsidR="002932C0">
        <w:t> </w:t>
      </w:r>
      <w:r w:rsidRPr="00461C10" w:rsidR="009D51FC">
        <w:t>21, 2024</w:t>
      </w:r>
      <w:r w:rsidR="00C678ED">
        <w:t>, </w:t>
      </w:r>
      <w:r w:rsidRPr="00461C10" w:rsidR="009D51FC">
        <w:t xml:space="preserve">ALJ Ruling, filed on </w:t>
      </w:r>
      <w:r w:rsidRPr="00461C10" w:rsidR="00117AEC">
        <w:t>April 22, 2024</w:t>
      </w:r>
      <w:r w:rsidRPr="00461C10" w:rsidR="00E97E69">
        <w:t xml:space="preserve">. </w:t>
      </w:r>
      <w:r w:rsidRPr="00461C10" w:rsidR="007E4B4F">
        <w:t>Any project that exceeds the maximum energization targets established in Table 2 of this decision will be considered overdue</w:t>
      </w:r>
      <w:r w:rsidRPr="00461C10" w:rsidR="005C5571">
        <w:t xml:space="preserve">. </w:t>
      </w:r>
    </w:p>
    <w:p w:rsidRPr="00461C10" w:rsidR="00E3775A" w:rsidP="007F0D0A" w:rsidRDefault="00E3775A" w14:paraId="3CB263BC" w14:textId="5A5A5395">
      <w:pPr>
        <w:pStyle w:val="Standard"/>
        <w:keepNext/>
        <w:spacing w:before="120" w:after="120" w:line="240" w:lineRule="auto"/>
        <w:ind w:firstLine="0"/>
        <w:jc w:val="center"/>
        <w:rPr>
          <w:b/>
          <w:bCs/>
        </w:rPr>
      </w:pPr>
      <w:r w:rsidRPr="00461C10">
        <w:rPr>
          <w:b/>
          <w:bCs/>
        </w:rPr>
        <w:t xml:space="preserve">Table </w:t>
      </w:r>
      <w:r w:rsidRPr="00461C10" w:rsidR="00C52B3C">
        <w:rPr>
          <w:b/>
          <w:bCs/>
        </w:rPr>
        <w:t>2</w:t>
      </w:r>
      <w:r w:rsidRPr="00461C10" w:rsidR="00B43CB0">
        <w:rPr>
          <w:b/>
          <w:bCs/>
        </w:rPr>
        <w:t>:</w:t>
      </w:r>
      <w:r w:rsidRPr="00461C10" w:rsidR="00447946">
        <w:rPr>
          <w:b/>
          <w:bCs/>
        </w:rPr>
        <w:br/>
      </w:r>
      <w:r w:rsidRPr="00461C10" w:rsidR="00B43CB0">
        <w:rPr>
          <w:b/>
          <w:bCs/>
        </w:rPr>
        <w:t>Maximum Energization Targets</w:t>
      </w:r>
      <w:r w:rsidRPr="00461C10" w:rsidR="00191940">
        <w:rPr>
          <w:b/>
          <w:bCs/>
        </w:rPr>
        <w:t xml:space="preserve"> effective September 2024</w:t>
      </w:r>
      <w:r w:rsidRPr="00461C10" w:rsidR="00191940">
        <w:rPr>
          <w:rStyle w:val="FootnoteReference"/>
        </w:rPr>
        <w:footnoteReference w:id="44"/>
      </w:r>
    </w:p>
    <w:tbl>
      <w:tblPr>
        <w:tblStyle w:val="TableGrid"/>
        <w:tblW w:w="9625" w:type="dxa"/>
        <w:jc w:val="center"/>
        <w:tblCellMar>
          <w:top w:w="58" w:type="dxa"/>
          <w:bottom w:w="58" w:type="dxa"/>
        </w:tblCellMar>
        <w:tblLook w:val="04A0" w:firstRow="1" w:lastRow="0" w:firstColumn="1" w:lastColumn="0" w:noHBand="0" w:noVBand="1"/>
      </w:tblPr>
      <w:tblGrid>
        <w:gridCol w:w="3002"/>
        <w:gridCol w:w="3466"/>
        <w:gridCol w:w="3157"/>
      </w:tblGrid>
      <w:tr w:rsidRPr="00461C10" w:rsidR="00461C10" w:rsidTr="007F0D0A" w14:paraId="68C8B295" w14:textId="222924AA">
        <w:trPr>
          <w:tblHeader/>
          <w:jc w:val="center"/>
        </w:trPr>
        <w:tc>
          <w:tcPr>
            <w:tcW w:w="3002" w:type="dxa"/>
            <w:vAlign w:val="bottom"/>
          </w:tcPr>
          <w:p w:rsidRPr="00461C10" w:rsidR="00B50C61" w:rsidP="007F0D0A" w:rsidRDefault="00B50C61" w14:paraId="55AF5B0E" w14:textId="77777777">
            <w:pPr>
              <w:pStyle w:val="Standard"/>
              <w:keepNext/>
              <w:spacing w:line="240" w:lineRule="auto"/>
              <w:ind w:firstLine="0"/>
              <w:jc w:val="center"/>
              <w:rPr>
                <w:b/>
                <w:bCs/>
              </w:rPr>
            </w:pPr>
            <w:r w:rsidRPr="00461C10">
              <w:rPr>
                <w:b/>
                <w:bCs/>
              </w:rPr>
              <w:t>Tariff</w:t>
            </w:r>
          </w:p>
        </w:tc>
        <w:tc>
          <w:tcPr>
            <w:tcW w:w="3466" w:type="dxa"/>
            <w:vAlign w:val="bottom"/>
          </w:tcPr>
          <w:p w:rsidRPr="00461C10" w:rsidR="00B50C61" w:rsidP="007F0D0A" w:rsidRDefault="00B50C61" w14:paraId="16B2EA06" w14:textId="3BD88783">
            <w:pPr>
              <w:pStyle w:val="Standard"/>
              <w:keepNext/>
              <w:spacing w:line="240" w:lineRule="auto"/>
              <w:ind w:firstLine="0"/>
              <w:jc w:val="center"/>
              <w:rPr>
                <w:b/>
                <w:bCs/>
              </w:rPr>
            </w:pPr>
            <w:r w:rsidRPr="00461C10">
              <w:rPr>
                <w:b/>
                <w:bCs/>
              </w:rPr>
              <w:t>Maximum Energization Target (business days)</w:t>
            </w:r>
          </w:p>
        </w:tc>
        <w:tc>
          <w:tcPr>
            <w:tcW w:w="3157" w:type="dxa"/>
            <w:vAlign w:val="bottom"/>
          </w:tcPr>
          <w:p w:rsidRPr="00461C10" w:rsidR="00B50C61" w:rsidP="007F0D0A" w:rsidRDefault="00B50C61" w14:paraId="1F7057CA" w14:textId="6B289647">
            <w:pPr>
              <w:pStyle w:val="Standard"/>
              <w:keepNext/>
              <w:spacing w:line="240" w:lineRule="auto"/>
              <w:ind w:firstLine="0"/>
              <w:jc w:val="center"/>
              <w:rPr>
                <w:b/>
                <w:bCs/>
              </w:rPr>
            </w:pPr>
            <w:r w:rsidRPr="00461C10">
              <w:rPr>
                <w:b/>
                <w:bCs/>
              </w:rPr>
              <w:t>Maximum Energization Target (calendar days)</w:t>
            </w:r>
          </w:p>
        </w:tc>
      </w:tr>
      <w:tr w:rsidRPr="00461C10" w:rsidR="00461C10" w:rsidTr="0033378A" w14:paraId="348B2503" w14:textId="33E4A58B">
        <w:trPr>
          <w:jc w:val="center"/>
        </w:trPr>
        <w:tc>
          <w:tcPr>
            <w:tcW w:w="3002" w:type="dxa"/>
          </w:tcPr>
          <w:p w:rsidRPr="00461C10" w:rsidR="00F13768" w:rsidP="007F0D0A" w:rsidRDefault="00F13768" w14:paraId="7677E620" w14:textId="405187D4">
            <w:pPr>
              <w:pStyle w:val="Standard"/>
              <w:spacing w:line="240" w:lineRule="auto"/>
              <w:ind w:firstLine="0"/>
            </w:pPr>
            <w:r w:rsidRPr="00461C10">
              <w:t>Rule 15</w:t>
            </w:r>
          </w:p>
        </w:tc>
        <w:tc>
          <w:tcPr>
            <w:tcW w:w="3466" w:type="dxa"/>
          </w:tcPr>
          <w:p w:rsidRPr="00461C10" w:rsidR="00F13768" w:rsidP="007F0D0A" w:rsidRDefault="005250E2" w14:paraId="1E18B2AC" w14:textId="422094E6">
            <w:pPr>
              <w:pStyle w:val="Standard"/>
              <w:spacing w:line="240" w:lineRule="auto"/>
              <w:ind w:firstLine="0"/>
              <w:jc w:val="center"/>
            </w:pPr>
            <w:r w:rsidRPr="00461C10">
              <w:t>245</w:t>
            </w:r>
          </w:p>
        </w:tc>
        <w:tc>
          <w:tcPr>
            <w:tcW w:w="3157" w:type="dxa"/>
          </w:tcPr>
          <w:p w:rsidRPr="00461C10" w:rsidR="00F13768" w:rsidP="007F0D0A" w:rsidRDefault="00F13768" w14:paraId="65AF9212" w14:textId="54B35D73">
            <w:pPr>
              <w:pStyle w:val="Standard"/>
              <w:spacing w:line="240" w:lineRule="auto"/>
              <w:ind w:firstLine="0"/>
              <w:jc w:val="center"/>
            </w:pPr>
            <w:r w:rsidRPr="00461C10">
              <w:t>357</w:t>
            </w:r>
          </w:p>
        </w:tc>
      </w:tr>
      <w:tr w:rsidRPr="00461C10" w:rsidR="00461C10" w:rsidTr="0033378A" w14:paraId="2921A116" w14:textId="1B83AECF">
        <w:trPr>
          <w:jc w:val="center"/>
        </w:trPr>
        <w:tc>
          <w:tcPr>
            <w:tcW w:w="3002" w:type="dxa"/>
          </w:tcPr>
          <w:p w:rsidRPr="00461C10" w:rsidR="00F13768" w:rsidP="007F0D0A" w:rsidRDefault="00F13768" w14:paraId="5917A43A" w14:textId="01D5DBA2">
            <w:pPr>
              <w:pStyle w:val="Standard"/>
              <w:spacing w:line="240" w:lineRule="auto"/>
              <w:ind w:firstLine="0"/>
            </w:pPr>
            <w:r w:rsidRPr="00461C10">
              <w:t>Rule 16</w:t>
            </w:r>
          </w:p>
        </w:tc>
        <w:tc>
          <w:tcPr>
            <w:tcW w:w="3466" w:type="dxa"/>
          </w:tcPr>
          <w:p w:rsidRPr="00461C10" w:rsidR="00F13768" w:rsidP="007F0D0A" w:rsidRDefault="005250E2" w14:paraId="0D665042" w14:textId="0B106503">
            <w:pPr>
              <w:pStyle w:val="Standard"/>
              <w:spacing w:line="240" w:lineRule="auto"/>
              <w:ind w:firstLine="0"/>
              <w:jc w:val="center"/>
            </w:pPr>
            <w:r w:rsidRPr="00461C10">
              <w:t>230</w:t>
            </w:r>
          </w:p>
        </w:tc>
        <w:tc>
          <w:tcPr>
            <w:tcW w:w="3157" w:type="dxa"/>
          </w:tcPr>
          <w:p w:rsidRPr="00461C10" w:rsidR="00F13768" w:rsidP="007F0D0A" w:rsidRDefault="00F13768" w14:paraId="25D5EEC0" w14:textId="0731F96C">
            <w:pPr>
              <w:pStyle w:val="Standard"/>
              <w:spacing w:line="240" w:lineRule="auto"/>
              <w:ind w:firstLine="0"/>
              <w:jc w:val="center"/>
            </w:pPr>
            <w:r w:rsidRPr="00461C10">
              <w:t>335</w:t>
            </w:r>
          </w:p>
        </w:tc>
      </w:tr>
      <w:tr w:rsidRPr="00461C10" w:rsidR="00461C10" w:rsidTr="0033378A" w14:paraId="198AD573" w14:textId="1B351465">
        <w:trPr>
          <w:jc w:val="center"/>
        </w:trPr>
        <w:tc>
          <w:tcPr>
            <w:tcW w:w="3002" w:type="dxa"/>
          </w:tcPr>
          <w:p w:rsidRPr="00461C10" w:rsidR="00F13768" w:rsidP="005D0FB0" w:rsidRDefault="00066EA0" w14:paraId="0A2D89CF" w14:textId="1B958365">
            <w:pPr>
              <w:pStyle w:val="Standard"/>
              <w:spacing w:line="240" w:lineRule="auto"/>
              <w:ind w:firstLine="0"/>
            </w:pPr>
            <w:r w:rsidRPr="00461C10">
              <w:t xml:space="preserve">Combined </w:t>
            </w:r>
            <w:r w:rsidRPr="00461C10" w:rsidR="005250E2">
              <w:t xml:space="preserve">Rule 15/16 </w:t>
            </w:r>
            <w:r w:rsidRPr="00461C10" w:rsidR="000E1FB9">
              <w:t xml:space="preserve">or Rule 15/29/45 </w:t>
            </w:r>
            <w:r w:rsidRPr="00461C10">
              <w:t>Projects</w:t>
            </w:r>
          </w:p>
        </w:tc>
        <w:tc>
          <w:tcPr>
            <w:tcW w:w="3466" w:type="dxa"/>
          </w:tcPr>
          <w:p w:rsidRPr="00461C10" w:rsidR="00F13768" w:rsidP="007F0D0A" w:rsidRDefault="005250E2" w14:paraId="6360F459" w14:textId="4CDBBDB8">
            <w:pPr>
              <w:pStyle w:val="Standard"/>
              <w:spacing w:line="240" w:lineRule="auto"/>
              <w:ind w:firstLine="0"/>
              <w:jc w:val="center"/>
            </w:pPr>
            <w:r w:rsidRPr="00461C10">
              <w:t>210</w:t>
            </w:r>
          </w:p>
        </w:tc>
        <w:tc>
          <w:tcPr>
            <w:tcW w:w="3157" w:type="dxa"/>
          </w:tcPr>
          <w:p w:rsidRPr="00461C10" w:rsidR="00F13768" w:rsidP="007F0D0A" w:rsidRDefault="00F13768" w14:paraId="5E5C1598" w14:textId="0F2A7405">
            <w:pPr>
              <w:pStyle w:val="Standard"/>
              <w:spacing w:line="240" w:lineRule="auto"/>
              <w:ind w:firstLine="0"/>
              <w:jc w:val="center"/>
            </w:pPr>
            <w:r w:rsidRPr="00461C10">
              <w:t>306</w:t>
            </w:r>
          </w:p>
        </w:tc>
      </w:tr>
      <w:tr w:rsidRPr="00461C10" w:rsidR="00461C10" w:rsidTr="0033378A" w14:paraId="74A0A351" w14:textId="0DB55D2F">
        <w:trPr>
          <w:jc w:val="center"/>
        </w:trPr>
        <w:tc>
          <w:tcPr>
            <w:tcW w:w="3002" w:type="dxa"/>
          </w:tcPr>
          <w:p w:rsidRPr="00461C10" w:rsidR="00F13768" w:rsidP="007F0D0A" w:rsidRDefault="00F13768" w14:paraId="7E2B4B74" w14:textId="1E5AF11C">
            <w:pPr>
              <w:pStyle w:val="Standard"/>
              <w:spacing w:line="240" w:lineRule="auto"/>
              <w:ind w:firstLine="0"/>
            </w:pPr>
            <w:r w:rsidRPr="00461C10">
              <w:t>Rule 29/45</w:t>
            </w:r>
          </w:p>
        </w:tc>
        <w:tc>
          <w:tcPr>
            <w:tcW w:w="3466" w:type="dxa"/>
          </w:tcPr>
          <w:p w:rsidRPr="00461C10" w:rsidR="00F13768" w:rsidP="007F0D0A" w:rsidRDefault="005250E2" w14:paraId="03F1F715" w14:textId="729EE03A">
            <w:pPr>
              <w:pStyle w:val="Standard"/>
              <w:spacing w:line="240" w:lineRule="auto"/>
              <w:ind w:firstLine="0"/>
              <w:jc w:val="center"/>
            </w:pPr>
            <w:r w:rsidRPr="00461C10">
              <w:t>230</w:t>
            </w:r>
          </w:p>
        </w:tc>
        <w:tc>
          <w:tcPr>
            <w:tcW w:w="3157" w:type="dxa"/>
          </w:tcPr>
          <w:p w:rsidRPr="00461C10" w:rsidR="00F13768" w:rsidP="007F0D0A" w:rsidRDefault="00F13768" w14:paraId="01C49C4F" w14:textId="2CF93E28">
            <w:pPr>
              <w:pStyle w:val="Standard"/>
              <w:spacing w:line="240" w:lineRule="auto"/>
              <w:ind w:firstLine="0"/>
              <w:jc w:val="center"/>
            </w:pPr>
            <w:r w:rsidRPr="00461C10">
              <w:t>335</w:t>
            </w:r>
          </w:p>
        </w:tc>
      </w:tr>
    </w:tbl>
    <w:p w:rsidRPr="00461C10" w:rsidR="006D4787" w:rsidP="006D4787" w:rsidRDefault="006D4787" w14:paraId="1A3BA5C3" w14:textId="4C9F6CA1">
      <w:pPr>
        <w:pStyle w:val="Standard"/>
        <w:keepNext/>
        <w:spacing w:before="240" w:after="120" w:line="240" w:lineRule="auto"/>
        <w:ind w:firstLine="0"/>
        <w:jc w:val="center"/>
      </w:pPr>
      <w:r w:rsidRPr="00461C10">
        <w:rPr>
          <w:b/>
          <w:bCs/>
        </w:rPr>
        <w:t>Table 3:</w:t>
      </w:r>
      <w:r w:rsidRPr="00461C10">
        <w:rPr>
          <w:b/>
          <w:bCs/>
        </w:rPr>
        <w:br/>
        <w:t>Rates of Acceleration Necessary to Meet the Average and</w:t>
      </w:r>
      <w:r w:rsidRPr="00461C10">
        <w:rPr>
          <w:b/>
          <w:bCs/>
        </w:rPr>
        <w:br/>
        <w:t>Maximum Energization Targets</w:t>
      </w:r>
      <w:r w:rsidRPr="00461C10">
        <w:rPr>
          <w:rStyle w:val="FootnoteReference"/>
        </w:rPr>
        <w:footnoteReference w:id="45"/>
      </w:r>
      <w:r w:rsidRPr="00461C10">
        <w:rPr>
          <w:b/>
          <w:bCs/>
          <w:vertAlign w:val="subscript"/>
        </w:rPr>
        <w:t>,</w:t>
      </w:r>
      <w:r w:rsidRPr="00461C10">
        <w:rPr>
          <w:rStyle w:val="FootnoteReference"/>
        </w:rPr>
        <w:footnoteReference w:id="46"/>
      </w:r>
    </w:p>
    <w:tbl>
      <w:tblPr>
        <w:tblStyle w:val="TableGrid"/>
        <w:tblW w:w="9360" w:type="dxa"/>
        <w:tblCellMar>
          <w:top w:w="58" w:type="dxa"/>
          <w:bottom w:w="58" w:type="dxa"/>
        </w:tblCellMar>
        <w:tblLook w:val="04A0" w:firstRow="1" w:lastRow="0" w:firstColumn="1" w:lastColumn="0" w:noHBand="0" w:noVBand="1"/>
      </w:tblPr>
      <w:tblGrid>
        <w:gridCol w:w="1854"/>
        <w:gridCol w:w="1651"/>
        <w:gridCol w:w="1873"/>
        <w:gridCol w:w="1817"/>
        <w:gridCol w:w="2165"/>
      </w:tblGrid>
      <w:tr w:rsidRPr="00461C10" w:rsidR="00461C10" w:rsidTr="005D0FB0" w14:paraId="1751B806" w14:textId="77777777">
        <w:trPr>
          <w:cantSplit/>
          <w:trHeight w:val="300"/>
          <w:tblHeader/>
        </w:trPr>
        <w:tc>
          <w:tcPr>
            <w:tcW w:w="1854" w:type="dxa"/>
          </w:tcPr>
          <w:p w:rsidRPr="00461C10" w:rsidR="006D4787" w:rsidP="005D0FB0" w:rsidRDefault="006D4787" w14:paraId="7D52FAD5" w14:textId="77777777">
            <w:pPr>
              <w:pStyle w:val="Standard"/>
              <w:keepNext/>
              <w:spacing w:line="240" w:lineRule="auto"/>
              <w:ind w:firstLine="0"/>
              <w:jc w:val="center"/>
              <w:rPr>
                <w:b/>
                <w:bCs/>
              </w:rPr>
            </w:pPr>
            <w:r w:rsidRPr="00461C10">
              <w:rPr>
                <w:b/>
                <w:bCs/>
              </w:rPr>
              <w:t>Tariff</w:t>
            </w:r>
          </w:p>
        </w:tc>
        <w:tc>
          <w:tcPr>
            <w:tcW w:w="1651" w:type="dxa"/>
          </w:tcPr>
          <w:p w:rsidRPr="00461C10" w:rsidR="006D4787" w:rsidP="005D0FB0" w:rsidRDefault="006D4787" w14:paraId="736DCB24" w14:textId="77777777">
            <w:pPr>
              <w:pStyle w:val="Standard"/>
              <w:keepNext/>
              <w:spacing w:line="240" w:lineRule="auto"/>
              <w:ind w:firstLine="0"/>
              <w:jc w:val="center"/>
              <w:rPr>
                <w:b/>
                <w:bCs/>
              </w:rPr>
            </w:pPr>
            <w:r w:rsidRPr="00461C10">
              <w:rPr>
                <w:b/>
                <w:bCs/>
              </w:rPr>
              <w:t>Timeline Type</w:t>
            </w:r>
          </w:p>
        </w:tc>
        <w:tc>
          <w:tcPr>
            <w:tcW w:w="1873" w:type="dxa"/>
          </w:tcPr>
          <w:p w:rsidRPr="00461C10" w:rsidR="006D4787" w:rsidP="005D0FB0" w:rsidRDefault="006D4787" w14:paraId="56171764" w14:textId="77777777">
            <w:pPr>
              <w:pStyle w:val="Standard"/>
              <w:keepNext/>
              <w:spacing w:line="240" w:lineRule="auto"/>
              <w:ind w:firstLine="0"/>
              <w:jc w:val="center"/>
              <w:rPr>
                <w:b/>
                <w:bCs/>
              </w:rPr>
            </w:pPr>
            <w:r w:rsidRPr="00461C10">
              <w:rPr>
                <w:b/>
                <w:bCs/>
              </w:rPr>
              <w:t>PGE Rate of Acceleration</w:t>
            </w:r>
          </w:p>
        </w:tc>
        <w:tc>
          <w:tcPr>
            <w:tcW w:w="1817" w:type="dxa"/>
          </w:tcPr>
          <w:p w:rsidRPr="00461C10" w:rsidR="006D4787" w:rsidP="005D0FB0" w:rsidRDefault="006D4787" w14:paraId="4EE94625" w14:textId="77777777">
            <w:pPr>
              <w:pStyle w:val="Standard"/>
              <w:keepNext/>
              <w:spacing w:line="240" w:lineRule="auto"/>
              <w:ind w:firstLine="0"/>
              <w:jc w:val="center"/>
              <w:rPr>
                <w:b/>
                <w:bCs/>
              </w:rPr>
            </w:pPr>
            <w:r w:rsidRPr="00461C10">
              <w:rPr>
                <w:b/>
                <w:bCs/>
              </w:rPr>
              <w:t>SCE Rate of Acceleration</w:t>
            </w:r>
          </w:p>
        </w:tc>
        <w:tc>
          <w:tcPr>
            <w:tcW w:w="2165" w:type="dxa"/>
          </w:tcPr>
          <w:p w:rsidRPr="00461C10" w:rsidR="006D4787" w:rsidP="005D0FB0" w:rsidRDefault="006D4787" w14:paraId="6634EC14" w14:textId="13872E25">
            <w:pPr>
              <w:pStyle w:val="Standard"/>
              <w:keepNext/>
              <w:spacing w:line="240" w:lineRule="auto"/>
              <w:ind w:firstLine="0"/>
              <w:jc w:val="center"/>
              <w:rPr>
                <w:b/>
                <w:bCs/>
              </w:rPr>
            </w:pPr>
            <w:r w:rsidRPr="00461C10">
              <w:rPr>
                <w:b/>
                <w:bCs/>
              </w:rPr>
              <w:t>SDG&amp;E Rate of Acceleration</w:t>
            </w:r>
          </w:p>
        </w:tc>
      </w:tr>
      <w:tr w:rsidRPr="00461C10" w:rsidR="00461C10" w:rsidTr="005D0FB0" w14:paraId="42BD4FDC" w14:textId="77777777">
        <w:trPr>
          <w:cantSplit/>
          <w:trHeight w:val="300"/>
        </w:trPr>
        <w:tc>
          <w:tcPr>
            <w:tcW w:w="1854" w:type="dxa"/>
          </w:tcPr>
          <w:p w:rsidRPr="00461C10" w:rsidR="006D4787" w:rsidP="005D0FB0" w:rsidRDefault="006D4787" w14:paraId="350D8237" w14:textId="4401FF2F">
            <w:pPr>
              <w:pStyle w:val="Standard"/>
              <w:spacing w:line="240" w:lineRule="auto"/>
              <w:ind w:firstLine="0"/>
            </w:pPr>
            <w:r w:rsidRPr="00461C10">
              <w:t>Rule 15</w:t>
            </w:r>
          </w:p>
        </w:tc>
        <w:tc>
          <w:tcPr>
            <w:tcW w:w="1651" w:type="dxa"/>
          </w:tcPr>
          <w:p w:rsidRPr="00461C10" w:rsidR="006D4787" w:rsidRDefault="006D4787" w14:paraId="62494F1F" w14:textId="77777777">
            <w:pPr>
              <w:pStyle w:val="Standard"/>
              <w:spacing w:line="276" w:lineRule="auto"/>
              <w:ind w:firstLine="0"/>
            </w:pPr>
            <w:r w:rsidRPr="00461C10">
              <w:t>Average</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bottom"/>
          </w:tcPr>
          <w:p w:rsidRPr="00461C10" w:rsidR="006D4787" w:rsidP="005D0FB0" w:rsidRDefault="006D4787" w14:paraId="316D3B9E" w14:textId="1BA77B54">
            <w:pPr>
              <w:pStyle w:val="Standard"/>
              <w:spacing w:line="276" w:lineRule="auto"/>
              <w:ind w:firstLine="0"/>
              <w:jc w:val="center"/>
            </w:pPr>
            <w:r w:rsidRPr="00461C10">
              <w:t>38%</w:t>
            </w:r>
          </w:p>
        </w:tc>
        <w:tc>
          <w:tcPr>
            <w:tcW w:w="1817" w:type="dxa"/>
            <w:tcBorders>
              <w:top w:val="single" w:color="auto" w:sz="4" w:space="0"/>
              <w:left w:val="nil"/>
              <w:bottom w:val="single" w:color="auto" w:sz="4" w:space="0"/>
              <w:right w:val="single" w:color="auto" w:sz="4" w:space="0"/>
            </w:tcBorders>
            <w:shd w:val="clear" w:color="auto" w:fill="auto"/>
            <w:vAlign w:val="bottom"/>
          </w:tcPr>
          <w:p w:rsidRPr="00461C10" w:rsidR="006D4787" w:rsidP="005D0FB0" w:rsidRDefault="006D4787" w14:paraId="4694F0B1" w14:textId="03330369">
            <w:pPr>
              <w:pStyle w:val="Standard"/>
              <w:spacing w:line="276" w:lineRule="auto"/>
              <w:ind w:firstLine="0"/>
              <w:jc w:val="center"/>
            </w:pPr>
            <w:r w:rsidRPr="00461C10">
              <w:t>-16%</w:t>
            </w:r>
          </w:p>
        </w:tc>
        <w:tc>
          <w:tcPr>
            <w:tcW w:w="2165" w:type="dxa"/>
            <w:tcBorders>
              <w:top w:val="single" w:color="auto" w:sz="4" w:space="0"/>
              <w:left w:val="nil"/>
              <w:bottom w:val="single" w:color="auto" w:sz="4" w:space="0"/>
              <w:right w:val="single" w:color="auto" w:sz="4" w:space="0"/>
            </w:tcBorders>
            <w:shd w:val="clear" w:color="auto" w:fill="auto"/>
            <w:vAlign w:val="bottom"/>
          </w:tcPr>
          <w:p w:rsidRPr="00461C10" w:rsidR="006D4787" w:rsidP="005D0FB0" w:rsidRDefault="006D4787" w14:paraId="5AE29D67" w14:textId="571687F8">
            <w:pPr>
              <w:pStyle w:val="Standard"/>
              <w:spacing w:line="276" w:lineRule="auto"/>
              <w:ind w:firstLine="0"/>
              <w:jc w:val="center"/>
            </w:pPr>
            <w:r w:rsidRPr="00461C10">
              <w:t>45%</w:t>
            </w:r>
          </w:p>
        </w:tc>
      </w:tr>
      <w:tr w:rsidRPr="00461C10" w:rsidR="00461C10" w:rsidTr="005D0FB0" w14:paraId="7823FBF3" w14:textId="77777777">
        <w:trPr>
          <w:cantSplit/>
          <w:trHeight w:val="300"/>
        </w:trPr>
        <w:tc>
          <w:tcPr>
            <w:tcW w:w="1854" w:type="dxa"/>
          </w:tcPr>
          <w:p w:rsidRPr="00461C10" w:rsidR="006D4787" w:rsidP="005D0FB0" w:rsidRDefault="006D4787" w14:paraId="73AD83C9" w14:textId="166B111C">
            <w:pPr>
              <w:pStyle w:val="Standard"/>
              <w:spacing w:line="240" w:lineRule="auto"/>
              <w:ind w:firstLine="0"/>
            </w:pPr>
            <w:r w:rsidRPr="00461C10">
              <w:t>Rule 15</w:t>
            </w:r>
          </w:p>
        </w:tc>
        <w:tc>
          <w:tcPr>
            <w:tcW w:w="1651" w:type="dxa"/>
          </w:tcPr>
          <w:p w:rsidRPr="00461C10" w:rsidR="006D4787" w:rsidRDefault="006D4787" w14:paraId="62A5A031" w14:textId="77777777">
            <w:pPr>
              <w:pStyle w:val="Standard"/>
              <w:spacing w:line="276" w:lineRule="auto"/>
              <w:ind w:firstLine="0"/>
            </w:pPr>
            <w:r w:rsidRPr="00461C10">
              <w:t>Maximum</w:t>
            </w:r>
          </w:p>
        </w:tc>
        <w:tc>
          <w:tcPr>
            <w:tcW w:w="1873" w:type="dxa"/>
            <w:tcBorders>
              <w:top w:val="nil"/>
              <w:left w:val="single" w:color="auto" w:sz="4" w:space="0"/>
              <w:bottom w:val="single" w:color="auto" w:sz="4" w:space="0"/>
              <w:right w:val="single" w:color="auto" w:sz="4" w:space="0"/>
            </w:tcBorders>
            <w:shd w:val="clear" w:color="auto" w:fill="auto"/>
            <w:vAlign w:val="bottom"/>
          </w:tcPr>
          <w:p w:rsidRPr="00461C10" w:rsidR="006D4787" w:rsidP="005D0FB0" w:rsidRDefault="006D4787" w14:paraId="06FF607B" w14:textId="247C2BC0">
            <w:pPr>
              <w:pStyle w:val="Standard"/>
              <w:spacing w:line="276" w:lineRule="auto"/>
              <w:ind w:firstLine="0"/>
              <w:jc w:val="center"/>
            </w:pPr>
            <w:r w:rsidRPr="00461C10">
              <w:t>42%</w:t>
            </w:r>
          </w:p>
        </w:tc>
        <w:tc>
          <w:tcPr>
            <w:tcW w:w="1817"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0E24F8A6" w14:textId="77777777">
            <w:pPr>
              <w:pStyle w:val="Standard"/>
              <w:spacing w:line="276" w:lineRule="auto"/>
              <w:ind w:firstLine="0"/>
              <w:jc w:val="center"/>
            </w:pPr>
            <w:r w:rsidRPr="00461C10">
              <w:t>5%</w:t>
            </w:r>
          </w:p>
        </w:tc>
        <w:tc>
          <w:tcPr>
            <w:tcW w:w="2165"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3B63A0FE" w14:textId="4AA730A7">
            <w:pPr>
              <w:pStyle w:val="Standard"/>
              <w:spacing w:line="276" w:lineRule="auto"/>
              <w:ind w:firstLine="0"/>
              <w:jc w:val="center"/>
            </w:pPr>
            <w:r w:rsidRPr="00461C10">
              <w:t>53%</w:t>
            </w:r>
          </w:p>
        </w:tc>
      </w:tr>
      <w:tr w:rsidRPr="00461C10" w:rsidR="00461C10" w:rsidTr="005D0FB0" w14:paraId="34EF8F41" w14:textId="77777777">
        <w:trPr>
          <w:cantSplit/>
          <w:trHeight w:val="300"/>
        </w:trPr>
        <w:tc>
          <w:tcPr>
            <w:tcW w:w="1854" w:type="dxa"/>
          </w:tcPr>
          <w:p w:rsidRPr="00461C10" w:rsidR="006D4787" w:rsidP="005D0FB0" w:rsidRDefault="006D4787" w14:paraId="178584A7" w14:textId="0B025096">
            <w:pPr>
              <w:pStyle w:val="Standard"/>
              <w:spacing w:line="240" w:lineRule="auto"/>
              <w:ind w:firstLine="0"/>
            </w:pPr>
            <w:r w:rsidRPr="00461C10">
              <w:t>Rule 16</w:t>
            </w:r>
          </w:p>
        </w:tc>
        <w:tc>
          <w:tcPr>
            <w:tcW w:w="1651" w:type="dxa"/>
          </w:tcPr>
          <w:p w:rsidRPr="00461C10" w:rsidR="006D4787" w:rsidRDefault="006D4787" w14:paraId="783EB961" w14:textId="77777777">
            <w:pPr>
              <w:pStyle w:val="Standard"/>
              <w:spacing w:line="276" w:lineRule="auto"/>
              <w:ind w:firstLine="0"/>
            </w:pPr>
            <w:r w:rsidRPr="00461C10">
              <w:t>Average</w:t>
            </w:r>
          </w:p>
        </w:tc>
        <w:tc>
          <w:tcPr>
            <w:tcW w:w="1873" w:type="dxa"/>
            <w:tcBorders>
              <w:top w:val="nil"/>
              <w:left w:val="single" w:color="auto" w:sz="4" w:space="0"/>
              <w:bottom w:val="single" w:color="auto" w:sz="4" w:space="0"/>
              <w:right w:val="single" w:color="auto" w:sz="4" w:space="0"/>
            </w:tcBorders>
            <w:shd w:val="clear" w:color="auto" w:fill="auto"/>
            <w:vAlign w:val="bottom"/>
          </w:tcPr>
          <w:p w:rsidRPr="00461C10" w:rsidR="006D4787" w:rsidP="005D0FB0" w:rsidRDefault="006D4787" w14:paraId="195ABFB8" w14:textId="72DA3CC4">
            <w:pPr>
              <w:pStyle w:val="Standard"/>
              <w:spacing w:line="276" w:lineRule="auto"/>
              <w:ind w:firstLine="0"/>
              <w:jc w:val="center"/>
            </w:pPr>
            <w:r w:rsidRPr="00461C10">
              <w:t>7%</w:t>
            </w:r>
          </w:p>
        </w:tc>
        <w:tc>
          <w:tcPr>
            <w:tcW w:w="1817"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4979A486" w14:textId="395A26D6">
            <w:pPr>
              <w:pStyle w:val="Standard"/>
              <w:spacing w:line="276" w:lineRule="auto"/>
              <w:ind w:firstLine="0"/>
              <w:jc w:val="center"/>
            </w:pPr>
            <w:r w:rsidRPr="00461C10">
              <w:t>-39%</w:t>
            </w:r>
          </w:p>
        </w:tc>
        <w:tc>
          <w:tcPr>
            <w:tcW w:w="2165"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5AA988BD" w14:textId="5290AE7E">
            <w:pPr>
              <w:pStyle w:val="Standard"/>
              <w:spacing w:line="276" w:lineRule="auto"/>
              <w:ind w:firstLine="0"/>
              <w:jc w:val="center"/>
            </w:pPr>
            <w:r w:rsidRPr="00461C10">
              <w:t>-40%</w:t>
            </w:r>
          </w:p>
        </w:tc>
      </w:tr>
      <w:tr w:rsidRPr="00461C10" w:rsidR="00461C10" w:rsidTr="005D0FB0" w14:paraId="5B40D1B7" w14:textId="77777777">
        <w:trPr>
          <w:cantSplit/>
          <w:trHeight w:val="300"/>
        </w:trPr>
        <w:tc>
          <w:tcPr>
            <w:tcW w:w="1854" w:type="dxa"/>
          </w:tcPr>
          <w:p w:rsidRPr="00461C10" w:rsidR="006D4787" w:rsidP="005D0FB0" w:rsidRDefault="006D4787" w14:paraId="65578D39" w14:textId="1382EDF2">
            <w:pPr>
              <w:pStyle w:val="Standard"/>
              <w:spacing w:line="240" w:lineRule="auto"/>
              <w:ind w:firstLine="0"/>
            </w:pPr>
            <w:r w:rsidRPr="00461C10">
              <w:t>Rule 16</w:t>
            </w:r>
          </w:p>
        </w:tc>
        <w:tc>
          <w:tcPr>
            <w:tcW w:w="1651" w:type="dxa"/>
          </w:tcPr>
          <w:p w:rsidRPr="00461C10" w:rsidR="006D4787" w:rsidRDefault="006D4787" w14:paraId="6AD1B106" w14:textId="77777777">
            <w:pPr>
              <w:pStyle w:val="Standard"/>
              <w:spacing w:line="276" w:lineRule="auto"/>
              <w:ind w:firstLine="0"/>
            </w:pPr>
            <w:r w:rsidRPr="00461C10">
              <w:t>Maximum</w:t>
            </w:r>
          </w:p>
        </w:tc>
        <w:tc>
          <w:tcPr>
            <w:tcW w:w="1873" w:type="dxa"/>
            <w:tcBorders>
              <w:top w:val="nil"/>
              <w:left w:val="single" w:color="auto" w:sz="4" w:space="0"/>
              <w:bottom w:val="single" w:color="auto" w:sz="4" w:space="0"/>
              <w:right w:val="single" w:color="auto" w:sz="4" w:space="0"/>
            </w:tcBorders>
            <w:shd w:val="clear" w:color="auto" w:fill="auto"/>
            <w:vAlign w:val="bottom"/>
          </w:tcPr>
          <w:p w:rsidRPr="00461C10" w:rsidR="006D4787" w:rsidP="005D0FB0" w:rsidRDefault="006D4787" w14:paraId="098133E9" w14:textId="20EF0C0C">
            <w:pPr>
              <w:pStyle w:val="Standard"/>
              <w:spacing w:line="276" w:lineRule="auto"/>
              <w:ind w:firstLine="0"/>
              <w:jc w:val="center"/>
            </w:pPr>
            <w:r w:rsidRPr="00461C10">
              <w:t>18%</w:t>
            </w:r>
          </w:p>
        </w:tc>
        <w:tc>
          <w:tcPr>
            <w:tcW w:w="1817"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3CB12785" w14:textId="0DADE581">
            <w:pPr>
              <w:pStyle w:val="Standard"/>
              <w:spacing w:line="276" w:lineRule="auto"/>
              <w:ind w:firstLine="0"/>
              <w:jc w:val="center"/>
            </w:pPr>
            <w:r w:rsidRPr="00461C10">
              <w:t>5%</w:t>
            </w:r>
          </w:p>
        </w:tc>
        <w:tc>
          <w:tcPr>
            <w:tcW w:w="2165"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7345E3CB" w14:textId="634A41BB">
            <w:pPr>
              <w:pStyle w:val="Standard"/>
              <w:spacing w:line="276" w:lineRule="auto"/>
              <w:ind w:firstLine="0"/>
              <w:jc w:val="center"/>
            </w:pPr>
            <w:r w:rsidRPr="00461C10">
              <w:t>8%</w:t>
            </w:r>
          </w:p>
        </w:tc>
      </w:tr>
      <w:tr w:rsidRPr="00461C10" w:rsidR="00461C10" w:rsidTr="005D0FB0" w14:paraId="0D8F415C" w14:textId="77777777">
        <w:trPr>
          <w:cantSplit/>
          <w:trHeight w:val="300"/>
        </w:trPr>
        <w:tc>
          <w:tcPr>
            <w:tcW w:w="1854" w:type="dxa"/>
          </w:tcPr>
          <w:p w:rsidRPr="00461C10" w:rsidR="006D4787" w:rsidP="005D0FB0" w:rsidRDefault="006D4787" w14:paraId="60BA33C4" w14:textId="2C75744F">
            <w:pPr>
              <w:pStyle w:val="Standard"/>
              <w:spacing w:line="240" w:lineRule="auto"/>
              <w:ind w:firstLine="0"/>
            </w:pPr>
            <w:r w:rsidRPr="00461C10">
              <w:lastRenderedPageBreak/>
              <w:t xml:space="preserve">Rule 15/16 </w:t>
            </w:r>
            <w:r w:rsidRPr="00461C10" w:rsidR="000E1FB9">
              <w:t>or Rule 15/29/45</w:t>
            </w:r>
            <w:r w:rsidRPr="00461C10">
              <w:t xml:space="preserve"> Combined</w:t>
            </w:r>
          </w:p>
        </w:tc>
        <w:tc>
          <w:tcPr>
            <w:tcW w:w="1651" w:type="dxa"/>
          </w:tcPr>
          <w:p w:rsidRPr="00461C10" w:rsidR="006D4787" w:rsidRDefault="006D4787" w14:paraId="6260E1AF" w14:textId="77777777">
            <w:pPr>
              <w:pStyle w:val="Standard"/>
              <w:spacing w:line="276" w:lineRule="auto"/>
              <w:ind w:firstLine="0"/>
            </w:pPr>
            <w:r w:rsidRPr="00461C10">
              <w:t>Average</w:t>
            </w:r>
          </w:p>
        </w:tc>
        <w:tc>
          <w:tcPr>
            <w:tcW w:w="1873" w:type="dxa"/>
            <w:tcBorders>
              <w:top w:val="nil"/>
              <w:left w:val="single" w:color="auto" w:sz="4" w:space="0"/>
              <w:bottom w:val="single" w:color="auto" w:sz="4" w:space="0"/>
              <w:right w:val="single" w:color="auto" w:sz="4" w:space="0"/>
            </w:tcBorders>
            <w:shd w:val="clear" w:color="auto" w:fill="auto"/>
            <w:vAlign w:val="bottom"/>
          </w:tcPr>
          <w:p w:rsidRPr="00461C10" w:rsidR="006D4787" w:rsidP="005D0FB0" w:rsidRDefault="006D4787" w14:paraId="39BEDD9A" w14:textId="71BD590D">
            <w:pPr>
              <w:pStyle w:val="Standard"/>
              <w:spacing w:line="276" w:lineRule="auto"/>
              <w:ind w:firstLine="0"/>
              <w:jc w:val="center"/>
            </w:pPr>
            <w:r w:rsidRPr="00461C10">
              <w:t>39%</w:t>
            </w:r>
          </w:p>
        </w:tc>
        <w:tc>
          <w:tcPr>
            <w:tcW w:w="1817"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6A482D6B" w14:textId="080E3413">
            <w:pPr>
              <w:pStyle w:val="Standard"/>
              <w:spacing w:line="276" w:lineRule="auto"/>
              <w:ind w:firstLine="0"/>
              <w:jc w:val="center"/>
            </w:pPr>
            <w:r w:rsidRPr="00461C10">
              <w:t>-28%</w:t>
            </w:r>
          </w:p>
        </w:tc>
        <w:tc>
          <w:tcPr>
            <w:tcW w:w="2165"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6E033EDB" w14:textId="23F06331">
            <w:pPr>
              <w:pStyle w:val="Standard"/>
              <w:spacing w:line="276" w:lineRule="auto"/>
              <w:ind w:firstLine="0"/>
              <w:jc w:val="center"/>
            </w:pPr>
            <w:r w:rsidRPr="00461C10">
              <w:t>-61%</w:t>
            </w:r>
          </w:p>
        </w:tc>
      </w:tr>
      <w:tr w:rsidRPr="00461C10" w:rsidR="00461C10" w:rsidTr="005D0FB0" w14:paraId="31339C1B" w14:textId="77777777">
        <w:trPr>
          <w:cantSplit/>
          <w:trHeight w:val="300"/>
        </w:trPr>
        <w:tc>
          <w:tcPr>
            <w:tcW w:w="1854" w:type="dxa"/>
          </w:tcPr>
          <w:p w:rsidRPr="00461C10" w:rsidR="006D4787" w:rsidP="005D0FB0" w:rsidRDefault="006D4787" w14:paraId="4BCB2C2E" w14:textId="3917D48D">
            <w:pPr>
              <w:pStyle w:val="Standard"/>
              <w:spacing w:line="240" w:lineRule="auto"/>
              <w:ind w:firstLine="0"/>
            </w:pPr>
            <w:r w:rsidRPr="00461C10">
              <w:t xml:space="preserve">Rule 15/16 </w:t>
            </w:r>
            <w:r w:rsidRPr="00461C10" w:rsidR="000E1FB9">
              <w:t xml:space="preserve">or Rule 15/29/45 </w:t>
            </w:r>
            <w:r w:rsidRPr="00461C10">
              <w:t>Combined</w:t>
            </w:r>
          </w:p>
        </w:tc>
        <w:tc>
          <w:tcPr>
            <w:tcW w:w="1651" w:type="dxa"/>
          </w:tcPr>
          <w:p w:rsidRPr="00461C10" w:rsidR="006D4787" w:rsidRDefault="006D4787" w14:paraId="4C6ABEAC" w14:textId="77777777">
            <w:pPr>
              <w:pStyle w:val="Standard"/>
              <w:spacing w:line="276" w:lineRule="auto"/>
              <w:ind w:firstLine="0"/>
            </w:pPr>
            <w:r w:rsidRPr="00461C10">
              <w:t>Maximum</w:t>
            </w:r>
          </w:p>
        </w:tc>
        <w:tc>
          <w:tcPr>
            <w:tcW w:w="1873" w:type="dxa"/>
            <w:tcBorders>
              <w:top w:val="nil"/>
              <w:left w:val="single" w:color="auto" w:sz="4" w:space="0"/>
              <w:bottom w:val="single" w:color="auto" w:sz="4" w:space="0"/>
              <w:right w:val="single" w:color="auto" w:sz="4" w:space="0"/>
            </w:tcBorders>
            <w:shd w:val="clear" w:color="auto" w:fill="auto"/>
            <w:vAlign w:val="bottom"/>
          </w:tcPr>
          <w:p w:rsidRPr="00461C10" w:rsidR="006D4787" w:rsidP="005D0FB0" w:rsidRDefault="006D4787" w14:paraId="36219DC8" w14:textId="7AE303F1">
            <w:pPr>
              <w:pStyle w:val="Standard"/>
              <w:spacing w:line="276" w:lineRule="auto"/>
              <w:ind w:firstLine="0"/>
              <w:jc w:val="center"/>
            </w:pPr>
            <w:r w:rsidRPr="00461C10">
              <w:t>49%</w:t>
            </w:r>
          </w:p>
        </w:tc>
        <w:tc>
          <w:tcPr>
            <w:tcW w:w="1817"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42AEDE91" w14:textId="721B3B45">
            <w:pPr>
              <w:pStyle w:val="Standard"/>
              <w:spacing w:line="276" w:lineRule="auto"/>
              <w:ind w:firstLine="0"/>
              <w:jc w:val="center"/>
            </w:pPr>
            <w:r w:rsidRPr="00461C10">
              <w:t>14%</w:t>
            </w:r>
          </w:p>
        </w:tc>
        <w:tc>
          <w:tcPr>
            <w:tcW w:w="2165" w:type="dxa"/>
            <w:tcBorders>
              <w:top w:val="nil"/>
              <w:left w:val="nil"/>
              <w:bottom w:val="single" w:color="auto" w:sz="4" w:space="0"/>
              <w:right w:val="single" w:color="auto" w:sz="4" w:space="0"/>
            </w:tcBorders>
            <w:shd w:val="clear" w:color="auto" w:fill="auto"/>
            <w:vAlign w:val="bottom"/>
          </w:tcPr>
          <w:p w:rsidRPr="00461C10" w:rsidR="006D4787" w:rsidP="005D0FB0" w:rsidRDefault="006D4787" w14:paraId="499D4382" w14:textId="19BDB6B0">
            <w:pPr>
              <w:pStyle w:val="Standard"/>
              <w:spacing w:line="276" w:lineRule="auto"/>
              <w:ind w:firstLine="0"/>
              <w:jc w:val="center"/>
            </w:pPr>
            <w:r w:rsidRPr="00461C10">
              <w:t>5%</w:t>
            </w:r>
          </w:p>
        </w:tc>
      </w:tr>
    </w:tbl>
    <w:p w:rsidRPr="00461C10" w:rsidR="0016776E" w:rsidP="005D0FB0" w:rsidRDefault="0016776E" w14:paraId="44CEFEDC" w14:textId="2CB1B37F">
      <w:pPr>
        <w:pStyle w:val="Standard"/>
        <w:spacing w:before="240"/>
      </w:pPr>
      <w:r w:rsidRPr="00461C10">
        <w:t>We note that some utilities may already be meeting or exceeding certain targets as illustrated by negative values in the “Rates of Acceleration” chart above. To account for this, PG&amp;E, SCE, and SDG&amp;E shall either meet the targets adopted above, or maintain their current timelines for energization processes, whichever is the shortest timeframe for completing customer requests.</w:t>
      </w:r>
      <w:r w:rsidRPr="00461C10">
        <w:rPr>
          <w:rStyle w:val="FootnoteReference"/>
        </w:rPr>
        <w:footnoteReference w:id="47"/>
      </w:r>
    </w:p>
    <w:p w:rsidRPr="00461C10" w:rsidR="00E4300B" w:rsidP="00BB5C1C" w:rsidRDefault="00D10AFA" w14:paraId="2F85868E" w14:textId="1DDC8754">
      <w:pPr>
        <w:pStyle w:val="Heading2"/>
      </w:pPr>
      <w:bookmarkStart w:name="_Toc759324747" w:id="36"/>
      <w:bookmarkStart w:name="_Toc172024436" w:id="37"/>
      <w:bookmarkStart w:name="_Toc177469350" w:id="38"/>
      <w:r w:rsidRPr="00461C10">
        <w:t>Specific End-Use Customer or Industry Considerations</w:t>
      </w:r>
      <w:bookmarkEnd w:id="36"/>
      <w:bookmarkEnd w:id="37"/>
      <w:bookmarkEnd w:id="38"/>
    </w:p>
    <w:p w:rsidRPr="00461C10" w:rsidR="00AD1683" w:rsidP="00317BCE" w:rsidRDefault="00317BCE" w14:paraId="382377A4" w14:textId="18AF1CD1">
      <w:pPr>
        <w:pStyle w:val="Standard"/>
      </w:pPr>
      <w:r w:rsidRPr="00461C10">
        <w:t>Multiple parties, including CTIA, the Joint EV Industry Parties, EDF</w:t>
      </w:r>
      <w:r w:rsidRPr="00461C10" w:rsidR="00526C99">
        <w:t>/</w:t>
      </w:r>
      <w:r w:rsidRPr="00461C10">
        <w:t xml:space="preserve"> NRDC, PACT, CBD, SBUA, and CUE, suggested </w:t>
      </w:r>
      <w:r w:rsidRPr="00461C10" w:rsidR="119AE6B6">
        <w:t xml:space="preserve">that </w:t>
      </w:r>
      <w:r w:rsidRPr="00461C10">
        <w:t>the Commission develop timelines specific to different industries or customer types</w:t>
      </w:r>
      <w:r w:rsidRPr="00461C10" w:rsidR="00502E08">
        <w:t xml:space="preserve"> to prioritize certain projects over others in light of state goals</w:t>
      </w:r>
      <w:r w:rsidRPr="00461C10" w:rsidR="00AB49D2">
        <w:t>,</w:t>
      </w:r>
      <w:r w:rsidRPr="00461C10" w:rsidR="00502E08">
        <w:t xml:space="preserve"> such as </w:t>
      </w:r>
      <w:r w:rsidRPr="00461C10" w:rsidR="00AD78B1">
        <w:t xml:space="preserve">the California Air Resources Board’s </w:t>
      </w:r>
      <w:r w:rsidRPr="00461C10" w:rsidR="00502E08">
        <w:t>Advanced Clean Trucks and Fleets</w:t>
      </w:r>
      <w:r w:rsidRPr="00461C10" w:rsidR="00AD78B1">
        <w:t xml:space="preserve"> policy</w:t>
      </w:r>
      <w:r w:rsidRPr="00461C10" w:rsidR="00502E08">
        <w:t>.</w:t>
      </w:r>
      <w:r w:rsidRPr="00461C10" w:rsidR="00502E08">
        <w:rPr>
          <w:rStyle w:val="FootnoteReference"/>
        </w:rPr>
        <w:footnoteReference w:id="48"/>
      </w:r>
      <w:r w:rsidRPr="00461C10" w:rsidR="00502E08">
        <w:t xml:space="preserve"> While the Commission </w:t>
      </w:r>
      <w:r w:rsidRPr="00461C10" w:rsidR="00502E08">
        <w:lastRenderedPageBreak/>
        <w:t>recognizes the urgency created by such policy,</w:t>
      </w:r>
      <w:r w:rsidRPr="00461C10">
        <w:t xml:space="preserve"> </w:t>
      </w:r>
      <w:r w:rsidRPr="00461C10" w:rsidR="399E0F74">
        <w:t xml:space="preserve">Pub. Util Code § 934 must be reconciled with </w:t>
      </w:r>
      <w:r w:rsidRPr="00461C10">
        <w:t xml:space="preserve"> Pub. Util. Code §</w:t>
      </w:r>
      <w:r w:rsidRPr="00461C10" w:rsidR="00DC2AB3">
        <w:t xml:space="preserve"> </w:t>
      </w:r>
      <w:r w:rsidRPr="00461C10">
        <w:t>453.</w:t>
      </w:r>
      <w:r w:rsidRPr="00461C10" w:rsidR="00AD1683">
        <w:rPr>
          <w:rStyle w:val="FootnoteReference"/>
        </w:rPr>
        <w:t xml:space="preserve"> </w:t>
      </w:r>
      <w:r w:rsidRPr="00461C10" w:rsidR="00AD1683">
        <w:rPr>
          <w:rStyle w:val="FootnoteReference"/>
        </w:rPr>
        <w:footnoteReference w:id="49"/>
      </w:r>
      <w:r w:rsidRPr="00461C10" w:rsidR="00AD1683">
        <w:t>,</w:t>
      </w:r>
      <w:r w:rsidRPr="00461C10" w:rsidR="00DA3EC7">
        <w:rPr>
          <w:rStyle w:val="FootnoteReference"/>
        </w:rPr>
        <w:footnoteReference w:id="50"/>
      </w:r>
      <w:r w:rsidRPr="00461C10" w:rsidR="00A82472">
        <w:t xml:space="preserve"> </w:t>
      </w:r>
    </w:p>
    <w:p w:rsidRPr="00461C10" w:rsidR="000C41B3" w:rsidP="000C41B3" w:rsidRDefault="3EBE9E98" w14:paraId="1589048F" w14:textId="62522675">
      <w:pPr>
        <w:pStyle w:val="Standard"/>
      </w:pPr>
      <w:r w:rsidRPr="00461C10">
        <w:t>Pub. Util. Code § 934(a)(1) requires the Commission to establish re</w:t>
      </w:r>
      <w:r w:rsidRPr="00461C10" w:rsidR="5CE0AD67">
        <w:t>a</w:t>
      </w:r>
      <w:r w:rsidRPr="00461C10">
        <w:t>sonable average and maximum target energization periods that, in part, prioritize work consistent with Pub. Util Code §§ 932 and 933</w:t>
      </w:r>
      <w:r w:rsidRPr="00461C10" w:rsidR="2CF27F88">
        <w:t xml:space="preserve">. </w:t>
      </w:r>
      <w:r w:rsidRPr="00461C10" w:rsidR="742119E9">
        <w:t>Pub. Util. Code §</w:t>
      </w:r>
      <w:r w:rsidRPr="00461C10" w:rsidR="4D986877">
        <w:t xml:space="preserve"> </w:t>
      </w:r>
      <w:r w:rsidRPr="00461C10" w:rsidR="742119E9">
        <w:t>453</w:t>
      </w:r>
      <w:r w:rsidRPr="00461C10" w:rsidR="4BEB404E">
        <w:t>, however,</w:t>
      </w:r>
      <w:r w:rsidRPr="00461C10" w:rsidR="742119E9">
        <w:t xml:space="preserve"> </w:t>
      </w:r>
      <w:r w:rsidRPr="00461C10" w:rsidR="75793301">
        <w:t>prohib</w:t>
      </w:r>
      <w:r w:rsidR="005D0FB0">
        <w:t>i</w:t>
      </w:r>
      <w:r w:rsidRPr="00461C10" w:rsidR="75793301">
        <w:t xml:space="preserve">ts </w:t>
      </w:r>
      <w:r w:rsidRPr="00461C10" w:rsidR="742119E9">
        <w:t>utilities from engaging in discriminatory practices when providing electric services</w:t>
      </w:r>
      <w:r w:rsidR="00C94E48">
        <w:t xml:space="preserve">. </w:t>
      </w:r>
      <w:r w:rsidRPr="00461C10" w:rsidR="3324AD12">
        <w:t>Given the lack of data provided by the large electric IOUs, as identified below, we cannot adopt a specific prioritization method or manner that this time that also reflects reasonable targets for all industry sectors, consistent with §</w:t>
      </w:r>
      <w:r w:rsidRPr="00461C10" w:rsidR="564A3994">
        <w:t xml:space="preserve"> 453. Rather, </w:t>
      </w:r>
      <w:r w:rsidRPr="00461C10" w:rsidR="2534BCC8">
        <w:t>t</w:t>
      </w:r>
      <w:r w:rsidRPr="00461C10" w:rsidR="742119E9">
        <w:t xml:space="preserve">he adopted average and maximum </w:t>
      </w:r>
      <w:r w:rsidRPr="00461C10" w:rsidR="765E18A6">
        <w:t>s</w:t>
      </w:r>
      <w:r w:rsidRPr="00461C10" w:rsidR="742119E9">
        <w:t xml:space="preserve">tatewide energization targets set forth in </w:t>
      </w:r>
      <w:r w:rsidRPr="00461C10" w:rsidR="5882A5DA">
        <w:t xml:space="preserve">Table 1, Average Energization Targets effected September 2024, and Table 2, Maximum Energization Targets effective September 2024, </w:t>
      </w:r>
      <w:r w:rsidRPr="00461C10" w:rsidR="742119E9">
        <w:t xml:space="preserve">will support California’s economic sectors, including transportation, by accelerating timelines for all applicants. </w:t>
      </w:r>
      <w:r w:rsidRPr="00461C10" w:rsidR="5D683A9C">
        <w:t xml:space="preserve"> </w:t>
      </w:r>
    </w:p>
    <w:p w:rsidRPr="00461C10" w:rsidR="000C41B3" w:rsidP="000C41B3" w:rsidRDefault="31CABA2E" w14:paraId="212AAA07" w14:textId="2F93E707">
      <w:pPr>
        <w:pStyle w:val="Standard"/>
      </w:pPr>
      <w:r w:rsidRPr="00461C10">
        <w:t xml:space="preserve">However, the </w:t>
      </w:r>
      <w:r w:rsidRPr="00461C10" w:rsidR="004925B5">
        <w:t>Commission recognizes that there may be inherent differences in providing or upgrading electric service among project types</w:t>
      </w:r>
      <w:r w:rsidR="005D0FB0">
        <w:t>,</w:t>
      </w:r>
      <w:r w:rsidRPr="00461C10" w:rsidR="004925B5">
        <w:t xml:space="preserve"> </w:t>
      </w:r>
      <w:r w:rsidR="005D0FB0">
        <w:t>f</w:t>
      </w:r>
      <w:r w:rsidRPr="00461C10" w:rsidR="004925B5">
        <w:t>or example, extending service to an agricultural water pump in a rural area may require different treatment, and thus a different timeline, than extending service to an EV charging station in an urban commercial development. Both may trigger work under the same electric tariff (Rule 16), but because of the nature of the project and location, still see differences in timelines.</w:t>
      </w:r>
      <w:r w:rsidRPr="00461C10" w:rsidR="00034817">
        <w:t xml:space="preserve"> Observations of the data </w:t>
      </w:r>
      <w:r w:rsidRPr="00461C10" w:rsidR="00034817">
        <w:lastRenderedPageBreak/>
        <w:t>collected</w:t>
      </w:r>
      <w:r w:rsidRPr="00461C10" w:rsidR="6DB44EC0">
        <w:t xml:space="preserve"> to date, in this proceeding,</w:t>
      </w:r>
      <w:r w:rsidRPr="00461C10" w:rsidR="00034817">
        <w:t xml:space="preserve"> indicate that there is not a normal distribution of energization timelines</w:t>
      </w:r>
      <w:r w:rsidRPr="00461C10" w:rsidR="0051761C">
        <w:t>.</w:t>
      </w:r>
      <w:r w:rsidRPr="00461C10" w:rsidR="00E17F98">
        <w:t xml:space="preserve"> This is likely a result of a high variability in energization timelines driven by the many different types of projects the </w:t>
      </w:r>
      <w:r w:rsidRPr="00461C10" w:rsidR="2F78CC60">
        <w:t xml:space="preserve">large electric </w:t>
      </w:r>
      <w:r w:rsidRPr="00461C10" w:rsidR="00E17F98">
        <w:t xml:space="preserve">IOUs serve. There may be a more even distribution at the project type level. </w:t>
      </w:r>
      <w:r w:rsidRPr="00461C10" w:rsidR="00F94822">
        <w:t>T</w:t>
      </w:r>
      <w:r w:rsidRPr="00461C10" w:rsidR="00E17F98">
        <w:t xml:space="preserve">he data provided by the </w:t>
      </w:r>
      <w:r w:rsidRPr="00461C10" w:rsidR="3C44C82B">
        <w:t xml:space="preserve">large electric </w:t>
      </w:r>
      <w:r w:rsidRPr="00461C10" w:rsidR="00E17F98">
        <w:t>IOUs did not specify project types and so for this decision the Commission adopts a single timeline that is project neutral.</w:t>
      </w:r>
      <w:r w:rsidRPr="00461C10" w:rsidR="00034817">
        <w:t xml:space="preserve"> </w:t>
      </w:r>
      <w:r w:rsidRPr="00461C10" w:rsidR="001239E2">
        <w:t>To meet the accelerated statutory deadlines in Phase 1 of this proceeding, we adopt the average and maximum energization targets set forth in this decision for all applicants.</w:t>
      </w:r>
      <w:r w:rsidRPr="00461C10" w:rsidR="3CF6CF14">
        <w:t xml:space="preserve"> </w:t>
      </w:r>
    </w:p>
    <w:p w:rsidRPr="00461C10" w:rsidR="000C41B3" w:rsidP="000C41B3" w:rsidRDefault="00AF42E2" w14:paraId="49D7951A" w14:textId="4C1C92E1">
      <w:pPr>
        <w:pStyle w:val="Standard"/>
      </w:pPr>
      <w:r w:rsidRPr="001D1428">
        <w:t>In Opening Comments</w:t>
      </w:r>
      <w:r w:rsidR="007D461C">
        <w:t xml:space="preserve"> of the Proposed Decision</w:t>
      </w:r>
      <w:r w:rsidRPr="001D1428">
        <w:t>, PACT and Auto Innovators disagreed with the Commission’s interpretation of Pub. Util. Code §</w:t>
      </w:r>
      <w:r w:rsidR="007D461C">
        <w:t> </w:t>
      </w:r>
      <w:r w:rsidRPr="001D1428">
        <w:t>453 and argue that “prioritizing specific industries or customers does not violate §</w:t>
      </w:r>
      <w:r w:rsidR="007D461C">
        <w:t> </w:t>
      </w:r>
      <w:r w:rsidRPr="001D1428">
        <w:t>453.</w:t>
      </w:r>
      <w:r w:rsidRPr="00461C10">
        <w:t xml:space="preserve"> </w:t>
      </w:r>
      <w:r w:rsidRPr="00461C10" w:rsidR="00DF4815">
        <w:t xml:space="preserve">The Commission is not </w:t>
      </w:r>
      <w:r w:rsidRPr="00461C10" w:rsidR="00234293">
        <w:t xml:space="preserve">persuaded by </w:t>
      </w:r>
      <w:r w:rsidRPr="00461C10" w:rsidR="00C42125">
        <w:t>the</w:t>
      </w:r>
      <w:r w:rsidRPr="00461C10" w:rsidR="00C93325">
        <w:t xml:space="preserve"> </w:t>
      </w:r>
      <w:r w:rsidRPr="00461C10" w:rsidR="00234293">
        <w:t>argument</w:t>
      </w:r>
      <w:r w:rsidRPr="00461C10" w:rsidR="0058747C">
        <w:t>s</w:t>
      </w:r>
      <w:r w:rsidRPr="00461C10" w:rsidR="00234293">
        <w:t xml:space="preserve"> </w:t>
      </w:r>
      <w:r w:rsidRPr="00461C10" w:rsidR="00A55ABD">
        <w:t xml:space="preserve">presented </w:t>
      </w:r>
      <w:r w:rsidRPr="00461C10" w:rsidR="00234293">
        <w:t xml:space="preserve">and maintains </w:t>
      </w:r>
      <w:r w:rsidRPr="00461C10" w:rsidR="00BA607A">
        <w:t xml:space="preserve">its interpretation of </w:t>
      </w:r>
      <w:r w:rsidRPr="00461C10" w:rsidR="00234293">
        <w:t>Pub. Util. Code § 453</w:t>
      </w:r>
      <w:r w:rsidRPr="00461C10" w:rsidR="00BA607A">
        <w:t>.</w:t>
      </w:r>
      <w:r w:rsidRPr="00461C10" w:rsidR="00234293">
        <w:t xml:space="preserve"> </w:t>
      </w:r>
      <w:r w:rsidRPr="00461C10" w:rsidR="000C41B3">
        <w:t>While Pub. Util. Code §</w:t>
      </w:r>
      <w:r w:rsidR="007D461C">
        <w:t> </w:t>
      </w:r>
      <w:r w:rsidRPr="00461C10" w:rsidR="000C41B3">
        <w:t>453 requires parity, timelines at the “project type” level may be considered in the future so long as they do not require prioritization over other projects, which disadvantages other customers. The Commission and stakeholders will be able to better assess this structure as the</w:t>
      </w:r>
      <w:r w:rsidRPr="00461C10" w:rsidR="00387D35">
        <w:t xml:space="preserve"> large electric IOUs</w:t>
      </w:r>
      <w:r w:rsidRPr="00461C10" w:rsidR="000C41B3">
        <w:t xml:space="preserve"> provide more data, particularly </w:t>
      </w:r>
      <w:r w:rsidRPr="00461C10" w:rsidR="00284E1F">
        <w:t>regarding</w:t>
      </w:r>
      <w:r w:rsidRPr="00461C10" w:rsidR="000C41B3">
        <w:t xml:space="preserve"> customers’ desired energization date. This will be helpful because some types of projects may desire a longer energization timeline than others for various reasons (e.g., longer time to complete work under customer responsibility), which may enable </w:t>
      </w:r>
      <w:r w:rsidRPr="00461C10" w:rsidR="008035F7">
        <w:t>the large electric IOUs</w:t>
      </w:r>
      <w:r w:rsidRPr="00461C10" w:rsidR="000C41B3">
        <w:t xml:space="preserve"> to meet shorter timelines for other types of projects. Also, the Commission’s recognition of parity </w:t>
      </w:r>
      <w:r w:rsidRPr="00461C10" w:rsidR="005672BE">
        <w:t>among</w:t>
      </w:r>
      <w:r w:rsidRPr="00461C10" w:rsidR="000C41B3">
        <w:t xml:space="preserve"> customers does not prevent this proceeding from considering sector-specific </w:t>
      </w:r>
      <w:r w:rsidRPr="00461C10" w:rsidR="002F23FD">
        <w:t xml:space="preserve">evidence, such as </w:t>
      </w:r>
      <w:r w:rsidRPr="00461C10" w:rsidR="000C41B3">
        <w:t>model</w:t>
      </w:r>
      <w:r w:rsidRPr="00461C10" w:rsidR="00CE107B">
        <w:t>ing</w:t>
      </w:r>
      <w:r w:rsidRPr="00461C10" w:rsidR="000C41B3">
        <w:t xml:space="preserve"> based on regulatory compliance </w:t>
      </w:r>
      <w:r w:rsidRPr="00461C10" w:rsidR="000C41B3">
        <w:lastRenderedPageBreak/>
        <w:t xml:space="preserve">requirements (e.g., </w:t>
      </w:r>
      <w:r w:rsidRPr="00461C10" w:rsidR="00BF43DF">
        <w:t>CA</w:t>
      </w:r>
      <w:r w:rsidRPr="00461C10" w:rsidR="00753115">
        <w:t xml:space="preserve">RB’s </w:t>
      </w:r>
      <w:r w:rsidRPr="00461C10" w:rsidR="000C41B3">
        <w:t>A</w:t>
      </w:r>
      <w:r w:rsidRPr="00461C10" w:rsidR="005106CC">
        <w:t xml:space="preserve">dvanced </w:t>
      </w:r>
      <w:r w:rsidRPr="00461C10" w:rsidR="000C41B3">
        <w:t>C</w:t>
      </w:r>
      <w:r w:rsidRPr="00461C10" w:rsidR="005106CC">
        <w:t xml:space="preserve">lean </w:t>
      </w:r>
      <w:r w:rsidRPr="00461C10" w:rsidR="000C41B3">
        <w:t>T</w:t>
      </w:r>
      <w:r w:rsidRPr="00461C10" w:rsidR="005106CC">
        <w:t>rucks</w:t>
      </w:r>
      <w:r w:rsidRPr="00461C10" w:rsidR="00D635C5">
        <w:t xml:space="preserve"> and</w:t>
      </w:r>
      <w:r w:rsidRPr="00461C10" w:rsidR="000C41B3">
        <w:t xml:space="preserve"> A</w:t>
      </w:r>
      <w:r w:rsidRPr="00461C10" w:rsidR="005106CC">
        <w:t xml:space="preserve">dvanced </w:t>
      </w:r>
      <w:r w:rsidRPr="00461C10" w:rsidR="000C41B3">
        <w:t>C</w:t>
      </w:r>
      <w:r w:rsidRPr="00461C10" w:rsidR="005106CC">
        <w:t xml:space="preserve">lean </w:t>
      </w:r>
      <w:r w:rsidRPr="00461C10" w:rsidR="000C41B3">
        <w:t>F</w:t>
      </w:r>
      <w:r w:rsidRPr="00461C10" w:rsidR="005106CC">
        <w:t>leets</w:t>
      </w:r>
      <w:r w:rsidRPr="00461C10" w:rsidR="00D635C5">
        <w:t xml:space="preserve"> regulations</w:t>
      </w:r>
      <w:r w:rsidRPr="00461C10" w:rsidR="000C41B3">
        <w:t>) that could inform the development of future timelines.</w:t>
      </w:r>
      <w:r w:rsidRPr="00461C10">
        <w:rPr>
          <w:rStyle w:val="FootnoteReference"/>
        </w:rPr>
        <w:footnoteReference w:id="51"/>
      </w:r>
      <w:r w:rsidRPr="00461C10" w:rsidR="000C41B3">
        <w:t xml:space="preserve"> </w:t>
      </w:r>
    </w:p>
    <w:p w:rsidRPr="00461C10" w:rsidR="000C41B3" w:rsidP="000C41B3" w:rsidRDefault="2B2ED24B" w14:paraId="6E7FDABD" w14:textId="57E5A911">
      <w:pPr>
        <w:pStyle w:val="Standard"/>
      </w:pPr>
      <w:r w:rsidRPr="00461C10">
        <w:t>An additional topic raised i</w:t>
      </w:r>
      <w:r w:rsidRPr="00461C10" w:rsidR="3CF6CF14">
        <w:t>n Opening Comments</w:t>
      </w:r>
      <w:r w:rsidRPr="00461C10" w:rsidR="3CC5AA1E">
        <w:t xml:space="preserve"> </w:t>
      </w:r>
      <w:r w:rsidR="007D461C">
        <w:t xml:space="preserve">on the Proposed Decision </w:t>
      </w:r>
      <w:r w:rsidRPr="00461C10" w:rsidR="3CC5AA1E">
        <w:t>by</w:t>
      </w:r>
      <w:r w:rsidRPr="00461C10" w:rsidR="3CF6CF14">
        <w:t xml:space="preserve"> </w:t>
      </w:r>
      <w:r w:rsidRPr="00461C10" w:rsidR="7166515D">
        <w:t>m</w:t>
      </w:r>
      <w:r w:rsidRPr="00461C10" w:rsidR="3CF6CF14">
        <w:t xml:space="preserve">ultiple parties, such as PACT, EDF/NRDC, IREC and others </w:t>
      </w:r>
      <w:r w:rsidRPr="00461C10" w:rsidR="5C2286F5">
        <w:t>is</w:t>
      </w:r>
      <w:r w:rsidRPr="00461C10" w:rsidR="3CF6CF14">
        <w:t xml:space="preserve"> the need for a working group</w:t>
      </w:r>
      <w:r w:rsidR="005143E8">
        <w:t>.</w:t>
      </w:r>
      <w:r w:rsidRPr="00461C10" w:rsidR="000C41B3">
        <w:rPr>
          <w:rStyle w:val="FootnoteReference"/>
        </w:rPr>
        <w:footnoteReference w:id="52"/>
      </w:r>
      <w:r w:rsidRPr="00461C10" w:rsidR="3CF6CF14">
        <w:t xml:space="preserve"> The Commission may consider this request in Phase</w:t>
      </w:r>
      <w:r w:rsidR="005143E8">
        <w:t> </w:t>
      </w:r>
      <w:r w:rsidRPr="00461C10" w:rsidR="3CF6CF14">
        <w:t xml:space="preserve">2 of this proceeding, which will commence after the conclusion of Phase 1.  </w:t>
      </w:r>
    </w:p>
    <w:p w:rsidRPr="00461C10" w:rsidR="00350C5F" w:rsidP="00BB5C1C" w:rsidRDefault="00E63B18" w14:paraId="205F78CC" w14:textId="4FF33434">
      <w:pPr>
        <w:pStyle w:val="Heading2"/>
      </w:pPr>
      <w:bookmarkStart w:name="_Toc771146935" w:id="39"/>
      <w:bookmarkStart w:name="_Toc172024437" w:id="40"/>
      <w:bookmarkStart w:name="_Toc177469351" w:id="41"/>
      <w:r w:rsidRPr="00461C10">
        <w:t xml:space="preserve">Average and Maximum Targets for </w:t>
      </w:r>
      <w:r w:rsidRPr="00461C10" w:rsidR="00C233CF">
        <w:t>Other Energization Requests</w:t>
      </w:r>
      <w:bookmarkEnd w:id="39"/>
      <w:bookmarkEnd w:id="40"/>
      <w:bookmarkEnd w:id="41"/>
    </w:p>
    <w:p w:rsidRPr="00461C10" w:rsidR="00ED2658" w:rsidP="00B37200" w:rsidRDefault="007F7915" w14:paraId="40AF192A" w14:textId="6DC31250">
      <w:pPr>
        <w:pStyle w:val="Standard"/>
      </w:pPr>
      <w:r w:rsidRPr="00461C10">
        <w:t xml:space="preserve">Pub. Util. Code </w:t>
      </w:r>
      <w:r w:rsidRPr="00461C10" w:rsidR="0070224B">
        <w:t>§</w:t>
      </w:r>
      <w:r w:rsidRPr="00461C10">
        <w:t xml:space="preserve"> 934(a)(1</w:t>
      </w:r>
      <w:r w:rsidRPr="00461C10" w:rsidR="0070224B">
        <w:t xml:space="preserve">) </w:t>
      </w:r>
      <w:r w:rsidRPr="00461C10" w:rsidR="00740B21">
        <w:t xml:space="preserve">also </w:t>
      </w:r>
      <w:r w:rsidRPr="00461C10" w:rsidR="0070224B">
        <w:t xml:space="preserve">directs the Commission to </w:t>
      </w:r>
      <w:r w:rsidRPr="00461C10" w:rsidR="002C2630">
        <w:t xml:space="preserve">establish average and maximum </w:t>
      </w:r>
      <w:r w:rsidRPr="00461C10" w:rsidR="005E32F7">
        <w:t xml:space="preserve">targets for the time needed to </w:t>
      </w:r>
      <w:r w:rsidRPr="00461C10" w:rsidR="00B223F2">
        <w:t xml:space="preserve">complete customer requests that are not </w:t>
      </w:r>
      <w:r w:rsidRPr="00461C10" w:rsidR="006361C4">
        <w:t xml:space="preserve">associated with existing electric rules and do not require </w:t>
      </w:r>
      <w:r w:rsidRPr="00461C10" w:rsidR="001C7C0D">
        <w:t>upstream capacity upgrades.</w:t>
      </w:r>
      <w:r w:rsidRPr="00461C10" w:rsidR="000E42E6">
        <w:rPr>
          <w:rStyle w:val="FootnoteReference"/>
        </w:rPr>
        <w:footnoteReference w:id="53"/>
      </w:r>
      <w:r w:rsidRPr="00461C10" w:rsidR="001C7C0D">
        <w:t xml:space="preserve"> </w:t>
      </w:r>
    </w:p>
    <w:p w:rsidRPr="00461C10" w:rsidR="00ED2658" w:rsidP="00B37200" w:rsidRDefault="431A6440" w14:paraId="27CD8AE5" w14:textId="6C333E6C">
      <w:pPr>
        <w:pStyle w:val="Standard"/>
      </w:pPr>
      <w:r w:rsidRPr="00461C10">
        <w:t>SEIA stated</w:t>
      </w:r>
      <w:r w:rsidRPr="00461C10" w:rsidR="00C465F3">
        <w:t xml:space="preserve"> the legislature adopted</w:t>
      </w:r>
      <w:r w:rsidRPr="00461C10">
        <w:t xml:space="preserve"> </w:t>
      </w:r>
      <w:r w:rsidRPr="00461C10" w:rsidR="00B37200">
        <w:t>SB </w:t>
      </w:r>
      <w:r w:rsidRPr="00461C10">
        <w:t xml:space="preserve">410 to support not just new </w:t>
      </w:r>
      <w:r w:rsidRPr="00461C10" w:rsidR="00C465F3">
        <w:t xml:space="preserve">electric </w:t>
      </w:r>
      <w:r w:rsidRPr="00461C10">
        <w:t xml:space="preserve">service requests, but </w:t>
      </w:r>
      <w:r w:rsidRPr="00461C10" w:rsidR="007F3AB0">
        <w:t xml:space="preserve">also projects where </w:t>
      </w:r>
      <w:r w:rsidRPr="00461C10" w:rsidR="00C465F3">
        <w:t xml:space="preserve">electric </w:t>
      </w:r>
      <w:r w:rsidRPr="00461C10" w:rsidR="007F3AB0">
        <w:t xml:space="preserve">service </w:t>
      </w:r>
      <w:r w:rsidRPr="00461C10">
        <w:t>can be upgraded without additional inf</w:t>
      </w:r>
      <w:r w:rsidRPr="00461C10" w:rsidR="33C6530B">
        <w:t xml:space="preserve">rastructure. </w:t>
      </w:r>
      <w:r w:rsidRPr="00461C10" w:rsidR="1FFF1D3E">
        <w:t>SEIA</w:t>
      </w:r>
      <w:r w:rsidRPr="00461C10" w:rsidR="33C6530B">
        <w:t xml:space="preserve"> suggested that the timelines for main panel upgrades or </w:t>
      </w:r>
      <w:r w:rsidRPr="00461C10" w:rsidR="000F1DFF">
        <w:t xml:space="preserve">residential </w:t>
      </w:r>
      <w:r w:rsidRPr="00461C10" w:rsidR="33C6530B">
        <w:t xml:space="preserve">service upgrades should </w:t>
      </w:r>
      <w:r w:rsidRPr="00461C10" w:rsidR="000F1DFF">
        <w:t>be shorter than</w:t>
      </w:r>
      <w:r w:rsidRPr="00461C10" w:rsidR="33C6530B">
        <w:t xml:space="preserve"> those that require new infrastructure</w:t>
      </w:r>
      <w:r w:rsidRPr="00461C10" w:rsidR="000F1DFF">
        <w:t xml:space="preserve"> built by a</w:t>
      </w:r>
      <w:r w:rsidRPr="00461C10" w:rsidR="00846B18">
        <w:t xml:space="preserve"> large electric</w:t>
      </w:r>
      <w:r w:rsidRPr="00461C10" w:rsidR="00C31244">
        <w:t xml:space="preserve"> </w:t>
      </w:r>
      <w:r w:rsidRPr="00461C10" w:rsidR="000F1DFF">
        <w:t>IOU</w:t>
      </w:r>
      <w:r w:rsidRPr="00461C10" w:rsidR="33C6530B">
        <w:t>.</w:t>
      </w:r>
      <w:r w:rsidRPr="00461C10" w:rsidR="007F7915">
        <w:rPr>
          <w:rStyle w:val="FootnoteReference"/>
        </w:rPr>
        <w:footnoteReference w:id="54"/>
      </w:r>
    </w:p>
    <w:p w:rsidRPr="00461C10" w:rsidR="00ED2658" w:rsidP="00B37200" w:rsidRDefault="249C91DA" w14:paraId="7AFBF65E" w14:textId="267DE685">
      <w:pPr>
        <w:pStyle w:val="Standard"/>
      </w:pPr>
      <w:r w:rsidRPr="00461C10">
        <w:t xml:space="preserve">CalBroadband noted that due to a lack of standard processes, the parties it represents frequently face delays in the deployment of new power supplies </w:t>
      </w:r>
      <w:r w:rsidRPr="00461C10" w:rsidR="0C3FD3E8">
        <w:lastRenderedPageBreak/>
        <w:t>necessary to support upgrades to communications services.</w:t>
      </w:r>
      <w:r w:rsidRPr="00461C10" w:rsidR="007F7915">
        <w:rPr>
          <w:rStyle w:val="FootnoteReference"/>
        </w:rPr>
        <w:footnoteReference w:id="55"/>
      </w:r>
      <w:r w:rsidRPr="00461C10" w:rsidR="39073C4E">
        <w:t xml:space="preserve"> It also </w:t>
      </w:r>
      <w:r w:rsidRPr="00461C10" w:rsidR="2BE694F4">
        <w:t>recommended</w:t>
      </w:r>
      <w:r w:rsidRPr="00461C10" w:rsidR="39073C4E">
        <w:t xml:space="preserve"> </w:t>
      </w:r>
      <w:r w:rsidRPr="00461C10" w:rsidR="7A9CE0F1">
        <w:t xml:space="preserve">differentiating </w:t>
      </w:r>
      <w:r w:rsidRPr="00461C10" w:rsidR="39073C4E">
        <w:t>communications network-related energization activities between new service requests and service restoration requests.</w:t>
      </w:r>
      <w:r w:rsidRPr="00461C10" w:rsidR="007F7915">
        <w:rPr>
          <w:rStyle w:val="FootnoteReference"/>
        </w:rPr>
        <w:footnoteReference w:id="56"/>
      </w:r>
      <w:r w:rsidRPr="00461C10" w:rsidR="39073C4E">
        <w:t xml:space="preserve"> </w:t>
      </w:r>
    </w:p>
    <w:p w:rsidRPr="00461C10" w:rsidR="00ED2658" w:rsidP="00B37200" w:rsidRDefault="00232285" w14:paraId="73873CCC" w14:textId="08165F54">
      <w:pPr>
        <w:pStyle w:val="Standard"/>
      </w:pPr>
      <w:r w:rsidRPr="00461C10">
        <w:t>Upon review of the information provided by parties, it is reasonable to require e</w:t>
      </w:r>
      <w:r w:rsidRPr="00461C10" w:rsidR="00ED2658">
        <w:t xml:space="preserve">ach </w:t>
      </w:r>
      <w:r w:rsidRPr="00461C10" w:rsidR="004D6C4F">
        <w:t xml:space="preserve">large electric </w:t>
      </w:r>
      <w:r w:rsidRPr="00461C10" w:rsidR="00762612">
        <w:t xml:space="preserve">IOU </w:t>
      </w:r>
      <w:r w:rsidRPr="00461C10">
        <w:t>to</w:t>
      </w:r>
      <w:r w:rsidRPr="00461C10" w:rsidR="00ED2658">
        <w:t xml:space="preserve"> initiate communication for a customer’s inquiry for </w:t>
      </w:r>
      <w:r w:rsidRPr="00461C10" w:rsidR="005A4576">
        <w:t>a</w:t>
      </w:r>
      <w:r w:rsidRPr="00461C10" w:rsidR="00BA1FD1">
        <w:t>ll</w:t>
      </w:r>
      <w:r w:rsidRPr="00461C10" w:rsidR="005A4576">
        <w:t xml:space="preserve"> </w:t>
      </w:r>
      <w:r w:rsidRPr="00461C10" w:rsidR="00ED2658">
        <w:t xml:space="preserve">new or upgraded service </w:t>
      </w:r>
      <w:r w:rsidRPr="00461C10" w:rsidR="00E87725">
        <w:t>connection</w:t>
      </w:r>
      <w:r w:rsidRPr="00461C10" w:rsidR="00606BA0">
        <w:t>, including those</w:t>
      </w:r>
      <w:r w:rsidRPr="00461C10" w:rsidR="00E87725">
        <w:t xml:space="preserve"> </w:t>
      </w:r>
      <w:r w:rsidRPr="00461C10" w:rsidR="005106F1">
        <w:t xml:space="preserve">that do not require any </w:t>
      </w:r>
      <w:r w:rsidRPr="00461C10" w:rsidR="004D6C4F">
        <w:t xml:space="preserve">large electric </w:t>
      </w:r>
      <w:r w:rsidRPr="00461C10" w:rsidR="005106F1">
        <w:t>IOU</w:t>
      </w:r>
      <w:r w:rsidRPr="00461C10" w:rsidR="004D6C4F">
        <w:t>’s</w:t>
      </w:r>
      <w:r w:rsidRPr="00461C10" w:rsidR="005A4576">
        <w:t xml:space="preserve"> infrastructure development</w:t>
      </w:r>
      <w:r w:rsidRPr="00461C10" w:rsidR="005D236B">
        <w:t>,</w:t>
      </w:r>
      <w:r w:rsidRPr="00461C10" w:rsidR="005A4576">
        <w:t xml:space="preserve"> </w:t>
      </w:r>
      <w:r w:rsidRPr="00461C10" w:rsidR="00ED2658">
        <w:t>within 10</w:t>
      </w:r>
      <w:r w:rsidRPr="00461C10" w:rsidR="00197322">
        <w:t> business days</w:t>
      </w:r>
      <w:r w:rsidRPr="00461C10" w:rsidR="00ED2658">
        <w:t xml:space="preserve"> of receiving the customer’s request</w:t>
      </w:r>
      <w:r w:rsidRPr="00461C10" w:rsidR="00E87725">
        <w:t>. A</w:t>
      </w:r>
      <w:r w:rsidRPr="00461C10" w:rsidR="00ED2658">
        <w:t xml:space="preserve">s recommended by CalBroadband, </w:t>
      </w:r>
      <w:r w:rsidRPr="00461C10" w:rsidR="00EB39E9">
        <w:t>each</w:t>
      </w:r>
      <w:r w:rsidRPr="00461C10" w:rsidR="00ED2658">
        <w:t xml:space="preserve"> </w:t>
      </w:r>
      <w:r w:rsidRPr="00461C10" w:rsidR="004D6C4F">
        <w:t xml:space="preserve">large electric </w:t>
      </w:r>
      <w:r w:rsidRPr="00461C10" w:rsidR="00E87725">
        <w:t xml:space="preserve">IOU shall </w:t>
      </w:r>
      <w:r w:rsidRPr="00461C10" w:rsidR="00ED2658">
        <w:t xml:space="preserve">provide the </w:t>
      </w:r>
      <w:r w:rsidRPr="00461C10" w:rsidR="00E87725">
        <w:t>customer</w:t>
      </w:r>
      <w:r w:rsidRPr="00461C10" w:rsidR="00ED2658">
        <w:t xml:space="preserve"> with a written notice of approval or rejection of their application within a maximum of 45</w:t>
      </w:r>
      <w:r w:rsidRPr="00461C10" w:rsidR="00197322">
        <w:t> business days</w:t>
      </w:r>
      <w:r w:rsidRPr="00461C10" w:rsidR="00ED2658">
        <w:t xml:space="preserve">. If the application is denied, the </w:t>
      </w:r>
      <w:r w:rsidRPr="00461C10" w:rsidR="00EB39E9">
        <w:t xml:space="preserve">large electric </w:t>
      </w:r>
      <w:r w:rsidRPr="00461C10" w:rsidR="00762612">
        <w:t xml:space="preserve">IOU </w:t>
      </w:r>
      <w:r w:rsidRPr="00461C10" w:rsidR="00ED2658">
        <w:t xml:space="preserve">must list </w:t>
      </w:r>
      <w:r w:rsidRPr="00461C10" w:rsidR="00E2464A">
        <w:t xml:space="preserve">all </w:t>
      </w:r>
      <w:r w:rsidRPr="00461C10" w:rsidR="00ED2658">
        <w:t>the reason</w:t>
      </w:r>
      <w:r w:rsidRPr="00461C10" w:rsidR="00E87725">
        <w:t>(s)</w:t>
      </w:r>
      <w:r w:rsidRPr="00461C10" w:rsidR="00ED2658">
        <w:t xml:space="preserve"> for the denial, what the customer must do to resolve the issues, and provide a list of </w:t>
      </w:r>
      <w:r w:rsidRPr="00461C10" w:rsidR="00EB39E9">
        <w:t xml:space="preserve">large electric </w:t>
      </w:r>
      <w:r w:rsidRPr="00461C10" w:rsidR="00762612">
        <w:t xml:space="preserve">IOU </w:t>
      </w:r>
      <w:r w:rsidRPr="00461C10" w:rsidR="00ED2658">
        <w:t xml:space="preserve">resources they can </w:t>
      </w:r>
      <w:r w:rsidRPr="00461C10" w:rsidR="00F40D5E">
        <w:t>utilize</w:t>
      </w:r>
      <w:r w:rsidRPr="00461C10" w:rsidR="00ED2658">
        <w:t xml:space="preserve"> to ensure their application is complete</w:t>
      </w:r>
      <w:r w:rsidRPr="00461C10" w:rsidR="00F40D5E">
        <w:t xml:space="preserve"> prior to refiling</w:t>
      </w:r>
      <w:r w:rsidRPr="00461C10" w:rsidR="00ED2658">
        <w:t>.</w:t>
      </w:r>
    </w:p>
    <w:p w:rsidRPr="00461C10" w:rsidR="00202D72" w:rsidP="00202D72" w:rsidRDefault="00202D72" w14:paraId="1AE44F18" w14:textId="48B34FA3">
      <w:pPr>
        <w:pStyle w:val="Standard"/>
      </w:pPr>
      <w:r w:rsidRPr="00461C10">
        <w:t xml:space="preserve">SEIA specifically noted that larger, more complicated, projects may warrant differing timelines between </w:t>
      </w:r>
      <w:r w:rsidRPr="00461C10" w:rsidR="00EB39E9">
        <w:t xml:space="preserve">the large electric </w:t>
      </w:r>
      <w:r w:rsidRPr="00461C10" w:rsidR="002B4321">
        <w:t>IOUs</w:t>
      </w:r>
      <w:r w:rsidRPr="00461C10">
        <w:t xml:space="preserve"> to </w:t>
      </w:r>
      <w:r w:rsidRPr="00461C10" w:rsidR="002B4321">
        <w:t>consider</w:t>
      </w:r>
      <w:r w:rsidRPr="00461C10">
        <w:t xml:space="preserve"> variances between their service territories</w:t>
      </w:r>
      <w:r w:rsidRPr="00461C10" w:rsidR="00F73967">
        <w:t>. SEIA also note that</w:t>
      </w:r>
      <w:r w:rsidRPr="00461C10">
        <w:t xml:space="preserve"> the types of projects necessary for residential electrification, such as service-level and main panel upgrades, could be streamlined with a statewide target.</w:t>
      </w:r>
      <w:r w:rsidRPr="00461C10">
        <w:rPr>
          <w:rStyle w:val="FootnoteReference"/>
        </w:rPr>
        <w:footnoteReference w:id="57"/>
      </w:r>
      <w:r w:rsidRPr="00461C10" w:rsidR="002B4321">
        <w:t xml:space="preserve"> SEIA state that residential electrification projects, unlike larger commercial-scale electric service requests, are typically similar and do not require consideration of differences between the </w:t>
      </w:r>
      <w:r w:rsidRPr="00461C10" w:rsidR="00EB39E9">
        <w:t xml:space="preserve">large electric </w:t>
      </w:r>
      <w:r w:rsidRPr="00461C10" w:rsidR="002B4321">
        <w:t xml:space="preserve">IOU service territories or other location-based requirements. </w:t>
      </w:r>
    </w:p>
    <w:p w:rsidRPr="00461C10" w:rsidR="00ED2658" w:rsidP="00D959F2" w:rsidRDefault="001C6EB3" w14:paraId="4EA446C4" w14:textId="3D161E54">
      <w:pPr>
        <w:pStyle w:val="Standard"/>
      </w:pPr>
      <w:r w:rsidRPr="00461C10">
        <w:lastRenderedPageBreak/>
        <w:t xml:space="preserve">We </w:t>
      </w:r>
      <w:r w:rsidRPr="00461C10" w:rsidR="00B309DA">
        <w:t xml:space="preserve">agree with </w:t>
      </w:r>
      <w:r w:rsidRPr="00461C10" w:rsidR="00ED2658">
        <w:t>SEIA</w:t>
      </w:r>
      <w:r w:rsidRPr="00461C10" w:rsidR="00B309DA">
        <w:t xml:space="preserve"> that </w:t>
      </w:r>
      <w:r w:rsidRPr="00461C10" w:rsidR="000F06AC">
        <w:t>main panel upgrade work</w:t>
      </w:r>
      <w:r w:rsidRPr="00461C10" w:rsidR="00587512">
        <w:t xml:space="preserve"> that is fully under the large electric IOUs’ control should be completed more quickly than more complex projects described in Sections</w:t>
      </w:r>
      <w:r w:rsidRPr="00461C10" w:rsidR="00961927">
        <w:t xml:space="preserve"> 7.1 and 7.2 above. The targets adopted in this decision apply solely to</w:t>
      </w:r>
      <w:r w:rsidRPr="00461C10" w:rsidR="00C04B4F">
        <w:t xml:space="preserve"> work that is fully under the utility’s control and is necessary to complete </w:t>
      </w:r>
      <w:r w:rsidRPr="00461C10" w:rsidR="00ED2658">
        <w:t>main panel upgrade</w:t>
      </w:r>
      <w:r w:rsidRPr="00461C10" w:rsidR="0053536A">
        <w:t>s</w:t>
      </w:r>
      <w:r w:rsidRPr="00461C10" w:rsidR="003670A8">
        <w:t xml:space="preserve"> that </w:t>
      </w:r>
      <w:r w:rsidRPr="00461C10" w:rsidR="0053536A">
        <w:t xml:space="preserve">do not require any </w:t>
      </w:r>
      <w:r w:rsidRPr="00461C10" w:rsidR="00E2464A">
        <w:t xml:space="preserve">distribution system or </w:t>
      </w:r>
      <w:r w:rsidRPr="00461C10" w:rsidR="0053536A">
        <w:t>upstream capacity upgrades</w:t>
      </w:r>
      <w:r w:rsidRPr="00461C10" w:rsidR="00ED2658">
        <w:t xml:space="preserve"> within an average </w:t>
      </w:r>
      <w:r w:rsidRPr="00461C10" w:rsidR="00F73967">
        <w:t xml:space="preserve">time period </w:t>
      </w:r>
      <w:r w:rsidRPr="00461C10" w:rsidR="00ED2658">
        <w:t>of 30</w:t>
      </w:r>
      <w:r w:rsidRPr="00461C10" w:rsidR="00197322">
        <w:t> business days</w:t>
      </w:r>
      <w:r w:rsidRPr="00461C10" w:rsidR="00ED2658">
        <w:t xml:space="preserve"> and a maximum time</w:t>
      </w:r>
      <w:r w:rsidRPr="00461C10" w:rsidR="00F73967">
        <w:t xml:space="preserve"> </w:t>
      </w:r>
      <w:r w:rsidRPr="00461C10" w:rsidR="00ED2658">
        <w:t xml:space="preserve">period of </w:t>
      </w:r>
      <w:r w:rsidRPr="00461C10" w:rsidR="004135B9">
        <w:t>45 </w:t>
      </w:r>
      <w:r w:rsidRPr="00461C10" w:rsidR="00197322">
        <w:t>business days</w:t>
      </w:r>
      <w:r w:rsidRPr="00461C10" w:rsidR="00ED2658">
        <w:t>.</w:t>
      </w:r>
      <w:r w:rsidRPr="00461C10" w:rsidR="005D03B7">
        <w:rPr>
          <w:rStyle w:val="FootnoteReference"/>
        </w:rPr>
        <w:footnoteReference w:id="58"/>
      </w:r>
      <w:r w:rsidRPr="00461C10" w:rsidR="00ED2658">
        <w:t xml:space="preserve"> </w:t>
      </w:r>
      <w:r w:rsidRPr="00461C10" w:rsidR="002B4321">
        <w:t xml:space="preserve"> Residential </w:t>
      </w:r>
      <w:r w:rsidRPr="00461C10" w:rsidR="00801E37">
        <w:t xml:space="preserve">and small business customer </w:t>
      </w:r>
      <w:r w:rsidRPr="00461C10" w:rsidR="002B4321">
        <w:t xml:space="preserve">energization requests do not </w:t>
      </w:r>
      <w:r w:rsidRPr="00461C10" w:rsidR="00D33939">
        <w:t xml:space="preserve">always </w:t>
      </w:r>
      <w:r w:rsidRPr="00461C10" w:rsidR="002B4321">
        <w:t xml:space="preserve">require </w:t>
      </w:r>
      <w:r w:rsidRPr="00461C10" w:rsidR="00F47855">
        <w:t xml:space="preserve">major infrastructure </w:t>
      </w:r>
      <w:r w:rsidRPr="00461C10" w:rsidR="002B4321">
        <w:t>upgrades</w:t>
      </w:r>
      <w:r w:rsidRPr="00461C10" w:rsidR="00F47855">
        <w:t xml:space="preserve"> beyond the customer’s property site</w:t>
      </w:r>
      <w:r w:rsidRPr="00461C10" w:rsidR="002B4321">
        <w:t xml:space="preserve">, so </w:t>
      </w:r>
      <w:r w:rsidRPr="00461C10" w:rsidR="00C04B4F">
        <w:t xml:space="preserve">the utility work necessary to complete these requests </w:t>
      </w:r>
      <w:r w:rsidRPr="00461C10" w:rsidR="00DE21FD">
        <w:t xml:space="preserve">shall </w:t>
      </w:r>
      <w:r w:rsidRPr="00461C10" w:rsidR="002B4321">
        <w:t xml:space="preserve">be completed within this 30- to </w:t>
      </w:r>
      <w:r w:rsidRPr="00461C10" w:rsidR="00126095">
        <w:t>45</w:t>
      </w:r>
      <w:r w:rsidRPr="00461C10" w:rsidR="002B4321">
        <w:t xml:space="preserve">-day period by all of the large </w:t>
      </w:r>
      <w:r w:rsidRPr="00461C10" w:rsidR="00EB39E9">
        <w:t>electric</w:t>
      </w:r>
      <w:r w:rsidRPr="00461C10" w:rsidR="002B4321">
        <w:t xml:space="preserve"> IOUs in California.</w:t>
      </w:r>
    </w:p>
    <w:p w:rsidRPr="00461C10" w:rsidR="003B2CC8" w:rsidP="002B193C" w:rsidRDefault="00AF2087" w14:paraId="67C3D8EA" w14:textId="4DDFB0DC">
      <w:pPr>
        <w:pStyle w:val="Heading1"/>
        <w:ind w:left="720" w:hanging="720"/>
      </w:pPr>
      <w:bookmarkStart w:name="_Toc870611821" w:id="42"/>
      <w:bookmarkStart w:name="_Toc172024438" w:id="43"/>
      <w:bookmarkStart w:name="_Toc177469352" w:id="44"/>
      <w:r w:rsidRPr="00461C10">
        <w:t xml:space="preserve">Statewide </w:t>
      </w:r>
      <w:r w:rsidRPr="00461C10" w:rsidR="0033526C">
        <w:t xml:space="preserve">Maximum Timelines for </w:t>
      </w:r>
      <w:r w:rsidRPr="00461C10" w:rsidR="003E6A6E">
        <w:t xml:space="preserve">Upstream Capacity </w:t>
      </w:r>
      <w:r w:rsidRPr="00461C10" w:rsidR="00F373E8">
        <w:t>Upgrade</w:t>
      </w:r>
      <w:r w:rsidRPr="00461C10" w:rsidR="0033526C">
        <w:t>s</w:t>
      </w:r>
      <w:bookmarkEnd w:id="44"/>
      <w:r w:rsidRPr="00461C10" w:rsidR="00F373E8">
        <w:t xml:space="preserve"> </w:t>
      </w:r>
      <w:bookmarkEnd w:id="42"/>
      <w:bookmarkEnd w:id="43"/>
    </w:p>
    <w:p w:rsidRPr="00461C10" w:rsidR="0051228B" w:rsidP="00384B3C" w:rsidRDefault="002A7F94" w14:paraId="0F8777E1" w14:textId="1B566DEB">
      <w:pPr>
        <w:pStyle w:val="Standard"/>
      </w:pPr>
      <w:r w:rsidRPr="00461C10">
        <w:t>U</w:t>
      </w:r>
      <w:r w:rsidRPr="00461C10" w:rsidR="00405BD4">
        <w:t>pstream capacity upgrades</w:t>
      </w:r>
      <w:r w:rsidRPr="00461C10">
        <w:t xml:space="preserve"> that</w:t>
      </w:r>
      <w:r w:rsidRPr="00461C10" w:rsidR="00E526CB">
        <w:t xml:space="preserve"> are</w:t>
      </w:r>
      <w:r w:rsidRPr="00461C10">
        <w:t xml:space="preserve"> triggered by </w:t>
      </w:r>
      <w:r w:rsidRPr="00461C10" w:rsidR="00E526CB">
        <w:t xml:space="preserve">energization projects </w:t>
      </w:r>
      <w:r w:rsidRPr="00461C10">
        <w:t>are</w:t>
      </w:r>
      <w:r w:rsidRPr="00461C10" w:rsidR="00405BD4">
        <w:t xml:space="preserve"> </w:t>
      </w:r>
      <w:r w:rsidRPr="00461C10">
        <w:t>a</w:t>
      </w:r>
      <w:r w:rsidRPr="00461C10" w:rsidR="00C537D9">
        <w:t xml:space="preserve"> </w:t>
      </w:r>
      <w:r w:rsidRPr="00461C10" w:rsidR="00405BD4">
        <w:t>part of the overall energization process</w:t>
      </w:r>
      <w:r w:rsidRPr="00461C10" w:rsidR="00105626">
        <w:t>.</w:t>
      </w:r>
      <w:r w:rsidRPr="00461C10" w:rsidR="00C37B49">
        <w:t xml:space="preserve"> </w:t>
      </w:r>
      <w:r w:rsidRPr="00461C10" w:rsidR="00FF2943">
        <w:t>S</w:t>
      </w:r>
      <w:r w:rsidRPr="00461C10" w:rsidR="004226F3">
        <w:t>etting targets for upstream capacity activities</w:t>
      </w:r>
      <w:r w:rsidRPr="00461C10" w:rsidR="00FF2943">
        <w:t xml:space="preserve"> often include more complicated work by the large electric IOUs</w:t>
      </w:r>
      <w:r w:rsidRPr="00461C10" w:rsidR="00351B6C">
        <w:t xml:space="preserve"> </w:t>
      </w:r>
      <w:r w:rsidRPr="00461C10" w:rsidR="0024258D">
        <w:t xml:space="preserve">that </w:t>
      </w:r>
      <w:r w:rsidRPr="00461C10" w:rsidR="009D40D5">
        <w:t xml:space="preserve">require </w:t>
      </w:r>
      <w:r w:rsidRPr="00461C10" w:rsidR="00A506BE">
        <w:t>the Commission to treat</w:t>
      </w:r>
      <w:r w:rsidRPr="00461C10" w:rsidR="005E36E5">
        <w:t xml:space="preserve"> upstream capacity activities differently than work associated with the </w:t>
      </w:r>
      <w:r w:rsidRPr="00461C10" w:rsidR="00E26410">
        <w:t>E</w:t>
      </w:r>
      <w:r w:rsidRPr="00461C10" w:rsidR="005E36E5">
        <w:t xml:space="preserve">lectric </w:t>
      </w:r>
      <w:r w:rsidRPr="00461C10" w:rsidR="00E26410">
        <w:t>T</w:t>
      </w:r>
      <w:r w:rsidRPr="00461C10" w:rsidR="005E36E5">
        <w:t xml:space="preserve">ariffs. </w:t>
      </w:r>
    </w:p>
    <w:p w:rsidRPr="00461C10" w:rsidR="00947F30" w:rsidP="00384B3C" w:rsidRDefault="00835AD7" w14:paraId="5720B510" w14:textId="70F6BB4D">
      <w:pPr>
        <w:pStyle w:val="Standard"/>
      </w:pPr>
      <w:r w:rsidRPr="00461C10">
        <w:t>First</w:t>
      </w:r>
      <w:r w:rsidRPr="00461C10" w:rsidR="00022D50">
        <w:t>, t</w:t>
      </w:r>
      <w:r w:rsidRPr="00461C10" w:rsidR="00B34CA1">
        <w:t>here are</w:t>
      </w:r>
      <w:r w:rsidRPr="00461C10" w:rsidR="0051372A">
        <w:t xml:space="preserve"> unique differences for each</w:t>
      </w:r>
      <w:r w:rsidRPr="00461C10" w:rsidR="00311FB6">
        <w:t xml:space="preserve"> </w:t>
      </w:r>
      <w:r w:rsidRPr="00461C10" w:rsidR="004C19FD">
        <w:t xml:space="preserve">upstream capacity upgrade </w:t>
      </w:r>
      <w:r w:rsidRPr="00461C10" w:rsidR="00311FB6">
        <w:t>project</w:t>
      </w:r>
      <w:r w:rsidRPr="00461C10" w:rsidR="002E1096">
        <w:t xml:space="preserve"> </w:t>
      </w:r>
      <w:r w:rsidRPr="00461C10" w:rsidR="00B34CA1">
        <w:t>that complicate the Commission’s efforts to develop</w:t>
      </w:r>
      <w:r w:rsidRPr="00461C10" w:rsidR="00311FB6">
        <w:t xml:space="preserve"> standardize</w:t>
      </w:r>
      <w:r w:rsidRPr="00461C10" w:rsidR="00B34CA1">
        <w:t>d</w:t>
      </w:r>
      <w:r w:rsidRPr="00461C10" w:rsidR="00311FB6">
        <w:t xml:space="preserve"> </w:t>
      </w:r>
      <w:r w:rsidRPr="00461C10" w:rsidR="00866AE2">
        <w:t xml:space="preserve">average and maximum </w:t>
      </w:r>
      <w:r w:rsidRPr="00461C10" w:rsidR="0051372A">
        <w:t>targets for upstream capacity upgrade projects.</w:t>
      </w:r>
      <w:r w:rsidRPr="00461C10">
        <w:t xml:space="preserve"> Second</w:t>
      </w:r>
      <w:r w:rsidRPr="00461C10" w:rsidR="00B65504">
        <w:t>, t</w:t>
      </w:r>
      <w:r w:rsidRPr="00461C10" w:rsidR="00DA5714">
        <w:t>he three large electric IOUs provided insufficient</w:t>
      </w:r>
      <w:r w:rsidRPr="00461C10" w:rsidR="00EF2A4F">
        <w:t xml:space="preserve"> and inconsistent</w:t>
      </w:r>
      <w:r w:rsidRPr="00461C10" w:rsidR="00DA5714">
        <w:t xml:space="preserve"> data regarding timelines for upstream capacity work.</w:t>
      </w:r>
      <w:r w:rsidRPr="00461C10" w:rsidR="00D209E1">
        <w:t xml:space="preserve"> </w:t>
      </w:r>
      <w:r w:rsidRPr="00461C10" w:rsidR="00DA5714">
        <w:t>SDG&amp;E did not provide data for certain categories of capacity upgrade work as indicated in Table 4 below</w:t>
      </w:r>
      <w:r w:rsidRPr="00461C10" w:rsidR="00F01E06">
        <w:t>,</w:t>
      </w:r>
      <w:r w:rsidRPr="00461C10" w:rsidR="00DA5714">
        <w:t xml:space="preserve"> </w:t>
      </w:r>
      <w:r w:rsidRPr="00461C10" w:rsidR="009F7476">
        <w:t xml:space="preserve">some utilities provided timelines that included </w:t>
      </w:r>
      <w:r w:rsidRPr="00461C10" w:rsidR="00BB3EC0">
        <w:t xml:space="preserve">time </w:t>
      </w:r>
      <w:r w:rsidRPr="00461C10" w:rsidR="00213044">
        <w:t>whe</w:t>
      </w:r>
      <w:r w:rsidRPr="00461C10" w:rsidR="00774B1E">
        <w:t>n the utility</w:t>
      </w:r>
      <w:r w:rsidRPr="00461C10" w:rsidR="00F72D9B">
        <w:t xml:space="preserve"> had not </w:t>
      </w:r>
      <w:r w:rsidRPr="00461C10" w:rsidR="00F72D9B">
        <w:lastRenderedPageBreak/>
        <w:t xml:space="preserve">initiated </w:t>
      </w:r>
      <w:r w:rsidRPr="00461C10" w:rsidR="006F51E8">
        <w:t>a</w:t>
      </w:r>
      <w:r w:rsidRPr="00461C10" w:rsidR="00F97578">
        <w:t xml:space="preserve"> project</w:t>
      </w:r>
      <w:r w:rsidRPr="00461C10" w:rsidR="00F051E8">
        <w:t xml:space="preserve"> as discussed more below</w:t>
      </w:r>
      <w:r w:rsidRPr="00461C10" w:rsidR="002962CE">
        <w:t xml:space="preserve">, and </w:t>
      </w:r>
      <w:r w:rsidRPr="00461C10" w:rsidR="005A0F99">
        <w:t xml:space="preserve">the utilities provided summary statistics </w:t>
      </w:r>
      <w:r w:rsidRPr="00461C10" w:rsidR="00FC299E">
        <w:t>instead of raw data</w:t>
      </w:r>
      <w:r w:rsidRPr="00461C10" w:rsidR="00F051E8">
        <w:t xml:space="preserve"> for in-depth analysis</w:t>
      </w:r>
      <w:r w:rsidRPr="00461C10" w:rsidR="00DA5714">
        <w:t>.</w:t>
      </w:r>
      <w:r w:rsidRPr="00461C10" w:rsidR="00264A46">
        <w:t xml:space="preserve"> </w:t>
      </w:r>
      <w:r w:rsidRPr="00461C10" w:rsidR="00981747">
        <w:t>T</w:t>
      </w:r>
      <w:r w:rsidRPr="00461C10" w:rsidR="00494A0E">
        <w:t>ogether, t</w:t>
      </w:r>
      <w:r w:rsidRPr="00461C10" w:rsidR="00EE5573">
        <w:t>h</w:t>
      </w:r>
      <w:r w:rsidRPr="00461C10" w:rsidR="005D2874">
        <w:t>ese factors</w:t>
      </w:r>
      <w:r w:rsidRPr="00461C10" w:rsidR="00EE5573">
        <w:t xml:space="preserve"> make it difficult to compare data and determine </w:t>
      </w:r>
      <w:r w:rsidRPr="00461C10" w:rsidR="00A53FF1">
        <w:t>t</w:t>
      </w:r>
      <w:r w:rsidRPr="00461C10" w:rsidR="00F051E8">
        <w:t>argets</w:t>
      </w:r>
      <w:r w:rsidRPr="00461C10" w:rsidR="00B54D54">
        <w:t xml:space="preserve">. </w:t>
      </w:r>
    </w:p>
    <w:p w:rsidRPr="00461C10" w:rsidR="00E37389" w:rsidP="00384B3C" w:rsidRDefault="00BC6B7C" w14:paraId="200F5616" w14:textId="3EEF0F69">
      <w:pPr>
        <w:pStyle w:val="Standard"/>
      </w:pPr>
      <w:r w:rsidRPr="00461C10">
        <w:t xml:space="preserve">In Opening Comments on this PD, parties </w:t>
      </w:r>
      <w:r w:rsidRPr="00461C10" w:rsidR="009B6FBA">
        <w:t>including</w:t>
      </w:r>
      <w:r w:rsidRPr="00461C10" w:rsidR="000446C8">
        <w:t xml:space="preserve"> </w:t>
      </w:r>
      <w:r w:rsidRPr="00461C10" w:rsidR="00E25796">
        <w:t>IREC</w:t>
      </w:r>
      <w:r w:rsidRPr="00461C10" w:rsidR="001901B9">
        <w:t xml:space="preserve">, </w:t>
      </w:r>
      <w:r w:rsidRPr="00461C10" w:rsidR="00E25796">
        <w:t>EDF/NRDC</w:t>
      </w:r>
      <w:r w:rsidRPr="00461C10" w:rsidR="001901B9">
        <w:t xml:space="preserve">, </w:t>
      </w:r>
      <w:r w:rsidRPr="00461C10" w:rsidR="004C307E">
        <w:t xml:space="preserve">PACT, </w:t>
      </w:r>
      <w:r w:rsidRPr="00461C10" w:rsidR="006A7B32">
        <w:t xml:space="preserve">CALSTART, and others </w:t>
      </w:r>
      <w:r w:rsidRPr="00461C10" w:rsidR="006C1281">
        <w:t>expressed concerns regarding the Commission’s decision not to establish targets for upstream capacity upgrades</w:t>
      </w:r>
      <w:r w:rsidRPr="00461C10" w:rsidR="005D384C">
        <w:t>. These parties highlig</w:t>
      </w:r>
      <w:r w:rsidRPr="00461C10" w:rsidR="001E71BE">
        <w:t xml:space="preserve">ht </w:t>
      </w:r>
      <w:r w:rsidRPr="00461C10" w:rsidR="00092345">
        <w:t xml:space="preserve">that </w:t>
      </w:r>
      <w:r w:rsidRPr="00461C10" w:rsidR="005032A3">
        <w:t>upstream capacity projects</w:t>
      </w:r>
      <w:r w:rsidRPr="00461C10" w:rsidR="006C1281">
        <w:t xml:space="preserve"> </w:t>
      </w:r>
      <w:r w:rsidRPr="00461C10" w:rsidR="00BF1971">
        <w:t xml:space="preserve">are important for </w:t>
      </w:r>
      <w:r w:rsidRPr="00461C10" w:rsidR="006C1281">
        <w:t>t</w:t>
      </w:r>
      <w:r w:rsidRPr="00461C10" w:rsidR="009E69AE">
        <w:t>he Transportation Electrification</w:t>
      </w:r>
      <w:r w:rsidRPr="00461C10" w:rsidR="00DF304E">
        <w:t xml:space="preserve"> sector</w:t>
      </w:r>
      <w:r w:rsidRPr="00461C10" w:rsidR="009E69AE">
        <w:t xml:space="preserve"> </w:t>
      </w:r>
      <w:r w:rsidRPr="00461C10" w:rsidR="00A03CE3">
        <w:t xml:space="preserve">because </w:t>
      </w:r>
      <w:r w:rsidRPr="00461C10" w:rsidR="009E69AE">
        <w:t>EV charging stations</w:t>
      </w:r>
      <w:r w:rsidRPr="00461C10" w:rsidR="00A03CE3">
        <w:t xml:space="preserve"> tend to</w:t>
      </w:r>
      <w:r w:rsidRPr="00461C10" w:rsidR="00A87D8C">
        <w:t xml:space="preserve"> </w:t>
      </w:r>
      <w:r w:rsidRPr="00461C10" w:rsidR="00173DFD">
        <w:t xml:space="preserve">require </w:t>
      </w:r>
      <w:r w:rsidRPr="00461C10" w:rsidR="003F1BD7">
        <w:t>significant electrical capacity</w:t>
      </w:r>
      <w:r w:rsidRPr="00461C10" w:rsidR="005032A3">
        <w:t xml:space="preserve"> to operate</w:t>
      </w:r>
      <w:r w:rsidRPr="00461C10" w:rsidR="00AE54B1">
        <w:t xml:space="preserve">. </w:t>
      </w:r>
      <w:r w:rsidRPr="00461C10" w:rsidR="00AA2A59">
        <w:t>The</w:t>
      </w:r>
      <w:r w:rsidRPr="00461C10" w:rsidR="00C570C8">
        <w:t>se</w:t>
      </w:r>
      <w:r w:rsidRPr="00461C10" w:rsidR="00AA2A59">
        <w:t xml:space="preserve"> </w:t>
      </w:r>
      <w:r w:rsidRPr="00461C10" w:rsidR="00B24506">
        <w:t xml:space="preserve">parties </w:t>
      </w:r>
      <w:r w:rsidRPr="00461C10" w:rsidR="00FE2F83">
        <w:t>also argu</w:t>
      </w:r>
      <w:r w:rsidRPr="00461C10" w:rsidR="000A792D">
        <w:t>e</w:t>
      </w:r>
      <w:r w:rsidRPr="00461C10" w:rsidR="00FE2F83">
        <w:t xml:space="preserve"> that the Commission is</w:t>
      </w:r>
      <w:r w:rsidRPr="00461C10" w:rsidR="005F0AFB">
        <w:t xml:space="preserve"> not</w:t>
      </w:r>
      <w:r w:rsidRPr="00461C10" w:rsidR="00FE2F83">
        <w:t xml:space="preserve"> fulfilling </w:t>
      </w:r>
      <w:r w:rsidRPr="00461C10" w:rsidR="001C61CA">
        <w:t xml:space="preserve">the statutory obligations of SB 410 </w:t>
      </w:r>
      <w:r w:rsidRPr="00461C10" w:rsidR="00345168">
        <w:t>by not setting targets</w:t>
      </w:r>
      <w:r w:rsidRPr="00461C10" w:rsidR="009B6FBA">
        <w:t xml:space="preserve"> </w:t>
      </w:r>
      <w:r w:rsidRPr="00461C10" w:rsidR="00775B75">
        <w:t xml:space="preserve">and </w:t>
      </w:r>
      <w:r w:rsidRPr="00461C10" w:rsidR="00E164A4">
        <w:t xml:space="preserve">request clarification on whether the </w:t>
      </w:r>
      <w:r w:rsidRPr="00461C10" w:rsidR="00D569B5">
        <w:t xml:space="preserve">proposed capacity timelines are </w:t>
      </w:r>
      <w:r w:rsidRPr="00461C10" w:rsidR="00F26979">
        <w:t>averages</w:t>
      </w:r>
      <w:r w:rsidRPr="00461C10" w:rsidR="00BC76E4">
        <w:t xml:space="preserve"> or </w:t>
      </w:r>
      <w:r w:rsidRPr="00461C10" w:rsidR="00CC08E7">
        <w:t>medians</w:t>
      </w:r>
      <w:r w:rsidRPr="00461C10" w:rsidR="009B6FBA">
        <w:t>.</w:t>
      </w:r>
      <w:r w:rsidRPr="00461C10" w:rsidR="009B6FBA">
        <w:rPr>
          <w:rStyle w:val="FootnoteReference"/>
        </w:rPr>
        <w:t xml:space="preserve"> </w:t>
      </w:r>
      <w:r w:rsidRPr="00461C10" w:rsidR="009B6FBA">
        <w:rPr>
          <w:rStyle w:val="FootnoteReference"/>
        </w:rPr>
        <w:footnoteReference w:id="59"/>
      </w:r>
      <w:r w:rsidRPr="00461C10" w:rsidR="009B6FBA">
        <w:rPr>
          <w:rStyle w:val="FootnoteReference"/>
        </w:rPr>
        <w:t>,</w:t>
      </w:r>
      <w:r w:rsidRPr="00461C10" w:rsidR="009B6FBA">
        <w:t xml:space="preserve"> </w:t>
      </w:r>
      <w:r w:rsidRPr="00461C10" w:rsidR="00BC76E4">
        <w:rPr>
          <w:rStyle w:val="FootnoteReference"/>
        </w:rPr>
        <w:footnoteReference w:id="60"/>
      </w:r>
      <w:r w:rsidRPr="00461C10" w:rsidR="00540DBF">
        <w:t xml:space="preserve"> </w:t>
      </w:r>
      <w:r w:rsidRPr="00461C10" w:rsidR="00317B1B">
        <w:t>On</w:t>
      </w:r>
      <w:r w:rsidRPr="00461C10" w:rsidR="007F3338">
        <w:t xml:space="preserve"> the </w:t>
      </w:r>
      <w:r w:rsidRPr="00461C10" w:rsidR="00317B1B">
        <w:t>other hand,</w:t>
      </w:r>
      <w:r w:rsidRPr="00461C10" w:rsidR="005B14D4">
        <w:t xml:space="preserve"> SDG&amp;E</w:t>
      </w:r>
      <w:r w:rsidR="00E73849">
        <w:t xml:space="preserve"> </w:t>
      </w:r>
      <w:r w:rsidRPr="00461C10" w:rsidR="005B14D4">
        <w:t xml:space="preserve">and SCE </w:t>
      </w:r>
      <w:r w:rsidRPr="00461C10" w:rsidR="0095640A">
        <w:t>a</w:t>
      </w:r>
      <w:r w:rsidRPr="00461C10" w:rsidR="00A72FA7">
        <w:t>ssert</w:t>
      </w:r>
      <w:r w:rsidRPr="00461C10" w:rsidR="007F3338">
        <w:t xml:space="preserve"> that the timelines are </w:t>
      </w:r>
      <w:r w:rsidRPr="00461C10" w:rsidR="008810BF">
        <w:t xml:space="preserve">too </w:t>
      </w:r>
      <w:r w:rsidRPr="00461C10" w:rsidR="007F3338">
        <w:t xml:space="preserve">aggressive and should </w:t>
      </w:r>
      <w:r w:rsidRPr="00461C10" w:rsidR="008810BF">
        <w:t xml:space="preserve">either be longer as </w:t>
      </w:r>
      <w:r w:rsidRPr="00461C10" w:rsidR="002E6D9F">
        <w:t>requested by SDGE or revisited in Phase 2 as suggested by SCE.</w:t>
      </w:r>
      <w:r w:rsidRPr="00461C10" w:rsidR="00526EBA">
        <w:rPr>
          <w:rStyle w:val="FootnoteReference"/>
        </w:rPr>
        <w:footnoteReference w:id="61"/>
      </w:r>
      <w:r w:rsidRPr="00461C10" w:rsidR="00526EBA">
        <w:t>,</w:t>
      </w:r>
      <w:r w:rsidRPr="00461C10" w:rsidR="00526EBA">
        <w:rPr>
          <w:rStyle w:val="FootnoteReference"/>
        </w:rPr>
        <w:footnoteReference w:id="62"/>
      </w:r>
      <w:r w:rsidRPr="00461C10" w:rsidR="00526EBA">
        <w:t xml:space="preserve"> </w:t>
      </w:r>
      <w:r w:rsidRPr="00461C10" w:rsidR="002E6D9F">
        <w:t xml:space="preserve"> </w:t>
      </w:r>
      <w:r w:rsidRPr="00461C10" w:rsidR="005B14D4">
        <w:t xml:space="preserve"> </w:t>
      </w:r>
      <w:r w:rsidRPr="00461C10" w:rsidR="002E6D9F">
        <w:t xml:space="preserve">PG&amp;E </w:t>
      </w:r>
      <w:r w:rsidRPr="00461C10" w:rsidR="006E3AB7">
        <w:t xml:space="preserve">mainly </w:t>
      </w:r>
      <w:r w:rsidRPr="00461C10" w:rsidR="00DC2B0A">
        <w:t xml:space="preserve">highlights that </w:t>
      </w:r>
      <w:r w:rsidRPr="00461C10" w:rsidR="00FE26CB">
        <w:t xml:space="preserve">the </w:t>
      </w:r>
      <w:r w:rsidRPr="00461C10" w:rsidR="00B648B1">
        <w:t xml:space="preserve">adopted timelines </w:t>
      </w:r>
      <w:r w:rsidRPr="00461C10" w:rsidR="00CF05B1">
        <w:t xml:space="preserve">omit key </w:t>
      </w:r>
      <w:r w:rsidRPr="00461C10" w:rsidR="000F556E">
        <w:t>ca</w:t>
      </w:r>
      <w:r w:rsidRPr="00461C10" w:rsidR="00CF05B1">
        <w:t>pacity upgrade timeline factors</w:t>
      </w:r>
      <w:r w:rsidRPr="00461C10" w:rsidR="00A614FE">
        <w:t xml:space="preserve"> and re</w:t>
      </w:r>
      <w:r w:rsidRPr="00461C10" w:rsidR="00BF7B84">
        <w:t>quests assurances regarding their ability to recover incremental costs of meeting the timelines adopted in this decision</w:t>
      </w:r>
      <w:r w:rsidRPr="00461C10" w:rsidR="00526EBA">
        <w:t>.</w:t>
      </w:r>
      <w:r w:rsidRPr="00461C10" w:rsidR="000F556E">
        <w:rPr>
          <w:rStyle w:val="FootnoteReference"/>
        </w:rPr>
        <w:footnoteReference w:id="63"/>
      </w:r>
      <w:r w:rsidRPr="00461C10" w:rsidR="005B14D4">
        <w:t xml:space="preserve"> </w:t>
      </w:r>
    </w:p>
    <w:p w:rsidRPr="00461C10" w:rsidR="00BC6B7C" w:rsidP="00384B3C" w:rsidRDefault="0055037B" w14:paraId="090AEF73" w14:textId="053F68B5">
      <w:pPr>
        <w:pStyle w:val="Standard"/>
      </w:pPr>
      <w:r w:rsidRPr="00461C10">
        <w:t>It is important that the Commission address these concerns</w:t>
      </w:r>
      <w:r w:rsidRPr="00461C10" w:rsidR="59352950">
        <w:t>,</w:t>
      </w:r>
      <w:r w:rsidRPr="00461C10" w:rsidR="014D8EA7">
        <w:t xml:space="preserve"> starting with the </w:t>
      </w:r>
      <w:r w:rsidRPr="00461C10" w:rsidR="00AD2150">
        <w:t xml:space="preserve">parties </w:t>
      </w:r>
      <w:r w:rsidRPr="00461C10" w:rsidR="014D8EA7">
        <w:t>who</w:t>
      </w:r>
      <w:r w:rsidRPr="00461C10" w:rsidR="4D15D0B6">
        <w:t xml:space="preserve"> argu</w:t>
      </w:r>
      <w:r w:rsidRPr="00461C10" w:rsidR="014D8EA7">
        <w:t>e</w:t>
      </w:r>
      <w:r w:rsidRPr="00461C10" w:rsidR="00AD2150">
        <w:t xml:space="preserve"> that the Commission is not meeting </w:t>
      </w:r>
      <w:r w:rsidRPr="00461C10" w:rsidR="4D15D0B6">
        <w:t>its</w:t>
      </w:r>
      <w:r w:rsidRPr="00461C10" w:rsidR="00AD2150">
        <w:t xml:space="preserve"> statutory obligation</w:t>
      </w:r>
      <w:r w:rsidRPr="00461C10" w:rsidR="3AF82B24">
        <w:t>.</w:t>
      </w:r>
      <w:r w:rsidRPr="00461C10" w:rsidR="4D15D0B6">
        <w:t xml:space="preserve"> </w:t>
      </w:r>
      <w:r w:rsidRPr="00461C10" w:rsidR="3AF82B24">
        <w:t>T</w:t>
      </w:r>
      <w:r w:rsidRPr="00461C10" w:rsidR="32DDAA02">
        <w:t>h</w:t>
      </w:r>
      <w:r w:rsidRPr="00461C10" w:rsidR="1C7B4501">
        <w:t xml:space="preserve">is </w:t>
      </w:r>
      <w:r w:rsidRPr="00461C10" w:rsidR="00540DBF">
        <w:t>decision</w:t>
      </w:r>
      <w:r w:rsidRPr="00461C10" w:rsidR="00126B8E">
        <w:t xml:space="preserve"> maintains that</w:t>
      </w:r>
      <w:r w:rsidRPr="00461C10" w:rsidR="008D2F56">
        <w:t xml:space="preserve"> </w:t>
      </w:r>
      <w:r w:rsidRPr="00461C10" w:rsidR="05FBE842">
        <w:t>AB 50</w:t>
      </w:r>
      <w:r w:rsidRPr="00461C10" w:rsidR="00BA3B7B">
        <w:t xml:space="preserve"> </w:t>
      </w:r>
      <w:r w:rsidRPr="00461C10" w:rsidR="00D51BDD">
        <w:t xml:space="preserve">enables the Commission to </w:t>
      </w:r>
      <w:r w:rsidRPr="00461C10" w:rsidR="008D2F56">
        <w:t xml:space="preserve">set </w:t>
      </w:r>
      <w:r w:rsidRPr="00461C10" w:rsidR="00BA3B7B">
        <w:t xml:space="preserve">unique or extended timelines for project types that “include, but are not limited </w:t>
      </w:r>
      <w:r w:rsidRPr="00461C10" w:rsidR="00BA3B7B">
        <w:lastRenderedPageBreak/>
        <w:t>to, projects requiring substantial upstream capacity upgrades or substation upgrades, unanticipated engineering or construction work, or projects requiring energization of significant, unanticipated new load”.</w:t>
      </w:r>
      <w:r w:rsidRPr="00461C10" w:rsidR="00EC13E7">
        <w:t xml:space="preserve"> </w:t>
      </w:r>
      <w:r w:rsidRPr="00461C10" w:rsidR="00671064">
        <w:t xml:space="preserve">Upstream </w:t>
      </w:r>
      <w:r w:rsidRPr="00461C10" w:rsidR="005108D6">
        <w:t>c</w:t>
      </w:r>
      <w:r w:rsidRPr="00461C10" w:rsidR="00EC13E7">
        <w:t xml:space="preserve">apacity </w:t>
      </w:r>
      <w:r w:rsidRPr="00461C10" w:rsidR="31F61A4A">
        <w:t>project</w:t>
      </w:r>
      <w:r w:rsidRPr="00461C10" w:rsidR="610899E5">
        <w:t>s</w:t>
      </w:r>
      <w:r w:rsidRPr="00461C10">
        <w:t xml:space="preserve"> not only</w:t>
      </w:r>
      <w:r w:rsidRPr="00461C10" w:rsidR="00EC13E7">
        <w:t xml:space="preserve"> fit </w:t>
      </w:r>
      <w:r w:rsidRPr="00461C10" w:rsidR="00370D6A">
        <w:t>th</w:t>
      </w:r>
      <w:r w:rsidRPr="00461C10">
        <w:t>is description but are explicitly called out</w:t>
      </w:r>
      <w:r w:rsidRPr="00461C10" w:rsidR="00445E04">
        <w:t xml:space="preserve"> in the code</w:t>
      </w:r>
      <w:r w:rsidRPr="00461C10" w:rsidR="00EE3C91">
        <w:t>.</w:t>
      </w:r>
      <w:r w:rsidRPr="00461C10" w:rsidR="00B20EB5">
        <w:t xml:space="preserve"> However, the Commission acknowledges that timely completion of upstream capacity work is critical to achieving California’s economic </w:t>
      </w:r>
      <w:r w:rsidRPr="00461C10" w:rsidR="00C65A7C">
        <w:t>and climate goals and a</w:t>
      </w:r>
      <w:r w:rsidRPr="00461C10" w:rsidR="00AF0504">
        <w:t xml:space="preserve">dopts </w:t>
      </w:r>
      <w:r w:rsidRPr="00461C10" w:rsidR="00A05066">
        <w:t xml:space="preserve">the </w:t>
      </w:r>
      <w:r w:rsidRPr="00461C10" w:rsidR="00AF0504">
        <w:t xml:space="preserve">timelines </w:t>
      </w:r>
      <w:r w:rsidRPr="00461C10" w:rsidR="00A05066">
        <w:t>described below with the intention of speeding up this work</w:t>
      </w:r>
      <w:r w:rsidRPr="00461C10" w:rsidR="00C65A7C">
        <w:t>.</w:t>
      </w:r>
      <w:r w:rsidRPr="00461C10" w:rsidR="00280B34">
        <w:t xml:space="preserve"> </w:t>
      </w:r>
      <w:r w:rsidRPr="00461C10" w:rsidR="00006551">
        <w:t>Regarding SCE</w:t>
      </w:r>
      <w:r w:rsidRPr="00461C10" w:rsidR="008C172B">
        <w:t xml:space="preserve">’s </w:t>
      </w:r>
      <w:r w:rsidRPr="00461C10" w:rsidR="00543C5C">
        <w:t>position</w:t>
      </w:r>
      <w:r w:rsidRPr="00461C10" w:rsidR="008C172B">
        <w:t>,</w:t>
      </w:r>
      <w:r w:rsidRPr="00461C10" w:rsidR="00280B34">
        <w:t xml:space="preserve"> </w:t>
      </w:r>
      <w:r w:rsidRPr="00461C10" w:rsidR="00DC3D49">
        <w:t xml:space="preserve">the Commission </w:t>
      </w:r>
      <w:r w:rsidRPr="00461C10" w:rsidR="00006551">
        <w:t>agrees that the timelines adopted herein should be revisited in phase 2</w:t>
      </w:r>
      <w:r w:rsidRPr="00461C10" w:rsidR="47158806">
        <w:t xml:space="preserve"> but reaffirms</w:t>
      </w:r>
      <w:r w:rsidRPr="00461C10" w:rsidR="63185E18">
        <w:t xml:space="preserve"> </w:t>
      </w:r>
      <w:r w:rsidRPr="00461C10" w:rsidR="15248DE2">
        <w:t>the</w:t>
      </w:r>
      <w:r w:rsidRPr="00461C10" w:rsidR="1A1CE236">
        <w:t xml:space="preserve"> importan</w:t>
      </w:r>
      <w:r w:rsidRPr="00461C10" w:rsidR="15248DE2">
        <w:t>ce</w:t>
      </w:r>
      <w:r w:rsidRPr="00461C10" w:rsidR="1A1CE236">
        <w:t xml:space="preserve"> </w:t>
      </w:r>
      <w:r w:rsidRPr="00461C10" w:rsidR="15248DE2">
        <w:t>of</w:t>
      </w:r>
      <w:r w:rsidRPr="00461C10" w:rsidR="1A1CE236">
        <w:t xml:space="preserve"> set</w:t>
      </w:r>
      <w:r w:rsidRPr="00461C10" w:rsidR="15248DE2">
        <w:t>ting</w:t>
      </w:r>
      <w:r w:rsidRPr="00461C10" w:rsidR="00370D6A">
        <w:t xml:space="preserve"> </w:t>
      </w:r>
      <w:r w:rsidRPr="00461C10" w:rsidR="00470975">
        <w:t>timelines</w:t>
      </w:r>
      <w:r w:rsidRPr="00461C10" w:rsidR="0096792C">
        <w:t xml:space="preserve"> now</w:t>
      </w:r>
      <w:r w:rsidRPr="00461C10" w:rsidR="00470975">
        <w:t xml:space="preserve"> to establish </w:t>
      </w:r>
      <w:r w:rsidRPr="00461C10" w:rsidR="00543C5C">
        <w:t>expectations</w:t>
      </w:r>
      <w:r w:rsidRPr="00461C10" w:rsidR="00370D6A">
        <w:t xml:space="preserve"> for planning and performance </w:t>
      </w:r>
      <w:r w:rsidRPr="00461C10" w:rsidR="00470975">
        <w:t>in advance of further refinement. SDG&amp;E</w:t>
      </w:r>
      <w:r w:rsidRPr="00461C10" w:rsidR="00D2614A">
        <w:t xml:space="preserve">’s </w:t>
      </w:r>
      <w:r w:rsidRPr="00461C10" w:rsidR="00543C5C">
        <w:t xml:space="preserve">request that the timelines be longer does not align </w:t>
      </w:r>
      <w:r w:rsidRPr="00461C10" w:rsidR="00B3567A">
        <w:t>with the spirit of SB 410, which is to</w:t>
      </w:r>
      <w:r w:rsidRPr="00461C10" w:rsidR="002A0926">
        <w:t xml:space="preserve"> accelerate energization</w:t>
      </w:r>
      <w:r w:rsidRPr="00461C10" w:rsidR="003B4A34">
        <w:t>”</w:t>
      </w:r>
      <w:r w:rsidRPr="00461C10" w:rsidR="003B4A34">
        <w:rPr>
          <w:rStyle w:val="FootnoteReference"/>
        </w:rPr>
        <w:footnoteReference w:id="64"/>
      </w:r>
      <w:r w:rsidRPr="00461C10" w:rsidR="003B4A34">
        <w:t>.</w:t>
      </w:r>
      <w:r w:rsidRPr="00461C10" w:rsidR="002A0926">
        <w:t xml:space="preserve"> </w:t>
      </w:r>
    </w:p>
    <w:p w:rsidRPr="00461C10" w:rsidR="007F5B63" w:rsidP="00187F65" w:rsidRDefault="00EF6D1E" w14:paraId="53772365" w14:textId="6420A264">
      <w:pPr>
        <w:pStyle w:val="Standard"/>
      </w:pPr>
      <w:r w:rsidRPr="00461C10">
        <w:t>Considering</w:t>
      </w:r>
      <w:r w:rsidRPr="00461C10" w:rsidR="00D170EB">
        <w:t xml:space="preserve"> </w:t>
      </w:r>
      <w:r w:rsidRPr="00461C10" w:rsidR="00005F58">
        <w:t>the</w:t>
      </w:r>
      <w:r w:rsidRPr="00461C10" w:rsidR="00AF59DF">
        <w:t xml:space="preserve"> aforementioned</w:t>
      </w:r>
      <w:r w:rsidRPr="00461C10" w:rsidR="00005F58">
        <w:t xml:space="preserve"> challenges</w:t>
      </w:r>
      <w:r w:rsidRPr="00461C10" w:rsidR="0038555E">
        <w:t xml:space="preserve"> and the Opening Comments</w:t>
      </w:r>
      <w:r w:rsidRPr="00461C10" w:rsidR="00005F58">
        <w:t>, t</w:t>
      </w:r>
      <w:r w:rsidRPr="00461C10" w:rsidR="0051228B">
        <w:t>his</w:t>
      </w:r>
      <w:r w:rsidRPr="00461C10" w:rsidR="00004236">
        <w:t xml:space="preserve"> decision</w:t>
      </w:r>
      <w:r w:rsidRPr="00461C10" w:rsidR="0051228B">
        <w:t xml:space="preserve"> </w:t>
      </w:r>
      <w:r w:rsidRPr="00461C10" w:rsidR="00004236">
        <w:t xml:space="preserve">adopts </w:t>
      </w:r>
      <w:r w:rsidRPr="00461C10" w:rsidR="00850FBD">
        <w:t>maximum</w:t>
      </w:r>
      <w:r w:rsidRPr="00461C10" w:rsidR="00004236">
        <w:t xml:space="preserve"> timelines for </w:t>
      </w:r>
      <w:r w:rsidRPr="00461C10" w:rsidR="0051228B">
        <w:t xml:space="preserve">certain portions of </w:t>
      </w:r>
      <w:r w:rsidRPr="00461C10" w:rsidR="00004236">
        <w:t>upstream capacity work</w:t>
      </w:r>
      <w:r w:rsidRPr="00461C10" w:rsidR="0051228B">
        <w:t xml:space="preserve"> that the large electric IOUs are responsible for completing</w:t>
      </w:r>
      <w:r w:rsidRPr="00461C10" w:rsidR="00004236">
        <w:t xml:space="preserve">. </w:t>
      </w:r>
      <w:r w:rsidRPr="00461C10" w:rsidR="007F0126">
        <w:t>Instead of</w:t>
      </w:r>
      <w:r w:rsidRPr="00461C10" w:rsidR="00004236">
        <w:t xml:space="preserve"> “targets” like those adopted for the </w:t>
      </w:r>
      <w:r w:rsidRPr="00461C10" w:rsidR="001241D1">
        <w:t>E</w:t>
      </w:r>
      <w:r w:rsidRPr="00461C10" w:rsidR="00004236">
        <w:t>lectric</w:t>
      </w:r>
      <w:r w:rsidRPr="00461C10" w:rsidR="00CC102D">
        <w:t xml:space="preserve"> </w:t>
      </w:r>
      <w:r w:rsidRPr="00461C10" w:rsidR="001241D1">
        <w:t>T</w:t>
      </w:r>
      <w:r w:rsidRPr="00461C10" w:rsidR="00004236">
        <w:t>ariffs, the Commission adopts statewide</w:t>
      </w:r>
      <w:r w:rsidRPr="00461C10" w:rsidR="00187F65">
        <w:t xml:space="preserve"> maximum</w:t>
      </w:r>
      <w:r w:rsidRPr="00461C10" w:rsidR="00004236">
        <w:t xml:space="preserve"> timelines that set expectations for utility performance and planning when an energization request triggers upstream capacity work.</w:t>
      </w:r>
      <w:r w:rsidRPr="00461C10" w:rsidR="00CC102D">
        <w:t xml:space="preserve"> These timelines are based on the </w:t>
      </w:r>
      <w:r w:rsidRPr="00461C10" w:rsidR="00003FBE">
        <w:t xml:space="preserve">limited </w:t>
      </w:r>
      <w:r w:rsidRPr="00461C10" w:rsidR="00CC102D">
        <w:t xml:space="preserve">data </w:t>
      </w:r>
      <w:r w:rsidRPr="00461C10" w:rsidR="00210419">
        <w:t xml:space="preserve">reported </w:t>
      </w:r>
      <w:r w:rsidRPr="00461C10" w:rsidR="00CC102D">
        <w:t>by the Joint IOUs</w:t>
      </w:r>
      <w:r w:rsidRPr="00461C10" w:rsidR="003E3F3D">
        <w:t xml:space="preserve">’ responses to the </w:t>
      </w:r>
      <w:r w:rsidRPr="00461C10" w:rsidR="00773A3A">
        <w:t>March 21, 2024</w:t>
      </w:r>
      <w:r w:rsidRPr="00461C10" w:rsidR="002C49BC">
        <w:t>,</w:t>
      </w:r>
      <w:r w:rsidRPr="00461C10" w:rsidR="00F51D66">
        <w:t xml:space="preserve"> </w:t>
      </w:r>
      <w:r w:rsidRPr="00461C10" w:rsidR="003E3F3D">
        <w:t xml:space="preserve">Administrative Law Judge’s </w:t>
      </w:r>
      <w:r w:rsidRPr="00461C10" w:rsidR="00523E05">
        <w:t xml:space="preserve">Ruling </w:t>
      </w:r>
      <w:r w:rsidRPr="00461C10" w:rsidR="002C724A">
        <w:t>D</w:t>
      </w:r>
      <w:r w:rsidRPr="00461C10" w:rsidR="00523E05">
        <w:t xml:space="preserve">irecting </w:t>
      </w:r>
      <w:r w:rsidRPr="00461C10" w:rsidR="002C724A">
        <w:t>U</w:t>
      </w:r>
      <w:r w:rsidRPr="00461C10" w:rsidR="00523E05">
        <w:t xml:space="preserve">tility </w:t>
      </w:r>
      <w:r w:rsidRPr="00461C10" w:rsidR="002C724A">
        <w:t>R</w:t>
      </w:r>
      <w:r w:rsidRPr="00461C10" w:rsidR="00523E05">
        <w:t xml:space="preserve">esponses to </w:t>
      </w:r>
      <w:r w:rsidRPr="00461C10" w:rsidR="002C724A">
        <w:t>Questions Regarding Energization Timelines</w:t>
      </w:r>
      <w:r w:rsidRPr="00461C10" w:rsidR="00AD5DA2">
        <w:t>.</w:t>
      </w:r>
      <w:r w:rsidRPr="00461C10" w:rsidR="002C724A">
        <w:t xml:space="preserve"> </w:t>
      </w:r>
      <w:r w:rsidRPr="00461C10" w:rsidR="00BA1CDD">
        <w:t>The timelines are intended to reflect the v</w:t>
      </w:r>
      <w:r w:rsidRPr="00461C10" w:rsidR="00373416">
        <w:t>ery different tim</w:t>
      </w:r>
      <w:r w:rsidRPr="00461C10" w:rsidR="009B538E">
        <w:t>e</w:t>
      </w:r>
      <w:r w:rsidRPr="00461C10" w:rsidR="00B55378">
        <w:t>frames</w:t>
      </w:r>
      <w:r w:rsidRPr="00461C10" w:rsidR="009B538E">
        <w:t xml:space="preserve"> necessary to complete each upstream capacity project, given the customer re</w:t>
      </w:r>
      <w:r w:rsidRPr="00461C10" w:rsidR="002D4674">
        <w:t xml:space="preserve">quest(s) and the site(s) </w:t>
      </w:r>
      <w:r w:rsidRPr="00461C10" w:rsidR="00B55378">
        <w:t>customers are requesting to energize.</w:t>
      </w:r>
      <w:r w:rsidRPr="00461C10" w:rsidR="00BB0E40">
        <w:t xml:space="preserve"> </w:t>
      </w:r>
    </w:p>
    <w:p w:rsidRPr="00461C10" w:rsidR="001268C5" w:rsidP="00B37200" w:rsidRDefault="00341C86" w14:paraId="21A2D185" w14:textId="72864AB5">
      <w:pPr>
        <w:pStyle w:val="Standard"/>
      </w:pPr>
      <w:r w:rsidRPr="00461C10">
        <w:lastRenderedPageBreak/>
        <w:t xml:space="preserve">Several parties recommended </w:t>
      </w:r>
      <w:r w:rsidRPr="00461C10" w:rsidR="1B4F4D34">
        <w:t xml:space="preserve">that </w:t>
      </w:r>
      <w:r w:rsidRPr="00461C10" w:rsidR="00536743">
        <w:t>the upstream capacity portion of the timeline improvement efforts should occur in the High DER proceeding</w:t>
      </w:r>
      <w:r w:rsidRPr="00461C10" w:rsidR="003E0160">
        <w:t xml:space="preserve"> (R.</w:t>
      </w:r>
      <w:r w:rsidRPr="00E87E9B" w:rsidR="003E0160">
        <w:t>21</w:t>
      </w:r>
      <w:r w:rsidR="00E87E9B">
        <w:noBreakHyphen/>
      </w:r>
      <w:r w:rsidRPr="00E87E9B" w:rsidR="003E0160">
        <w:t>06</w:t>
      </w:r>
      <w:r w:rsidR="00E87E9B">
        <w:noBreakHyphen/>
      </w:r>
      <w:r w:rsidRPr="00461C10" w:rsidR="003E0160">
        <w:t>017)</w:t>
      </w:r>
      <w:r w:rsidRPr="00461C10" w:rsidR="00536743">
        <w:t xml:space="preserve">, </w:t>
      </w:r>
      <w:r w:rsidRPr="00461C10" w:rsidR="00752CEE">
        <w:t xml:space="preserve">given the efforts that have already occurred in that </w:t>
      </w:r>
      <w:r w:rsidRPr="00461C10" w:rsidR="00E61AF4">
        <w:t>rulemaking.</w:t>
      </w:r>
      <w:r w:rsidRPr="00461C10" w:rsidR="00E61AF4">
        <w:rPr>
          <w:rStyle w:val="FootnoteReference"/>
        </w:rPr>
        <w:footnoteReference w:id="65"/>
      </w:r>
      <w:r w:rsidRPr="00461C10" w:rsidR="00E61AF4">
        <w:t xml:space="preserve"> </w:t>
      </w:r>
      <w:r w:rsidRPr="00461C10" w:rsidR="4DB0D643">
        <w:t xml:space="preserve">While related and conducted in close coordination, the scopes of these proceedings differ enough to address </w:t>
      </w:r>
      <w:r w:rsidRPr="00461C10" w:rsidR="00A7261F">
        <w:t xml:space="preserve">overall </w:t>
      </w:r>
      <w:r w:rsidRPr="00461C10" w:rsidR="2F430161">
        <w:t xml:space="preserve">distribution </w:t>
      </w:r>
      <w:r w:rsidRPr="00461C10" w:rsidR="10FDA8B9">
        <w:t xml:space="preserve">capacity planning and execution </w:t>
      </w:r>
      <w:r w:rsidRPr="00461C10" w:rsidR="00EC5A56">
        <w:t xml:space="preserve">improvements </w:t>
      </w:r>
      <w:r w:rsidRPr="00461C10" w:rsidR="2F430161">
        <w:t>in the High DER proceeding and the timeline</w:t>
      </w:r>
      <w:r w:rsidRPr="00461C10" w:rsidR="001268C5">
        <w:t>s</w:t>
      </w:r>
      <w:r w:rsidRPr="00461C10" w:rsidR="2F430161">
        <w:t xml:space="preserve"> for  </w:t>
      </w:r>
      <w:r w:rsidRPr="00461C10" w:rsidR="001268C5">
        <w:t>upstream capacity upgrade</w:t>
      </w:r>
      <w:r w:rsidRPr="00461C10" w:rsidR="00271CDA">
        <w:t>s</w:t>
      </w:r>
      <w:r w:rsidRPr="00461C10" w:rsidR="001268C5">
        <w:t xml:space="preserve"> </w:t>
      </w:r>
      <w:r w:rsidRPr="00461C10" w:rsidR="00D34A80">
        <w:t xml:space="preserve">that are triggered by energization </w:t>
      </w:r>
      <w:r w:rsidRPr="00461C10" w:rsidR="2F430161">
        <w:t xml:space="preserve">projects in this proceeding. </w:t>
      </w:r>
    </w:p>
    <w:p w:rsidRPr="00461C10" w:rsidR="004B5DA3" w:rsidDel="00E04522" w:rsidP="00B37200" w:rsidRDefault="00812106" w14:paraId="4F16B114" w14:textId="59E6DBF5">
      <w:pPr>
        <w:pStyle w:val="Standard"/>
        <w:rPr>
          <w:rFonts w:eastAsia="Calibri" w:cs="Calibri"/>
        </w:rPr>
      </w:pPr>
      <w:r w:rsidRPr="00461C10" w:rsidDel="00E04522">
        <w:rPr>
          <w:rFonts w:eastAsia="Calibri" w:cs="Calibri"/>
        </w:rPr>
        <w:t>EDF/NRDC</w:t>
      </w:r>
      <w:r w:rsidRPr="00461C10" w:rsidDel="00E04522" w:rsidR="004B5DA3">
        <w:rPr>
          <w:rFonts w:eastAsia="Calibri" w:cs="Calibri"/>
        </w:rPr>
        <w:t xml:space="preserve"> proposed that t</w:t>
      </w:r>
      <w:r w:rsidRPr="00461C10" w:rsidDel="00E04522">
        <w:rPr>
          <w:rFonts w:eastAsia="Calibri" w:cs="Calibri"/>
        </w:rPr>
        <w:t>he Commission should set unique maximum timeline targets for different categories of upstream capacity projects, while setting a single average timeline target for these projects</w:t>
      </w:r>
      <w:r w:rsidRPr="00461C10" w:rsidDel="00E04522" w:rsidR="003854F7">
        <w:rPr>
          <w:rFonts w:eastAsia="Calibri" w:cs="Calibri"/>
        </w:rPr>
        <w:t>.</w:t>
      </w:r>
    </w:p>
    <w:p w:rsidRPr="00461C10" w:rsidR="009D3AFB" w:rsidDel="00E04522" w:rsidP="00B37200" w:rsidRDefault="00812106" w14:paraId="6257ADDA" w14:textId="6E1FEF9C">
      <w:pPr>
        <w:pStyle w:val="BlockQuote"/>
      </w:pPr>
      <w:r w:rsidRPr="00461C10" w:rsidDel="00E04522">
        <w:t xml:space="preserve">Setting a single maximum timeline target for these projects would lead to one of two results; either the </w:t>
      </w:r>
      <w:r w:rsidRPr="00461C10" w:rsidDel="00E04522" w:rsidR="00F9597F">
        <w:t xml:space="preserve">[large electric] </w:t>
      </w:r>
      <w:r w:rsidRPr="00461C10" w:rsidDel="00E04522">
        <w:t>IOUs would regularly exceed the maximum timeline for those long-lead time projects like new substations and may be dissuaded from even pursuing those projects, or the maximum timelines are based on the longest lead-time projects and smaller projects are functionally never found to exceed the maximum timeline targets even when egregiously delayed.</w:t>
      </w:r>
      <w:r w:rsidRPr="00461C10" w:rsidDel="00E04522" w:rsidR="003854F7">
        <w:t xml:space="preserve"> </w:t>
      </w:r>
    </w:p>
    <w:p w:rsidRPr="00461C10" w:rsidR="005C445D" w:rsidP="005C445D" w:rsidRDefault="003854F7" w14:paraId="7AF28C5F" w14:textId="02FD0D54">
      <w:pPr>
        <w:pStyle w:val="Standard"/>
      </w:pPr>
      <w:r w:rsidRPr="00461C10" w:rsidDel="00E04522">
        <w:t xml:space="preserve">We agree that </w:t>
      </w:r>
      <w:r w:rsidRPr="00461C10" w:rsidDel="00E04522" w:rsidR="00E25410">
        <w:t xml:space="preserve">upstream capacity projects have various timelines </w:t>
      </w:r>
      <w:r w:rsidRPr="00461C10" w:rsidDel="00E04522" w:rsidR="00E54031">
        <w:t xml:space="preserve">and setting the </w:t>
      </w:r>
      <w:r w:rsidRPr="00461C10" w:rsidDel="00E04522" w:rsidR="001268C5">
        <w:t xml:space="preserve">average or </w:t>
      </w:r>
      <w:r w:rsidRPr="00461C10" w:rsidDel="00E04522" w:rsidR="00E54031">
        <w:t xml:space="preserve">maximum </w:t>
      </w:r>
      <w:r w:rsidRPr="00461C10" w:rsidDel="00E04522" w:rsidR="001268C5">
        <w:t xml:space="preserve">timelines </w:t>
      </w:r>
      <w:r w:rsidRPr="00461C10" w:rsidDel="00E04522" w:rsidR="009E2714">
        <w:t>may not lead to desired outcomes</w:t>
      </w:r>
      <w:r w:rsidRPr="00461C10" w:rsidDel="00E04522" w:rsidR="007F3A88">
        <w:t>.</w:t>
      </w:r>
      <w:r w:rsidRPr="00461C10" w:rsidR="00E52121">
        <w:t xml:space="preserve"> </w:t>
      </w:r>
      <w:r w:rsidRPr="00461C10" w:rsidR="00383810">
        <w:t xml:space="preserve">Nevertheless, this decision sets maximum timelines so that utilities </w:t>
      </w:r>
      <w:r w:rsidRPr="00461C10" w:rsidR="00FE5A71">
        <w:t>will incorporate these timelines into their planning</w:t>
      </w:r>
      <w:r w:rsidRPr="00461C10" w:rsidR="00846776">
        <w:t xml:space="preserve"> processes</w:t>
      </w:r>
      <w:r w:rsidRPr="00461C10" w:rsidR="00B24315">
        <w:t>,</w:t>
      </w:r>
      <w:r w:rsidRPr="00461C10" w:rsidR="00FE5A71">
        <w:t xml:space="preserve"> and the Commission can continue to gather </w:t>
      </w:r>
      <w:r w:rsidRPr="00461C10" w:rsidR="004646B0">
        <w:t xml:space="preserve">evidence </w:t>
      </w:r>
      <w:r w:rsidRPr="00461C10" w:rsidR="00E52121">
        <w:t>to help address</w:t>
      </w:r>
      <w:r w:rsidRPr="00461C10" w:rsidR="004646B0">
        <w:t xml:space="preserve"> the concerns of EDF/NRDC in the next phase of this proceeding.</w:t>
      </w:r>
      <w:r w:rsidRPr="00461C10" w:rsidR="00923EEF">
        <w:t xml:space="preserve"> </w:t>
      </w:r>
      <w:r w:rsidRPr="00461C10" w:rsidR="003135A0">
        <w:t>On</w:t>
      </w:r>
      <w:r w:rsidRPr="00461C10" w:rsidR="00D76FD8">
        <w:t xml:space="preserve"> March 21, 2024, </w:t>
      </w:r>
      <w:r w:rsidRPr="00461C10" w:rsidR="003135A0">
        <w:t xml:space="preserve">an </w:t>
      </w:r>
      <w:r w:rsidRPr="00461C10" w:rsidR="00D76FD8">
        <w:t>ALJ Ruling requesting information from the large electric IOUs regarding energization timelines</w:t>
      </w:r>
      <w:r w:rsidRPr="00461C10" w:rsidR="003135A0">
        <w:t xml:space="preserve"> </w:t>
      </w:r>
      <w:r w:rsidRPr="00461C10" w:rsidR="003135A0">
        <w:lastRenderedPageBreak/>
        <w:t>directed</w:t>
      </w:r>
      <w:r w:rsidRPr="00461C10" w:rsidR="00D76FD8">
        <w:t xml:space="preserve"> </w:t>
      </w:r>
      <w:r w:rsidRPr="00461C10" w:rsidR="009C41D8">
        <w:t xml:space="preserve">PG&amp;E, SCE, and SDG&amp;E </w:t>
      </w:r>
      <w:r w:rsidRPr="00461C10" w:rsidR="003135A0">
        <w:t>to provide data about their current timelines for three different types of upstream capacity upgrade projects</w:t>
      </w:r>
      <w:r w:rsidRPr="00461C10" w:rsidR="009C41D8">
        <w:t>:</w:t>
      </w:r>
    </w:p>
    <w:p w:rsidRPr="00461C10" w:rsidR="003135A0" w:rsidP="003135A0" w:rsidRDefault="003135A0" w14:paraId="2AE1342F" w14:textId="7BF5C05B">
      <w:pPr>
        <w:pStyle w:val="8level1"/>
      </w:pPr>
      <w:r w:rsidRPr="00461C10">
        <w:t xml:space="preserve">New or upgraded </w:t>
      </w:r>
      <w:r w:rsidRPr="00461C10" w:rsidR="00B67B2F">
        <w:t>circuit</w:t>
      </w:r>
      <w:r w:rsidRPr="00461C10">
        <w:t>;</w:t>
      </w:r>
      <w:r w:rsidRPr="00461C10">
        <w:rPr>
          <w:rStyle w:val="FootnoteReference"/>
        </w:rPr>
        <w:footnoteReference w:id="66"/>
      </w:r>
    </w:p>
    <w:p w:rsidRPr="00461C10" w:rsidR="003135A0" w:rsidP="003135A0" w:rsidRDefault="003135A0" w14:paraId="1C9BB609" w14:textId="77777777">
      <w:pPr>
        <w:pStyle w:val="8level1"/>
      </w:pPr>
      <w:r w:rsidRPr="00461C10">
        <w:t>Substation upgrade;</w:t>
      </w:r>
      <w:r w:rsidRPr="00461C10">
        <w:rPr>
          <w:rStyle w:val="FootnoteReference"/>
        </w:rPr>
        <w:footnoteReference w:id="67"/>
      </w:r>
    </w:p>
    <w:p w:rsidRPr="00461C10" w:rsidR="003135A0" w:rsidP="003135A0" w:rsidRDefault="003135A0" w14:paraId="1CA32B46" w14:textId="77777777">
      <w:pPr>
        <w:pStyle w:val="8level1"/>
      </w:pPr>
      <w:r w:rsidRPr="00461C10">
        <w:t>New substation.</w:t>
      </w:r>
      <w:r w:rsidRPr="00461C10">
        <w:rPr>
          <w:rStyle w:val="FootnoteReference"/>
        </w:rPr>
        <w:footnoteReference w:id="68"/>
      </w:r>
    </w:p>
    <w:p w:rsidRPr="00461C10" w:rsidR="003135A0" w:rsidP="005C445D" w:rsidRDefault="007C2D88" w14:paraId="0AF449CC" w14:textId="62799A06">
      <w:pPr>
        <w:pStyle w:val="Standard"/>
      </w:pPr>
      <w:r w:rsidRPr="00461C10">
        <w:t>The three categories of upstream capacity projects are aligned between the large electric IOUs and are broad enough to cover all the associated aspects of an upstream capacity project. This recommendation was generally supported by parties in comments.</w:t>
      </w:r>
      <w:r w:rsidRPr="00461C10">
        <w:rPr>
          <w:rStyle w:val="FootnoteReference"/>
        </w:rPr>
        <w:footnoteReference w:id="69"/>
      </w:r>
      <w:r w:rsidRPr="00461C10" w:rsidR="00226012">
        <w:t xml:space="preserve"> </w:t>
      </w:r>
      <w:r w:rsidRPr="00461C10" w:rsidR="006E649A">
        <w:t>The data reported by the large electric IOUs in response to that ALJ ruling are depicted in Table 4 below.</w:t>
      </w:r>
      <w:r w:rsidRPr="00461C10" w:rsidR="4F7EEDB0">
        <w:t xml:space="preserve"> It should be noted that the data has been converted between calendar days and business days as necessary according to the formula Business Day = </w:t>
      </w:r>
      <w:r w:rsidRPr="00461C10" w:rsidR="00756DBC">
        <w:t>[</w:t>
      </w:r>
      <w:r w:rsidRPr="00461C10" w:rsidR="4F7EEDB0">
        <w:t>(4.8/7)*Calendar Day</w:t>
      </w:r>
      <w:r w:rsidRPr="00461C10" w:rsidR="00756DBC">
        <w:t>]</w:t>
      </w:r>
      <w:r w:rsidRPr="00461C10" w:rsidR="4F7EEDB0">
        <w:t>.</w:t>
      </w:r>
    </w:p>
    <w:p w:rsidRPr="00461C10" w:rsidR="008708BD" w:rsidP="00803A43" w:rsidRDefault="008708BD" w14:paraId="4E925E69" w14:textId="2D8C3DAC">
      <w:pPr>
        <w:pStyle w:val="Standard"/>
        <w:keepNext/>
        <w:spacing w:after="120" w:line="240" w:lineRule="auto"/>
        <w:ind w:firstLine="0"/>
        <w:jc w:val="center"/>
        <w:rPr>
          <w:b/>
          <w:bCs/>
        </w:rPr>
      </w:pPr>
      <w:r w:rsidRPr="00461C10">
        <w:rPr>
          <w:b/>
          <w:bCs/>
        </w:rPr>
        <w:lastRenderedPageBreak/>
        <w:t>Table 4:</w:t>
      </w:r>
      <w:r w:rsidRPr="00461C10" w:rsidR="00803A43">
        <w:rPr>
          <w:b/>
          <w:bCs/>
        </w:rPr>
        <w:br/>
      </w:r>
      <w:r w:rsidRPr="00461C10">
        <w:rPr>
          <w:b/>
          <w:bCs/>
        </w:rPr>
        <w:t xml:space="preserve">Large Electric IOU </w:t>
      </w:r>
      <w:r w:rsidRPr="00461C10" w:rsidR="005C445D">
        <w:rPr>
          <w:b/>
          <w:bCs/>
        </w:rPr>
        <w:t>Energization Timeline D</w:t>
      </w:r>
      <w:r w:rsidRPr="00461C10">
        <w:rPr>
          <w:b/>
          <w:bCs/>
        </w:rPr>
        <w:t xml:space="preserve">ata Reported </w:t>
      </w:r>
      <w:r w:rsidRPr="00461C10" w:rsidR="005C445D">
        <w:rPr>
          <w:b/>
          <w:bCs/>
        </w:rPr>
        <w:t>April 22, 2024</w:t>
      </w:r>
    </w:p>
    <w:tbl>
      <w:tblPr>
        <w:tblStyle w:val="TableGrid"/>
        <w:tblW w:w="9361" w:type="dxa"/>
        <w:jc w:val="center"/>
        <w:tblCellMar>
          <w:top w:w="58" w:type="dxa"/>
          <w:bottom w:w="58" w:type="dxa"/>
        </w:tblCellMar>
        <w:tblLook w:val="04A0" w:firstRow="1" w:lastRow="0" w:firstColumn="1" w:lastColumn="0" w:noHBand="0" w:noVBand="1"/>
      </w:tblPr>
      <w:tblGrid>
        <w:gridCol w:w="1255"/>
        <w:gridCol w:w="3240"/>
        <w:gridCol w:w="1622"/>
        <w:gridCol w:w="1622"/>
        <w:gridCol w:w="1622"/>
      </w:tblGrid>
      <w:tr w:rsidRPr="00461C10" w:rsidR="00A17C68" w:rsidTr="00D1492A" w14:paraId="04C51BA8" w14:textId="3508322F">
        <w:trPr>
          <w:trHeight w:val="300"/>
          <w:tblHeader/>
          <w:jc w:val="center"/>
        </w:trPr>
        <w:tc>
          <w:tcPr>
            <w:tcW w:w="1255" w:type="dxa"/>
            <w:tcMar>
              <w:top w:w="58" w:type="dxa"/>
              <w:left w:w="115" w:type="dxa"/>
              <w:bottom w:w="58" w:type="dxa"/>
              <w:right w:w="115" w:type="dxa"/>
            </w:tcMar>
            <w:vAlign w:val="bottom"/>
          </w:tcPr>
          <w:p w:rsidRPr="00461C10" w:rsidR="00ED6528" w:rsidP="00A17C68" w:rsidRDefault="00ED6528" w14:paraId="739D6C56" w14:textId="0737717F">
            <w:pPr>
              <w:pStyle w:val="Standard"/>
              <w:keepNext/>
              <w:spacing w:line="240" w:lineRule="auto"/>
              <w:ind w:firstLine="0"/>
              <w:jc w:val="center"/>
              <w:rPr>
                <w:b/>
                <w:bCs/>
              </w:rPr>
            </w:pPr>
            <w:bookmarkStart w:name="_Hlk177467360" w:id="45"/>
            <w:r w:rsidRPr="00461C10">
              <w:rPr>
                <w:b/>
                <w:bCs/>
              </w:rPr>
              <w:t>Large Electric IOU</w:t>
            </w:r>
          </w:p>
        </w:tc>
        <w:tc>
          <w:tcPr>
            <w:tcW w:w="3240" w:type="dxa"/>
            <w:tcMar>
              <w:top w:w="58" w:type="dxa"/>
              <w:left w:w="115" w:type="dxa"/>
              <w:bottom w:w="58" w:type="dxa"/>
              <w:right w:w="115" w:type="dxa"/>
            </w:tcMar>
            <w:vAlign w:val="bottom"/>
          </w:tcPr>
          <w:p w:rsidRPr="00461C10" w:rsidR="00ED6528" w:rsidP="00A17C68" w:rsidRDefault="00ED6528" w14:paraId="795219AC" w14:textId="54E021A4">
            <w:pPr>
              <w:pStyle w:val="Standard"/>
              <w:keepNext/>
              <w:spacing w:line="240" w:lineRule="auto"/>
              <w:ind w:firstLine="0"/>
              <w:jc w:val="center"/>
              <w:rPr>
                <w:b/>
                <w:bCs/>
              </w:rPr>
            </w:pPr>
            <w:r w:rsidRPr="00461C10">
              <w:rPr>
                <w:b/>
                <w:bCs/>
              </w:rPr>
              <w:t>Upstream Capacity</w:t>
            </w:r>
            <w:r w:rsidRPr="00461C10" w:rsidR="00803A43">
              <w:rPr>
                <w:b/>
                <w:bCs/>
              </w:rPr>
              <w:br/>
            </w:r>
            <w:r w:rsidRPr="00461C10">
              <w:rPr>
                <w:b/>
                <w:bCs/>
              </w:rPr>
              <w:t>Upgrade Type</w:t>
            </w:r>
          </w:p>
        </w:tc>
        <w:tc>
          <w:tcPr>
            <w:tcW w:w="1622" w:type="dxa"/>
            <w:tcMar>
              <w:top w:w="58" w:type="dxa"/>
              <w:left w:w="115" w:type="dxa"/>
              <w:bottom w:w="58" w:type="dxa"/>
              <w:right w:w="115" w:type="dxa"/>
            </w:tcMar>
            <w:vAlign w:val="bottom"/>
          </w:tcPr>
          <w:p w:rsidRPr="00461C10" w:rsidR="00ED6528" w:rsidP="00A17C68" w:rsidRDefault="00ED6528" w14:paraId="5DAFD431" w14:textId="3E879298">
            <w:pPr>
              <w:pStyle w:val="Standard"/>
              <w:keepNext/>
              <w:spacing w:line="240" w:lineRule="auto"/>
              <w:ind w:firstLine="0"/>
              <w:jc w:val="center"/>
              <w:rPr>
                <w:b/>
                <w:bCs/>
              </w:rPr>
            </w:pPr>
            <w:r w:rsidRPr="00461C10">
              <w:rPr>
                <w:b/>
                <w:bCs/>
              </w:rPr>
              <w:t>Average</w:t>
            </w:r>
            <w:r w:rsidRPr="00461C10" w:rsidR="00803A43">
              <w:rPr>
                <w:b/>
                <w:bCs/>
              </w:rPr>
              <w:br/>
            </w:r>
            <w:r w:rsidRPr="00461C10">
              <w:rPr>
                <w:b/>
                <w:bCs/>
              </w:rPr>
              <w:t>(calendar days)</w:t>
            </w:r>
          </w:p>
        </w:tc>
        <w:tc>
          <w:tcPr>
            <w:tcW w:w="1622" w:type="dxa"/>
            <w:tcMar>
              <w:top w:w="58" w:type="dxa"/>
              <w:left w:w="115" w:type="dxa"/>
              <w:bottom w:w="58" w:type="dxa"/>
              <w:right w:w="115" w:type="dxa"/>
            </w:tcMar>
            <w:vAlign w:val="bottom"/>
          </w:tcPr>
          <w:p w:rsidRPr="00461C10" w:rsidR="00ED6528" w:rsidP="00A17C68" w:rsidRDefault="00ED6528" w14:paraId="3D6C4D9E" w14:textId="6DE6B9FC">
            <w:pPr>
              <w:pStyle w:val="Standard"/>
              <w:keepNext/>
              <w:spacing w:line="240" w:lineRule="auto"/>
              <w:ind w:firstLine="0"/>
              <w:jc w:val="center"/>
              <w:rPr>
                <w:b/>
                <w:bCs/>
              </w:rPr>
            </w:pPr>
            <w:r w:rsidRPr="00461C10">
              <w:rPr>
                <w:b/>
                <w:bCs/>
              </w:rPr>
              <w:t>Median</w:t>
            </w:r>
            <w:r w:rsidRPr="00461C10" w:rsidR="00803A43">
              <w:rPr>
                <w:b/>
                <w:bCs/>
              </w:rPr>
              <w:br/>
            </w:r>
            <w:r w:rsidRPr="00461C10">
              <w:rPr>
                <w:b/>
                <w:bCs/>
              </w:rPr>
              <w:t>(calendar days)</w:t>
            </w:r>
          </w:p>
        </w:tc>
        <w:tc>
          <w:tcPr>
            <w:tcW w:w="1622" w:type="dxa"/>
            <w:tcMar>
              <w:top w:w="58" w:type="dxa"/>
              <w:left w:w="115" w:type="dxa"/>
              <w:bottom w:w="58" w:type="dxa"/>
              <w:right w:w="115" w:type="dxa"/>
            </w:tcMar>
            <w:vAlign w:val="bottom"/>
          </w:tcPr>
          <w:p w:rsidRPr="00461C10" w:rsidR="656CE41F" w:rsidP="00A17C68" w:rsidRDefault="65814BE3" w14:paraId="5CE35F0F" w14:textId="33121724">
            <w:pPr>
              <w:pStyle w:val="Standard"/>
              <w:spacing w:line="240" w:lineRule="auto"/>
              <w:ind w:firstLine="0"/>
              <w:jc w:val="center"/>
            </w:pPr>
            <w:r w:rsidRPr="00461C10">
              <w:rPr>
                <w:b/>
                <w:bCs/>
              </w:rPr>
              <w:t>Standard Deviation (calendar days</w:t>
            </w:r>
            <w:r w:rsidRPr="00461C10">
              <w:t>)</w:t>
            </w:r>
          </w:p>
        </w:tc>
      </w:tr>
      <w:tr w:rsidRPr="00461C10" w:rsidR="0093663C" w:rsidTr="00D1492A" w14:paraId="092ACCAC" w14:textId="7BBBB0F3">
        <w:trPr>
          <w:trHeight w:val="220"/>
          <w:jc w:val="center"/>
        </w:trPr>
        <w:tc>
          <w:tcPr>
            <w:tcW w:w="1255" w:type="dxa"/>
            <w:vMerge w:val="restart"/>
            <w:tcMar>
              <w:top w:w="58" w:type="dxa"/>
              <w:left w:w="115" w:type="dxa"/>
              <w:bottom w:w="58" w:type="dxa"/>
              <w:right w:w="115" w:type="dxa"/>
            </w:tcMar>
            <w:vAlign w:val="center"/>
          </w:tcPr>
          <w:p w:rsidRPr="00961DD0" w:rsidR="00E87E9B" w:rsidP="00D1492A" w:rsidRDefault="00E87E9B" w14:paraId="18C2A8C4" w14:textId="16E11D06">
            <w:pPr>
              <w:pStyle w:val="Standard"/>
              <w:spacing w:line="240" w:lineRule="auto"/>
              <w:ind w:firstLine="0"/>
            </w:pPr>
            <w:r w:rsidRPr="00961DD0">
              <w:t>PG&amp;E</w:t>
            </w:r>
          </w:p>
        </w:tc>
        <w:tc>
          <w:tcPr>
            <w:tcW w:w="3240" w:type="dxa"/>
            <w:tcMar>
              <w:top w:w="58" w:type="dxa"/>
              <w:left w:w="115" w:type="dxa"/>
              <w:bottom w:w="58" w:type="dxa"/>
              <w:right w:w="115" w:type="dxa"/>
            </w:tcMar>
          </w:tcPr>
          <w:p w:rsidRPr="00461C10" w:rsidR="00E87E9B" w:rsidP="00A17C68" w:rsidRDefault="00E87E9B" w14:paraId="7ED12B89" w14:textId="7460109E">
            <w:pPr>
              <w:pStyle w:val="Standard"/>
              <w:tabs>
                <w:tab w:val="left" w:pos="2671"/>
              </w:tabs>
              <w:spacing w:after="60" w:line="240" w:lineRule="auto"/>
              <w:ind w:firstLine="0"/>
              <w:jc w:val="both"/>
            </w:pPr>
            <w:r w:rsidRPr="00461C10">
              <w:t>New/Upgraded Circuits</w:t>
            </w:r>
          </w:p>
        </w:tc>
        <w:tc>
          <w:tcPr>
            <w:tcW w:w="1622" w:type="dxa"/>
            <w:tcMar>
              <w:top w:w="58" w:type="dxa"/>
              <w:left w:w="115" w:type="dxa"/>
              <w:bottom w:w="58" w:type="dxa"/>
              <w:right w:w="115" w:type="dxa"/>
            </w:tcMar>
          </w:tcPr>
          <w:p w:rsidRPr="00461C10" w:rsidR="00E87E9B" w:rsidP="00A17C68" w:rsidRDefault="00E87E9B" w14:paraId="398019C9" w14:textId="6CDBF129">
            <w:pPr>
              <w:pStyle w:val="Standard"/>
              <w:tabs>
                <w:tab w:val="left" w:pos="2671"/>
              </w:tabs>
              <w:spacing w:after="60" w:line="240" w:lineRule="auto"/>
              <w:ind w:hanging="29"/>
              <w:jc w:val="right"/>
            </w:pPr>
            <w:r w:rsidRPr="00461C10">
              <w:t>1002</w:t>
            </w:r>
          </w:p>
        </w:tc>
        <w:tc>
          <w:tcPr>
            <w:tcW w:w="1622" w:type="dxa"/>
            <w:tcMar>
              <w:top w:w="58" w:type="dxa"/>
              <w:left w:w="115" w:type="dxa"/>
              <w:bottom w:w="58" w:type="dxa"/>
              <w:right w:w="115" w:type="dxa"/>
            </w:tcMar>
          </w:tcPr>
          <w:p w:rsidRPr="00461C10" w:rsidR="00E87E9B" w:rsidP="00A17C68" w:rsidRDefault="00E87E9B" w14:paraId="026A06F8" w14:textId="5475077E">
            <w:pPr>
              <w:pStyle w:val="Standard"/>
              <w:tabs>
                <w:tab w:val="left" w:pos="2671"/>
              </w:tabs>
              <w:spacing w:after="60" w:line="240" w:lineRule="auto"/>
              <w:ind w:hanging="29"/>
              <w:jc w:val="right"/>
            </w:pPr>
            <w:r w:rsidRPr="00461C10">
              <w:t>731</w:t>
            </w:r>
          </w:p>
        </w:tc>
        <w:tc>
          <w:tcPr>
            <w:tcW w:w="1622" w:type="dxa"/>
            <w:tcMar>
              <w:top w:w="58" w:type="dxa"/>
              <w:left w:w="115" w:type="dxa"/>
              <w:bottom w:w="58" w:type="dxa"/>
              <w:right w:w="115" w:type="dxa"/>
            </w:tcMar>
          </w:tcPr>
          <w:p w:rsidRPr="00461C10" w:rsidR="00E87E9B" w:rsidP="00A17C68" w:rsidRDefault="00E87E9B" w14:paraId="48A2498D" w14:textId="18675486">
            <w:pPr>
              <w:pStyle w:val="Standard"/>
              <w:tabs>
                <w:tab w:val="left" w:pos="2671"/>
              </w:tabs>
              <w:spacing w:after="60" w:line="240" w:lineRule="auto"/>
              <w:ind w:hanging="29"/>
              <w:jc w:val="right"/>
            </w:pPr>
            <w:r w:rsidRPr="00461C10">
              <w:t>670</w:t>
            </w:r>
          </w:p>
        </w:tc>
      </w:tr>
      <w:tr w:rsidRPr="00461C10" w:rsidR="0093663C" w:rsidTr="00D1492A" w14:paraId="16EC3464" w14:textId="77777777">
        <w:trPr>
          <w:trHeight w:val="292"/>
          <w:jc w:val="center"/>
        </w:trPr>
        <w:tc>
          <w:tcPr>
            <w:tcW w:w="1255" w:type="dxa"/>
            <w:vMerge/>
            <w:tcMar>
              <w:top w:w="58" w:type="dxa"/>
              <w:left w:w="115" w:type="dxa"/>
              <w:bottom w:w="58" w:type="dxa"/>
              <w:right w:w="115" w:type="dxa"/>
            </w:tcMar>
            <w:vAlign w:val="center"/>
          </w:tcPr>
          <w:p w:rsidRPr="00961DD0" w:rsidR="00E87E9B" w:rsidP="00D1492A" w:rsidRDefault="00E87E9B" w14:paraId="59BB2624" w14:textId="77777777">
            <w:pPr>
              <w:pStyle w:val="Standard"/>
              <w:spacing w:line="240" w:lineRule="auto"/>
              <w:ind w:firstLine="0"/>
            </w:pPr>
          </w:p>
        </w:tc>
        <w:tc>
          <w:tcPr>
            <w:tcW w:w="3240" w:type="dxa"/>
            <w:tcMar>
              <w:top w:w="58" w:type="dxa"/>
              <w:left w:w="115" w:type="dxa"/>
              <w:bottom w:w="58" w:type="dxa"/>
              <w:right w:w="115" w:type="dxa"/>
            </w:tcMar>
          </w:tcPr>
          <w:p w:rsidRPr="00461C10" w:rsidR="00E87E9B" w:rsidP="00A17C68" w:rsidRDefault="00E87E9B" w14:paraId="7BB3281D" w14:textId="1524A68B">
            <w:pPr>
              <w:pStyle w:val="Standard"/>
              <w:tabs>
                <w:tab w:val="left" w:pos="2671"/>
              </w:tabs>
              <w:spacing w:after="60" w:line="240" w:lineRule="auto"/>
              <w:ind w:firstLine="0"/>
              <w:jc w:val="both"/>
            </w:pPr>
            <w:r w:rsidRPr="00461C10">
              <w:t>Substation upgrades</w:t>
            </w:r>
          </w:p>
        </w:tc>
        <w:tc>
          <w:tcPr>
            <w:tcW w:w="1622" w:type="dxa"/>
            <w:tcMar>
              <w:top w:w="58" w:type="dxa"/>
              <w:left w:w="115" w:type="dxa"/>
              <w:bottom w:w="58" w:type="dxa"/>
              <w:right w:w="115" w:type="dxa"/>
            </w:tcMar>
          </w:tcPr>
          <w:p w:rsidRPr="00461C10" w:rsidR="00E87E9B" w:rsidP="00A17C68" w:rsidRDefault="00E87E9B" w14:paraId="2316D61A" w14:textId="1D15BE93">
            <w:pPr>
              <w:pStyle w:val="Standard"/>
              <w:tabs>
                <w:tab w:val="left" w:pos="2671"/>
              </w:tabs>
              <w:spacing w:after="60" w:line="240" w:lineRule="auto"/>
              <w:ind w:hanging="29"/>
              <w:jc w:val="right"/>
            </w:pPr>
            <w:r w:rsidRPr="00461C10">
              <w:t>1490</w:t>
            </w:r>
          </w:p>
        </w:tc>
        <w:tc>
          <w:tcPr>
            <w:tcW w:w="1622" w:type="dxa"/>
            <w:tcMar>
              <w:top w:w="58" w:type="dxa"/>
              <w:left w:w="115" w:type="dxa"/>
              <w:bottom w:w="58" w:type="dxa"/>
              <w:right w:w="115" w:type="dxa"/>
            </w:tcMar>
          </w:tcPr>
          <w:p w:rsidRPr="00461C10" w:rsidR="00E87E9B" w:rsidP="00A17C68" w:rsidRDefault="00E87E9B" w14:paraId="3E2056C6" w14:textId="55AE67FC">
            <w:pPr>
              <w:pStyle w:val="Standard"/>
              <w:tabs>
                <w:tab w:val="left" w:pos="2671"/>
              </w:tabs>
              <w:spacing w:after="60" w:line="240" w:lineRule="auto"/>
              <w:ind w:hanging="29"/>
              <w:jc w:val="right"/>
            </w:pPr>
            <w:r w:rsidRPr="00461C10">
              <w:t>1233</w:t>
            </w:r>
          </w:p>
        </w:tc>
        <w:tc>
          <w:tcPr>
            <w:tcW w:w="1622" w:type="dxa"/>
            <w:tcMar>
              <w:top w:w="58" w:type="dxa"/>
              <w:left w:w="115" w:type="dxa"/>
              <w:bottom w:w="58" w:type="dxa"/>
              <w:right w:w="115" w:type="dxa"/>
            </w:tcMar>
          </w:tcPr>
          <w:p w:rsidRPr="00461C10" w:rsidR="00E87E9B" w:rsidP="00A17C68" w:rsidRDefault="00E87E9B" w14:paraId="79ADADA9" w14:textId="7A8499D2">
            <w:pPr>
              <w:pStyle w:val="Standard"/>
              <w:tabs>
                <w:tab w:val="left" w:pos="2671"/>
              </w:tabs>
              <w:spacing w:after="60" w:line="240" w:lineRule="auto"/>
              <w:ind w:hanging="29"/>
              <w:jc w:val="right"/>
            </w:pPr>
            <w:r w:rsidRPr="00461C10">
              <w:t>707</w:t>
            </w:r>
          </w:p>
        </w:tc>
      </w:tr>
      <w:tr w:rsidRPr="00461C10" w:rsidR="0093663C" w:rsidTr="00D1492A" w14:paraId="340F664E" w14:textId="77777777">
        <w:trPr>
          <w:trHeight w:val="103"/>
          <w:jc w:val="center"/>
        </w:trPr>
        <w:tc>
          <w:tcPr>
            <w:tcW w:w="1255" w:type="dxa"/>
            <w:vMerge/>
            <w:tcMar>
              <w:top w:w="58" w:type="dxa"/>
              <w:left w:w="115" w:type="dxa"/>
              <w:bottom w:w="58" w:type="dxa"/>
              <w:right w:w="115" w:type="dxa"/>
            </w:tcMar>
            <w:vAlign w:val="center"/>
          </w:tcPr>
          <w:p w:rsidRPr="00961DD0" w:rsidR="00E87E9B" w:rsidP="00D1492A" w:rsidRDefault="00E87E9B" w14:paraId="7EA2ADE0" w14:textId="77777777">
            <w:pPr>
              <w:pStyle w:val="Standard"/>
              <w:spacing w:line="240" w:lineRule="auto"/>
              <w:ind w:firstLine="0"/>
            </w:pPr>
          </w:p>
        </w:tc>
        <w:tc>
          <w:tcPr>
            <w:tcW w:w="3240" w:type="dxa"/>
            <w:tcMar>
              <w:top w:w="58" w:type="dxa"/>
              <w:left w:w="115" w:type="dxa"/>
              <w:bottom w:w="58" w:type="dxa"/>
              <w:right w:w="115" w:type="dxa"/>
            </w:tcMar>
          </w:tcPr>
          <w:p w:rsidRPr="00461C10" w:rsidR="00E87E9B" w:rsidP="00A17C68" w:rsidRDefault="00E87E9B" w14:paraId="41F56A81" w14:textId="10FEAB5D">
            <w:pPr>
              <w:pStyle w:val="Standard"/>
              <w:tabs>
                <w:tab w:val="left" w:pos="2671"/>
              </w:tabs>
              <w:spacing w:after="60" w:line="240" w:lineRule="auto"/>
              <w:ind w:firstLine="0"/>
              <w:jc w:val="both"/>
            </w:pPr>
            <w:r w:rsidRPr="00461C10">
              <w:t>New Substation</w:t>
            </w:r>
          </w:p>
        </w:tc>
        <w:tc>
          <w:tcPr>
            <w:tcW w:w="1622" w:type="dxa"/>
            <w:tcMar>
              <w:top w:w="58" w:type="dxa"/>
              <w:left w:w="115" w:type="dxa"/>
              <w:bottom w:w="58" w:type="dxa"/>
              <w:right w:w="115" w:type="dxa"/>
            </w:tcMar>
          </w:tcPr>
          <w:p w:rsidRPr="00A17C68" w:rsidR="00E87E9B" w:rsidP="00A17C68" w:rsidRDefault="00E87E9B" w14:paraId="7F03A1B7" w14:textId="29075642">
            <w:pPr>
              <w:pStyle w:val="Standard"/>
              <w:tabs>
                <w:tab w:val="left" w:pos="2671"/>
              </w:tabs>
              <w:spacing w:after="60" w:line="240" w:lineRule="auto"/>
              <w:ind w:hanging="29"/>
              <w:jc w:val="right"/>
            </w:pPr>
            <w:r w:rsidRPr="00A17C68">
              <w:t>No</w:t>
            </w:r>
            <w:r w:rsidRPr="00A17C68" w:rsidR="0093663C">
              <w:t xml:space="preserve"> </w:t>
            </w:r>
            <w:r w:rsidRPr="00A17C68">
              <w:t>Data</w:t>
            </w:r>
          </w:p>
        </w:tc>
        <w:tc>
          <w:tcPr>
            <w:tcW w:w="1622" w:type="dxa"/>
            <w:tcMar>
              <w:top w:w="58" w:type="dxa"/>
              <w:left w:w="115" w:type="dxa"/>
              <w:bottom w:w="58" w:type="dxa"/>
              <w:right w:w="115" w:type="dxa"/>
            </w:tcMar>
          </w:tcPr>
          <w:p w:rsidRPr="00A17C68" w:rsidR="00E87E9B" w:rsidP="00A17C68" w:rsidRDefault="00E87E9B" w14:paraId="495FD4ED" w14:textId="75B4F997">
            <w:pPr>
              <w:pStyle w:val="Standard"/>
              <w:tabs>
                <w:tab w:val="left" w:pos="2671"/>
              </w:tabs>
              <w:spacing w:after="60" w:line="240" w:lineRule="auto"/>
              <w:ind w:hanging="29"/>
              <w:jc w:val="right"/>
            </w:pPr>
            <w:r w:rsidRPr="00A17C68">
              <w:t>No data</w:t>
            </w:r>
          </w:p>
        </w:tc>
        <w:tc>
          <w:tcPr>
            <w:tcW w:w="1622" w:type="dxa"/>
            <w:tcMar>
              <w:top w:w="58" w:type="dxa"/>
              <w:left w:w="115" w:type="dxa"/>
              <w:bottom w:w="58" w:type="dxa"/>
              <w:right w:w="115" w:type="dxa"/>
            </w:tcMar>
          </w:tcPr>
          <w:p w:rsidRPr="00A17C68" w:rsidR="00E87E9B" w:rsidP="00A17C68" w:rsidRDefault="00E87E9B" w14:paraId="7C787437" w14:textId="27BAA343">
            <w:pPr>
              <w:pStyle w:val="Standard"/>
              <w:tabs>
                <w:tab w:val="left" w:pos="2671"/>
              </w:tabs>
              <w:spacing w:after="60" w:line="240" w:lineRule="auto"/>
              <w:ind w:hanging="29"/>
              <w:jc w:val="right"/>
            </w:pPr>
            <w:r w:rsidRPr="00A17C68">
              <w:t>No data</w:t>
            </w:r>
          </w:p>
        </w:tc>
      </w:tr>
      <w:tr w:rsidRPr="00461C10" w:rsidR="00A17C68" w:rsidTr="00D1492A" w14:paraId="22C7E775" w14:textId="0027E1F8">
        <w:trPr>
          <w:trHeight w:val="148"/>
          <w:jc w:val="center"/>
        </w:trPr>
        <w:tc>
          <w:tcPr>
            <w:tcW w:w="1255" w:type="dxa"/>
            <w:vMerge w:val="restart"/>
            <w:tcMar>
              <w:top w:w="58" w:type="dxa"/>
              <w:left w:w="115" w:type="dxa"/>
              <w:bottom w:w="58" w:type="dxa"/>
              <w:right w:w="115" w:type="dxa"/>
            </w:tcMar>
            <w:vAlign w:val="center"/>
          </w:tcPr>
          <w:p w:rsidRPr="00961DD0" w:rsidR="006F0A6F" w:rsidP="00D1492A" w:rsidRDefault="006F0A6F" w14:paraId="53969C98" w14:textId="594693D2">
            <w:pPr>
              <w:pStyle w:val="Standard"/>
              <w:spacing w:line="240" w:lineRule="auto"/>
              <w:ind w:firstLine="0"/>
            </w:pPr>
            <w:r w:rsidRPr="00961DD0">
              <w:t>SCE</w:t>
            </w:r>
          </w:p>
        </w:tc>
        <w:tc>
          <w:tcPr>
            <w:tcW w:w="3240" w:type="dxa"/>
            <w:tcMar>
              <w:top w:w="58" w:type="dxa"/>
              <w:left w:w="115" w:type="dxa"/>
              <w:bottom w:w="58" w:type="dxa"/>
              <w:right w:w="115" w:type="dxa"/>
            </w:tcMar>
          </w:tcPr>
          <w:p w:rsidRPr="00461C10" w:rsidR="006F0A6F" w:rsidP="00A17C68" w:rsidRDefault="006F0A6F" w14:paraId="54024B09" w14:textId="5C245883">
            <w:pPr>
              <w:pStyle w:val="Standard"/>
              <w:tabs>
                <w:tab w:val="left" w:pos="2671"/>
              </w:tabs>
              <w:spacing w:after="60" w:line="240" w:lineRule="auto"/>
              <w:ind w:firstLine="0"/>
              <w:jc w:val="both"/>
            </w:pPr>
            <w:r w:rsidRPr="00461C10">
              <w:t>New/Upgraded Circuits</w:t>
            </w:r>
          </w:p>
        </w:tc>
        <w:tc>
          <w:tcPr>
            <w:tcW w:w="1622" w:type="dxa"/>
            <w:tcMar>
              <w:top w:w="58" w:type="dxa"/>
              <w:left w:w="115" w:type="dxa"/>
              <w:bottom w:w="58" w:type="dxa"/>
              <w:right w:w="115" w:type="dxa"/>
            </w:tcMar>
          </w:tcPr>
          <w:p w:rsidRPr="00461C10" w:rsidR="006F0A6F" w:rsidP="00A17C68" w:rsidRDefault="006F0A6F" w14:paraId="77056D9C" w14:textId="5234C4A0">
            <w:pPr>
              <w:pStyle w:val="Standard"/>
              <w:tabs>
                <w:tab w:val="left" w:pos="2671"/>
              </w:tabs>
              <w:spacing w:after="60" w:line="240" w:lineRule="auto"/>
              <w:ind w:hanging="29"/>
              <w:jc w:val="right"/>
            </w:pPr>
            <w:r w:rsidRPr="00461C10">
              <w:t>907</w:t>
            </w:r>
          </w:p>
        </w:tc>
        <w:tc>
          <w:tcPr>
            <w:tcW w:w="1622" w:type="dxa"/>
            <w:tcMar>
              <w:top w:w="58" w:type="dxa"/>
              <w:left w:w="115" w:type="dxa"/>
              <w:bottom w:w="58" w:type="dxa"/>
              <w:right w:w="115" w:type="dxa"/>
            </w:tcMar>
          </w:tcPr>
          <w:p w:rsidRPr="00461C10" w:rsidR="006F0A6F" w:rsidP="00A17C68" w:rsidRDefault="006F0A6F" w14:paraId="264AF59B" w14:textId="21085283">
            <w:pPr>
              <w:pStyle w:val="Standard"/>
              <w:tabs>
                <w:tab w:val="left" w:pos="2671"/>
              </w:tabs>
              <w:spacing w:after="60" w:line="240" w:lineRule="auto"/>
              <w:ind w:hanging="29"/>
              <w:jc w:val="right"/>
            </w:pPr>
            <w:r w:rsidRPr="00461C10">
              <w:t>607</w:t>
            </w:r>
          </w:p>
        </w:tc>
        <w:tc>
          <w:tcPr>
            <w:tcW w:w="1622" w:type="dxa"/>
            <w:tcMar>
              <w:top w:w="58" w:type="dxa"/>
              <w:left w:w="115" w:type="dxa"/>
              <w:bottom w:w="58" w:type="dxa"/>
              <w:right w:w="115" w:type="dxa"/>
            </w:tcMar>
          </w:tcPr>
          <w:p w:rsidRPr="00461C10" w:rsidR="006F0A6F" w:rsidP="00A17C68" w:rsidRDefault="006F0A6F" w14:paraId="5FFDD501" w14:textId="76B8FB57">
            <w:pPr>
              <w:pStyle w:val="Standard"/>
              <w:tabs>
                <w:tab w:val="left" w:pos="2671"/>
              </w:tabs>
              <w:spacing w:after="60" w:line="240" w:lineRule="auto"/>
              <w:ind w:hanging="29"/>
              <w:jc w:val="right"/>
            </w:pPr>
            <w:r w:rsidRPr="00461C10">
              <w:t>316</w:t>
            </w:r>
          </w:p>
        </w:tc>
      </w:tr>
      <w:tr w:rsidRPr="00461C10" w:rsidR="006F0A6F" w:rsidTr="00D1492A" w14:paraId="34C361D1" w14:textId="77777777">
        <w:trPr>
          <w:trHeight w:val="337"/>
          <w:jc w:val="center"/>
        </w:trPr>
        <w:tc>
          <w:tcPr>
            <w:tcW w:w="1255" w:type="dxa"/>
            <w:vMerge/>
            <w:tcMar>
              <w:top w:w="58" w:type="dxa"/>
              <w:left w:w="115" w:type="dxa"/>
              <w:bottom w:w="58" w:type="dxa"/>
              <w:right w:w="115" w:type="dxa"/>
            </w:tcMar>
            <w:vAlign w:val="center"/>
          </w:tcPr>
          <w:p w:rsidRPr="00961DD0" w:rsidR="006F0A6F" w:rsidP="00D1492A" w:rsidRDefault="006F0A6F" w14:paraId="2070708B" w14:textId="77777777">
            <w:pPr>
              <w:pStyle w:val="Standard"/>
              <w:spacing w:line="240" w:lineRule="auto"/>
              <w:ind w:firstLine="0"/>
            </w:pPr>
          </w:p>
        </w:tc>
        <w:tc>
          <w:tcPr>
            <w:tcW w:w="3240" w:type="dxa"/>
            <w:tcMar>
              <w:top w:w="58" w:type="dxa"/>
              <w:left w:w="115" w:type="dxa"/>
              <w:bottom w:w="58" w:type="dxa"/>
              <w:right w:w="115" w:type="dxa"/>
            </w:tcMar>
          </w:tcPr>
          <w:p w:rsidRPr="00461C10" w:rsidR="006F0A6F" w:rsidP="00A17C68" w:rsidRDefault="006F0A6F" w14:paraId="149A5A5E" w14:textId="5B015FEB">
            <w:pPr>
              <w:pStyle w:val="Standard"/>
              <w:tabs>
                <w:tab w:val="left" w:pos="2671"/>
              </w:tabs>
              <w:spacing w:after="60" w:line="240" w:lineRule="auto"/>
              <w:ind w:firstLine="0"/>
              <w:jc w:val="both"/>
            </w:pPr>
            <w:r w:rsidRPr="00461C10">
              <w:t>Substation upgrades</w:t>
            </w:r>
          </w:p>
        </w:tc>
        <w:tc>
          <w:tcPr>
            <w:tcW w:w="1622" w:type="dxa"/>
            <w:tcMar>
              <w:top w:w="58" w:type="dxa"/>
              <w:left w:w="115" w:type="dxa"/>
              <w:bottom w:w="58" w:type="dxa"/>
              <w:right w:w="115" w:type="dxa"/>
            </w:tcMar>
          </w:tcPr>
          <w:p w:rsidRPr="00461C10" w:rsidR="006F0A6F" w:rsidP="00A17C68" w:rsidRDefault="006F0A6F" w14:paraId="008981C6" w14:textId="3F4DC0F5">
            <w:pPr>
              <w:pStyle w:val="Standard"/>
              <w:tabs>
                <w:tab w:val="left" w:pos="2671"/>
              </w:tabs>
              <w:spacing w:after="60" w:line="240" w:lineRule="auto"/>
              <w:ind w:hanging="29"/>
              <w:jc w:val="right"/>
            </w:pPr>
            <w:r w:rsidRPr="00461C10">
              <w:t>1492</w:t>
            </w:r>
          </w:p>
        </w:tc>
        <w:tc>
          <w:tcPr>
            <w:tcW w:w="1622" w:type="dxa"/>
            <w:tcMar>
              <w:top w:w="58" w:type="dxa"/>
              <w:left w:w="115" w:type="dxa"/>
              <w:bottom w:w="58" w:type="dxa"/>
              <w:right w:w="115" w:type="dxa"/>
            </w:tcMar>
          </w:tcPr>
          <w:p w:rsidRPr="00461C10" w:rsidR="006F0A6F" w:rsidP="00A17C68" w:rsidRDefault="006F0A6F" w14:paraId="36443031" w14:textId="476E55B0">
            <w:pPr>
              <w:pStyle w:val="Standard"/>
              <w:tabs>
                <w:tab w:val="left" w:pos="2671"/>
              </w:tabs>
              <w:spacing w:after="60" w:line="240" w:lineRule="auto"/>
              <w:ind w:hanging="29"/>
              <w:jc w:val="right"/>
            </w:pPr>
            <w:r w:rsidRPr="00461C10">
              <w:t>1607</w:t>
            </w:r>
          </w:p>
        </w:tc>
        <w:tc>
          <w:tcPr>
            <w:tcW w:w="1622" w:type="dxa"/>
            <w:tcMar>
              <w:top w:w="58" w:type="dxa"/>
              <w:left w:w="115" w:type="dxa"/>
              <w:bottom w:w="58" w:type="dxa"/>
              <w:right w:w="115" w:type="dxa"/>
            </w:tcMar>
          </w:tcPr>
          <w:p w:rsidRPr="00461C10" w:rsidR="006F0A6F" w:rsidP="00A17C68" w:rsidRDefault="006F0A6F" w14:paraId="70F9A888" w14:textId="6EDA1468">
            <w:pPr>
              <w:pStyle w:val="Standard"/>
              <w:tabs>
                <w:tab w:val="left" w:pos="2671"/>
              </w:tabs>
              <w:spacing w:after="60" w:line="240" w:lineRule="auto"/>
              <w:ind w:hanging="29"/>
              <w:jc w:val="right"/>
            </w:pPr>
            <w:r w:rsidRPr="00461C10">
              <w:t>1005</w:t>
            </w:r>
          </w:p>
        </w:tc>
      </w:tr>
      <w:tr w:rsidRPr="00461C10" w:rsidR="006F0A6F" w:rsidTr="00D1492A" w14:paraId="0EBB4B54" w14:textId="77777777">
        <w:trPr>
          <w:trHeight w:val="20"/>
          <w:jc w:val="center"/>
        </w:trPr>
        <w:tc>
          <w:tcPr>
            <w:tcW w:w="1255" w:type="dxa"/>
            <w:vMerge/>
            <w:tcMar>
              <w:top w:w="58" w:type="dxa"/>
              <w:left w:w="115" w:type="dxa"/>
              <w:bottom w:w="58" w:type="dxa"/>
              <w:right w:w="115" w:type="dxa"/>
            </w:tcMar>
            <w:vAlign w:val="center"/>
          </w:tcPr>
          <w:p w:rsidRPr="00961DD0" w:rsidR="006F0A6F" w:rsidP="00D1492A" w:rsidRDefault="006F0A6F" w14:paraId="468C64DE" w14:textId="77777777">
            <w:pPr>
              <w:pStyle w:val="Standard"/>
              <w:spacing w:line="240" w:lineRule="auto"/>
              <w:ind w:firstLine="0"/>
            </w:pPr>
          </w:p>
        </w:tc>
        <w:tc>
          <w:tcPr>
            <w:tcW w:w="3240" w:type="dxa"/>
            <w:tcMar>
              <w:top w:w="58" w:type="dxa"/>
              <w:left w:w="115" w:type="dxa"/>
              <w:bottom w:w="58" w:type="dxa"/>
              <w:right w:w="115" w:type="dxa"/>
            </w:tcMar>
          </w:tcPr>
          <w:p w:rsidRPr="00461C10" w:rsidR="006F0A6F" w:rsidP="00A17C68" w:rsidRDefault="006F0A6F" w14:paraId="13067F9A" w14:textId="302DBD82">
            <w:pPr>
              <w:pStyle w:val="Standard"/>
              <w:tabs>
                <w:tab w:val="left" w:pos="2671"/>
              </w:tabs>
              <w:spacing w:after="60" w:line="240" w:lineRule="auto"/>
              <w:ind w:firstLine="0"/>
              <w:jc w:val="both"/>
            </w:pPr>
            <w:r w:rsidRPr="00461C10">
              <w:t>New Substation</w:t>
            </w:r>
          </w:p>
        </w:tc>
        <w:tc>
          <w:tcPr>
            <w:tcW w:w="1622" w:type="dxa"/>
            <w:tcMar>
              <w:top w:w="58" w:type="dxa"/>
              <w:left w:w="115" w:type="dxa"/>
              <w:bottom w:w="58" w:type="dxa"/>
              <w:right w:w="115" w:type="dxa"/>
            </w:tcMar>
          </w:tcPr>
          <w:p w:rsidRPr="00461C10" w:rsidR="006F0A6F" w:rsidP="00A17C68" w:rsidRDefault="006F0A6F" w14:paraId="7B5A0072" w14:textId="5C228A7F">
            <w:pPr>
              <w:pStyle w:val="Standard"/>
              <w:tabs>
                <w:tab w:val="left" w:pos="2671"/>
              </w:tabs>
              <w:spacing w:after="60" w:line="240" w:lineRule="auto"/>
              <w:ind w:hanging="29"/>
              <w:jc w:val="right"/>
            </w:pPr>
            <w:r w:rsidRPr="00461C10">
              <w:t>3242</w:t>
            </w:r>
          </w:p>
        </w:tc>
        <w:tc>
          <w:tcPr>
            <w:tcW w:w="1622" w:type="dxa"/>
            <w:tcMar>
              <w:top w:w="58" w:type="dxa"/>
              <w:left w:w="115" w:type="dxa"/>
              <w:bottom w:w="58" w:type="dxa"/>
              <w:right w:w="115" w:type="dxa"/>
            </w:tcMar>
          </w:tcPr>
          <w:p w:rsidRPr="00461C10" w:rsidR="006F0A6F" w:rsidP="00A17C68" w:rsidRDefault="006F0A6F" w14:paraId="46D01CE2" w14:textId="15020DA3">
            <w:pPr>
              <w:pStyle w:val="Standard"/>
              <w:tabs>
                <w:tab w:val="left" w:pos="2671"/>
              </w:tabs>
              <w:spacing w:after="60" w:line="240" w:lineRule="auto"/>
              <w:ind w:hanging="29"/>
              <w:jc w:val="right"/>
            </w:pPr>
            <w:r w:rsidRPr="00461C10">
              <w:t>3242</w:t>
            </w:r>
          </w:p>
        </w:tc>
        <w:tc>
          <w:tcPr>
            <w:tcW w:w="1622" w:type="dxa"/>
            <w:tcMar>
              <w:top w:w="58" w:type="dxa"/>
              <w:left w:w="115" w:type="dxa"/>
              <w:bottom w:w="58" w:type="dxa"/>
              <w:right w:w="115" w:type="dxa"/>
            </w:tcMar>
          </w:tcPr>
          <w:p w:rsidRPr="00461C10" w:rsidR="006F0A6F" w:rsidP="00A17C68" w:rsidRDefault="006F0A6F" w14:paraId="38F0F387" w14:textId="194D83DC">
            <w:pPr>
              <w:pStyle w:val="Standard"/>
              <w:tabs>
                <w:tab w:val="left" w:pos="2671"/>
              </w:tabs>
              <w:spacing w:after="60" w:line="240" w:lineRule="auto"/>
              <w:ind w:hanging="29"/>
              <w:jc w:val="right"/>
            </w:pPr>
            <w:r>
              <w:t>0</w:t>
            </w:r>
          </w:p>
        </w:tc>
      </w:tr>
      <w:tr w:rsidRPr="00461C10" w:rsidR="006F0A6F" w:rsidTr="00D1492A" w14:paraId="752AC2A8" w14:textId="52C0A63C">
        <w:trPr>
          <w:trHeight w:val="238"/>
          <w:jc w:val="center"/>
        </w:trPr>
        <w:tc>
          <w:tcPr>
            <w:tcW w:w="1255" w:type="dxa"/>
            <w:vMerge w:val="restart"/>
            <w:tcMar>
              <w:top w:w="58" w:type="dxa"/>
              <w:left w:w="115" w:type="dxa"/>
              <w:bottom w:w="58" w:type="dxa"/>
              <w:right w:w="115" w:type="dxa"/>
            </w:tcMar>
            <w:vAlign w:val="center"/>
          </w:tcPr>
          <w:p w:rsidRPr="00961DD0" w:rsidR="006F0A6F" w:rsidP="00D1492A" w:rsidRDefault="006F0A6F" w14:paraId="49FAA53F" w14:textId="2B17E8A5">
            <w:pPr>
              <w:pStyle w:val="Standard"/>
              <w:spacing w:line="240" w:lineRule="auto"/>
              <w:ind w:firstLine="0"/>
            </w:pPr>
            <w:r w:rsidRPr="00961DD0">
              <w:t>SDG&amp;E</w:t>
            </w:r>
          </w:p>
        </w:tc>
        <w:tc>
          <w:tcPr>
            <w:tcW w:w="3240" w:type="dxa"/>
            <w:tcMar>
              <w:top w:w="58" w:type="dxa"/>
              <w:left w:w="115" w:type="dxa"/>
              <w:bottom w:w="58" w:type="dxa"/>
              <w:right w:w="115" w:type="dxa"/>
            </w:tcMar>
          </w:tcPr>
          <w:p w:rsidRPr="00461C10" w:rsidR="006F0A6F" w:rsidP="00A17C68" w:rsidRDefault="006F0A6F" w14:paraId="2FA235A8" w14:textId="79647975">
            <w:pPr>
              <w:pStyle w:val="Standard"/>
              <w:tabs>
                <w:tab w:val="left" w:pos="2671"/>
              </w:tabs>
              <w:spacing w:after="60" w:line="240" w:lineRule="auto"/>
              <w:ind w:firstLine="0"/>
              <w:jc w:val="both"/>
            </w:pPr>
            <w:r w:rsidRPr="00461C10">
              <w:t>New/Upgraded Circuits</w:t>
            </w:r>
          </w:p>
        </w:tc>
        <w:tc>
          <w:tcPr>
            <w:tcW w:w="1622" w:type="dxa"/>
            <w:tcMar>
              <w:top w:w="58" w:type="dxa"/>
              <w:left w:w="115" w:type="dxa"/>
              <w:bottom w:w="58" w:type="dxa"/>
              <w:right w:w="115" w:type="dxa"/>
            </w:tcMar>
          </w:tcPr>
          <w:p w:rsidRPr="00461C10" w:rsidR="006F0A6F" w:rsidP="00A17C68" w:rsidRDefault="006F0A6F" w14:paraId="7CF14AB7" w14:textId="5C8234EB">
            <w:pPr>
              <w:pStyle w:val="Standard"/>
              <w:tabs>
                <w:tab w:val="left" w:pos="2671"/>
              </w:tabs>
              <w:spacing w:after="60" w:line="240" w:lineRule="auto"/>
              <w:ind w:hanging="29"/>
              <w:jc w:val="right"/>
            </w:pPr>
            <w:r w:rsidRPr="00461C10">
              <w:t>942</w:t>
            </w:r>
          </w:p>
        </w:tc>
        <w:tc>
          <w:tcPr>
            <w:tcW w:w="1622" w:type="dxa"/>
            <w:tcMar>
              <w:top w:w="58" w:type="dxa"/>
              <w:left w:w="115" w:type="dxa"/>
              <w:bottom w:w="58" w:type="dxa"/>
              <w:right w:w="115" w:type="dxa"/>
            </w:tcMar>
          </w:tcPr>
          <w:p w:rsidRPr="00461C10" w:rsidR="006F0A6F" w:rsidP="00A17C68" w:rsidRDefault="006F0A6F" w14:paraId="4FCC42C5" w14:textId="5EE413CD">
            <w:pPr>
              <w:pStyle w:val="Standard"/>
              <w:tabs>
                <w:tab w:val="left" w:pos="2671"/>
              </w:tabs>
              <w:spacing w:after="60" w:line="240" w:lineRule="auto"/>
              <w:ind w:hanging="29"/>
              <w:jc w:val="right"/>
            </w:pPr>
            <w:r w:rsidRPr="00461C10">
              <w:t>913</w:t>
            </w:r>
          </w:p>
        </w:tc>
        <w:tc>
          <w:tcPr>
            <w:tcW w:w="1622" w:type="dxa"/>
            <w:tcMar>
              <w:top w:w="58" w:type="dxa"/>
              <w:left w:w="115" w:type="dxa"/>
              <w:bottom w:w="58" w:type="dxa"/>
              <w:right w:w="115" w:type="dxa"/>
            </w:tcMar>
          </w:tcPr>
          <w:p w:rsidRPr="00461C10" w:rsidR="006F0A6F" w:rsidP="00A17C68" w:rsidRDefault="006F0A6F" w14:paraId="4571D2C6" w14:textId="05EB931D">
            <w:pPr>
              <w:pStyle w:val="Standard"/>
              <w:tabs>
                <w:tab w:val="left" w:pos="2671"/>
              </w:tabs>
              <w:spacing w:after="60" w:line="240" w:lineRule="auto"/>
              <w:ind w:hanging="29"/>
              <w:jc w:val="right"/>
            </w:pPr>
            <w:r w:rsidRPr="00461C10">
              <w:t>264</w:t>
            </w:r>
          </w:p>
        </w:tc>
      </w:tr>
      <w:tr w:rsidRPr="00461C10" w:rsidR="006F0A6F" w:rsidTr="00D1492A" w14:paraId="2836DC2B" w14:textId="77777777">
        <w:trPr>
          <w:trHeight w:val="283"/>
          <w:jc w:val="center"/>
        </w:trPr>
        <w:tc>
          <w:tcPr>
            <w:tcW w:w="1255" w:type="dxa"/>
            <w:vMerge/>
            <w:tcMar>
              <w:top w:w="58" w:type="dxa"/>
              <w:left w:w="115" w:type="dxa"/>
              <w:bottom w:w="58" w:type="dxa"/>
              <w:right w:w="115" w:type="dxa"/>
            </w:tcMar>
            <w:vAlign w:val="center"/>
          </w:tcPr>
          <w:p w:rsidRPr="00461C10" w:rsidR="006F0A6F" w:rsidP="00A17C68" w:rsidRDefault="006F0A6F" w14:paraId="3825AFED" w14:textId="77777777">
            <w:pPr>
              <w:pStyle w:val="Standard"/>
              <w:spacing w:line="240" w:lineRule="auto"/>
              <w:ind w:firstLine="0"/>
              <w:jc w:val="center"/>
            </w:pPr>
          </w:p>
        </w:tc>
        <w:tc>
          <w:tcPr>
            <w:tcW w:w="3240" w:type="dxa"/>
            <w:tcMar>
              <w:top w:w="58" w:type="dxa"/>
              <w:left w:w="115" w:type="dxa"/>
              <w:bottom w:w="58" w:type="dxa"/>
              <w:right w:w="115" w:type="dxa"/>
            </w:tcMar>
          </w:tcPr>
          <w:p w:rsidRPr="00461C10" w:rsidR="006F0A6F" w:rsidP="00A17C68" w:rsidRDefault="006F0A6F" w14:paraId="18DAF85B" w14:textId="677CD04C">
            <w:pPr>
              <w:pStyle w:val="Standard"/>
              <w:tabs>
                <w:tab w:val="left" w:pos="2671"/>
              </w:tabs>
              <w:spacing w:after="60" w:line="240" w:lineRule="auto"/>
              <w:ind w:firstLine="0"/>
              <w:jc w:val="both"/>
            </w:pPr>
            <w:r w:rsidRPr="00461C10">
              <w:t>Substation upgrades</w:t>
            </w:r>
          </w:p>
        </w:tc>
        <w:tc>
          <w:tcPr>
            <w:tcW w:w="1622" w:type="dxa"/>
            <w:tcMar>
              <w:top w:w="58" w:type="dxa"/>
              <w:left w:w="115" w:type="dxa"/>
              <w:bottom w:w="58" w:type="dxa"/>
              <w:right w:w="115" w:type="dxa"/>
            </w:tcMar>
          </w:tcPr>
          <w:p w:rsidRPr="00461C10" w:rsidR="006F0A6F" w:rsidP="00A17C68" w:rsidRDefault="006F0A6F" w14:paraId="23768C0F" w14:textId="22497395">
            <w:pPr>
              <w:pStyle w:val="Standard"/>
              <w:tabs>
                <w:tab w:val="left" w:pos="2671"/>
              </w:tabs>
              <w:spacing w:after="60" w:line="240" w:lineRule="auto"/>
              <w:ind w:hanging="29"/>
              <w:jc w:val="right"/>
            </w:pPr>
            <w:r w:rsidRPr="00461C10">
              <w:t>No data</w:t>
            </w:r>
          </w:p>
        </w:tc>
        <w:tc>
          <w:tcPr>
            <w:tcW w:w="1622" w:type="dxa"/>
            <w:tcMar>
              <w:top w:w="58" w:type="dxa"/>
              <w:left w:w="115" w:type="dxa"/>
              <w:bottom w:w="58" w:type="dxa"/>
              <w:right w:w="115" w:type="dxa"/>
            </w:tcMar>
          </w:tcPr>
          <w:p w:rsidRPr="00461C10" w:rsidR="006F0A6F" w:rsidP="00A17C68" w:rsidRDefault="006F0A6F" w14:paraId="15E7DC7D" w14:textId="1F11E41C">
            <w:pPr>
              <w:pStyle w:val="Standard"/>
              <w:tabs>
                <w:tab w:val="left" w:pos="2671"/>
              </w:tabs>
              <w:spacing w:after="60" w:line="240" w:lineRule="auto"/>
              <w:ind w:hanging="29"/>
              <w:jc w:val="right"/>
            </w:pPr>
            <w:r w:rsidRPr="00461C10">
              <w:t>No data</w:t>
            </w:r>
          </w:p>
        </w:tc>
        <w:tc>
          <w:tcPr>
            <w:tcW w:w="1622" w:type="dxa"/>
            <w:tcMar>
              <w:top w:w="58" w:type="dxa"/>
              <w:left w:w="115" w:type="dxa"/>
              <w:bottom w:w="58" w:type="dxa"/>
              <w:right w:w="115" w:type="dxa"/>
            </w:tcMar>
          </w:tcPr>
          <w:p w:rsidRPr="00461C10" w:rsidR="006F0A6F" w:rsidP="00A17C68" w:rsidRDefault="006F0A6F" w14:paraId="7B02745C" w14:textId="0C68C065">
            <w:pPr>
              <w:pStyle w:val="Standard"/>
              <w:tabs>
                <w:tab w:val="left" w:pos="2671"/>
              </w:tabs>
              <w:spacing w:after="60" w:line="240" w:lineRule="auto"/>
              <w:ind w:hanging="29"/>
              <w:jc w:val="right"/>
            </w:pPr>
            <w:r w:rsidRPr="00461C10">
              <w:t>No data</w:t>
            </w:r>
          </w:p>
        </w:tc>
      </w:tr>
      <w:tr w:rsidRPr="00461C10" w:rsidR="00D1492A" w:rsidTr="00D1492A" w14:paraId="3CBE56FE" w14:textId="77777777">
        <w:trPr>
          <w:trHeight w:val="310"/>
          <w:jc w:val="center"/>
        </w:trPr>
        <w:tc>
          <w:tcPr>
            <w:tcW w:w="1255" w:type="dxa"/>
            <w:vMerge/>
            <w:tcMar>
              <w:top w:w="58" w:type="dxa"/>
              <w:left w:w="115" w:type="dxa"/>
              <w:bottom w:w="58" w:type="dxa"/>
              <w:right w:w="115" w:type="dxa"/>
            </w:tcMar>
            <w:vAlign w:val="center"/>
          </w:tcPr>
          <w:p w:rsidRPr="00461C10" w:rsidR="006F0A6F" w:rsidP="00A17C68" w:rsidRDefault="006F0A6F" w14:paraId="5BA92314" w14:textId="77777777">
            <w:pPr>
              <w:pStyle w:val="Standard"/>
              <w:spacing w:line="240" w:lineRule="auto"/>
              <w:ind w:firstLine="0"/>
              <w:jc w:val="center"/>
            </w:pPr>
          </w:p>
        </w:tc>
        <w:tc>
          <w:tcPr>
            <w:tcW w:w="3240" w:type="dxa"/>
            <w:tcMar>
              <w:top w:w="58" w:type="dxa"/>
              <w:left w:w="115" w:type="dxa"/>
              <w:bottom w:w="58" w:type="dxa"/>
              <w:right w:w="115" w:type="dxa"/>
            </w:tcMar>
          </w:tcPr>
          <w:p w:rsidRPr="00461C10" w:rsidR="006F0A6F" w:rsidP="00A17C68" w:rsidRDefault="006F0A6F" w14:paraId="02B39EB8" w14:textId="1A2E8F03">
            <w:pPr>
              <w:pStyle w:val="Standard"/>
              <w:tabs>
                <w:tab w:val="left" w:pos="2671"/>
              </w:tabs>
              <w:spacing w:after="60" w:line="240" w:lineRule="auto"/>
              <w:ind w:firstLine="0"/>
              <w:jc w:val="both"/>
            </w:pPr>
            <w:r w:rsidRPr="00461C10">
              <w:t>New Substation</w:t>
            </w:r>
          </w:p>
        </w:tc>
        <w:tc>
          <w:tcPr>
            <w:tcW w:w="1622" w:type="dxa"/>
            <w:tcMar>
              <w:top w:w="58" w:type="dxa"/>
              <w:left w:w="115" w:type="dxa"/>
              <w:bottom w:w="58" w:type="dxa"/>
              <w:right w:w="115" w:type="dxa"/>
            </w:tcMar>
          </w:tcPr>
          <w:p w:rsidRPr="00461C10" w:rsidR="006F0A6F" w:rsidP="00A17C68" w:rsidRDefault="006F0A6F" w14:paraId="3FDCB443" w14:textId="76E3DFE9">
            <w:pPr>
              <w:pStyle w:val="Standard"/>
              <w:tabs>
                <w:tab w:val="left" w:pos="2671"/>
              </w:tabs>
              <w:spacing w:after="60" w:line="240" w:lineRule="auto"/>
              <w:ind w:hanging="29"/>
              <w:jc w:val="right"/>
            </w:pPr>
            <w:r w:rsidRPr="00461C10">
              <w:t>No data</w:t>
            </w:r>
          </w:p>
        </w:tc>
        <w:tc>
          <w:tcPr>
            <w:tcW w:w="1622" w:type="dxa"/>
            <w:tcMar>
              <w:top w:w="58" w:type="dxa"/>
              <w:left w:w="115" w:type="dxa"/>
              <w:bottom w:w="58" w:type="dxa"/>
              <w:right w:w="115" w:type="dxa"/>
            </w:tcMar>
          </w:tcPr>
          <w:p w:rsidRPr="00461C10" w:rsidR="006F0A6F" w:rsidP="00A17C68" w:rsidRDefault="006F0A6F" w14:paraId="10FC49C2" w14:textId="29A99B57">
            <w:pPr>
              <w:pStyle w:val="Standard"/>
              <w:tabs>
                <w:tab w:val="left" w:pos="2671"/>
              </w:tabs>
              <w:spacing w:after="60" w:line="240" w:lineRule="auto"/>
              <w:ind w:hanging="29"/>
              <w:jc w:val="right"/>
            </w:pPr>
            <w:r w:rsidRPr="00461C10">
              <w:t>No data</w:t>
            </w:r>
          </w:p>
        </w:tc>
        <w:tc>
          <w:tcPr>
            <w:tcW w:w="1622" w:type="dxa"/>
            <w:tcMar>
              <w:top w:w="58" w:type="dxa"/>
              <w:left w:w="115" w:type="dxa"/>
              <w:bottom w:w="58" w:type="dxa"/>
              <w:right w:w="115" w:type="dxa"/>
            </w:tcMar>
          </w:tcPr>
          <w:p w:rsidRPr="00461C10" w:rsidR="006F0A6F" w:rsidP="00A17C68" w:rsidRDefault="006F0A6F" w14:paraId="39A652AC" w14:textId="7E5BAEB1">
            <w:pPr>
              <w:pStyle w:val="Standard"/>
              <w:tabs>
                <w:tab w:val="left" w:pos="2671"/>
              </w:tabs>
              <w:spacing w:after="60" w:line="240" w:lineRule="auto"/>
              <w:ind w:hanging="29"/>
              <w:jc w:val="right"/>
            </w:pPr>
            <w:r w:rsidRPr="00461C10">
              <w:t>No data</w:t>
            </w:r>
          </w:p>
        </w:tc>
      </w:tr>
      <w:bookmarkEnd w:id="45"/>
    </w:tbl>
    <w:p w:rsidRPr="00461C10" w:rsidR="009C41D8" w:rsidP="00803A43" w:rsidRDefault="009C41D8" w14:paraId="0C294E84" w14:textId="77777777">
      <w:pPr>
        <w:pStyle w:val="Standard"/>
        <w:spacing w:line="240" w:lineRule="auto"/>
      </w:pPr>
    </w:p>
    <w:p w:rsidRPr="00461C10" w:rsidR="00E76333" w:rsidP="00D627A1" w:rsidRDefault="005C445D" w14:paraId="57A64CA5" w14:textId="44FEBE95">
      <w:pPr>
        <w:pStyle w:val="Standard"/>
      </w:pPr>
      <w:r w:rsidRPr="00461C10">
        <w:t xml:space="preserve">The data provided by the large electric IOUs </w:t>
      </w:r>
      <w:r w:rsidRPr="00461C10" w:rsidDel="0086681F">
        <w:t xml:space="preserve">does </w:t>
      </w:r>
      <w:r w:rsidRPr="00461C10">
        <w:t xml:space="preserve">not </w:t>
      </w:r>
      <w:r w:rsidRPr="00461C10" w:rsidDel="0086681F">
        <w:t xml:space="preserve">provide adequate </w:t>
      </w:r>
      <w:r w:rsidRPr="00461C10" w:rsidDel="0086681F" w:rsidR="003135A0">
        <w:t>granularity</w:t>
      </w:r>
      <w:r w:rsidRPr="00461C10">
        <w:t xml:space="preserve"> to establish </w:t>
      </w:r>
      <w:r w:rsidRPr="00461C10" w:rsidR="003135A0">
        <w:t>targets for each type of upstream capacity upgrade project</w:t>
      </w:r>
      <w:r w:rsidRPr="00461C10" w:rsidR="007B267B">
        <w:t xml:space="preserve"> for each separate large electric IOU</w:t>
      </w:r>
      <w:r w:rsidRPr="00461C10" w:rsidR="003135A0">
        <w:t xml:space="preserve">. </w:t>
      </w:r>
      <w:r w:rsidRPr="00461C10" w:rsidR="613D592C">
        <w:t>Furthermore,</w:t>
      </w:r>
      <w:r w:rsidRPr="00461C10" w:rsidR="00D9203B">
        <w:t xml:space="preserve"> as mentioned earlier,</w:t>
      </w:r>
      <w:r w:rsidRPr="00461C10" w:rsidR="613D592C">
        <w:t xml:space="preserve"> </w:t>
      </w:r>
      <w:r w:rsidRPr="00461C10" w:rsidR="0051228B">
        <w:t>each large electric IOU reported data</w:t>
      </w:r>
      <w:r w:rsidRPr="00461C10" w:rsidR="613D592C">
        <w:t xml:space="preserve"> differently by each utility, with PG&amp;E submitting both </w:t>
      </w:r>
      <w:r w:rsidRPr="00461C10" w:rsidR="0051228B">
        <w:t>a</w:t>
      </w:r>
      <w:r w:rsidRPr="00461C10" w:rsidR="613D592C">
        <w:t xml:space="preserve"> </w:t>
      </w:r>
      <w:r w:rsidRPr="00461C10" w:rsidR="0051228B">
        <w:t>“</w:t>
      </w:r>
      <w:r w:rsidRPr="00461C10" w:rsidR="613D592C">
        <w:t>pre-funding timeline</w:t>
      </w:r>
      <w:r w:rsidRPr="00461C10" w:rsidR="0051228B">
        <w:t>”</w:t>
      </w:r>
      <w:r w:rsidRPr="00461C10" w:rsidR="613D592C">
        <w:t xml:space="preserve"> and </w:t>
      </w:r>
      <w:r w:rsidRPr="00461C10" w:rsidR="0051228B">
        <w:t>a separate “</w:t>
      </w:r>
      <w:r w:rsidRPr="00461C10" w:rsidR="6F7F277C">
        <w:t>energization timeline</w:t>
      </w:r>
      <w:r w:rsidRPr="00461C10" w:rsidR="0051228B">
        <w:t>”</w:t>
      </w:r>
      <w:r w:rsidRPr="00461C10" w:rsidR="00E76333">
        <w:t xml:space="preserve"> in its response to the March</w:t>
      </w:r>
      <w:r w:rsidR="002932C0">
        <w:t> </w:t>
      </w:r>
      <w:r w:rsidRPr="00461C10" w:rsidR="00E76333">
        <w:t>21, 2024,</w:t>
      </w:r>
      <w:r w:rsidR="002932C0">
        <w:t> </w:t>
      </w:r>
      <w:r w:rsidRPr="00461C10" w:rsidR="00E76333">
        <w:t>ALJ ruling</w:t>
      </w:r>
      <w:r w:rsidRPr="00461C10" w:rsidR="6F7F277C">
        <w:t xml:space="preserve">. </w:t>
      </w:r>
    </w:p>
    <w:p w:rsidRPr="00461C10" w:rsidR="00AF7E23" w:rsidP="007F6613" w:rsidRDefault="6F7F277C" w14:paraId="515E7777" w14:textId="0B6B3E5B">
      <w:pPr>
        <w:pStyle w:val="Standard"/>
        <w:rPr>
          <w:rFonts w:eastAsia="Calibri" w:cs="Calibri"/>
        </w:rPr>
      </w:pPr>
      <w:r w:rsidRPr="00461C10">
        <w:t xml:space="preserve">PG&amp;E asserts that the pre-funding time is “the time from when a project is identified </w:t>
      </w:r>
      <w:r w:rsidRPr="00461C10" w:rsidR="00000579">
        <w:t>until</w:t>
      </w:r>
      <w:r w:rsidRPr="00461C10">
        <w:t xml:space="preserve"> when the project is approved and funded by regulatory bodies” and the energization timeline </w:t>
      </w:r>
      <w:r w:rsidRPr="00461C10" w:rsidR="1162C811">
        <w:t>includes the actual completion of the project including phases such as material sourcing, permitting, and licensing.</w:t>
      </w:r>
      <w:r w:rsidRPr="00461C10" w:rsidR="003135A0">
        <w:t xml:space="preserve"> </w:t>
      </w:r>
      <w:r w:rsidRPr="00461C10" w:rsidR="435F3154">
        <w:t xml:space="preserve">SCE and SDG&amp;E only filed a single timeline that includes both the time in which the </w:t>
      </w:r>
      <w:r w:rsidRPr="00461C10" w:rsidR="435F3154">
        <w:lastRenderedPageBreak/>
        <w:t xml:space="preserve">project is waiting to begin </w:t>
      </w:r>
      <w:r w:rsidRPr="00461C10" w:rsidR="4F0A4BCC">
        <w:t>and the time to complete the</w:t>
      </w:r>
      <w:r w:rsidRPr="00461C10" w:rsidR="003135A0">
        <w:t xml:space="preserve"> </w:t>
      </w:r>
      <w:r w:rsidRPr="00461C10" w:rsidR="4F0A4BCC">
        <w:t>project.</w:t>
      </w:r>
      <w:r w:rsidRPr="00461C10" w:rsidR="003135A0">
        <w:t xml:space="preserve"> </w:t>
      </w:r>
      <w:r w:rsidRPr="00461C10" w:rsidDel="0097439D" w:rsidR="00904D86">
        <w:t xml:space="preserve">These </w:t>
      </w:r>
      <w:r w:rsidRPr="00461C10" w:rsidDel="0097439D" w:rsidR="007D0591">
        <w:t xml:space="preserve">discrepancies in reporting </w:t>
      </w:r>
      <w:r w:rsidRPr="00461C10" w:rsidDel="0097439D" w:rsidR="003D4141">
        <w:t>pose a challenge in comparing the data</w:t>
      </w:r>
      <w:r w:rsidRPr="00461C10" w:rsidDel="0097439D" w:rsidR="005625C2">
        <w:t xml:space="preserve">. </w:t>
      </w:r>
      <w:r w:rsidRPr="00461C10" w:rsidDel="0097439D" w:rsidR="001F0C20">
        <w:t xml:space="preserve">However, </w:t>
      </w:r>
      <w:r w:rsidRPr="00461C10" w:rsidR="001F0C20">
        <w:t xml:space="preserve">the Commission finds that </w:t>
      </w:r>
      <w:r w:rsidRPr="00461C10" w:rsidR="0070132F">
        <w:t xml:space="preserve">PG&amp;E’s </w:t>
      </w:r>
      <w:r w:rsidRPr="00461C10" w:rsidR="007D35B2">
        <w:t xml:space="preserve">energization timeline </w:t>
      </w:r>
      <w:r w:rsidRPr="00461C10" w:rsidR="001F0C20">
        <w:t>data</w:t>
      </w:r>
      <w:r w:rsidRPr="00461C10" w:rsidR="0070132F">
        <w:t>,</w:t>
      </w:r>
      <w:r w:rsidRPr="00461C10" w:rsidR="001F0C20">
        <w:t xml:space="preserve"> </w:t>
      </w:r>
      <w:r w:rsidRPr="00461C10" w:rsidR="0070132F">
        <w:t xml:space="preserve">which </w:t>
      </w:r>
      <w:r w:rsidRPr="00461C10" w:rsidR="00AC71A2">
        <w:t>reflects the time to complete projects</w:t>
      </w:r>
      <w:r w:rsidRPr="00461C10" w:rsidR="0070132F">
        <w:t>,</w:t>
      </w:r>
      <w:r w:rsidRPr="00461C10" w:rsidR="00AC71A2">
        <w:t xml:space="preserve"> </w:t>
      </w:r>
      <w:r w:rsidRPr="00461C10" w:rsidR="00CF4CA8">
        <w:t xml:space="preserve">more closely aligns with the intent of </w:t>
      </w:r>
      <w:r w:rsidRPr="00461C10" w:rsidR="00C708FF">
        <w:t>establishing timelines</w:t>
      </w:r>
      <w:r w:rsidRPr="00461C10" w:rsidR="00644318">
        <w:t xml:space="preserve"> in this decision</w:t>
      </w:r>
      <w:r w:rsidRPr="00461C10" w:rsidR="00C708FF">
        <w:t xml:space="preserve">—accelerate </w:t>
      </w:r>
      <w:r w:rsidRPr="00461C10" w:rsidR="00111893">
        <w:t xml:space="preserve">steps in the energization process that utilities have control over. </w:t>
      </w:r>
      <w:r w:rsidRPr="00461C10" w:rsidR="0075538A">
        <w:t>The “</w:t>
      </w:r>
      <w:r w:rsidRPr="00461C10" w:rsidR="00E76333">
        <w:t>p</w:t>
      </w:r>
      <w:r w:rsidRPr="00461C10" w:rsidR="0075538A">
        <w:t>re-funding” time period</w:t>
      </w:r>
      <w:r w:rsidRPr="00461C10" w:rsidDel="00260DCA" w:rsidR="00B75CC5">
        <w:t xml:space="preserve">, or time </w:t>
      </w:r>
      <w:r w:rsidRPr="00461C10" w:rsidDel="00260DCA" w:rsidR="00DE62FF">
        <w:t xml:space="preserve">period </w:t>
      </w:r>
      <w:r w:rsidRPr="00461C10" w:rsidDel="00260DCA" w:rsidR="00B75CC5">
        <w:t>before a project needs to be initiat</w:t>
      </w:r>
      <w:r w:rsidRPr="00461C10" w:rsidDel="00260DCA" w:rsidR="00DE62FF">
        <w:t>ed to meet customers’ desired energization date</w:t>
      </w:r>
      <w:r w:rsidRPr="00461C10" w:rsidDel="00260DCA" w:rsidR="00BA6578">
        <w:t>s</w:t>
      </w:r>
      <w:r w:rsidRPr="00461C10" w:rsidR="00250001">
        <w:t>,</w:t>
      </w:r>
      <w:r w:rsidRPr="00461C10" w:rsidDel="00260DCA" w:rsidR="00DE62FF">
        <w:t xml:space="preserve"> </w:t>
      </w:r>
      <w:r w:rsidRPr="00461C10" w:rsidR="0075538A">
        <w:t xml:space="preserve">is not relevant given that it </w:t>
      </w:r>
      <w:r w:rsidRPr="00461C10" w:rsidR="00604F4F">
        <w:t xml:space="preserve">includes the time that a project is not </w:t>
      </w:r>
      <w:r w:rsidRPr="00461C10" w:rsidR="00DE62FF">
        <w:t xml:space="preserve">yet </w:t>
      </w:r>
      <w:r w:rsidRPr="00461C10" w:rsidR="00604F4F">
        <w:t xml:space="preserve">started. </w:t>
      </w:r>
      <w:r w:rsidRPr="00461C10" w:rsidR="00634186">
        <w:t xml:space="preserve">In PG&amp;E’s </w:t>
      </w:r>
      <w:r w:rsidRPr="00461C10" w:rsidR="001D27B2">
        <w:t>Opening Comments, they argue t</w:t>
      </w:r>
      <w:r w:rsidRPr="00461C10" w:rsidR="007F3132">
        <w:t xml:space="preserve">hat the Commission should include </w:t>
      </w:r>
      <w:r w:rsidRPr="00461C10" w:rsidR="002E294C">
        <w:t>the “pre-funding” timeline</w:t>
      </w:r>
      <w:r w:rsidRPr="00461C10" w:rsidR="000C05B9">
        <w:t xml:space="preserve"> “until the revision of the SB 410 caps can be considered</w:t>
      </w:r>
      <w:r w:rsidRPr="00461C10" w:rsidR="00863254">
        <w:t>.</w:t>
      </w:r>
      <w:r w:rsidRPr="00461C10" w:rsidR="000C05B9">
        <w:t>”</w:t>
      </w:r>
      <w:r w:rsidRPr="00461C10" w:rsidR="000C05B9">
        <w:rPr>
          <w:rStyle w:val="FootnoteReference"/>
        </w:rPr>
        <w:footnoteReference w:id="70"/>
      </w:r>
      <w:r w:rsidRPr="00461C10" w:rsidR="00D7089D">
        <w:t xml:space="preserve"> The Commission denies this </w:t>
      </w:r>
      <w:r w:rsidRPr="00461C10" w:rsidR="005F24F9">
        <w:t>request but</w:t>
      </w:r>
      <w:r w:rsidRPr="00461C10" w:rsidR="009B2F06">
        <w:t xml:space="preserve"> find</w:t>
      </w:r>
      <w:r w:rsidRPr="00461C10" w:rsidR="005F24F9">
        <w:t>s</w:t>
      </w:r>
      <w:r w:rsidRPr="00461C10" w:rsidR="009B2F06">
        <w:t xml:space="preserve"> PG&amp;E’s recommendation </w:t>
      </w:r>
      <w:r w:rsidRPr="00461C10" w:rsidR="0062271B">
        <w:t>th</w:t>
      </w:r>
      <w:r w:rsidRPr="00461C10" w:rsidR="005F24F9">
        <w:t>at</w:t>
      </w:r>
      <w:r w:rsidRPr="00461C10" w:rsidR="0062271B">
        <w:t xml:space="preserve"> capacity work should only “begin once the customer has both signed the contract and paid the required fees”</w:t>
      </w:r>
      <w:r w:rsidRPr="00461C10" w:rsidR="005F24F9">
        <w:t xml:space="preserve"> </w:t>
      </w:r>
      <w:r w:rsidRPr="00461C10" w:rsidR="0041623A">
        <w:t>reasonable</w:t>
      </w:r>
      <w:r w:rsidRPr="00461C10" w:rsidR="0062271B">
        <w:t>.</w:t>
      </w:r>
      <w:r w:rsidRPr="00461C10" w:rsidR="00725D4C">
        <w:rPr>
          <w:rStyle w:val="FootnoteReference"/>
        </w:rPr>
        <w:footnoteReference w:id="71"/>
      </w:r>
      <w:r w:rsidRPr="00461C10" w:rsidR="0062271B">
        <w:t xml:space="preserve"> </w:t>
      </w:r>
      <w:r w:rsidRPr="00461C10" w:rsidR="0023050A">
        <w:t>This means</w:t>
      </w:r>
      <w:r w:rsidRPr="00461C10" w:rsidR="00282F27">
        <w:t xml:space="preserve"> t</w:t>
      </w:r>
      <w:r w:rsidRPr="00461C10" w:rsidR="005529E1">
        <w:rPr>
          <w:rFonts w:eastAsia="Calibri" w:cs="Calibri"/>
        </w:rPr>
        <w:t xml:space="preserve">he large electric IOUs should begin upstream capacity upgrades </w:t>
      </w:r>
      <w:r w:rsidRPr="00461C10" w:rsidR="001B7248">
        <w:rPr>
          <w:rFonts w:eastAsia="Calibri" w:cs="Calibri"/>
        </w:rPr>
        <w:t xml:space="preserve">according to the adopted maximum timelines </w:t>
      </w:r>
      <w:r w:rsidRPr="00461C10" w:rsidR="005529E1">
        <w:rPr>
          <w:rFonts w:eastAsia="Calibri" w:cs="Calibri"/>
        </w:rPr>
        <w:t xml:space="preserve">once </w:t>
      </w:r>
      <w:r w:rsidRPr="00461C10" w:rsidR="007753C3">
        <w:rPr>
          <w:rFonts w:eastAsia="Calibri" w:cs="Calibri"/>
        </w:rPr>
        <w:t>the</w:t>
      </w:r>
      <w:r w:rsidRPr="00461C10" w:rsidR="00BE59CD">
        <w:rPr>
          <w:rFonts w:eastAsia="Calibri" w:cs="Calibri"/>
        </w:rPr>
        <w:t xml:space="preserve">re is </w:t>
      </w:r>
      <w:r w:rsidRPr="00461C10" w:rsidR="004F08F4">
        <w:rPr>
          <w:rFonts w:eastAsia="Calibri" w:cs="Calibri"/>
        </w:rPr>
        <w:t>a signed contract</w:t>
      </w:r>
      <w:r w:rsidRPr="00461C10" w:rsidR="005529E1">
        <w:rPr>
          <w:rFonts w:eastAsia="Calibri" w:cs="Calibri"/>
        </w:rPr>
        <w:t xml:space="preserve"> and </w:t>
      </w:r>
      <w:r w:rsidRPr="00461C10" w:rsidR="00BE2CD0">
        <w:rPr>
          <w:rFonts w:eastAsia="Calibri" w:cs="Calibri"/>
        </w:rPr>
        <w:t xml:space="preserve">required </w:t>
      </w:r>
      <w:r w:rsidRPr="00461C10" w:rsidR="005529E1">
        <w:rPr>
          <w:rFonts w:eastAsia="Calibri" w:cs="Calibri"/>
        </w:rPr>
        <w:t xml:space="preserve">customer payment </w:t>
      </w:r>
      <w:r w:rsidRPr="00461C10" w:rsidR="00AC031D">
        <w:rPr>
          <w:rFonts w:eastAsia="Calibri" w:cs="Calibri"/>
        </w:rPr>
        <w:t>is</w:t>
      </w:r>
      <w:r w:rsidRPr="00461C10" w:rsidR="005529E1">
        <w:rPr>
          <w:rFonts w:eastAsia="Calibri" w:cs="Calibri"/>
        </w:rPr>
        <w:t xml:space="preserve"> received</w:t>
      </w:r>
      <w:r w:rsidRPr="00461C10" w:rsidR="00BE59CD">
        <w:rPr>
          <w:rFonts w:eastAsia="Calibri" w:cs="Calibri"/>
        </w:rPr>
        <w:t xml:space="preserve"> for energization request(s)</w:t>
      </w:r>
      <w:r w:rsidRPr="00461C10" w:rsidR="005529E1">
        <w:rPr>
          <w:rFonts w:eastAsia="Calibri" w:cs="Calibri"/>
        </w:rPr>
        <w:t xml:space="preserve">. </w:t>
      </w:r>
    </w:p>
    <w:p w:rsidRPr="00461C10" w:rsidR="00404E4E" w:rsidP="007F6613" w:rsidRDefault="001069A0" w14:paraId="651C3111" w14:textId="3AA8B036">
      <w:pPr>
        <w:pStyle w:val="Standard"/>
      </w:pPr>
      <w:r w:rsidRPr="00461C10">
        <w:rPr>
          <w:rFonts w:eastAsia="Calibri" w:cs="Calibri"/>
        </w:rPr>
        <w:t xml:space="preserve">Regarding </w:t>
      </w:r>
      <w:r w:rsidRPr="00461C10" w:rsidR="00C8371F">
        <w:rPr>
          <w:rFonts w:eastAsia="Calibri" w:cs="Calibri"/>
        </w:rPr>
        <w:t>PG&amp;E’s re</w:t>
      </w:r>
      <w:r w:rsidRPr="00461C10" w:rsidR="00DF39B8">
        <w:rPr>
          <w:rFonts w:eastAsia="Calibri" w:cs="Calibri"/>
        </w:rPr>
        <w:t xml:space="preserve">quests for certainty </w:t>
      </w:r>
      <w:r w:rsidRPr="00461C10" w:rsidR="00923E0C">
        <w:rPr>
          <w:rFonts w:eastAsia="Calibri" w:cs="Calibri"/>
        </w:rPr>
        <w:t>of</w:t>
      </w:r>
      <w:r w:rsidRPr="00461C10">
        <w:rPr>
          <w:rFonts w:eastAsia="Calibri" w:cs="Calibri"/>
        </w:rPr>
        <w:t xml:space="preserve"> cost recovery, SB 410</w:t>
      </w:r>
      <w:r w:rsidRPr="00461C10">
        <w:rPr>
          <w:rFonts w:eastAsia="Calibri" w:cs="Calibri"/>
          <w:u w:val="single"/>
        </w:rPr>
        <w:t xml:space="preserve"> </w:t>
      </w:r>
      <w:r w:rsidRPr="00461C10">
        <w:t>provides a</w:t>
      </w:r>
      <w:r w:rsidRPr="00461C10" w:rsidR="00763CFF">
        <w:t>n expedited</w:t>
      </w:r>
      <w:r w:rsidRPr="00461C10">
        <w:t xml:space="preserve"> pathway for utilities to request additional funding necessary to </w:t>
      </w:r>
      <w:r w:rsidRPr="00461C10" w:rsidR="00FB2E59">
        <w:t>achieve the policies of the statute</w:t>
      </w:r>
      <w:r w:rsidRPr="00461C10" w:rsidR="008A478E">
        <w:t xml:space="preserve"> without delay</w:t>
      </w:r>
      <w:r w:rsidRPr="00461C10" w:rsidR="00FB2E59">
        <w:t xml:space="preserve">, which includes the energization timelines. </w:t>
      </w:r>
      <w:r w:rsidRPr="00461C10" w:rsidR="00661ABD">
        <w:t>Put simply</w:t>
      </w:r>
      <w:r w:rsidRPr="00461C10" w:rsidR="00711980">
        <w:t xml:space="preserve">, </w:t>
      </w:r>
      <w:r w:rsidRPr="00461C10" w:rsidR="005E7884">
        <w:t xml:space="preserve">there should not be a “pre-funding” period where </w:t>
      </w:r>
      <w:r w:rsidRPr="00461C10" w:rsidR="00072850">
        <w:t>SCE, SDG&amp;E and PG&amp;E</w:t>
      </w:r>
      <w:r w:rsidRPr="00461C10" w:rsidR="005E7884">
        <w:t xml:space="preserve"> are awaiting </w:t>
      </w:r>
      <w:r w:rsidRPr="00461C10" w:rsidR="00147E35">
        <w:t>Commission</w:t>
      </w:r>
      <w:r w:rsidRPr="00461C10" w:rsidR="005E7884">
        <w:t xml:space="preserve"> </w:t>
      </w:r>
      <w:r w:rsidRPr="00461C10" w:rsidR="008476F0">
        <w:t>funding decisions</w:t>
      </w:r>
      <w:r w:rsidRPr="00461C10" w:rsidR="006C19B0">
        <w:t xml:space="preserve"> to energize customers.</w:t>
      </w:r>
      <w:r w:rsidRPr="00461C10" w:rsidR="000E6292">
        <w:t xml:space="preserve"> </w:t>
      </w:r>
      <w:r w:rsidRPr="00461C10" w:rsidR="003D65BD">
        <w:t xml:space="preserve">In </w:t>
      </w:r>
      <w:r w:rsidRPr="00461C10" w:rsidR="00376B36">
        <w:t>PG&amp;E</w:t>
      </w:r>
      <w:r w:rsidRPr="00461C10" w:rsidR="003D65BD">
        <w:t xml:space="preserve">’s case, </w:t>
      </w:r>
      <w:r w:rsidRPr="00461C10" w:rsidR="00415FA9">
        <w:t>there is</w:t>
      </w:r>
      <w:r w:rsidRPr="00461C10" w:rsidR="00376B36">
        <w:t xml:space="preserve"> already an </w:t>
      </w:r>
      <w:r w:rsidRPr="00461C10" w:rsidR="00BE59CD">
        <w:t xml:space="preserve">active </w:t>
      </w:r>
      <w:r w:rsidRPr="00461C10" w:rsidR="00376B36">
        <w:t>application</w:t>
      </w:r>
      <w:r w:rsidRPr="00461C10" w:rsidR="006C19B0">
        <w:t xml:space="preserve"> where </w:t>
      </w:r>
      <w:r w:rsidRPr="00461C10" w:rsidR="00C5537C">
        <w:t>PG&amp;E</w:t>
      </w:r>
      <w:r w:rsidRPr="00461C10" w:rsidR="006C19B0">
        <w:t xml:space="preserve"> </w:t>
      </w:r>
      <w:r w:rsidRPr="00461C10" w:rsidR="00BC196D">
        <w:lastRenderedPageBreak/>
        <w:t xml:space="preserve">was authorized an additional </w:t>
      </w:r>
      <w:r w:rsidRPr="00461C10" w:rsidR="00E54FE5">
        <w:t xml:space="preserve">approximate </w:t>
      </w:r>
      <w:r w:rsidRPr="00461C10" w:rsidR="00BC196D">
        <w:t>$2.2 billion in spending</w:t>
      </w:r>
      <w:r w:rsidRPr="00461C10" w:rsidR="00376B36">
        <w:t xml:space="preserve"> </w:t>
      </w:r>
      <w:r w:rsidRPr="00461C10" w:rsidR="00661ABD">
        <w:t>authorization</w:t>
      </w:r>
      <w:r w:rsidRPr="00461C10" w:rsidR="00376B36">
        <w:t xml:space="preserve"> </w:t>
      </w:r>
      <w:r w:rsidRPr="00461C10" w:rsidR="002D62DA">
        <w:t>with an option</w:t>
      </w:r>
      <w:r w:rsidRPr="00461C10" w:rsidR="00376B36">
        <w:t xml:space="preserve"> to file a motion</w:t>
      </w:r>
      <w:r w:rsidRPr="00461C10" w:rsidR="00723A82">
        <w:t xml:space="preserve"> for </w:t>
      </w:r>
      <w:r w:rsidRPr="00461C10" w:rsidR="0056397B">
        <w:t xml:space="preserve">a </w:t>
      </w:r>
      <w:r w:rsidRPr="00461C10" w:rsidR="00723A82">
        <w:t>higher cap</w:t>
      </w:r>
      <w:r w:rsidRPr="00461C10" w:rsidR="0056397B">
        <w:t xml:space="preserve"> in </w:t>
      </w:r>
      <w:r w:rsidRPr="00461C10" w:rsidR="00E64B76">
        <w:t>2025-2026</w:t>
      </w:r>
      <w:r w:rsidRPr="00461C10" w:rsidR="00723A82">
        <w:t xml:space="preserve">. </w:t>
      </w:r>
      <w:r w:rsidRPr="00461C10" w:rsidR="00376B36">
        <w:t xml:space="preserve"> </w:t>
      </w:r>
    </w:p>
    <w:p w:rsidRPr="00461C10" w:rsidR="00885451" w:rsidP="007F6613" w:rsidRDefault="000A2C67" w14:paraId="384244EC" w14:textId="7DD37539">
      <w:pPr>
        <w:pStyle w:val="Standard"/>
      </w:pPr>
      <w:r w:rsidRPr="00461C10">
        <w:t>In Opening Comments</w:t>
      </w:r>
      <w:r w:rsidR="00397D21">
        <w:t xml:space="preserve"> to the Proposed Decision</w:t>
      </w:r>
      <w:r w:rsidRPr="00461C10" w:rsidR="00F70A7B">
        <w:t>,</w:t>
      </w:r>
      <w:r w:rsidRPr="00461C10">
        <w:t xml:space="preserve"> </w:t>
      </w:r>
      <w:r w:rsidRPr="00461C10" w:rsidR="009C41C0">
        <w:t>multiple</w:t>
      </w:r>
      <w:r w:rsidRPr="00461C10" w:rsidR="003A4765">
        <w:t xml:space="preserve"> parties </w:t>
      </w:r>
      <w:r w:rsidRPr="00461C10" w:rsidR="009C41C0">
        <w:t xml:space="preserve">including </w:t>
      </w:r>
      <w:r w:rsidRPr="00461C10" w:rsidR="00015A42">
        <w:t xml:space="preserve">the </w:t>
      </w:r>
      <w:r w:rsidRPr="00461C10" w:rsidR="009C41C0">
        <w:t>Joint EV</w:t>
      </w:r>
      <w:r w:rsidRPr="00461C10" w:rsidR="00015A42">
        <w:t xml:space="preserve"> Industry </w:t>
      </w:r>
      <w:r w:rsidRPr="00461C10" w:rsidR="003A4765">
        <w:t xml:space="preserve">expressed concerns regarding </w:t>
      </w:r>
      <w:r w:rsidRPr="00461C10" w:rsidR="00015A42">
        <w:t xml:space="preserve">existing </w:t>
      </w:r>
      <w:r w:rsidRPr="00461C10" w:rsidR="003A4765">
        <w:t xml:space="preserve">backlogs of capacity projects and </w:t>
      </w:r>
      <w:r w:rsidRPr="00461C10" w:rsidR="00015A42">
        <w:t>how they</w:t>
      </w:r>
      <w:r w:rsidRPr="00461C10" w:rsidR="006E1293">
        <w:t xml:space="preserve"> could slow progress in achieving state goals</w:t>
      </w:r>
      <w:r w:rsidRPr="00461C10" w:rsidR="009B5059">
        <w:t>.</w:t>
      </w:r>
      <w:r w:rsidRPr="00461C10" w:rsidR="00720F4E">
        <w:rPr>
          <w:rStyle w:val="FootnoteReference"/>
        </w:rPr>
        <w:footnoteReference w:id="72"/>
      </w:r>
      <w:r w:rsidRPr="00461C10" w:rsidR="006E1293">
        <w:t xml:space="preserve"> The Commission </w:t>
      </w:r>
      <w:r w:rsidRPr="00461C10" w:rsidR="006946E3">
        <w:t>shares these</w:t>
      </w:r>
      <w:r w:rsidRPr="00461C10" w:rsidR="006E1293">
        <w:t xml:space="preserve"> concern</w:t>
      </w:r>
      <w:r w:rsidRPr="00461C10" w:rsidR="006946E3">
        <w:t>s</w:t>
      </w:r>
      <w:r w:rsidRPr="00461C10" w:rsidR="009A1C88">
        <w:t xml:space="preserve"> and emphasizes that </w:t>
      </w:r>
      <w:r w:rsidRPr="00461C10" w:rsidR="00D95C4F">
        <w:t xml:space="preserve">in order </w:t>
      </w:r>
      <w:r w:rsidRPr="00461C10" w:rsidR="002B5110">
        <w:t xml:space="preserve">to meet the maximum timelines </w:t>
      </w:r>
      <w:r w:rsidRPr="00461C10" w:rsidR="001224F2">
        <w:t xml:space="preserve">for all </w:t>
      </w:r>
      <w:r w:rsidRPr="00461C10" w:rsidR="00EF363E">
        <w:t xml:space="preserve">upstream capacity </w:t>
      </w:r>
      <w:r w:rsidRPr="00461C10" w:rsidR="001224F2">
        <w:t xml:space="preserve">projects </w:t>
      </w:r>
      <w:r w:rsidRPr="00461C10" w:rsidR="00D95C4F">
        <w:t xml:space="preserve">energization work </w:t>
      </w:r>
      <w:r w:rsidRPr="00461C10" w:rsidR="002B5110">
        <w:t xml:space="preserve">should start </w:t>
      </w:r>
      <w:r w:rsidRPr="00461C10" w:rsidR="00A9592A">
        <w:t>once the customer has both signed the contract and paid the required fees</w:t>
      </w:r>
      <w:r w:rsidRPr="00461C10" w:rsidR="0048613D">
        <w:t>.</w:t>
      </w:r>
    </w:p>
    <w:p w:rsidRPr="001D1428" w:rsidR="00812106" w:rsidP="007C346F" w:rsidRDefault="00644318" w14:paraId="60D4B033" w14:textId="3C818C38">
      <w:pPr>
        <w:pStyle w:val="Standard"/>
      </w:pPr>
      <w:r w:rsidRPr="00461C10">
        <w:t>T</w:t>
      </w:r>
      <w:r w:rsidRPr="00461C10" w:rsidR="00BE5925">
        <w:t xml:space="preserve">he Commission finds that each </w:t>
      </w:r>
      <w:r w:rsidRPr="00461C10" w:rsidR="00812106">
        <w:t xml:space="preserve">type of upstream capacity project should have its own </w:t>
      </w:r>
      <w:r w:rsidRPr="00461C10" w:rsidR="00F70F73">
        <w:t xml:space="preserve">maximum </w:t>
      </w:r>
      <w:r w:rsidRPr="00461C10" w:rsidR="00812106">
        <w:t xml:space="preserve">timeline to track progress within each </w:t>
      </w:r>
      <w:r w:rsidRPr="00461C10" w:rsidR="008D5E0C">
        <w:t xml:space="preserve">large electric </w:t>
      </w:r>
      <w:r w:rsidRPr="00461C10" w:rsidR="00BE5925">
        <w:t xml:space="preserve">IOUs’ </w:t>
      </w:r>
      <w:r w:rsidRPr="00461C10" w:rsidR="008D5E0C">
        <w:t>project execution and help identify barriers that could delay or impede project completion.</w:t>
      </w:r>
      <w:r w:rsidRPr="00461C10" w:rsidR="00812106">
        <w:t xml:space="preserve"> Contrary to EDF/NRDC’s claim that segmentation </w:t>
      </w:r>
      <w:r w:rsidRPr="00461C10" w:rsidR="00C239E7">
        <w:t xml:space="preserve">of </w:t>
      </w:r>
      <w:r w:rsidRPr="00461C10" w:rsidR="00812106">
        <w:rPr>
          <w:rFonts w:eastAsia="Calibri" w:cs="Calibri"/>
        </w:rPr>
        <w:t>timeline targets will obscure overall progress</w:t>
      </w:r>
      <w:r w:rsidRPr="00461C10" w:rsidR="00536780">
        <w:rPr>
          <w:rFonts w:eastAsia="Calibri" w:cs="Calibri"/>
        </w:rPr>
        <w:t>,</w:t>
      </w:r>
      <w:r w:rsidRPr="00461C10" w:rsidR="00812106">
        <w:rPr>
          <w:rFonts w:eastAsia="Calibri" w:cs="Calibri"/>
        </w:rPr>
        <w:t xml:space="preserve"> </w:t>
      </w:r>
      <w:r w:rsidRPr="00461C10" w:rsidR="2C42F4C3">
        <w:rPr>
          <w:rFonts w:eastAsia="Calibri" w:cs="Calibri"/>
        </w:rPr>
        <w:t xml:space="preserve">we </w:t>
      </w:r>
      <w:r w:rsidRPr="00461C10" w:rsidR="00373EB3">
        <w:rPr>
          <w:rFonts w:eastAsia="Calibri" w:cs="Calibri"/>
        </w:rPr>
        <w:t xml:space="preserve">find it reasonable to begin to improve the large electric IOUs’ </w:t>
      </w:r>
      <w:r w:rsidRPr="00461C10" w:rsidR="00B21337">
        <w:rPr>
          <w:rFonts w:eastAsia="Calibri" w:cs="Calibri"/>
        </w:rPr>
        <w:t xml:space="preserve">tracking and recording of upstream capacity upgrade projects by adopting </w:t>
      </w:r>
      <w:r w:rsidRPr="00461C10" w:rsidR="00BB4D1E">
        <w:rPr>
          <w:rFonts w:eastAsia="Calibri" w:cs="Calibri"/>
        </w:rPr>
        <w:t xml:space="preserve">maximum </w:t>
      </w:r>
      <w:r w:rsidRPr="00461C10" w:rsidR="007B267B">
        <w:rPr>
          <w:rFonts w:eastAsia="Calibri" w:cs="Calibri"/>
        </w:rPr>
        <w:t xml:space="preserve">statewide </w:t>
      </w:r>
      <w:r w:rsidRPr="00461C10" w:rsidR="00B21337">
        <w:rPr>
          <w:rFonts w:eastAsia="Calibri" w:cs="Calibri"/>
        </w:rPr>
        <w:t>timeline</w:t>
      </w:r>
      <w:r w:rsidRPr="00461C10" w:rsidR="007B267B">
        <w:rPr>
          <w:rFonts w:eastAsia="Calibri" w:cs="Calibri"/>
        </w:rPr>
        <w:t>s</w:t>
      </w:r>
      <w:r w:rsidRPr="00461C10" w:rsidR="00B21337">
        <w:rPr>
          <w:rFonts w:eastAsia="Calibri" w:cs="Calibri"/>
        </w:rPr>
        <w:t xml:space="preserve"> the large electric IOUs will be required to </w:t>
      </w:r>
      <w:r w:rsidRPr="00461C10" w:rsidR="007E04DC">
        <w:rPr>
          <w:rFonts w:eastAsia="Calibri" w:cs="Calibri"/>
        </w:rPr>
        <w:t xml:space="preserve">meet as they collect more information </w:t>
      </w:r>
      <w:r w:rsidRPr="00461C10" w:rsidR="00B21337">
        <w:rPr>
          <w:rFonts w:eastAsia="Calibri" w:cs="Calibri"/>
        </w:rPr>
        <w:t>about the different energization steps in each project type.</w:t>
      </w:r>
      <w:r w:rsidRPr="00461C10" w:rsidR="00536780">
        <w:rPr>
          <w:rStyle w:val="FootnoteReference"/>
          <w:rFonts w:eastAsia="Calibri" w:cs="Calibri"/>
        </w:rPr>
        <w:t xml:space="preserve"> </w:t>
      </w:r>
      <w:r w:rsidRPr="00461C10" w:rsidR="00536780">
        <w:rPr>
          <w:rStyle w:val="FootnoteReference"/>
          <w:rFonts w:eastAsia="Calibri" w:cs="Calibri"/>
        </w:rPr>
        <w:footnoteReference w:id="73"/>
      </w:r>
      <w:r w:rsidRPr="00461C10" w:rsidR="00812106">
        <w:rPr>
          <w:rFonts w:eastAsia="Calibri" w:cs="Calibri"/>
        </w:rPr>
        <w:t xml:space="preserve"> </w:t>
      </w:r>
    </w:p>
    <w:p w:rsidRPr="00461C10" w:rsidR="006750D4" w:rsidP="00A035B0" w:rsidRDefault="00150579" w14:paraId="1D19AB00" w14:textId="1331CCB2">
      <w:pPr>
        <w:pStyle w:val="Standard"/>
      </w:pPr>
      <w:r w:rsidRPr="00461C10">
        <w:t xml:space="preserve">The Commission acknowledges that </w:t>
      </w:r>
      <w:r w:rsidRPr="00461C10" w:rsidR="00E625DC">
        <w:t xml:space="preserve">these maximum timelines are based on </w:t>
      </w:r>
      <w:r w:rsidRPr="00461C10" w:rsidR="000329C2">
        <w:t>average values</w:t>
      </w:r>
      <w:r w:rsidRPr="00461C10" w:rsidR="004B4F3F">
        <w:t xml:space="preserve"> provided by the utilities</w:t>
      </w:r>
      <w:r w:rsidRPr="00461C10" w:rsidR="00C61A5F">
        <w:t xml:space="preserve"> and that </w:t>
      </w:r>
      <w:r w:rsidRPr="00461C10" w:rsidR="00313FF8">
        <w:t xml:space="preserve">there are </w:t>
      </w:r>
      <w:r w:rsidRPr="00461C10" w:rsidR="00C61A5F">
        <w:t xml:space="preserve">some projects </w:t>
      </w:r>
      <w:r w:rsidRPr="00461C10" w:rsidR="00313FF8">
        <w:t xml:space="preserve">that </w:t>
      </w:r>
      <w:r w:rsidRPr="00461C10" w:rsidR="00AC05BA">
        <w:t>may</w:t>
      </w:r>
      <w:r w:rsidRPr="00461C10" w:rsidR="00C61A5F">
        <w:t xml:space="preserve"> exceed the maximum</w:t>
      </w:r>
      <w:r w:rsidRPr="00461C10" w:rsidR="001C5C26">
        <w:t xml:space="preserve">. </w:t>
      </w:r>
      <w:r w:rsidRPr="00461C10" w:rsidR="002F6C9F">
        <w:t xml:space="preserve">However, </w:t>
      </w:r>
      <w:r w:rsidRPr="00461C10" w:rsidR="00E671B5">
        <w:t xml:space="preserve">the Commission </w:t>
      </w:r>
      <w:r w:rsidRPr="00461C10" w:rsidR="00D4022F">
        <w:t>finds it appropriate</w:t>
      </w:r>
      <w:r w:rsidRPr="00461C10" w:rsidR="009036A6">
        <w:t xml:space="preserve"> at this time</w:t>
      </w:r>
      <w:r w:rsidRPr="00461C10" w:rsidR="00D4022F">
        <w:t xml:space="preserve"> to </w:t>
      </w:r>
      <w:r w:rsidRPr="00461C10" w:rsidR="005C54DC">
        <w:t>utilize the</w:t>
      </w:r>
      <w:r w:rsidRPr="00461C10" w:rsidR="00D37D38">
        <w:t xml:space="preserve"> provided</w:t>
      </w:r>
      <w:r w:rsidRPr="00461C10" w:rsidR="005C54DC">
        <w:t xml:space="preserve"> averages as maximum</w:t>
      </w:r>
      <w:r w:rsidRPr="00461C10" w:rsidR="008F7282">
        <w:t>s</w:t>
      </w:r>
      <w:r w:rsidRPr="00461C10" w:rsidR="005C54DC">
        <w:t xml:space="preserve"> to drive reductions in timelines</w:t>
      </w:r>
      <w:r w:rsidRPr="00461C10" w:rsidR="00C655BE">
        <w:t xml:space="preserve"> for capacity projects</w:t>
      </w:r>
      <w:r w:rsidRPr="00461C10" w:rsidR="0038785A">
        <w:t xml:space="preserve"> that </w:t>
      </w:r>
      <w:r w:rsidRPr="00461C10" w:rsidR="00C655BE">
        <w:t>normally take longer than the average time</w:t>
      </w:r>
      <w:r w:rsidRPr="00461C10" w:rsidR="00FF1DC8">
        <w:t>lines</w:t>
      </w:r>
      <w:r w:rsidRPr="00461C10" w:rsidR="00C655BE">
        <w:t xml:space="preserve"> presented</w:t>
      </w:r>
      <w:r w:rsidRPr="00461C10" w:rsidR="003B4A61">
        <w:t>.</w:t>
      </w:r>
      <w:r w:rsidRPr="00461C10" w:rsidR="004B4F3F">
        <w:t xml:space="preserve"> </w:t>
      </w:r>
      <w:r w:rsidRPr="00461C10" w:rsidR="007A2442">
        <w:t>At this time, w</w:t>
      </w:r>
      <w:r w:rsidRPr="00461C10" w:rsidR="00622A03">
        <w:t>e also</w:t>
      </w:r>
      <w:r w:rsidRPr="00461C10" w:rsidR="007A2442">
        <w:t xml:space="preserve"> find it difficult to adopt average </w:t>
      </w:r>
      <w:r w:rsidRPr="00461C10" w:rsidR="007A2442">
        <w:lastRenderedPageBreak/>
        <w:t xml:space="preserve">timelines without </w:t>
      </w:r>
      <w:r w:rsidRPr="00461C10" w:rsidR="008D6A81">
        <w:t>better data</w:t>
      </w:r>
      <w:r w:rsidRPr="00461C10" w:rsidR="00FF1DC8">
        <w:t xml:space="preserve"> from the utilities</w:t>
      </w:r>
      <w:r w:rsidRPr="00461C10" w:rsidR="008D6A81">
        <w:t xml:space="preserve"> </w:t>
      </w:r>
      <w:r w:rsidRPr="00461C10" w:rsidR="00986EE4">
        <w:t xml:space="preserve">to determine caps on the </w:t>
      </w:r>
      <w:r w:rsidRPr="00461C10" w:rsidR="00860ABE">
        <w:t>number</w:t>
      </w:r>
      <w:r w:rsidRPr="00461C10" w:rsidR="00986EE4">
        <w:t xml:space="preserve"> of projects that can </w:t>
      </w:r>
      <w:r w:rsidRPr="00461C10" w:rsidR="001313A7">
        <w:t xml:space="preserve">or should </w:t>
      </w:r>
      <w:r w:rsidRPr="00461C10" w:rsidR="00580F3D">
        <w:t xml:space="preserve">be allowed </w:t>
      </w:r>
      <w:r w:rsidRPr="00461C10" w:rsidR="00B66550">
        <w:t>to</w:t>
      </w:r>
      <w:r w:rsidRPr="00461C10" w:rsidR="00580F3D">
        <w:t xml:space="preserve"> </w:t>
      </w:r>
      <w:r w:rsidRPr="00461C10" w:rsidR="00986EE4">
        <w:t xml:space="preserve">exceed the </w:t>
      </w:r>
      <w:r w:rsidRPr="00461C10" w:rsidR="000D4A16">
        <w:t>average</w:t>
      </w:r>
      <w:r w:rsidRPr="00461C10" w:rsidR="00580F3D">
        <w:t xml:space="preserve"> </w:t>
      </w:r>
      <w:r w:rsidRPr="00461C10" w:rsidR="00040617">
        <w:t>as was done</w:t>
      </w:r>
      <w:r w:rsidRPr="00461C10" w:rsidR="00580F3D">
        <w:t xml:space="preserve"> for </w:t>
      </w:r>
      <w:r w:rsidRPr="00461C10" w:rsidR="00A638DF">
        <w:t>tariff-based</w:t>
      </w:r>
      <w:r w:rsidRPr="00461C10" w:rsidR="00580F3D">
        <w:t xml:space="preserve"> projects</w:t>
      </w:r>
      <w:r w:rsidRPr="00461C10" w:rsidR="001313A7">
        <w:t>.</w:t>
      </w:r>
      <w:r w:rsidRPr="00461C10" w:rsidR="008D6A81">
        <w:t xml:space="preserve"> </w:t>
      </w:r>
      <w:r w:rsidRPr="00461C10" w:rsidR="00EA5FE3">
        <w:t>Since capacity projects take a longer time to complete, it could</w:t>
      </w:r>
      <w:r w:rsidRPr="00461C10" w:rsidR="005E6B42">
        <w:t xml:space="preserve"> delay getting better data to establish these caps</w:t>
      </w:r>
      <w:r w:rsidRPr="00461C10" w:rsidR="005460BA">
        <w:t xml:space="preserve"> and so s</w:t>
      </w:r>
      <w:r w:rsidRPr="00461C10" w:rsidR="008C54DE">
        <w:t>etting a</w:t>
      </w:r>
      <w:r w:rsidRPr="00461C10" w:rsidR="005460BA">
        <w:t xml:space="preserve"> conservative</w:t>
      </w:r>
      <w:r w:rsidRPr="00461C10" w:rsidR="008C54DE">
        <w:t xml:space="preserve"> maximum </w:t>
      </w:r>
      <w:r w:rsidRPr="00461C10" w:rsidR="005460BA">
        <w:t xml:space="preserve">at this time </w:t>
      </w:r>
      <w:r w:rsidRPr="00461C10" w:rsidR="00A220CC">
        <w:t>will</w:t>
      </w:r>
      <w:r w:rsidRPr="00461C10" w:rsidR="008E2FD9">
        <w:t xml:space="preserve"> encourage acceleration</w:t>
      </w:r>
      <w:r w:rsidRPr="00461C10" w:rsidR="00E74AD5">
        <w:t xml:space="preserve"> of </w:t>
      </w:r>
      <w:r w:rsidRPr="00461C10" w:rsidR="00991668">
        <w:t>performance</w:t>
      </w:r>
      <w:r w:rsidRPr="00461C10" w:rsidR="00E74AD5">
        <w:t xml:space="preserve"> </w:t>
      </w:r>
      <w:r w:rsidRPr="00461C10" w:rsidR="001D12CA">
        <w:t xml:space="preserve">over </w:t>
      </w:r>
      <w:r w:rsidRPr="00461C10" w:rsidR="00860ABE">
        <w:t>an already</w:t>
      </w:r>
      <w:r w:rsidRPr="00461C10" w:rsidR="001D12CA">
        <w:t xml:space="preserve"> lengthy process. </w:t>
      </w:r>
      <w:r w:rsidRPr="00461C10" w:rsidR="005C6C99">
        <w:t xml:space="preserve">Therefore, we </w:t>
      </w:r>
      <w:r w:rsidRPr="00461C10" w:rsidR="00CC518D">
        <w:t xml:space="preserve">utilize the lowest average among the three IOUs to </w:t>
      </w:r>
      <w:r w:rsidRPr="00461C10" w:rsidR="005C6C99">
        <w:t>adopt the following</w:t>
      </w:r>
      <w:r w:rsidRPr="00461C10" w:rsidR="00152FAE">
        <w:t xml:space="preserve"> maximum</w:t>
      </w:r>
      <w:r w:rsidRPr="00461C10" w:rsidR="007B267B">
        <w:t xml:space="preserve"> statewide</w:t>
      </w:r>
      <w:r w:rsidRPr="00461C10" w:rsidR="005C6C99">
        <w:t xml:space="preserve"> timelines </w:t>
      </w:r>
      <w:r w:rsidRPr="00461C10" w:rsidR="00E31E8C">
        <w:t xml:space="preserve">for the upstream capacity projects defined above as (1) new or upgraded </w:t>
      </w:r>
      <w:r w:rsidRPr="00461C10" w:rsidR="006750D4">
        <w:t>circuit</w:t>
      </w:r>
      <w:r w:rsidRPr="00461C10" w:rsidR="00E31E8C">
        <w:t>; (2) substation upgrade; and (3) new substation.</w:t>
      </w:r>
    </w:p>
    <w:p w:rsidRPr="00461C10" w:rsidR="006750D4" w:rsidP="00397D21" w:rsidRDefault="006750D4" w14:paraId="3431862C" w14:textId="04503C30">
      <w:pPr>
        <w:pStyle w:val="Standard"/>
        <w:keepNext/>
        <w:spacing w:before="120" w:after="120" w:line="240" w:lineRule="auto"/>
        <w:ind w:firstLine="0"/>
        <w:jc w:val="center"/>
      </w:pPr>
      <w:r w:rsidRPr="00461C10">
        <w:rPr>
          <w:b/>
          <w:bCs/>
        </w:rPr>
        <w:t>Table 5: Large Electric IOU</w:t>
      </w:r>
      <w:r w:rsidRPr="00461C10" w:rsidR="00D1515B">
        <w:rPr>
          <w:b/>
          <w:bCs/>
        </w:rPr>
        <w:t xml:space="preserve"> Maximum</w:t>
      </w:r>
      <w:r w:rsidRPr="00461C10">
        <w:rPr>
          <w:b/>
          <w:bCs/>
        </w:rPr>
        <w:t xml:space="preserve"> Timelines for</w:t>
      </w:r>
      <w:r w:rsidRPr="00461C10" w:rsidR="00803A43">
        <w:rPr>
          <w:b/>
          <w:bCs/>
        </w:rPr>
        <w:br/>
      </w:r>
      <w:r w:rsidRPr="00461C10">
        <w:rPr>
          <w:b/>
          <w:bCs/>
        </w:rPr>
        <w:t xml:space="preserve">Upstream Capacity Upgrade Projects </w:t>
      </w:r>
      <w:r w:rsidRPr="00461C10" w:rsidR="00446BEE">
        <w:rPr>
          <w:rStyle w:val="FootnoteReference"/>
        </w:rPr>
        <w:footnoteReference w:id="74"/>
      </w:r>
    </w:p>
    <w:tbl>
      <w:tblPr>
        <w:tblW w:w="9360" w:type="dxa"/>
        <w:jc w:val="center"/>
        <w:tblLayout w:type="fixed"/>
        <w:tblCellMar>
          <w:top w:w="115" w:type="dxa"/>
          <w:bottom w:w="115" w:type="dxa"/>
        </w:tblCellMar>
        <w:tblLook w:val="04A0" w:firstRow="1" w:lastRow="0" w:firstColumn="1" w:lastColumn="0" w:noHBand="0" w:noVBand="1"/>
      </w:tblPr>
      <w:tblGrid>
        <w:gridCol w:w="3505"/>
        <w:gridCol w:w="2927"/>
        <w:gridCol w:w="2928"/>
      </w:tblGrid>
      <w:tr w:rsidRPr="00461C10" w:rsidR="00461C10" w:rsidTr="00D1492A" w14:paraId="45195683" w14:textId="3286F409">
        <w:trPr>
          <w:trHeight w:val="877"/>
          <w:jc w:val="center"/>
        </w:trPr>
        <w:tc>
          <w:tcPr>
            <w:tcW w:w="3505" w:type="dxa"/>
            <w:tcBorders>
              <w:top w:val="single" w:color="auto" w:sz="4" w:space="0"/>
              <w:left w:val="single" w:color="auto" w:sz="4" w:space="0"/>
              <w:bottom w:val="single" w:color="auto" w:sz="4" w:space="0"/>
              <w:right w:val="single" w:color="auto" w:sz="4" w:space="0"/>
            </w:tcBorders>
            <w:shd w:val="clear" w:color="auto" w:fill="auto"/>
            <w:noWrap/>
            <w:tcMar>
              <w:top w:w="58" w:type="dxa"/>
              <w:left w:w="115" w:type="dxa"/>
              <w:bottom w:w="58" w:type="dxa"/>
              <w:right w:w="115" w:type="dxa"/>
            </w:tcMar>
            <w:vAlign w:val="bottom"/>
            <w:hideMark/>
          </w:tcPr>
          <w:p w:rsidRPr="00461C10" w:rsidR="000627B0" w:rsidP="007F0D0A" w:rsidRDefault="000627B0" w14:paraId="11ACC266" w14:textId="4BB6DA18">
            <w:pPr>
              <w:spacing w:line="240" w:lineRule="auto"/>
              <w:ind w:firstLine="0"/>
              <w:jc w:val="center"/>
              <w:rPr>
                <w:rFonts w:eastAsia="Times New Roman" w:cs="Times New Roman"/>
                <w:b/>
                <w:bCs/>
                <w:szCs w:val="26"/>
              </w:rPr>
            </w:pPr>
            <w:r w:rsidRPr="00461C10">
              <w:rPr>
                <w:rFonts w:eastAsia="Times New Roman" w:cs="Times New Roman"/>
                <w:b/>
                <w:bCs/>
                <w:szCs w:val="26"/>
              </w:rPr>
              <w:t>Upstream Capacity</w:t>
            </w:r>
            <w:r w:rsidR="00D1492A">
              <w:rPr>
                <w:rFonts w:eastAsia="Times New Roman" w:cs="Times New Roman"/>
                <w:b/>
                <w:bCs/>
                <w:szCs w:val="26"/>
              </w:rPr>
              <w:br/>
            </w:r>
            <w:r w:rsidRPr="00461C10">
              <w:rPr>
                <w:rFonts w:eastAsia="Times New Roman" w:cs="Times New Roman"/>
                <w:b/>
                <w:bCs/>
                <w:szCs w:val="26"/>
              </w:rPr>
              <w:t>Project Type</w:t>
            </w:r>
          </w:p>
        </w:tc>
        <w:tc>
          <w:tcPr>
            <w:tcW w:w="2927" w:type="dxa"/>
            <w:tcBorders>
              <w:top w:val="single" w:color="auto" w:sz="4" w:space="0"/>
              <w:left w:val="nil"/>
              <w:bottom w:val="single" w:color="auto" w:sz="4" w:space="0"/>
              <w:right w:val="single" w:color="auto" w:sz="4" w:space="0"/>
            </w:tcBorders>
            <w:shd w:val="clear" w:color="auto" w:fill="auto"/>
            <w:noWrap/>
            <w:tcMar>
              <w:top w:w="58" w:type="dxa"/>
              <w:left w:w="115" w:type="dxa"/>
              <w:bottom w:w="58" w:type="dxa"/>
              <w:right w:w="115" w:type="dxa"/>
            </w:tcMar>
            <w:vAlign w:val="bottom"/>
            <w:hideMark/>
          </w:tcPr>
          <w:p w:rsidRPr="00461C10" w:rsidR="000627B0" w:rsidP="1A249E9A" w:rsidRDefault="000627B0" w14:paraId="2BAA7363" w14:textId="78867A57">
            <w:pPr>
              <w:spacing w:line="240" w:lineRule="auto"/>
              <w:ind w:firstLine="0"/>
              <w:jc w:val="center"/>
              <w:rPr>
                <w:rFonts w:eastAsia="Times New Roman" w:cs="Times New Roman"/>
                <w:b/>
                <w:bCs/>
              </w:rPr>
            </w:pPr>
            <w:r w:rsidRPr="00461C10">
              <w:rPr>
                <w:rFonts w:eastAsia="Times New Roman" w:cs="Times New Roman"/>
                <w:b/>
                <w:bCs/>
              </w:rPr>
              <w:t>Statewide</w:t>
            </w:r>
            <w:r w:rsidR="00397D21">
              <w:rPr>
                <w:rFonts w:eastAsia="Times New Roman" w:cs="Times New Roman"/>
                <w:b/>
                <w:bCs/>
              </w:rPr>
              <w:br/>
            </w:r>
            <w:r w:rsidRPr="00461C10" w:rsidR="00D1515B">
              <w:rPr>
                <w:rFonts w:eastAsia="Times New Roman" w:cs="Times New Roman"/>
                <w:b/>
                <w:bCs/>
              </w:rPr>
              <w:t xml:space="preserve">Maximum </w:t>
            </w:r>
            <w:r w:rsidRPr="00461C10">
              <w:rPr>
                <w:rFonts w:eastAsia="Times New Roman" w:cs="Times New Roman"/>
                <w:b/>
                <w:bCs/>
              </w:rPr>
              <w:t xml:space="preserve">Timeline </w:t>
            </w:r>
            <w:r w:rsidRPr="00461C10" w:rsidR="004C7800">
              <w:rPr>
                <w:rFonts w:eastAsia="Times New Roman" w:cs="Times New Roman"/>
                <w:b/>
                <w:bCs/>
              </w:rPr>
              <w:t>(</w:t>
            </w:r>
            <w:r w:rsidRPr="00461C10" w:rsidR="244D1A29">
              <w:rPr>
                <w:rFonts w:eastAsia="Times New Roman" w:cs="Times New Roman"/>
                <w:b/>
                <w:bCs/>
              </w:rPr>
              <w:t>calendar days</w:t>
            </w:r>
            <w:r w:rsidRPr="00461C10" w:rsidR="004C7800">
              <w:rPr>
                <w:rFonts w:eastAsia="Times New Roman" w:cs="Times New Roman"/>
                <w:b/>
                <w:bCs/>
              </w:rPr>
              <w:t>)</w:t>
            </w:r>
          </w:p>
        </w:tc>
        <w:tc>
          <w:tcPr>
            <w:tcW w:w="2928" w:type="dxa"/>
            <w:tcBorders>
              <w:top w:val="single" w:color="auto" w:sz="4" w:space="0"/>
              <w:left w:val="nil"/>
              <w:bottom w:val="single" w:color="auto" w:sz="4" w:space="0"/>
              <w:right w:val="single" w:color="auto" w:sz="4" w:space="0"/>
            </w:tcBorders>
          </w:tcPr>
          <w:p w:rsidRPr="00461C10" w:rsidR="000627B0" w:rsidP="007F0D0A" w:rsidRDefault="00205EF2" w14:paraId="7E4CCD24" w14:textId="5A1045DA">
            <w:pPr>
              <w:spacing w:line="240" w:lineRule="auto"/>
              <w:ind w:firstLine="0"/>
              <w:jc w:val="center"/>
              <w:rPr>
                <w:rFonts w:eastAsia="Times New Roman" w:cs="Times New Roman"/>
                <w:b/>
              </w:rPr>
            </w:pPr>
            <w:r w:rsidRPr="00461C10">
              <w:rPr>
                <w:rFonts w:eastAsia="Times New Roman" w:cs="Times New Roman"/>
                <w:b/>
              </w:rPr>
              <w:t>Statewide</w:t>
            </w:r>
            <w:r w:rsidR="00397D21">
              <w:rPr>
                <w:rFonts w:eastAsia="Times New Roman" w:cs="Times New Roman"/>
                <w:b/>
              </w:rPr>
              <w:br/>
            </w:r>
            <w:r w:rsidRPr="00461C10" w:rsidR="00D1515B">
              <w:rPr>
                <w:rFonts w:eastAsia="Times New Roman" w:cs="Times New Roman"/>
                <w:b/>
              </w:rPr>
              <w:t>Maximum</w:t>
            </w:r>
            <w:r w:rsidRPr="00461C10">
              <w:rPr>
                <w:rFonts w:eastAsia="Times New Roman" w:cs="Times New Roman"/>
                <w:b/>
              </w:rPr>
              <w:t xml:space="preserve"> Timeline</w:t>
            </w:r>
            <w:r w:rsidR="00397D21">
              <w:rPr>
                <w:rFonts w:eastAsia="Times New Roman" w:cs="Times New Roman"/>
                <w:b/>
              </w:rPr>
              <w:br/>
            </w:r>
            <w:r w:rsidRPr="00461C10" w:rsidR="004C7800">
              <w:rPr>
                <w:rFonts w:eastAsia="Times New Roman" w:cs="Times New Roman"/>
                <w:b/>
              </w:rPr>
              <w:t>(</w:t>
            </w:r>
            <w:r w:rsidRPr="00461C10" w:rsidR="27679C27">
              <w:rPr>
                <w:rFonts w:eastAsia="Times New Roman" w:cs="Times New Roman"/>
                <w:b/>
                <w:bCs/>
              </w:rPr>
              <w:t xml:space="preserve">business </w:t>
            </w:r>
            <w:r w:rsidRPr="00461C10">
              <w:rPr>
                <w:rFonts w:eastAsia="Times New Roman" w:cs="Times New Roman"/>
                <w:b/>
              </w:rPr>
              <w:t>days</w:t>
            </w:r>
            <w:r w:rsidRPr="00461C10" w:rsidR="004C7800">
              <w:rPr>
                <w:rFonts w:eastAsia="Times New Roman" w:cs="Times New Roman"/>
                <w:b/>
              </w:rPr>
              <w:t>)</w:t>
            </w:r>
          </w:p>
        </w:tc>
      </w:tr>
      <w:tr w:rsidRPr="00461C10" w:rsidR="00461C10" w:rsidTr="00D1492A" w14:paraId="1ACC7662" w14:textId="3B2C840D">
        <w:trPr>
          <w:trHeight w:val="288"/>
          <w:jc w:val="center"/>
        </w:trPr>
        <w:tc>
          <w:tcPr>
            <w:tcW w:w="3505" w:type="dxa"/>
            <w:tcBorders>
              <w:top w:val="nil"/>
              <w:left w:val="single" w:color="auto" w:sz="4" w:space="0"/>
              <w:bottom w:val="single" w:color="auto" w:sz="4" w:space="0"/>
              <w:right w:val="single" w:color="auto" w:sz="4" w:space="0"/>
            </w:tcBorders>
            <w:shd w:val="clear" w:color="auto" w:fill="auto"/>
            <w:noWrap/>
            <w:tcMar>
              <w:top w:w="58" w:type="dxa"/>
              <w:left w:w="115" w:type="dxa"/>
              <w:bottom w:w="58" w:type="dxa"/>
              <w:right w:w="115" w:type="dxa"/>
            </w:tcMar>
            <w:vAlign w:val="bottom"/>
            <w:hideMark/>
          </w:tcPr>
          <w:p w:rsidRPr="00461C10" w:rsidR="000627B0" w:rsidP="00D1492A" w:rsidRDefault="000627B0" w14:paraId="7818A63E" w14:textId="77777777">
            <w:pPr>
              <w:spacing w:line="240" w:lineRule="auto"/>
              <w:ind w:firstLine="0"/>
              <w:rPr>
                <w:rFonts w:eastAsia="Times New Roman" w:cs="Times New Roman"/>
                <w:szCs w:val="26"/>
              </w:rPr>
            </w:pPr>
            <w:bookmarkStart w:name="_Hlk173905497" w:id="46"/>
            <w:r w:rsidRPr="00461C10">
              <w:rPr>
                <w:rFonts w:eastAsia="Times New Roman" w:cs="Times New Roman"/>
                <w:szCs w:val="26"/>
              </w:rPr>
              <w:t>New/Upgraded Circuit</w:t>
            </w:r>
          </w:p>
        </w:tc>
        <w:tc>
          <w:tcPr>
            <w:tcW w:w="2927"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vAlign w:val="bottom"/>
            <w:hideMark/>
          </w:tcPr>
          <w:p w:rsidRPr="00461C10" w:rsidR="000627B0" w:rsidP="007F0D0A" w:rsidRDefault="000627B0" w14:paraId="64AEA3BD" w14:textId="148B6967">
            <w:pPr>
              <w:spacing w:line="240" w:lineRule="auto"/>
              <w:ind w:firstLine="0"/>
              <w:jc w:val="center"/>
              <w:rPr>
                <w:rFonts w:eastAsia="Times New Roman" w:cs="Times New Roman"/>
              </w:rPr>
            </w:pPr>
            <w:r w:rsidRPr="00461C10">
              <w:rPr>
                <w:rFonts w:eastAsia="Times New Roman" w:cs="Times New Roman"/>
              </w:rPr>
              <w:t>6</w:t>
            </w:r>
            <w:r w:rsidRPr="00461C10" w:rsidR="00E54877">
              <w:rPr>
                <w:rFonts w:eastAsia="Times New Roman" w:cs="Times New Roman"/>
              </w:rPr>
              <w:t>84</w:t>
            </w:r>
          </w:p>
        </w:tc>
        <w:tc>
          <w:tcPr>
            <w:tcW w:w="2928" w:type="dxa"/>
            <w:tcBorders>
              <w:top w:val="nil"/>
              <w:left w:val="nil"/>
              <w:bottom w:val="single" w:color="auto" w:sz="4" w:space="0"/>
              <w:right w:val="single" w:color="auto" w:sz="4" w:space="0"/>
            </w:tcBorders>
          </w:tcPr>
          <w:p w:rsidRPr="00461C10" w:rsidR="000627B0" w:rsidP="007F0D0A" w:rsidRDefault="171DD10E" w14:paraId="35D2B65F" w14:textId="67A13788">
            <w:pPr>
              <w:spacing w:line="240" w:lineRule="auto"/>
              <w:ind w:firstLine="0"/>
              <w:jc w:val="center"/>
              <w:rPr>
                <w:rFonts w:eastAsia="Times New Roman" w:cs="Times New Roman"/>
              </w:rPr>
            </w:pPr>
            <w:r w:rsidRPr="00461C10">
              <w:rPr>
                <w:rFonts w:eastAsia="Times New Roman" w:cs="Times New Roman"/>
              </w:rPr>
              <w:t>469</w:t>
            </w:r>
          </w:p>
        </w:tc>
      </w:tr>
      <w:tr w:rsidRPr="00461C10" w:rsidR="00461C10" w:rsidTr="00D1492A" w14:paraId="4B862032" w14:textId="3FE0E2E9">
        <w:trPr>
          <w:trHeight w:val="288"/>
          <w:jc w:val="center"/>
        </w:trPr>
        <w:tc>
          <w:tcPr>
            <w:tcW w:w="3505" w:type="dxa"/>
            <w:tcBorders>
              <w:top w:val="nil"/>
              <w:left w:val="single" w:color="auto" w:sz="4" w:space="0"/>
              <w:bottom w:val="single" w:color="auto" w:sz="4" w:space="0"/>
              <w:right w:val="single" w:color="auto" w:sz="4" w:space="0"/>
            </w:tcBorders>
            <w:shd w:val="clear" w:color="auto" w:fill="auto"/>
            <w:noWrap/>
            <w:tcMar>
              <w:top w:w="58" w:type="dxa"/>
              <w:left w:w="115" w:type="dxa"/>
              <w:bottom w:w="58" w:type="dxa"/>
              <w:right w:w="115" w:type="dxa"/>
            </w:tcMar>
            <w:vAlign w:val="bottom"/>
            <w:hideMark/>
          </w:tcPr>
          <w:p w:rsidRPr="00461C10" w:rsidR="000627B0" w:rsidP="00D1492A" w:rsidRDefault="000627B0" w14:paraId="30E65695" w14:textId="77777777">
            <w:pPr>
              <w:spacing w:line="240" w:lineRule="auto"/>
              <w:ind w:firstLine="0"/>
              <w:rPr>
                <w:rFonts w:eastAsia="Times New Roman" w:cs="Times New Roman"/>
                <w:szCs w:val="26"/>
              </w:rPr>
            </w:pPr>
            <w:r w:rsidRPr="00461C10">
              <w:rPr>
                <w:rFonts w:eastAsia="Times New Roman" w:cs="Times New Roman"/>
                <w:szCs w:val="26"/>
              </w:rPr>
              <w:t>Substation Upgrade</w:t>
            </w:r>
          </w:p>
        </w:tc>
        <w:tc>
          <w:tcPr>
            <w:tcW w:w="2927"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vAlign w:val="bottom"/>
            <w:hideMark/>
          </w:tcPr>
          <w:p w:rsidRPr="00461C10" w:rsidR="000627B0" w:rsidP="007F0D0A" w:rsidRDefault="000627B0" w14:paraId="0F9468D3" w14:textId="03DCD388">
            <w:pPr>
              <w:spacing w:line="240" w:lineRule="auto"/>
              <w:ind w:firstLine="0"/>
              <w:jc w:val="center"/>
              <w:rPr>
                <w:rFonts w:eastAsia="Times New Roman" w:cs="Times New Roman"/>
              </w:rPr>
            </w:pPr>
            <w:r w:rsidRPr="00461C10">
              <w:rPr>
                <w:rFonts w:eastAsia="Times New Roman" w:cs="Times New Roman"/>
              </w:rPr>
              <w:t>102</w:t>
            </w:r>
            <w:r w:rsidRPr="00461C10" w:rsidR="00E54877">
              <w:rPr>
                <w:rFonts w:eastAsia="Times New Roman" w:cs="Times New Roman"/>
              </w:rPr>
              <w:t>1</w:t>
            </w:r>
          </w:p>
        </w:tc>
        <w:tc>
          <w:tcPr>
            <w:tcW w:w="2928" w:type="dxa"/>
            <w:tcBorders>
              <w:top w:val="nil"/>
              <w:left w:val="nil"/>
              <w:bottom w:val="single" w:color="auto" w:sz="4" w:space="0"/>
              <w:right w:val="single" w:color="auto" w:sz="4" w:space="0"/>
            </w:tcBorders>
          </w:tcPr>
          <w:p w:rsidRPr="00461C10" w:rsidR="000627B0" w:rsidP="007F0D0A" w:rsidRDefault="6144BD06" w14:paraId="316DE9F3" w14:textId="0D628168">
            <w:pPr>
              <w:spacing w:line="240" w:lineRule="auto"/>
              <w:ind w:firstLine="0"/>
              <w:jc w:val="center"/>
              <w:rPr>
                <w:rFonts w:eastAsia="Times New Roman" w:cs="Times New Roman"/>
              </w:rPr>
            </w:pPr>
            <w:r w:rsidRPr="00461C10">
              <w:rPr>
                <w:rFonts w:eastAsia="Times New Roman" w:cs="Times New Roman"/>
              </w:rPr>
              <w:t>700</w:t>
            </w:r>
          </w:p>
        </w:tc>
      </w:tr>
      <w:tr w:rsidRPr="00461C10" w:rsidR="000627B0" w:rsidTr="00D1492A" w14:paraId="348DE6D2" w14:textId="4BF3630B">
        <w:trPr>
          <w:trHeight w:val="288"/>
          <w:jc w:val="center"/>
        </w:trPr>
        <w:tc>
          <w:tcPr>
            <w:tcW w:w="3505" w:type="dxa"/>
            <w:tcBorders>
              <w:top w:val="nil"/>
              <w:left w:val="single" w:color="auto" w:sz="4" w:space="0"/>
              <w:bottom w:val="single" w:color="auto" w:sz="4" w:space="0"/>
              <w:right w:val="single" w:color="auto" w:sz="4" w:space="0"/>
            </w:tcBorders>
            <w:shd w:val="clear" w:color="auto" w:fill="auto"/>
            <w:noWrap/>
            <w:tcMar>
              <w:top w:w="58" w:type="dxa"/>
              <w:left w:w="115" w:type="dxa"/>
              <w:bottom w:w="58" w:type="dxa"/>
              <w:right w:w="115" w:type="dxa"/>
            </w:tcMar>
            <w:vAlign w:val="bottom"/>
            <w:hideMark/>
          </w:tcPr>
          <w:p w:rsidRPr="00461C10" w:rsidR="000627B0" w:rsidP="00D1492A" w:rsidRDefault="000627B0" w14:paraId="738E0B2F" w14:textId="77777777">
            <w:pPr>
              <w:spacing w:line="240" w:lineRule="auto"/>
              <w:ind w:firstLine="0"/>
              <w:rPr>
                <w:rFonts w:eastAsia="Times New Roman" w:cs="Times New Roman"/>
                <w:szCs w:val="26"/>
              </w:rPr>
            </w:pPr>
            <w:r w:rsidRPr="00461C10">
              <w:rPr>
                <w:rFonts w:eastAsia="Times New Roman" w:cs="Times New Roman"/>
                <w:szCs w:val="26"/>
              </w:rPr>
              <w:t>New Substation</w:t>
            </w:r>
          </w:p>
        </w:tc>
        <w:tc>
          <w:tcPr>
            <w:tcW w:w="2927"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vAlign w:val="bottom"/>
            <w:hideMark/>
          </w:tcPr>
          <w:p w:rsidRPr="00461C10" w:rsidR="000627B0" w:rsidP="007F0D0A" w:rsidRDefault="000627B0" w14:paraId="2B4FEEEE" w14:textId="77777777">
            <w:pPr>
              <w:spacing w:line="240" w:lineRule="auto"/>
              <w:ind w:firstLine="0"/>
              <w:jc w:val="center"/>
              <w:rPr>
                <w:rFonts w:eastAsia="Times New Roman" w:cs="Times New Roman"/>
                <w:szCs w:val="26"/>
              </w:rPr>
            </w:pPr>
            <w:r w:rsidRPr="00461C10">
              <w:rPr>
                <w:rFonts w:eastAsia="Times New Roman" w:cs="Times New Roman"/>
                <w:szCs w:val="26"/>
              </w:rPr>
              <w:t>3242</w:t>
            </w:r>
          </w:p>
        </w:tc>
        <w:tc>
          <w:tcPr>
            <w:tcW w:w="2928" w:type="dxa"/>
            <w:tcBorders>
              <w:top w:val="nil"/>
              <w:left w:val="nil"/>
              <w:bottom w:val="single" w:color="auto" w:sz="4" w:space="0"/>
              <w:right w:val="single" w:color="auto" w:sz="4" w:space="0"/>
            </w:tcBorders>
          </w:tcPr>
          <w:p w:rsidRPr="00461C10" w:rsidR="000627B0" w:rsidP="007F0D0A" w:rsidRDefault="1230D8B2" w14:paraId="532B8D63" w14:textId="64129144">
            <w:pPr>
              <w:spacing w:line="240" w:lineRule="auto"/>
              <w:ind w:firstLine="0"/>
              <w:jc w:val="center"/>
              <w:rPr>
                <w:rFonts w:eastAsia="Times New Roman" w:cs="Times New Roman"/>
              </w:rPr>
            </w:pPr>
            <w:r w:rsidRPr="00461C10">
              <w:rPr>
                <w:rFonts w:eastAsia="Times New Roman" w:cs="Times New Roman"/>
              </w:rPr>
              <w:t>2223</w:t>
            </w:r>
          </w:p>
        </w:tc>
      </w:tr>
      <w:bookmarkEnd w:id="46"/>
    </w:tbl>
    <w:p w:rsidRPr="00461C10" w:rsidR="00E31E8C" w:rsidP="00803A43" w:rsidRDefault="00E31E8C" w14:paraId="4975CBB6" w14:textId="77777777">
      <w:pPr>
        <w:pStyle w:val="Standard"/>
        <w:spacing w:line="240" w:lineRule="auto"/>
        <w:ind w:firstLine="0"/>
      </w:pPr>
    </w:p>
    <w:p w:rsidRPr="00461C10" w:rsidR="00A9788F" w:rsidP="00970996" w:rsidRDefault="2C77DFAD" w14:paraId="567BB996" w14:textId="66C8417C">
      <w:pPr>
        <w:pStyle w:val="Standard"/>
      </w:pPr>
      <w:r w:rsidRPr="00461C10">
        <w:t>In Opening Comments</w:t>
      </w:r>
      <w:r w:rsidR="00397D21">
        <w:t xml:space="preserve"> to the Proposed Decision</w:t>
      </w:r>
      <w:r w:rsidRPr="00461C10">
        <w:t xml:space="preserve">, </w:t>
      </w:r>
      <w:r w:rsidRPr="00461C10" w:rsidR="56243A8D">
        <w:t>PG&amp;E recommend</w:t>
      </w:r>
      <w:r w:rsidRPr="00461C10" w:rsidR="2498C9AA">
        <w:t>ed that</w:t>
      </w:r>
      <w:r w:rsidRPr="00461C10" w:rsidR="56243A8D">
        <w:t xml:space="preserve"> the Commission consider the need for distinct timelines between how</w:t>
      </w:r>
      <w:r w:rsidRPr="00461C10" w:rsidR="1E179476">
        <w:t xml:space="preserve"> the</w:t>
      </w:r>
      <w:r w:rsidRPr="00461C10" w:rsidR="56243A8D">
        <w:t xml:space="preserve"> </w:t>
      </w:r>
      <w:r w:rsidRPr="00461C10" w:rsidR="002C7E6E">
        <w:t>energization</w:t>
      </w:r>
      <w:r w:rsidRPr="00461C10" w:rsidR="07EFB302">
        <w:t xml:space="preserve"> process</w:t>
      </w:r>
      <w:r w:rsidRPr="00461C10" w:rsidR="674F2935">
        <w:t xml:space="preserve"> and </w:t>
      </w:r>
      <w:r w:rsidRPr="00461C10" w:rsidR="002C7E6E">
        <w:t>targets adopted in Section 7</w:t>
      </w:r>
      <w:r w:rsidRPr="00461C10" w:rsidR="00EB6D40">
        <w:t>, Energization Targets,</w:t>
      </w:r>
      <w:r w:rsidRPr="00461C10" w:rsidR="002C7E6E">
        <w:t xml:space="preserve"> above are</w:t>
      </w:r>
      <w:r w:rsidRPr="00461C10" w:rsidR="07EFB302">
        <w:t xml:space="preserve"> </w:t>
      </w:r>
      <w:r w:rsidRPr="00461C10" w:rsidR="56243A8D">
        <w:t xml:space="preserve"> tracked and how</w:t>
      </w:r>
      <w:r w:rsidRPr="00461C10" w:rsidR="674F2935">
        <w:t xml:space="preserve"> the</w:t>
      </w:r>
      <w:r w:rsidRPr="00461C10" w:rsidR="56243A8D">
        <w:t xml:space="preserve"> </w:t>
      </w:r>
      <w:r w:rsidRPr="00461C10" w:rsidR="002C7E6E">
        <w:t>u</w:t>
      </w:r>
      <w:r w:rsidRPr="00461C10" w:rsidR="56243A8D">
        <w:t xml:space="preserve">pstream </w:t>
      </w:r>
      <w:r w:rsidRPr="00461C10" w:rsidR="002C7E6E">
        <w:t>c</w:t>
      </w:r>
      <w:r w:rsidRPr="00461C10" w:rsidR="56243A8D">
        <w:t xml:space="preserve">apacity </w:t>
      </w:r>
      <w:r w:rsidRPr="00461C10" w:rsidR="002C7E6E">
        <w:t>u</w:t>
      </w:r>
      <w:r w:rsidRPr="00461C10" w:rsidR="56243A8D">
        <w:t xml:space="preserve">pgrades </w:t>
      </w:r>
      <w:r w:rsidRPr="00461C10" w:rsidR="674F2935">
        <w:t>timeline</w:t>
      </w:r>
      <w:r w:rsidRPr="00461C10" w:rsidR="002C7E6E">
        <w:t>s adopted in Table 5 of this decision, Large Electric IOU Maximum Timelines for</w:t>
      </w:r>
      <w:r w:rsidRPr="00461C10" w:rsidR="00EB6D40">
        <w:t xml:space="preserve"> </w:t>
      </w:r>
      <w:r w:rsidRPr="00461C10" w:rsidR="002C7E6E">
        <w:t xml:space="preserve">Upstream </w:t>
      </w:r>
      <w:r w:rsidRPr="00461C10" w:rsidR="002C7E6E">
        <w:lastRenderedPageBreak/>
        <w:t>Capacity Upgrade Projects, are</w:t>
      </w:r>
      <w:r w:rsidRPr="00461C10" w:rsidR="674F2935">
        <w:t xml:space="preserve"> tracked</w:t>
      </w:r>
      <w:r w:rsidRPr="00461C10" w:rsidR="00FE0C5D">
        <w:rPr>
          <w:rStyle w:val="FootnoteReference"/>
        </w:rPr>
        <w:footnoteReference w:id="75"/>
      </w:r>
      <w:r w:rsidRPr="00461C10" w:rsidR="56243A8D">
        <w:t xml:space="preserve">. PG&amp;E notes that when an energization timeline involves both types of projects, the </w:t>
      </w:r>
      <w:r w:rsidRPr="00461C10" w:rsidR="002C7E6E">
        <w:t>eight-step process adopted in Section</w:t>
      </w:r>
      <w:r w:rsidR="00397D21">
        <w:t> </w:t>
      </w:r>
      <w:r w:rsidRPr="00461C10" w:rsidR="002C7E6E">
        <w:t xml:space="preserve">7, Energization Targets, which </w:t>
      </w:r>
      <w:r w:rsidRPr="00461C10" w:rsidR="00EB6D40">
        <w:t>reflects the targets</w:t>
      </w:r>
      <w:r w:rsidRPr="00461C10" w:rsidR="17D61934">
        <w:t xml:space="preserve"> for tariff-based projects</w:t>
      </w:r>
      <w:r w:rsidRPr="00461C10" w:rsidR="2B818804">
        <w:t xml:space="preserve"> described above,</w:t>
      </w:r>
      <w:r w:rsidRPr="00461C10" w:rsidR="56243A8D">
        <w:t xml:space="preserve"> is already in progress before a capacity project is identified</w:t>
      </w:r>
      <w:r w:rsidRPr="00461C10" w:rsidR="78CF9D93">
        <w:t>.</w:t>
      </w:r>
      <w:r w:rsidRPr="00461C10" w:rsidR="56243A8D">
        <w:t xml:space="preserve"> </w:t>
      </w:r>
      <w:r w:rsidRPr="00461C10" w:rsidR="55B3E621">
        <w:t xml:space="preserve">PG&amp;E argues that </w:t>
      </w:r>
      <w:r w:rsidRPr="00461C10" w:rsidR="56243A8D">
        <w:t xml:space="preserve">all </w:t>
      </w:r>
      <w:r w:rsidRPr="00461C10" w:rsidR="00EB6D40">
        <w:t>energization projects that relate to the tariff-based projects defined in Section 7, Energization Targets, above</w:t>
      </w:r>
      <w:r w:rsidRPr="00461C10" w:rsidR="55B3E621">
        <w:t xml:space="preserve"> </w:t>
      </w:r>
      <w:r w:rsidRPr="00461C10" w:rsidR="56243A8D">
        <w:t xml:space="preserve">work </w:t>
      </w:r>
      <w:r w:rsidRPr="00461C10" w:rsidR="55B3E621">
        <w:t>should</w:t>
      </w:r>
      <w:r w:rsidRPr="00461C10" w:rsidR="56243A8D">
        <w:t xml:space="preserve"> </w:t>
      </w:r>
      <w:r w:rsidRPr="00461C10" w:rsidR="007C0D75">
        <w:t xml:space="preserve">be </w:t>
      </w:r>
      <w:r w:rsidRPr="00461C10" w:rsidR="56243A8D">
        <w:t xml:space="preserve">paused until work on </w:t>
      </w:r>
      <w:r w:rsidRPr="00461C10" w:rsidR="007C0D75">
        <w:t xml:space="preserve">any upstream </w:t>
      </w:r>
      <w:r w:rsidRPr="00461C10" w:rsidR="55B3E621">
        <w:t>capacity</w:t>
      </w:r>
      <w:r w:rsidRPr="00461C10" w:rsidR="56243A8D">
        <w:t xml:space="preserve"> </w:t>
      </w:r>
      <w:r w:rsidRPr="00461C10" w:rsidR="007C0D75">
        <w:t>upgrades triggered by th</w:t>
      </w:r>
      <w:r w:rsidRPr="00461C10" w:rsidR="000C4C23">
        <w:t>e</w:t>
      </w:r>
      <w:r w:rsidRPr="00461C10" w:rsidR="007C0D75">
        <w:t xml:space="preserve"> tariff-based energization request</w:t>
      </w:r>
      <w:r w:rsidRPr="00461C10" w:rsidR="000C4C23">
        <w:t xml:space="preserve">(s) </w:t>
      </w:r>
      <w:r w:rsidRPr="00461C10" w:rsidR="56243A8D">
        <w:t>is completed. We agree with PG&amp;E that a distinction between the two types of projects</w:t>
      </w:r>
      <w:r w:rsidRPr="00461C10" w:rsidR="286AC6B4">
        <w:t xml:space="preserve"> and processes</w:t>
      </w:r>
      <w:r w:rsidRPr="00461C10" w:rsidR="56243A8D">
        <w:t xml:space="preserve"> is necessary to accurately track the time it takes the large electric utilities to complete</w:t>
      </w:r>
      <w:r w:rsidRPr="00461C10" w:rsidR="006C2E0C">
        <w:t xml:space="preserve"> any</w:t>
      </w:r>
      <w:r w:rsidRPr="00461C10" w:rsidR="56243A8D">
        <w:t xml:space="preserve"> </w:t>
      </w:r>
      <w:r w:rsidRPr="00461C10" w:rsidR="000C4C23">
        <w:t>tariff-based energization</w:t>
      </w:r>
      <w:r w:rsidRPr="00461C10" w:rsidR="56243A8D">
        <w:t xml:space="preserve"> request </w:t>
      </w:r>
      <w:r w:rsidRPr="00461C10" w:rsidR="1FA0F84B">
        <w:t xml:space="preserve">that </w:t>
      </w:r>
      <w:r w:rsidRPr="00461C10" w:rsidR="006C2E0C">
        <w:t>triggers</w:t>
      </w:r>
      <w:r w:rsidRPr="00461C10" w:rsidR="56243A8D">
        <w:t xml:space="preserve"> a</w:t>
      </w:r>
      <w:r w:rsidRPr="00461C10" w:rsidR="006C2E0C">
        <w:t>n upstream</w:t>
      </w:r>
      <w:r w:rsidRPr="00461C10" w:rsidR="56243A8D">
        <w:t xml:space="preserve"> capacity upgrade. For all new or upgraded service requests that identify a need for an upstream capacity up</w:t>
      </w:r>
      <w:r w:rsidRPr="00461C10" w:rsidR="1AA1FFF1">
        <w:t>grade</w:t>
      </w:r>
      <w:r w:rsidRPr="00461C10" w:rsidR="56243A8D">
        <w:t xml:space="preserve">, the large electric IOUs </w:t>
      </w:r>
      <w:r w:rsidRPr="00461C10" w:rsidR="006C2E0C">
        <w:t>are authorized to</w:t>
      </w:r>
      <w:r w:rsidRPr="00461C10" w:rsidR="56243A8D">
        <w:t xml:space="preserve"> pause tracking the </w:t>
      </w:r>
      <w:r w:rsidRPr="00461C10" w:rsidR="006C2E0C">
        <w:t xml:space="preserve"> energization target tracking</w:t>
      </w:r>
      <w:r w:rsidRPr="00461C10" w:rsidR="3C02BA1C">
        <w:t xml:space="preserve"> process</w:t>
      </w:r>
      <w:r w:rsidRPr="00461C10" w:rsidR="00A9788F">
        <w:t>, as defined in Section 7.2, Adopted Statewide Average and Maximum Energization Targets,</w:t>
      </w:r>
      <w:r w:rsidRPr="00461C10" w:rsidR="56243A8D">
        <w:t xml:space="preserve"> </w:t>
      </w:r>
      <w:r w:rsidRPr="00461C10" w:rsidR="00A9788F">
        <w:t>once the large electric IOU identifies</w:t>
      </w:r>
      <w:r w:rsidRPr="00461C10" w:rsidR="56243A8D">
        <w:t xml:space="preserve"> the </w:t>
      </w:r>
      <w:r w:rsidRPr="00461C10" w:rsidR="00A9788F">
        <w:t xml:space="preserve">need for an </w:t>
      </w:r>
      <w:r w:rsidRPr="00461C10" w:rsidR="56243A8D">
        <w:t xml:space="preserve">upstream capacity project </w:t>
      </w:r>
      <w:r w:rsidRPr="00461C10" w:rsidR="00A9788F">
        <w:t>and alerts the customer of the need for the upstream capacity project</w:t>
      </w:r>
      <w:r w:rsidRPr="00461C10" w:rsidR="56243A8D">
        <w:t xml:space="preserve">. </w:t>
      </w:r>
    </w:p>
    <w:p w:rsidRPr="00461C10" w:rsidR="009A6C66" w:rsidP="001D1428" w:rsidRDefault="00A9788F" w14:paraId="2EE8158A" w14:textId="008E9823">
      <w:pPr>
        <w:pStyle w:val="Standard"/>
      </w:pPr>
      <w:r w:rsidRPr="00461C10">
        <w:t>The large electric IOU shall first, alert the customer of the required fees and associated contracts necessary</w:t>
      </w:r>
      <w:r w:rsidRPr="00461C10" w:rsidR="00C000DF">
        <w:t xml:space="preserve"> to begin the upstream capacity project</w:t>
      </w:r>
      <w:r w:rsidRPr="00461C10" w:rsidR="00F447C5">
        <w:t>. Then, the</w:t>
      </w:r>
      <w:r w:rsidRPr="00461C10" w:rsidR="56243A8D">
        <w:t xml:space="preserve"> large electric IOU shall start tracking the time to complete the upstream capacity project</w:t>
      </w:r>
      <w:r w:rsidRPr="00461C10" w:rsidR="695421F3">
        <w:t xml:space="preserve"> utilizing the </w:t>
      </w:r>
      <w:r w:rsidRPr="00461C10" w:rsidR="689BCE20">
        <w:t>maximum timelines</w:t>
      </w:r>
      <w:r w:rsidRPr="00461C10" w:rsidR="66085873">
        <w:t>. The</w:t>
      </w:r>
      <w:r w:rsidRPr="00461C10" w:rsidR="00F447C5">
        <w:t xml:space="preserve"> large electric IOUs</w:t>
      </w:r>
      <w:r w:rsidRPr="00461C10" w:rsidR="66085873">
        <w:t xml:space="preserve"> shall</w:t>
      </w:r>
      <w:r w:rsidRPr="00461C10" w:rsidR="56243A8D">
        <w:t xml:space="preserve"> include the timing up to identifying the need for the upstream capacity project within their tracking of the time to complete such projects (e.g., if the large electric IOU identified the need for the upstream capacity upgrade 30 business </w:t>
      </w:r>
      <w:r w:rsidRPr="00461C10" w:rsidR="56243A8D">
        <w:lastRenderedPageBreak/>
        <w:t>days into the Engineering &amp; Design step, they must include the 30 business days within their tracking of the time to complete the upstream capacity project). When the upstream capacity upgrade is completed, the large electric IOUs shall resume the</w:t>
      </w:r>
      <w:r w:rsidRPr="00461C10" w:rsidR="2A47475E">
        <w:t xml:space="preserve"> </w:t>
      </w:r>
      <w:r w:rsidRPr="00461C10" w:rsidR="56243A8D">
        <w:t>tariff-based pro</w:t>
      </w:r>
      <w:r w:rsidRPr="00461C10" w:rsidR="2A47475E">
        <w:t>cess</w:t>
      </w:r>
      <w:r w:rsidRPr="00461C10" w:rsidR="00943F6E">
        <w:t xml:space="preserve"> from the point at which the upgrade capacity project was identified</w:t>
      </w:r>
      <w:r w:rsidRPr="00461C10" w:rsidR="56243A8D">
        <w:t xml:space="preserve"> and include the time tracked prior to ident</w:t>
      </w:r>
      <w:r w:rsidRPr="00461C10" w:rsidR="773D04BB">
        <w:t>if</w:t>
      </w:r>
      <w:r w:rsidRPr="00461C10" w:rsidR="56243A8D">
        <w:t>ying the upstream capacity upgrade</w:t>
      </w:r>
      <w:r w:rsidRPr="00461C10" w:rsidR="00F75FF0">
        <w:t xml:space="preserve"> to complete the energization request within the targets adopted in Section 7, Energization Targets</w:t>
      </w:r>
      <w:r w:rsidRPr="00461C10" w:rsidR="56243A8D">
        <w:t>.</w:t>
      </w:r>
      <w:r w:rsidRPr="00461C10" w:rsidR="773D04BB">
        <w:t xml:space="preserve"> </w:t>
      </w:r>
    </w:p>
    <w:p w:rsidRPr="00461C10" w:rsidR="003E2A3B" w:rsidP="00932953" w:rsidRDefault="005C6C99" w14:paraId="152DB767" w14:textId="75A15C05">
      <w:pPr>
        <w:pStyle w:val="Standard"/>
      </w:pPr>
      <w:r w:rsidRPr="00461C10">
        <w:t>Further, a</w:t>
      </w:r>
      <w:r w:rsidRPr="00461C10" w:rsidR="008A4D8A">
        <w:t xml:space="preserve">s provided in Appendix B of this Decision, Energization Target Reporting Template Requirements, the </w:t>
      </w:r>
      <w:r w:rsidRPr="00461C10" w:rsidR="003767D6">
        <w:t xml:space="preserve">large electric IOUs </w:t>
      </w:r>
      <w:r w:rsidRPr="00461C10" w:rsidR="00552A3E">
        <w:t xml:space="preserve">must collect and report </w:t>
      </w:r>
      <w:r w:rsidRPr="00461C10" w:rsidR="008E1834">
        <w:t>project -specific data based on each Electric Rule tariff</w:t>
      </w:r>
      <w:r w:rsidRPr="00461C10" w:rsidR="00552A3E">
        <w:t xml:space="preserve"> </w:t>
      </w:r>
      <w:r w:rsidRPr="00461C10" w:rsidR="008A4D8A">
        <w:t xml:space="preserve">that shall, where </w:t>
      </w:r>
      <w:r w:rsidRPr="00461C10" w:rsidR="00C87ADB">
        <w:t xml:space="preserve">appropriate, </w:t>
      </w:r>
      <w:r w:rsidRPr="00461C10" w:rsidR="008E1834">
        <w:t>identify projects for which an upstream</w:t>
      </w:r>
      <w:r w:rsidRPr="00461C10" w:rsidR="00552A3E">
        <w:t xml:space="preserve"> capacity upgrade is identified</w:t>
      </w:r>
      <w:r w:rsidRPr="00461C10" w:rsidR="008E1834">
        <w:t>, the progress of each project’s completion, and</w:t>
      </w:r>
      <w:r w:rsidRPr="00461C10" w:rsidR="00067BA3">
        <w:t xml:space="preserve"> the number of energization projects that are delayed or cancelled due to an identified upstream capacity project</w:t>
      </w:r>
      <w:r w:rsidRPr="00461C10" w:rsidR="00552A3E">
        <w:t xml:space="preserve">. </w:t>
      </w:r>
      <w:r w:rsidRPr="00461C10" w:rsidDel="00E50E32" w:rsidR="005213AA">
        <w:t xml:space="preserve">PG&amp;E, SCE, and SDG&amp;E shall track and report </w:t>
      </w:r>
      <w:r w:rsidRPr="00461C10" w:rsidDel="00E50E32" w:rsidR="00067BA3">
        <w:t xml:space="preserve">the number of </w:t>
      </w:r>
      <w:r w:rsidRPr="00461C10" w:rsidDel="00E50E32" w:rsidR="00FE68C7">
        <w:t xml:space="preserve">energization </w:t>
      </w:r>
      <w:r w:rsidRPr="00461C10" w:rsidDel="00E50E32" w:rsidR="00067BA3">
        <w:t>projects</w:t>
      </w:r>
      <w:r w:rsidRPr="00461C10" w:rsidDel="00E50E32" w:rsidR="00FE68C7">
        <w:t xml:space="preserve">, as identified in Section 7 of this decision, Energization Targets, </w:t>
      </w:r>
      <w:r w:rsidRPr="00461C10" w:rsidR="00F60188">
        <w:t xml:space="preserve">that </w:t>
      </w:r>
      <w:r w:rsidRPr="00461C10" w:rsidDel="00E50E32" w:rsidR="00FE68C7">
        <w:t>trigger</w:t>
      </w:r>
      <w:r w:rsidRPr="00461C10" w:rsidDel="00E50E32">
        <w:t xml:space="preserve"> any </w:t>
      </w:r>
      <w:r w:rsidRPr="00461C10" w:rsidDel="00E50E32" w:rsidR="00067BA3">
        <w:t xml:space="preserve">of </w:t>
      </w:r>
      <w:r w:rsidRPr="00461C10" w:rsidDel="00E50E32" w:rsidR="005213AA">
        <w:t>the categories of upstream capacity projects</w:t>
      </w:r>
      <w:r w:rsidRPr="00461C10" w:rsidDel="00E50E32" w:rsidR="00FE68C7">
        <w:t xml:space="preserve"> identified in this section of this decision</w:t>
      </w:r>
      <w:r w:rsidRPr="00461C10" w:rsidDel="00E50E32">
        <w:t>.</w:t>
      </w:r>
      <w:r w:rsidRPr="00461C10" w:rsidDel="00E50E32" w:rsidR="00067BA3">
        <w:t xml:space="preserve"> </w:t>
      </w:r>
      <w:r w:rsidRPr="00461C10" w:rsidR="00C5413F">
        <w:t xml:space="preserve">PG&amp;E already tracks this information to some extent and reported </w:t>
      </w:r>
      <w:r w:rsidRPr="00461C10" w:rsidR="00B7443D">
        <w:t>that of all circuit and substation upgrades documented for the data set in 2023, ~50</w:t>
      </w:r>
      <w:r w:rsidRPr="00461C10" w:rsidR="252674C0">
        <w:t xml:space="preserve"> percent</w:t>
      </w:r>
      <w:r w:rsidRPr="00461C10" w:rsidR="00B7443D">
        <w:t xml:space="preserve"> and ~27</w:t>
      </w:r>
      <w:r w:rsidRPr="00461C10" w:rsidR="6BDB3A38">
        <w:t xml:space="preserve"> percent</w:t>
      </w:r>
      <w:r w:rsidRPr="00461C10" w:rsidR="00B7443D">
        <w:t>, respectively, were triggered by energization requests</w:t>
      </w:r>
      <w:r w:rsidRPr="00461C10" w:rsidR="00336E41">
        <w:t>.</w:t>
      </w:r>
      <w:r w:rsidRPr="00461C10" w:rsidR="00B7443D">
        <w:rPr>
          <w:rStyle w:val="FootnoteReference"/>
        </w:rPr>
        <w:footnoteReference w:id="76"/>
      </w:r>
      <w:r w:rsidRPr="00461C10" w:rsidR="00E34F75">
        <w:t xml:space="preserve"> This type of information </w:t>
      </w:r>
      <w:r w:rsidRPr="00461C10" w:rsidR="5A1F81BE">
        <w:t xml:space="preserve">will </w:t>
      </w:r>
      <w:r w:rsidRPr="00461C10" w:rsidR="00E34F75">
        <w:t xml:space="preserve">be helpful to understand from all utilities. </w:t>
      </w:r>
    </w:p>
    <w:p w:rsidRPr="00461C10" w:rsidR="6906E7FB" w:rsidP="00536951" w:rsidRDefault="008E469C" w14:paraId="7BD84331" w14:textId="463C001A">
      <w:pPr>
        <w:pStyle w:val="Standard"/>
      </w:pPr>
      <w:r w:rsidRPr="00461C10">
        <w:t>Additional information</w:t>
      </w:r>
      <w:r w:rsidRPr="00461C10" w:rsidR="00B913CB">
        <w:t xml:space="preserve"> regarding the timing and planning for upstream capacity projects</w:t>
      </w:r>
      <w:r w:rsidRPr="00461C10">
        <w:t xml:space="preserve"> is expected to be provided in </w:t>
      </w:r>
      <w:r w:rsidRPr="00461C10" w:rsidR="003E1344">
        <w:t>both</w:t>
      </w:r>
      <w:r w:rsidRPr="00461C10">
        <w:t xml:space="preserve"> R.21-06-017 and </w:t>
      </w:r>
      <w:r w:rsidRPr="00461C10" w:rsidR="003E1344">
        <w:t>this proceeding</w:t>
      </w:r>
      <w:r w:rsidRPr="00461C10">
        <w:t xml:space="preserve"> and may be considered to establish targets in Phase 2</w:t>
      </w:r>
      <w:r w:rsidRPr="00461C10" w:rsidR="003E1344">
        <w:t>.</w:t>
      </w:r>
      <w:r w:rsidRPr="00461C10" w:rsidR="00FF3425">
        <w:t xml:space="preserve"> </w:t>
      </w:r>
      <w:r w:rsidRPr="00461C10" w:rsidR="00833B7E">
        <w:t xml:space="preserve">In the </w:t>
      </w:r>
      <w:r w:rsidRPr="00461C10" w:rsidR="00833B7E">
        <w:lastRenderedPageBreak/>
        <w:t>meantime, t</w:t>
      </w:r>
      <w:r w:rsidRPr="00461C10" w:rsidR="00B40188">
        <w:t xml:space="preserve">hese </w:t>
      </w:r>
      <w:r w:rsidRPr="00461C10" w:rsidR="009E14F6">
        <w:t>maximum</w:t>
      </w:r>
      <w:r w:rsidRPr="00461C10" w:rsidR="00B40188">
        <w:t xml:space="preserve"> timelines shall </w:t>
      </w:r>
      <w:r w:rsidRPr="00461C10" w:rsidR="00DB3323">
        <w:t xml:space="preserve">be used by </w:t>
      </w:r>
      <w:r w:rsidRPr="00461C10" w:rsidR="00735ADE">
        <w:t xml:space="preserve">the three large IOUs to begin </w:t>
      </w:r>
      <w:r w:rsidRPr="00461C10" w:rsidR="00B551A4">
        <w:t>planning and executing now</w:t>
      </w:r>
      <w:r w:rsidRPr="00461C10" w:rsidR="0049698B">
        <w:t xml:space="preserve"> and will also</w:t>
      </w:r>
      <w:r w:rsidRPr="00461C10" w:rsidR="00B40188">
        <w:t xml:space="preserve"> </w:t>
      </w:r>
      <w:r w:rsidRPr="00461C10" w:rsidDel="005C4E17" w:rsidR="00B40188">
        <w:t xml:space="preserve">incentivize the large electric IOUs </w:t>
      </w:r>
      <w:r w:rsidRPr="00461C10" w:rsidDel="005C4E17" w:rsidR="6906E7FB">
        <w:t xml:space="preserve">to gather information on customer plans through proactive outreach and develop their </w:t>
      </w:r>
      <w:r w:rsidRPr="00461C10" w:rsidDel="005C4E17" w:rsidR="00A57C4E">
        <w:t xml:space="preserve">efforts to improve their distribution planning process, in alignment with </w:t>
      </w:r>
      <w:r w:rsidRPr="00461C10" w:rsidDel="005C4E17" w:rsidR="00366DD8">
        <w:t>Pub. Util. Code §</w:t>
      </w:r>
      <w:r w:rsidRPr="00461C10" w:rsidDel="005C4E17" w:rsidR="193ADD62">
        <w:t xml:space="preserve">§ </w:t>
      </w:r>
      <w:r w:rsidRPr="00461C10" w:rsidDel="005C4E17" w:rsidR="00EA11F1">
        <w:t>933.5 and 93</w:t>
      </w:r>
      <w:r w:rsidRPr="00461C10" w:rsidDel="005C4E17" w:rsidR="00A2116B">
        <w:t>6(a)</w:t>
      </w:r>
      <w:r w:rsidRPr="00461C10" w:rsidDel="005C4E17" w:rsidR="00EA11F1">
        <w:t>.</w:t>
      </w:r>
    </w:p>
    <w:p w:rsidRPr="00461C10" w:rsidR="007D0EC9" w:rsidP="009F794F" w:rsidRDefault="007D0EC9" w14:paraId="6BCAB93E" w14:textId="513C028A">
      <w:pPr>
        <w:pStyle w:val="Heading1"/>
      </w:pPr>
      <w:bookmarkStart w:name="_Toc1876670262" w:id="47"/>
      <w:bookmarkStart w:name="_Toc172024439" w:id="48"/>
      <w:bookmarkStart w:name="_Toc177469353" w:id="49"/>
      <w:r w:rsidRPr="00461C10">
        <w:t xml:space="preserve">Environmental and Social Justice </w:t>
      </w:r>
      <w:r w:rsidRPr="00461C10" w:rsidR="007A1AC2">
        <w:t xml:space="preserve">(ESJ) </w:t>
      </w:r>
      <w:r w:rsidRPr="00461C10">
        <w:t>Community Impacts</w:t>
      </w:r>
      <w:bookmarkEnd w:id="47"/>
      <w:bookmarkEnd w:id="48"/>
      <w:bookmarkEnd w:id="49"/>
      <w:r w:rsidRPr="00461C10">
        <w:t xml:space="preserve"> </w:t>
      </w:r>
    </w:p>
    <w:p w:rsidRPr="00461C10" w:rsidR="007C7CA0" w:rsidP="005B30F9" w:rsidRDefault="005B30F9" w14:paraId="2A5216C6" w14:textId="2518A6CF">
      <w:pPr>
        <w:pStyle w:val="Standard"/>
      </w:pPr>
      <w:r w:rsidRPr="00461C10">
        <w:t>The Commission’s ESJ</w:t>
      </w:r>
      <w:r w:rsidRPr="00461C10" w:rsidR="00DD64D4">
        <w:t xml:space="preserve"> A</w:t>
      </w:r>
      <w:r w:rsidRPr="00461C10" w:rsidR="00222ED0">
        <w:t xml:space="preserve">ction Plan </w:t>
      </w:r>
      <w:r w:rsidRPr="00461C10" w:rsidR="006E65A0">
        <w:t>serves as both a commitment to furthering principles of environmental and social justice, as well as an operating framework with which to integrate ESJ considerations throughout the agency’s work.</w:t>
      </w:r>
      <w:r w:rsidRPr="00461C10" w:rsidR="00991581">
        <w:t xml:space="preserve"> </w:t>
      </w:r>
      <w:r w:rsidRPr="00461C10" w:rsidR="009A11FD">
        <w:t>Since the adoption of Version 1.0, the Commission has made significant pro</w:t>
      </w:r>
      <w:r w:rsidRPr="00461C10" w:rsidR="003E1C2A">
        <w:t>gr</w:t>
      </w:r>
      <w:r w:rsidRPr="00461C10" w:rsidR="009A11FD">
        <w:t xml:space="preserve">ess in incorporating </w:t>
      </w:r>
      <w:r w:rsidRPr="00461C10" w:rsidR="00AF3037">
        <w:t xml:space="preserve">ESJ considerations into its work, </w:t>
      </w:r>
      <w:r w:rsidRPr="00461C10" w:rsidR="0086362E">
        <w:t>as well as creating a culture that takes into serious account the lived experiences of ESJ communities.</w:t>
      </w:r>
      <w:r w:rsidRPr="00461C10" w:rsidR="0086362E">
        <w:rPr>
          <w:rStyle w:val="FootnoteReference"/>
        </w:rPr>
        <w:footnoteReference w:id="77"/>
      </w:r>
      <w:r w:rsidRPr="00461C10" w:rsidR="0086362E">
        <w:t xml:space="preserve"> Version 2.0 of the ESJ Action Plan, adopted </w:t>
      </w:r>
      <w:r w:rsidRPr="00461C10" w:rsidR="00FA3F9E">
        <w:t xml:space="preserve">April 7, 2022, </w:t>
      </w:r>
      <w:r w:rsidRPr="00461C10" w:rsidR="000713A1">
        <w:t>reflect</w:t>
      </w:r>
      <w:r w:rsidRPr="00461C10" w:rsidR="007C7CA0">
        <w:t>s a continuation of efforts to systemize the consideration of ESJ principles across the Commission’s regulated industries, which is hereby incorporated into today’s decision on energization timelines for California’s electric utilities.</w:t>
      </w:r>
    </w:p>
    <w:p w:rsidRPr="00461C10" w:rsidR="3177666F" w:rsidP="1A54F934" w:rsidRDefault="3CE05C4A" w14:paraId="6B603308" w14:textId="0DF0E070">
      <w:pPr>
        <w:pStyle w:val="Standard"/>
      </w:pPr>
      <w:r w:rsidRPr="00461C10">
        <w:t xml:space="preserve">Goal 2 of the </w:t>
      </w:r>
      <w:r w:rsidRPr="00461C10" w:rsidR="1B9D147C">
        <w:t>ESJ Action Plan is a</w:t>
      </w:r>
      <w:r w:rsidRPr="00461C10" w:rsidR="307EFF7E">
        <w:t xml:space="preserve"> primary focus of this proceeding -- i</w:t>
      </w:r>
      <w:r w:rsidRPr="00461C10" w:rsidR="1B9D147C">
        <w:t>ncreasing investment in clean energy resources to benefit ESJ Communities, especially to improve local air quality and public health</w:t>
      </w:r>
      <w:r w:rsidRPr="00461C10" w:rsidR="00860848">
        <w:t xml:space="preserve">. </w:t>
      </w:r>
      <w:r w:rsidRPr="00461C10" w:rsidR="1B9D147C">
        <w:t>This includes</w:t>
      </w:r>
      <w:r w:rsidRPr="00461C10" w:rsidR="6CF6EFA4">
        <w:t xml:space="preserve"> the following objectives: (1) Outreach and Engagement: Broaden and deepen outreach and engagement with ESJ Communities early in proceedings and processes related to resilient, clean energy; (2) Research and Analysis to Understand Impact: </w:t>
      </w:r>
      <w:r w:rsidRPr="00461C10" w:rsidR="4C649358">
        <w:t>F</w:t>
      </w:r>
      <w:r w:rsidRPr="00461C10" w:rsidR="6CF6EFA4">
        <w:t>urther research and analytical opportunities to understand impacts in ESJ communities; (3) Move Towa</w:t>
      </w:r>
      <w:r w:rsidRPr="00461C10" w:rsidR="253479B5">
        <w:t xml:space="preserve">rds Mutual Eligibility and </w:t>
      </w:r>
      <w:r w:rsidRPr="00461C10" w:rsidR="253479B5">
        <w:lastRenderedPageBreak/>
        <w:t xml:space="preserve">Maximizing Impacts: Better leverage ongoing work by fostering cross-division, cross-Commission, and cross-agency dialogues to move towards a mutual eligibility and maximizing impact; </w:t>
      </w:r>
      <w:r w:rsidRPr="00461C10" w:rsidR="21A27DD9">
        <w:t xml:space="preserve">(4) Address Impacts in ESJ Communities: </w:t>
      </w:r>
      <w:r w:rsidRPr="00461C10" w:rsidR="49E36968">
        <w:t>Continue to address ongoing and legacy impacts in ESJ communities in the resilient, clean energy space; and (5) Continue Ongoing Investment Continue to make prioritized resilient, clean energy investments in ESJ communities.</w:t>
      </w:r>
      <w:r w:rsidRPr="00461C10" w:rsidR="00CE12CB">
        <w:rPr>
          <w:rStyle w:val="FootnoteReference"/>
        </w:rPr>
        <w:footnoteReference w:id="78"/>
      </w:r>
    </w:p>
    <w:p w:rsidRPr="00461C10" w:rsidR="3177666F" w:rsidP="3177666F" w:rsidRDefault="7602729A" w14:paraId="51385D8A" w14:textId="58FD79D6">
      <w:pPr>
        <w:pStyle w:val="Standard"/>
      </w:pPr>
      <w:r w:rsidRPr="00461C10">
        <w:t>Many parties provide recommendations to achieve Goal 2 of the ESJ Action Plan</w:t>
      </w:r>
      <w:r w:rsidRPr="00461C10" w:rsidR="00860848">
        <w:t xml:space="preserve">. </w:t>
      </w:r>
      <w:r w:rsidRPr="00461C10" w:rsidR="750919A3">
        <w:t>Auto Innovators suggest</w:t>
      </w:r>
      <w:r w:rsidRPr="00461C10" w:rsidR="5852059D">
        <w:t>ed</w:t>
      </w:r>
      <w:r w:rsidRPr="00461C10" w:rsidR="750919A3">
        <w:t xml:space="preserve"> the Commission ensure the utilities energize facilities to enable transportation </w:t>
      </w:r>
      <w:r w:rsidRPr="00461C10" w:rsidR="02A8ABCF">
        <w:t>electrification</w:t>
      </w:r>
      <w:r w:rsidRPr="00461C10" w:rsidR="750919A3">
        <w:t xml:space="preserve"> in </w:t>
      </w:r>
      <w:r w:rsidRPr="00461C10" w:rsidR="006B3EB3">
        <w:t xml:space="preserve">ESJ communities </w:t>
      </w:r>
      <w:r w:rsidRPr="00461C10" w:rsidR="750919A3">
        <w:t>at a rate that</w:t>
      </w:r>
      <w:r w:rsidRPr="00461C10" w:rsidR="1F13AFB9">
        <w:t xml:space="preserve"> matches or exceeds their performance elsewhere.</w:t>
      </w:r>
      <w:r w:rsidRPr="00461C10" w:rsidR="750919A3">
        <w:rPr>
          <w:rStyle w:val="FootnoteReference"/>
        </w:rPr>
        <w:footnoteReference w:id="79"/>
      </w:r>
      <w:r w:rsidRPr="00461C10" w:rsidR="6A5EF7D8">
        <w:t xml:space="preserve"> Crown Castle offer</w:t>
      </w:r>
      <w:r w:rsidRPr="00461C10" w:rsidR="689625F3">
        <w:t>ed</w:t>
      </w:r>
      <w:r w:rsidRPr="00461C10" w:rsidR="6A5EF7D8">
        <w:t xml:space="preserve"> that </w:t>
      </w:r>
      <w:r w:rsidRPr="00461C10" w:rsidR="770B21D2">
        <w:t xml:space="preserve">ESJ community access to high-quality communications services will improve </w:t>
      </w:r>
      <w:r w:rsidRPr="00461C10" w:rsidR="6A5EF7D8">
        <w:t xml:space="preserve">by </w:t>
      </w:r>
      <w:r w:rsidRPr="00461C10" w:rsidR="67219B7A">
        <w:t>adopting energization timelines for communication services</w:t>
      </w:r>
      <w:r w:rsidRPr="00461C10" w:rsidR="418A5A84">
        <w:t>.</w:t>
      </w:r>
      <w:r w:rsidRPr="00461C10">
        <w:rPr>
          <w:rStyle w:val="FootnoteReference"/>
        </w:rPr>
        <w:footnoteReference w:id="80"/>
      </w:r>
      <w:r w:rsidRPr="00461C10" w:rsidR="4422A9C6">
        <w:t xml:space="preserve"> EDF/NRDC provide</w:t>
      </w:r>
      <w:r w:rsidRPr="00461C10" w:rsidR="3CD472BC">
        <w:t>d</w:t>
      </w:r>
      <w:r w:rsidRPr="00461C10" w:rsidR="4422A9C6">
        <w:t xml:space="preserve"> that </w:t>
      </w:r>
      <w:r w:rsidRPr="00461C10" w:rsidR="1642A873">
        <w:t>proactive load forecasting and grid planning improvements underway in the T</w:t>
      </w:r>
      <w:r w:rsidRPr="00461C10" w:rsidR="00837CEF">
        <w:t xml:space="preserve">ransportation </w:t>
      </w:r>
      <w:r w:rsidRPr="00461C10" w:rsidR="1642A873">
        <w:t>E</w:t>
      </w:r>
      <w:r w:rsidRPr="00461C10" w:rsidR="00837CEF">
        <w:t xml:space="preserve">lectrification </w:t>
      </w:r>
      <w:r w:rsidRPr="00461C10" w:rsidR="1642A873">
        <w:t>P</w:t>
      </w:r>
      <w:r w:rsidRPr="00461C10" w:rsidR="00837CEF">
        <w:t xml:space="preserve">olicy and </w:t>
      </w:r>
      <w:r w:rsidRPr="00461C10" w:rsidR="1642A873">
        <w:t>I</w:t>
      </w:r>
      <w:r w:rsidRPr="00461C10" w:rsidR="00837CEF">
        <w:t>nvestment (R.</w:t>
      </w:r>
      <w:r w:rsidRPr="00461C10" w:rsidR="001745D4">
        <w:t>23</w:t>
      </w:r>
      <w:r w:rsidR="00D1492A">
        <w:noBreakHyphen/>
      </w:r>
      <w:r w:rsidRPr="00461C10" w:rsidR="001745D4">
        <w:t>12</w:t>
      </w:r>
      <w:r w:rsidR="00D1492A">
        <w:noBreakHyphen/>
      </w:r>
      <w:r w:rsidRPr="00461C10" w:rsidR="001745D4">
        <w:t>008)</w:t>
      </w:r>
      <w:r w:rsidRPr="00461C10" w:rsidR="1642A873">
        <w:t xml:space="preserve"> and High DER proceedings can help meet </w:t>
      </w:r>
      <w:r w:rsidRPr="00461C10" w:rsidR="35653B95">
        <w:t>Goal 2 of the ESJ Action Plan by prioritizing upstream capacity upgrades in ESJ communities to facilitate greater electrification.</w:t>
      </w:r>
      <w:r w:rsidRPr="00461C10">
        <w:rPr>
          <w:rStyle w:val="FootnoteReference"/>
        </w:rPr>
        <w:footnoteReference w:id="81"/>
      </w:r>
      <w:r w:rsidRPr="00461C10" w:rsidR="119AB907">
        <w:t xml:space="preserve"> Moreover, </w:t>
      </w:r>
      <w:r w:rsidRPr="00461C10" w:rsidR="008D3834">
        <w:t xml:space="preserve">EDF/NRDC noted that </w:t>
      </w:r>
      <w:r w:rsidRPr="00461C10" w:rsidR="119AB907">
        <w:t>in setting energization targets, the Commission should ensure the</w:t>
      </w:r>
      <w:r w:rsidRPr="00461C10" w:rsidR="009E139A">
        <w:t xml:space="preserve"> large electric</w:t>
      </w:r>
      <w:r w:rsidRPr="00461C10" w:rsidR="119AB907">
        <w:t xml:space="preserve"> IOUs are providing timely service in response to customer requests in ESJ communities.</w:t>
      </w:r>
      <w:r w:rsidRPr="00461C10">
        <w:rPr>
          <w:rStyle w:val="FootnoteReference"/>
        </w:rPr>
        <w:footnoteReference w:id="82"/>
      </w:r>
      <w:r w:rsidRPr="00461C10" w:rsidR="4682495C">
        <w:t xml:space="preserve"> CALSTART suggest</w:t>
      </w:r>
      <w:r w:rsidRPr="00461C10" w:rsidR="799B31FB">
        <w:t>ed</w:t>
      </w:r>
      <w:r w:rsidRPr="00461C10" w:rsidR="4682495C">
        <w:t xml:space="preserve"> that the timelines for prior</w:t>
      </w:r>
      <w:r w:rsidRPr="00461C10" w:rsidR="56B94A5D">
        <w:t xml:space="preserve">ity populations be compared </w:t>
      </w:r>
      <w:r w:rsidRPr="00461C10" w:rsidR="56B94A5D">
        <w:lastRenderedPageBreak/>
        <w:t>with timelines for projects outside of such communities to ensure the Commission and</w:t>
      </w:r>
      <w:r w:rsidRPr="00461C10" w:rsidR="009E139A">
        <w:t xml:space="preserve"> the large electric</w:t>
      </w:r>
      <w:r w:rsidRPr="00461C10" w:rsidR="56B94A5D">
        <w:t xml:space="preserve"> IOUs have the information necessary to analyze any discrepancies.</w:t>
      </w:r>
      <w:r w:rsidRPr="00461C10">
        <w:rPr>
          <w:rStyle w:val="FootnoteReference"/>
        </w:rPr>
        <w:footnoteReference w:id="83"/>
      </w:r>
    </w:p>
    <w:p w:rsidRPr="00461C10" w:rsidR="005B30F9" w:rsidP="005B30F9" w:rsidRDefault="001277E3" w14:paraId="414C390C" w14:textId="612916AE">
      <w:pPr>
        <w:pStyle w:val="Standard"/>
      </w:pPr>
      <w:r w:rsidRPr="00461C10">
        <w:t xml:space="preserve">PG&amp;E, SCE, and SDG&amp;E </w:t>
      </w:r>
      <w:r w:rsidRPr="00461C10" w:rsidR="0013721B">
        <w:t xml:space="preserve">suggest this </w:t>
      </w:r>
      <w:r w:rsidRPr="00461C10" w:rsidR="00E152BB">
        <w:t>rulemaking is in alignment with the ESJ Action Plan</w:t>
      </w:r>
      <w:r w:rsidRPr="00461C10" w:rsidR="00A175A4">
        <w:t>, and that the Commission should not prioritize service for any specific set of customers</w:t>
      </w:r>
      <w:r w:rsidRPr="00461C10" w:rsidR="003A662C">
        <w:t>, pursuant to P</w:t>
      </w:r>
      <w:r w:rsidRPr="00461C10" w:rsidR="00A83E6E">
        <w:t xml:space="preserve">ub. </w:t>
      </w:r>
      <w:r w:rsidRPr="00461C10" w:rsidR="003A662C">
        <w:t>U</w:t>
      </w:r>
      <w:r w:rsidRPr="00461C10" w:rsidR="00A83E6E">
        <w:t>til.</w:t>
      </w:r>
      <w:r w:rsidRPr="00461C10" w:rsidR="003A662C">
        <w:t xml:space="preserve"> Code </w:t>
      </w:r>
      <w:r w:rsidRPr="00461C10" w:rsidR="001E072B">
        <w:t>§</w:t>
      </w:r>
      <w:r w:rsidRPr="00461C10" w:rsidR="00DB2B36">
        <w:t xml:space="preserve"> </w:t>
      </w:r>
      <w:r w:rsidRPr="00461C10" w:rsidR="003A662C">
        <w:t>453(a) and (c)</w:t>
      </w:r>
      <w:r w:rsidRPr="00461C10" w:rsidR="00A175A4">
        <w:t>.</w:t>
      </w:r>
      <w:r w:rsidRPr="00461C10" w:rsidR="00F17DE6">
        <w:rPr>
          <w:rStyle w:val="FootnoteReference"/>
        </w:rPr>
        <w:footnoteReference w:id="84"/>
      </w:r>
      <w:r w:rsidRPr="00461C10" w:rsidR="00A175A4">
        <w:t xml:space="preserve"> </w:t>
      </w:r>
      <w:r w:rsidRPr="00461C10" w:rsidR="38F4F8B5">
        <w:t xml:space="preserve"> Additionally, SDG&amp;E suggests consideration of overall customer equity.</w:t>
      </w:r>
      <w:r w:rsidRPr="00461C10">
        <w:rPr>
          <w:rStyle w:val="FootnoteReference"/>
        </w:rPr>
        <w:footnoteReference w:id="85"/>
      </w:r>
      <w:r w:rsidRPr="00461C10" w:rsidR="00A175A4">
        <w:t xml:space="preserve"> </w:t>
      </w:r>
    </w:p>
    <w:p w:rsidRPr="00461C10" w:rsidR="00EA44C1" w:rsidP="00180759" w:rsidRDefault="744D0280" w14:paraId="6F003DA9" w14:textId="53EE7CBC">
      <w:pPr>
        <w:pStyle w:val="Standard"/>
      </w:pPr>
      <w:r w:rsidRPr="00461C10">
        <w:t>As</w:t>
      </w:r>
      <w:r w:rsidRPr="00461C10" w:rsidR="004437FB">
        <w:t xml:space="preserve"> CALSTART</w:t>
      </w:r>
      <w:r w:rsidRPr="00461C10" w:rsidR="00883EB2">
        <w:t>, EDF/NRDC, and PACT</w:t>
      </w:r>
      <w:r w:rsidRPr="00461C10" w:rsidR="004437FB">
        <w:t xml:space="preserve"> note</w:t>
      </w:r>
      <w:r w:rsidRPr="00461C10" w:rsidR="004B358C">
        <w:t>,</w:t>
      </w:r>
      <w:r w:rsidRPr="00461C10" w:rsidR="004437FB">
        <w:t xml:space="preserve"> </w:t>
      </w:r>
      <w:r w:rsidRPr="00461C10" w:rsidR="00114232">
        <w:t xml:space="preserve">this </w:t>
      </w:r>
      <w:r w:rsidRPr="00461C10" w:rsidR="2A6A2C0B">
        <w:t>proceeding</w:t>
      </w:r>
      <w:r w:rsidRPr="00461C10" w:rsidR="00114232">
        <w:t xml:space="preserve"> provides an opportunity</w:t>
      </w:r>
      <w:r w:rsidRPr="00461C10" w:rsidR="004437FB">
        <w:t xml:space="preserve"> </w:t>
      </w:r>
      <w:r w:rsidRPr="00461C10" w:rsidR="7DBB2341">
        <w:t xml:space="preserve">to </w:t>
      </w:r>
      <w:r w:rsidRPr="00461C10" w:rsidR="004437FB">
        <w:t xml:space="preserve">collect data for customers located in </w:t>
      </w:r>
      <w:r w:rsidRPr="00461C10" w:rsidR="00114232">
        <w:t>areas</w:t>
      </w:r>
      <w:r w:rsidRPr="00461C10" w:rsidR="00985DA6">
        <w:t xml:space="preserve"> that </w:t>
      </w:r>
      <w:r w:rsidRPr="00461C10" w:rsidR="00346C07">
        <w:t xml:space="preserve">are identified as </w:t>
      </w:r>
      <w:r w:rsidRPr="00461C10" w:rsidR="00114232">
        <w:t xml:space="preserve">economically or environmentally </w:t>
      </w:r>
      <w:r w:rsidRPr="00461C10" w:rsidR="00A63C8A">
        <w:t>disadvantaged</w:t>
      </w:r>
      <w:r w:rsidRPr="00461C10" w:rsidR="00560849">
        <w:t xml:space="preserve"> communities to identify </w:t>
      </w:r>
      <w:r w:rsidRPr="00461C10" w:rsidR="00725BF5">
        <w:t>discrepancies</w:t>
      </w:r>
      <w:r w:rsidRPr="00461C10" w:rsidR="00560849">
        <w:t>.</w:t>
      </w:r>
      <w:r w:rsidRPr="00461C10" w:rsidR="00346C07">
        <w:rPr>
          <w:rStyle w:val="FootnoteReference"/>
        </w:rPr>
        <w:footnoteReference w:id="86"/>
      </w:r>
      <w:r w:rsidRPr="00461C10" w:rsidR="7CDC1653">
        <w:t xml:space="preserve"> Collection of transparent data is necessary to ensure that the energization timelines adopted are not only feas</w:t>
      </w:r>
      <w:r w:rsidRPr="00461C10" w:rsidR="0E8F0B8F">
        <w:t xml:space="preserve">ible, but </w:t>
      </w:r>
      <w:r w:rsidRPr="00461C10" w:rsidR="003A20CE">
        <w:t xml:space="preserve">to identify </w:t>
      </w:r>
      <w:r w:rsidRPr="00461C10" w:rsidR="0E8F0B8F">
        <w:t xml:space="preserve">what specific issues ESJ communities may face in deployment of energization </w:t>
      </w:r>
      <w:r w:rsidRPr="00461C10" w:rsidR="7496A518">
        <w:t>infrastructure</w:t>
      </w:r>
      <w:r w:rsidRPr="00461C10" w:rsidR="55BCBD43">
        <w:t>.</w:t>
      </w:r>
    </w:p>
    <w:p w:rsidRPr="00461C10" w:rsidR="0008473E" w:rsidP="00180759" w:rsidRDefault="1379C7E3" w14:paraId="0E0FE776" w14:textId="35C20A4B">
      <w:pPr>
        <w:pStyle w:val="Standard"/>
      </w:pPr>
      <w:r w:rsidRPr="00461C10">
        <w:t>Mor</w:t>
      </w:r>
      <w:r w:rsidRPr="00461C10" w:rsidR="00560849">
        <w:t xml:space="preserve">e data </w:t>
      </w:r>
      <w:r w:rsidRPr="00461C10" w:rsidR="00C971BE">
        <w:t xml:space="preserve">would be </w:t>
      </w:r>
      <w:r w:rsidRPr="00461C10" w:rsidR="00560849">
        <w:t xml:space="preserve">necessary to </w:t>
      </w:r>
      <w:r w:rsidRPr="00461C10" w:rsidR="00C971BE">
        <w:t>evaluate whether</w:t>
      </w:r>
      <w:r w:rsidRPr="00461C10" w:rsidR="003127C5">
        <w:t xml:space="preserve"> ESJ-priority communities</w:t>
      </w:r>
      <w:r w:rsidRPr="00461C10" w:rsidR="00C971BE">
        <w:t xml:space="preserve"> fac</w:t>
      </w:r>
      <w:r w:rsidRPr="00461C10" w:rsidR="3026449F">
        <w:t>e</w:t>
      </w:r>
      <w:r w:rsidRPr="00461C10" w:rsidR="00C971BE">
        <w:t xml:space="preserve"> energization delays that differ from communities that are not identified as ESJ </w:t>
      </w:r>
      <w:r w:rsidRPr="00461C10" w:rsidR="00C11EFF">
        <w:t>re</w:t>
      </w:r>
      <w:r w:rsidRPr="00461C10" w:rsidR="00206AB3">
        <w:t>gions by the California Office of Environmental Health</w:t>
      </w:r>
      <w:r w:rsidRPr="00461C10" w:rsidR="00D063D9">
        <w:t xml:space="preserve"> Hazard Assessment.</w:t>
      </w:r>
      <w:r w:rsidRPr="00461C10" w:rsidR="009E780D">
        <w:t xml:space="preserve"> </w:t>
      </w:r>
      <w:r w:rsidRPr="00461C10" w:rsidR="004123D1">
        <w:t xml:space="preserve">As directed in Section 10 of this decision, Biannual Energization Reporting Requirements, and Appendix B of this decision, </w:t>
      </w:r>
      <w:r w:rsidRPr="00461C10" w:rsidR="004123D1">
        <w:lastRenderedPageBreak/>
        <w:t xml:space="preserve">Energization Target Reporting Template Requirements, the </w:t>
      </w:r>
      <w:r w:rsidRPr="00461C10" w:rsidR="0BBE3727">
        <w:t>Commission require</w:t>
      </w:r>
      <w:r w:rsidRPr="00461C10" w:rsidR="00F16C47">
        <w:t>s</w:t>
      </w:r>
      <w:r w:rsidRPr="00461C10" w:rsidR="0BBE3727">
        <w:t xml:space="preserve"> </w:t>
      </w:r>
      <w:r w:rsidRPr="00461C10" w:rsidR="005C62BF">
        <w:t xml:space="preserve">the large electric </w:t>
      </w:r>
      <w:r w:rsidRPr="00461C10" w:rsidR="0BBE3727">
        <w:t>IOUs to track data that will enable it to assess equit</w:t>
      </w:r>
      <w:r w:rsidRPr="00461C10" w:rsidR="00B66D63">
        <w:t>y</w:t>
      </w:r>
      <w:r w:rsidRPr="00461C10" w:rsidR="0BBE3727">
        <w:t xml:space="preserve"> issues raised by the energization targets</w:t>
      </w:r>
      <w:r w:rsidRPr="00461C10" w:rsidR="00E14613">
        <w:t xml:space="preserve">. The Commission will evaluate </w:t>
      </w:r>
      <w:r w:rsidRPr="00461C10" w:rsidR="00B66D63">
        <w:t xml:space="preserve">the biannual data reported by the large electric IOUs as described in Section 10 of this decision, Biannual </w:t>
      </w:r>
      <w:r w:rsidRPr="00461C10" w:rsidR="003C799E">
        <w:t>Energization Reporting Requirements, to ensure energization requests within</w:t>
      </w:r>
      <w:r w:rsidRPr="00461C10" w:rsidR="0BBE3727">
        <w:t xml:space="preserve"> ESJ communities</w:t>
      </w:r>
      <w:r w:rsidRPr="00461C10" w:rsidR="003C799E">
        <w:t xml:space="preserve"> are being addressed equitably</w:t>
      </w:r>
      <w:r w:rsidRPr="00461C10" w:rsidR="0BBE3727">
        <w:t>.</w:t>
      </w:r>
      <w:r w:rsidRPr="00461C10">
        <w:rPr>
          <w:rStyle w:val="FootnoteReference"/>
        </w:rPr>
        <w:footnoteReference w:id="87"/>
      </w:r>
      <w:r w:rsidRPr="00461C10" w:rsidR="003F3054">
        <w:t xml:space="preserve"> </w:t>
      </w:r>
    </w:p>
    <w:p w:rsidRPr="00461C10" w:rsidR="007D0EC9" w:rsidP="00180759" w:rsidRDefault="00F820B3" w14:paraId="5B3162CD" w14:textId="1137AFE7">
      <w:pPr>
        <w:pStyle w:val="Standard"/>
      </w:pPr>
      <w:r w:rsidRPr="00461C10">
        <w:t>As</w:t>
      </w:r>
      <w:r w:rsidRPr="00461C10" w:rsidR="003F3054">
        <w:t xml:space="preserve"> </w:t>
      </w:r>
      <w:r w:rsidRPr="00461C10">
        <w:t>discussed further</w:t>
      </w:r>
      <w:r w:rsidRPr="00461C10" w:rsidR="002E37A9">
        <w:t xml:space="preserve"> in Section 12 of this decision, Improved Customer Outreach</w:t>
      </w:r>
      <w:r w:rsidRPr="00461C10">
        <w:t xml:space="preserve">, the </w:t>
      </w:r>
      <w:r w:rsidRPr="00461C10" w:rsidR="005C62BF">
        <w:t xml:space="preserve">large electric </w:t>
      </w:r>
      <w:r w:rsidRPr="00461C10" w:rsidR="00672117">
        <w:t xml:space="preserve">IOUs </w:t>
      </w:r>
      <w:r w:rsidRPr="00461C10">
        <w:t xml:space="preserve">shall </w:t>
      </w:r>
      <w:r w:rsidRPr="00461C10" w:rsidR="0008473E">
        <w:t xml:space="preserve">also </w:t>
      </w:r>
      <w:r w:rsidRPr="00461C10">
        <w:t xml:space="preserve">provide </w:t>
      </w:r>
      <w:r w:rsidRPr="00461C10" w:rsidR="00414BF3">
        <w:t>clear descriptions and data to support their efforts to engag</w:t>
      </w:r>
      <w:r w:rsidRPr="00461C10" w:rsidR="00F95662">
        <w:t xml:space="preserve">e local and </w:t>
      </w:r>
      <w:r w:rsidRPr="00461C10" w:rsidR="00042DBE">
        <w:t xml:space="preserve">Tribal </w:t>
      </w:r>
      <w:r w:rsidRPr="00461C10" w:rsidR="00F95662">
        <w:t xml:space="preserve">governments to ensure their energization </w:t>
      </w:r>
      <w:r w:rsidRPr="00461C10" w:rsidR="00315778">
        <w:t xml:space="preserve">processes are clear </w:t>
      </w:r>
      <w:r w:rsidRPr="00461C10" w:rsidR="00180759">
        <w:t xml:space="preserve">to all </w:t>
      </w:r>
      <w:r w:rsidRPr="00461C10" w:rsidR="003127C5">
        <w:t>customers and</w:t>
      </w:r>
      <w:r w:rsidRPr="00461C10" w:rsidR="00FF1CD8">
        <w:t xml:space="preserve"> support </w:t>
      </w:r>
      <w:r w:rsidRPr="00461C10" w:rsidR="009E1BEB">
        <w:t xml:space="preserve">energization needs of </w:t>
      </w:r>
      <w:r w:rsidRPr="00461C10" w:rsidR="00AA78D8">
        <w:t>local and Tribal governments.</w:t>
      </w:r>
      <w:r w:rsidRPr="00461C10" w:rsidDel="00BA2CBB" w:rsidR="00BA2CBB">
        <w:t xml:space="preserve"> </w:t>
      </w:r>
    </w:p>
    <w:p w:rsidRPr="00461C10" w:rsidR="00FF3CB2" w:rsidP="009F794F" w:rsidRDefault="003D4347" w14:paraId="133C5C03" w14:textId="6E00E23C">
      <w:pPr>
        <w:pStyle w:val="Heading1"/>
      </w:pPr>
      <w:bookmarkStart w:name="_Toc1441108190" w:id="50"/>
      <w:bookmarkStart w:name="_Toc172024440" w:id="51"/>
      <w:bookmarkStart w:name="_Toc177469354" w:id="52"/>
      <w:r w:rsidRPr="00461C10">
        <w:t>Bia</w:t>
      </w:r>
      <w:r w:rsidRPr="00461C10" w:rsidR="00CC622D">
        <w:t>n</w:t>
      </w:r>
      <w:r w:rsidRPr="00461C10" w:rsidR="00F373E8">
        <w:t>nual Energization Re</w:t>
      </w:r>
      <w:r w:rsidRPr="00461C10" w:rsidR="6F069C2F">
        <w:t xml:space="preserve">porting </w:t>
      </w:r>
      <w:r w:rsidRPr="00461C10" w:rsidR="00F373E8">
        <w:t>R</w:t>
      </w:r>
      <w:r w:rsidRPr="00461C10" w:rsidR="6F069C2F">
        <w:t>equirements</w:t>
      </w:r>
      <w:bookmarkEnd w:id="50"/>
      <w:bookmarkEnd w:id="51"/>
      <w:bookmarkEnd w:id="52"/>
    </w:p>
    <w:p w:rsidRPr="00461C10" w:rsidR="00FF3CB2" w:rsidP="00FF3CB2" w:rsidRDefault="00FF3CB2" w14:paraId="0DA29F4F" w14:textId="6235EEF4">
      <w:pPr>
        <w:pStyle w:val="Standard"/>
      </w:pPr>
      <w:r w:rsidRPr="00461C10">
        <w:t>Pub. Util. Code §</w:t>
      </w:r>
      <w:r w:rsidRPr="00461C10" w:rsidR="00FB01DE">
        <w:t xml:space="preserve"> </w:t>
      </w:r>
      <w:r w:rsidRPr="00461C10">
        <w:t xml:space="preserve">933.5(a)(2)(B) requires the Commission </w:t>
      </w:r>
      <w:r w:rsidRPr="00461C10" w:rsidR="006E4FC1">
        <w:t xml:space="preserve">to </w:t>
      </w:r>
      <w:r w:rsidRPr="00461C10">
        <w:t>establish annual energization data reporting process</w:t>
      </w:r>
      <w:r w:rsidRPr="00461C10" w:rsidR="7D3FA28F">
        <w:t>es</w:t>
      </w:r>
      <w:r w:rsidRPr="00461C10">
        <w:t xml:space="preserve"> and </w:t>
      </w:r>
      <w:r w:rsidRPr="00461C10" w:rsidR="33F08F43">
        <w:t>identifies</w:t>
      </w:r>
      <w:r w:rsidRPr="00461C10">
        <w:t xml:space="preserve"> minimum energization reporting requirements </w:t>
      </w:r>
      <w:r w:rsidRPr="00461C10" w:rsidR="5E01BAA2">
        <w:t xml:space="preserve">the </w:t>
      </w:r>
      <w:r w:rsidRPr="00461C10" w:rsidR="008A36FD">
        <w:t xml:space="preserve">large electric </w:t>
      </w:r>
      <w:r w:rsidRPr="00461C10">
        <w:t xml:space="preserve">IOUs must </w:t>
      </w:r>
      <w:r w:rsidRPr="00461C10" w:rsidR="00FF3E15">
        <w:t xml:space="preserve">submit </w:t>
      </w:r>
      <w:r w:rsidRPr="00461C10">
        <w:t>to the Commission</w:t>
      </w:r>
      <w:r w:rsidRPr="00461C10" w:rsidR="42CF108B">
        <w:t>. The goal of these reporting requirements is</w:t>
      </w:r>
      <w:r w:rsidRPr="00461C10">
        <w:t xml:space="preserve"> to reflect </w:t>
      </w:r>
      <w:r w:rsidRPr="00461C10" w:rsidR="1134BB4D">
        <w:t xml:space="preserve">the </w:t>
      </w:r>
      <w:r w:rsidRPr="00461C10" w:rsidR="008A36FD">
        <w:t xml:space="preserve">large electric </w:t>
      </w:r>
      <w:r w:rsidRPr="00461C10" w:rsidR="1134BB4D">
        <w:t>IOU’s</w:t>
      </w:r>
      <w:r w:rsidRPr="00461C10">
        <w:t xml:space="preserve"> efforts of timely </w:t>
      </w:r>
      <w:r w:rsidRPr="00461C10" w:rsidR="006E4FC1">
        <w:t xml:space="preserve">completion of </w:t>
      </w:r>
      <w:r w:rsidRPr="00461C10">
        <w:t>customer</w:t>
      </w:r>
      <w:r w:rsidRPr="00461C10" w:rsidR="006E4FC1">
        <w:t xml:space="preserve"> energization</w:t>
      </w:r>
      <w:r w:rsidRPr="00461C10">
        <w:t xml:space="preserve"> requests.</w:t>
      </w:r>
      <w:r w:rsidRPr="00461C10" w:rsidR="594B7606">
        <w:t xml:space="preserve"> At a minimum, the reporting requirements shall include: (1) the average, median, and standard deviation time between receiving an application for energizing the electrical service; (2) explanations for energization time periods that exceed the target maximum for en</w:t>
      </w:r>
      <w:r w:rsidRPr="00461C10" w:rsidR="71EA8D91">
        <w:t xml:space="preserve">ergization projects; (3) constraints and obstacles to each type of energization, including funding limitations, qualified staffing availability, </w:t>
      </w:r>
      <w:r w:rsidRPr="00461C10" w:rsidR="71EA8D91">
        <w:lastRenderedPageBreak/>
        <w:t>or equipment availability; and (4) any other information required by the Commission.</w:t>
      </w:r>
      <w:r w:rsidRPr="00461C10">
        <w:rPr>
          <w:rStyle w:val="FootnoteReference"/>
        </w:rPr>
        <w:footnoteReference w:id="88"/>
      </w:r>
      <w:r w:rsidRPr="00461C10" w:rsidR="71EA8D91">
        <w:t xml:space="preserve"> </w:t>
      </w:r>
    </w:p>
    <w:p w:rsidRPr="00461C10" w:rsidR="33040DC1" w:rsidP="33040DC1" w:rsidRDefault="1C71F919" w14:paraId="16F1B534" w14:textId="4853FC40">
      <w:pPr>
        <w:pStyle w:val="Standard"/>
      </w:pPr>
      <w:r w:rsidRPr="00461C10">
        <w:t xml:space="preserve">Parties provide different </w:t>
      </w:r>
      <w:r w:rsidRPr="00461C10" w:rsidR="3FD51163">
        <w:t>approache</w:t>
      </w:r>
      <w:r w:rsidRPr="00461C10">
        <w:t>s</w:t>
      </w:r>
      <w:r w:rsidRPr="00461C10" w:rsidR="06E8A2A3">
        <w:t xml:space="preserve"> on reporting requirements in </w:t>
      </w:r>
      <w:r w:rsidRPr="00461C10" w:rsidR="055FF479">
        <w:t xml:space="preserve">opening </w:t>
      </w:r>
      <w:r w:rsidRPr="00461C10" w:rsidR="06E8A2A3">
        <w:t xml:space="preserve">comments to the Scoping </w:t>
      </w:r>
      <w:r w:rsidRPr="00461C10" w:rsidR="009532A0">
        <w:t>Memo</w:t>
      </w:r>
      <w:r w:rsidRPr="00461C10" w:rsidR="00860848">
        <w:t xml:space="preserve">. </w:t>
      </w:r>
      <w:r w:rsidRPr="00461C10" w:rsidR="06E8A2A3">
        <w:t xml:space="preserve">AEU, </w:t>
      </w:r>
      <w:r w:rsidRPr="00461C10" w:rsidR="0038698F">
        <w:t>Auto Innovators</w:t>
      </w:r>
      <w:r w:rsidRPr="00461C10" w:rsidR="06E8A2A3">
        <w:t>, CALSTART, CCSF, CMTA, Crown Castle, EDF/NRDC, Joint EV Industry, SCE</w:t>
      </w:r>
      <w:r w:rsidRPr="00461C10" w:rsidR="00976FF5">
        <w:t>,</w:t>
      </w:r>
      <w:r w:rsidRPr="00461C10" w:rsidR="06E8A2A3">
        <w:t xml:space="preserve"> and Terawatt are supportive of</w:t>
      </w:r>
      <w:r w:rsidRPr="00461C10" w:rsidR="52F79CFA">
        <w:t xml:space="preserve"> an annual reporting process, due April 1</w:t>
      </w:r>
      <w:r w:rsidRPr="00461C10" w:rsidR="09262A3B">
        <w:t>st</w:t>
      </w:r>
      <w:r w:rsidRPr="00461C10" w:rsidR="52F79CFA">
        <w:t xml:space="preserve"> of each year.</w:t>
      </w:r>
      <w:r w:rsidRPr="00461C10" w:rsidR="009C0A23">
        <w:rPr>
          <w:rStyle w:val="FootnoteReference"/>
        </w:rPr>
        <w:footnoteReference w:id="89"/>
      </w:r>
      <w:r w:rsidRPr="00461C10" w:rsidR="49763AB1">
        <w:t xml:space="preserve"> PACT </w:t>
      </w:r>
      <w:r w:rsidRPr="00461C10" w:rsidR="4E7F4E15">
        <w:t>supports</w:t>
      </w:r>
      <w:r w:rsidRPr="00461C10" w:rsidR="49763AB1">
        <w:t xml:space="preserve"> more frequent, but less data-intensive reporting.</w:t>
      </w:r>
      <w:r w:rsidRPr="00461C10" w:rsidR="33040DC1">
        <w:rPr>
          <w:rStyle w:val="FootnoteReference"/>
        </w:rPr>
        <w:footnoteReference w:id="90"/>
      </w:r>
      <w:r w:rsidRPr="00461C10" w:rsidR="16F23441">
        <w:t xml:space="preserve">  A number of parties encourage the Commission to adopt a regularly updated public platform that provides notification regarding status of requests to address energization issues, such as </w:t>
      </w:r>
      <w:r w:rsidRPr="00461C10" w:rsidR="00A7028F">
        <w:t>the California Distributed Generation Statistics website (</w:t>
      </w:r>
      <w:r w:rsidRPr="00461C10" w:rsidR="16F23441">
        <w:t>DGStats</w:t>
      </w:r>
      <w:r w:rsidRPr="00461C10" w:rsidR="00A7028F">
        <w:t>)</w:t>
      </w:r>
      <w:r w:rsidRPr="00461C10" w:rsidR="16F23441">
        <w:t>.</w:t>
      </w:r>
      <w:r w:rsidRPr="00461C10" w:rsidR="33040DC1">
        <w:rPr>
          <w:rStyle w:val="FootnoteReference"/>
        </w:rPr>
        <w:footnoteReference w:id="91"/>
      </w:r>
      <w:r w:rsidRPr="00461C10" w:rsidR="1F66FF88">
        <w:t xml:space="preserve">  </w:t>
      </w:r>
    </w:p>
    <w:p w:rsidRPr="00461C10" w:rsidR="001E707A" w:rsidP="33040DC1" w:rsidRDefault="005A215E" w14:paraId="63AF0F55" w14:textId="77777777">
      <w:pPr>
        <w:pStyle w:val="Standard"/>
      </w:pPr>
      <w:r w:rsidRPr="00461C10">
        <w:t xml:space="preserve">DGStats is a website funded by the </w:t>
      </w:r>
      <w:r w:rsidRPr="00461C10" w:rsidR="00EB5B19">
        <w:t xml:space="preserve">large electric </w:t>
      </w:r>
      <w:r w:rsidRPr="00461C10">
        <w:t xml:space="preserve">IOUs and maintained by a contractor to the Commission that provides </w:t>
      </w:r>
      <w:r w:rsidRPr="00461C10" w:rsidR="001718F1">
        <w:t xml:space="preserve">the public </w:t>
      </w:r>
      <w:r w:rsidRPr="00461C10">
        <w:t xml:space="preserve">with </w:t>
      </w:r>
      <w:r w:rsidRPr="00461C10" w:rsidR="00A7028F">
        <w:t>data and infographics</w:t>
      </w:r>
      <w:r w:rsidRPr="00461C10">
        <w:t xml:space="preserve"> about the state’s implementation of distributed generation</w:t>
      </w:r>
      <w:r w:rsidRPr="00461C10" w:rsidR="00A7028F">
        <w:t xml:space="preserve"> resources</w:t>
      </w:r>
      <w:r w:rsidRPr="00461C10">
        <w:t xml:space="preserve"> and </w:t>
      </w:r>
      <w:r w:rsidRPr="00461C10" w:rsidR="00A7028F">
        <w:t xml:space="preserve">associated programs provided by the </w:t>
      </w:r>
      <w:r w:rsidRPr="00461C10" w:rsidR="00EB5B19">
        <w:t xml:space="preserve">large electric </w:t>
      </w:r>
      <w:r w:rsidRPr="00461C10" w:rsidR="00A7028F">
        <w:t>IOUs</w:t>
      </w:r>
      <w:r w:rsidRPr="00461C10" w:rsidR="00EB5B19">
        <w:t xml:space="preserve"> in California</w:t>
      </w:r>
      <w:r w:rsidRPr="00461C10" w:rsidR="00A7028F">
        <w:t>, such as net metering and solar photovoltaic installation</w:t>
      </w:r>
      <w:r w:rsidRPr="00461C10" w:rsidR="009E1107">
        <w:t>s</w:t>
      </w:r>
      <w:r w:rsidRPr="00461C10">
        <w:t xml:space="preserve">. </w:t>
      </w:r>
    </w:p>
    <w:p w:rsidRPr="00461C10" w:rsidR="33040DC1" w:rsidP="33040DC1" w:rsidRDefault="00896628" w14:paraId="4536BFE5" w14:textId="29426C59">
      <w:pPr>
        <w:pStyle w:val="Standard"/>
      </w:pPr>
      <w:r w:rsidRPr="00461C10">
        <w:t>The p</w:t>
      </w:r>
      <w:r w:rsidRPr="00461C10" w:rsidR="003B2896">
        <w:t>arties</w:t>
      </w:r>
      <w:r w:rsidRPr="00461C10">
        <w:t xml:space="preserve"> listed above</w:t>
      </w:r>
      <w:r w:rsidRPr="00461C10" w:rsidR="003B2896">
        <w:t xml:space="preserve"> suggest</w:t>
      </w:r>
      <w:r w:rsidRPr="00461C10" w:rsidR="1F66FF88">
        <w:t xml:space="preserve"> </w:t>
      </w:r>
      <w:r w:rsidRPr="00461C10" w:rsidR="00216B58">
        <w:t>the</w:t>
      </w:r>
      <w:r w:rsidRPr="00461C10" w:rsidR="1F66FF88">
        <w:t xml:space="preserve"> Commission should direct the </w:t>
      </w:r>
      <w:r w:rsidRPr="00461C10" w:rsidR="00EB5B19">
        <w:t xml:space="preserve">large electric </w:t>
      </w:r>
      <w:r w:rsidRPr="00461C10" w:rsidR="1F66FF88">
        <w:t xml:space="preserve">IOUs to maintain </w:t>
      </w:r>
      <w:r w:rsidRPr="00461C10">
        <w:t xml:space="preserve">similar </w:t>
      </w:r>
      <w:r w:rsidRPr="00461C10" w:rsidR="1F66FF88">
        <w:t>databases</w:t>
      </w:r>
      <w:r w:rsidRPr="00461C10">
        <w:t>,</w:t>
      </w:r>
      <w:r w:rsidRPr="00461C10" w:rsidR="1F66FF88">
        <w:t xml:space="preserve"> drawing from the online system </w:t>
      </w:r>
      <w:r w:rsidRPr="00461C10" w:rsidR="1F66FF88">
        <w:lastRenderedPageBreak/>
        <w:t>calculating average and maximum energization periods by customer class and project size</w:t>
      </w:r>
      <w:r w:rsidRPr="00461C10">
        <w:t>,</w:t>
      </w:r>
      <w:r w:rsidRPr="00461C10" w:rsidR="1F66FF88">
        <w:t xml:space="preserve"> and provide that reporting to the Commission in </w:t>
      </w:r>
      <w:r w:rsidRPr="00461C10">
        <w:t xml:space="preserve">the </w:t>
      </w:r>
      <w:r w:rsidRPr="00461C10" w:rsidR="00EB5B19">
        <w:t>large electric</w:t>
      </w:r>
      <w:r w:rsidRPr="00461C10">
        <w:t xml:space="preserve"> IOUs’ </w:t>
      </w:r>
      <w:r w:rsidRPr="00461C10" w:rsidR="1F66FF88">
        <w:t xml:space="preserve">annual </w:t>
      </w:r>
      <w:r w:rsidRPr="00461C10">
        <w:t xml:space="preserve">energization target </w:t>
      </w:r>
      <w:r w:rsidRPr="00461C10" w:rsidR="1F66FF88">
        <w:t>report</w:t>
      </w:r>
      <w:r w:rsidRPr="00461C10">
        <w:t>s</w:t>
      </w:r>
      <w:r w:rsidRPr="00461C10" w:rsidR="1F66FF88">
        <w:t xml:space="preserve">. </w:t>
      </w:r>
      <w:r w:rsidRPr="00461C10" w:rsidR="00E55681">
        <w:t>Other parties suggested</w:t>
      </w:r>
      <w:r w:rsidRPr="00461C10" w:rsidR="1F66FF88">
        <w:t xml:space="preserve"> </w:t>
      </w:r>
      <w:r w:rsidRPr="00461C10" w:rsidR="00EB5B19">
        <w:t xml:space="preserve">the large electric </w:t>
      </w:r>
      <w:r w:rsidRPr="00461C10" w:rsidR="1F66FF88">
        <w:t xml:space="preserve">IOUs should provide </w:t>
      </w:r>
      <w:r w:rsidRPr="00461C10" w:rsidR="00E55681">
        <w:t xml:space="preserve">additional </w:t>
      </w:r>
      <w:r w:rsidRPr="00461C10" w:rsidR="1F66FF88">
        <w:t xml:space="preserve">data on energization projects supporting EV charging infrastructure separately for projects which will support </w:t>
      </w:r>
      <w:r w:rsidRPr="00461C10" w:rsidR="004C2726">
        <w:t>medium- and heavy-duty</w:t>
      </w:r>
      <w:r w:rsidRPr="00461C10" w:rsidR="1F66FF88">
        <w:t xml:space="preserve"> EV charging</w:t>
      </w:r>
      <w:r w:rsidRPr="00461C10" w:rsidR="004C2726">
        <w:t xml:space="preserve"> facilities</w:t>
      </w:r>
      <w:r w:rsidRPr="00461C10" w:rsidR="1F66FF88">
        <w:t>.</w:t>
      </w:r>
      <w:r w:rsidRPr="00461C10" w:rsidR="33040DC1">
        <w:rPr>
          <w:rStyle w:val="FootnoteReference"/>
        </w:rPr>
        <w:footnoteReference w:id="92"/>
      </w:r>
    </w:p>
    <w:p w:rsidRPr="00461C10" w:rsidR="46EB7905" w:rsidP="00B37200" w:rsidRDefault="46EB7905" w14:paraId="3707F924" w14:textId="54B45E0B">
      <w:pPr>
        <w:pStyle w:val="Standard"/>
      </w:pPr>
      <w:r w:rsidRPr="00461C10">
        <w:t xml:space="preserve">Generally, the </w:t>
      </w:r>
      <w:r w:rsidRPr="00461C10" w:rsidR="00EB5B19">
        <w:t>large electric</w:t>
      </w:r>
      <w:r w:rsidRPr="00461C10">
        <w:t xml:space="preserve"> IOUs </w:t>
      </w:r>
      <w:r w:rsidRPr="00461C10" w:rsidR="4BDA0B83">
        <w:t>must</w:t>
      </w:r>
      <w:r w:rsidRPr="00461C10">
        <w:t xml:space="preserve"> complet</w:t>
      </w:r>
      <w:r w:rsidRPr="00461C10" w:rsidR="5E89E581">
        <w:t>e</w:t>
      </w:r>
      <w:r w:rsidRPr="00461C10">
        <w:t xml:space="preserve"> the engineering study, scoping, design, and construction, as described in </w:t>
      </w:r>
      <w:r w:rsidRPr="00461C10" w:rsidR="001E072B">
        <w:t>Section 7, Energization Targets,</w:t>
      </w:r>
      <w:r w:rsidRPr="00461C10">
        <w:t xml:space="preserve"> </w:t>
      </w:r>
      <w:r w:rsidRPr="00461C10" w:rsidR="001E072B">
        <w:t xml:space="preserve">and Upstream Capacity </w:t>
      </w:r>
      <w:r w:rsidRPr="00461C10" w:rsidR="00C75041">
        <w:t xml:space="preserve">Upgrade </w:t>
      </w:r>
      <w:r w:rsidRPr="00461C10" w:rsidR="001E072B">
        <w:t xml:space="preserve">Targets, </w:t>
      </w:r>
      <w:r w:rsidRPr="00461C10" w:rsidR="00C75041">
        <w:t>as described in Section 8</w:t>
      </w:r>
      <w:r w:rsidRPr="00461C10">
        <w:t xml:space="preserve">. For utility-owned facilities, the </w:t>
      </w:r>
      <w:r w:rsidRPr="00461C10" w:rsidR="00EB5B19">
        <w:t xml:space="preserve">large electric </w:t>
      </w:r>
      <w:r w:rsidRPr="00461C10">
        <w:t xml:space="preserve">IOUs </w:t>
      </w:r>
      <w:r w:rsidRPr="00461C10" w:rsidR="5DB5C9AA">
        <w:t>must</w:t>
      </w:r>
      <w:r w:rsidRPr="00461C10">
        <w:t xml:space="preserve"> obtain easements, permitting, licensing, and materials, although </w:t>
      </w:r>
      <w:r w:rsidRPr="00461C10" w:rsidR="29633E96">
        <w:t>external factors</w:t>
      </w:r>
      <w:r w:rsidRPr="00461C10">
        <w:t xml:space="preserve"> can heavily impact</w:t>
      </w:r>
      <w:r w:rsidRPr="00461C10" w:rsidR="0028216A">
        <w:t xml:space="preserve"> </w:t>
      </w:r>
      <w:r w:rsidRPr="00461C10" w:rsidR="75E34325">
        <w:t xml:space="preserve">these </w:t>
      </w:r>
      <w:r w:rsidRPr="00461C10" w:rsidR="002D1E21">
        <w:t xml:space="preserve">processes </w:t>
      </w:r>
      <w:r w:rsidRPr="00461C10">
        <w:t xml:space="preserve">and </w:t>
      </w:r>
      <w:r w:rsidRPr="00461C10" w:rsidR="58E805DB">
        <w:t xml:space="preserve">the responsibilities </w:t>
      </w:r>
      <w:r w:rsidRPr="00461C10" w:rsidR="002D1E21">
        <w:t>for customers and large electric IOUs</w:t>
      </w:r>
      <w:r w:rsidRPr="00461C10" w:rsidR="58E805DB">
        <w:t xml:space="preserve"> </w:t>
      </w:r>
      <w:r w:rsidRPr="00461C10">
        <w:t xml:space="preserve">vary greatly by AHJ. At customer-owned sites, the </w:t>
      </w:r>
      <w:r w:rsidRPr="00461C10" w:rsidR="00EB5B19">
        <w:t xml:space="preserve">large electric </w:t>
      </w:r>
      <w:r w:rsidRPr="00461C10">
        <w:t>IOUs have little input into the easements, permitting, licensing, or other AHJ-related steps in the process, other than responding to customer requests.</w:t>
      </w:r>
    </w:p>
    <w:p w:rsidRPr="00461C10" w:rsidR="46EB7905" w:rsidP="3ED5BD86" w:rsidRDefault="46EB7905" w14:paraId="5D0D7635" w14:textId="5A4C775D">
      <w:pPr>
        <w:pStyle w:val="Standard"/>
      </w:pPr>
      <w:r w:rsidRPr="00461C10">
        <w:t xml:space="preserve">PG&amp;E and several other parties reported that circumstances outside of the </w:t>
      </w:r>
      <w:r w:rsidRPr="00461C10" w:rsidR="00EB5B19">
        <w:t xml:space="preserve">large electric </w:t>
      </w:r>
      <w:r w:rsidRPr="00461C10" w:rsidR="000D647C">
        <w:t xml:space="preserve">IOUs’ </w:t>
      </w:r>
      <w:r w:rsidRPr="00461C10">
        <w:t>control, such as a delay in local permitting processes or problems accessing the customer’s site, can often result in a longer than expected energization timeline.</w:t>
      </w:r>
      <w:r w:rsidRPr="00461C10">
        <w:rPr>
          <w:rStyle w:val="FootnoteReference"/>
        </w:rPr>
        <w:footnoteReference w:id="93"/>
      </w:r>
      <w:r w:rsidRPr="00461C10">
        <w:t xml:space="preserve"> SCE stated that </w:t>
      </w:r>
      <w:r w:rsidRPr="00461C10" w:rsidR="00EB5B19">
        <w:t xml:space="preserve">the large electric </w:t>
      </w:r>
      <w:r w:rsidRPr="00461C10" w:rsidR="00A203B3">
        <w:t xml:space="preserve">IOUs </w:t>
      </w:r>
      <w:r w:rsidRPr="00461C10">
        <w:t xml:space="preserve">should not be required to monitor progress or completion of phases of the processes for which </w:t>
      </w:r>
      <w:r w:rsidRPr="00461C10">
        <w:lastRenderedPageBreak/>
        <w:t>timing is primarily controlled by the customer, AHJ,</w:t>
      </w:r>
      <w:r w:rsidRPr="00461C10" w:rsidR="00976FF5">
        <w:rPr>
          <w:rStyle w:val="FootnoteReference"/>
        </w:rPr>
        <w:t xml:space="preserve"> </w:t>
      </w:r>
      <w:r w:rsidRPr="00461C10">
        <w:t>or other third party or parties.</w:t>
      </w:r>
      <w:r w:rsidRPr="00461C10" w:rsidR="008053B8">
        <w:rPr>
          <w:rStyle w:val="FootnoteReference"/>
        </w:rPr>
        <w:footnoteReference w:id="94"/>
      </w:r>
      <w:r w:rsidRPr="00461C10" w:rsidR="002D1E21">
        <w:t>,</w:t>
      </w:r>
      <w:r w:rsidRPr="00461C10" w:rsidR="009E1107">
        <w:t xml:space="preserve"> </w:t>
      </w:r>
      <w:r w:rsidRPr="00461C10">
        <w:rPr>
          <w:rStyle w:val="FootnoteReference"/>
        </w:rPr>
        <w:footnoteReference w:id="95"/>
      </w:r>
    </w:p>
    <w:p w:rsidRPr="00461C10" w:rsidR="006375BF" w:rsidP="00251923" w:rsidRDefault="00F75B8C" w14:paraId="11E681F7" w14:textId="77777777">
      <w:pPr>
        <w:pStyle w:val="Standard"/>
      </w:pPr>
      <w:r w:rsidRPr="00461C10">
        <w:t>The Commission understands that t</w:t>
      </w:r>
      <w:r w:rsidRPr="00461C10" w:rsidR="46EB7905">
        <w:t xml:space="preserve">here are portions of the energization process </w:t>
      </w:r>
      <w:r w:rsidRPr="00461C10" w:rsidR="406529D3">
        <w:t xml:space="preserve">the large electric IOUs </w:t>
      </w:r>
      <w:r w:rsidRPr="00461C10" w:rsidR="46EB7905">
        <w:t xml:space="preserve">cannot complete, </w:t>
      </w:r>
      <w:r w:rsidRPr="00461C10">
        <w:t xml:space="preserve">which is why those steps will </w:t>
      </w:r>
      <w:r w:rsidRPr="00461C10" w:rsidR="46EB7905">
        <w:t xml:space="preserve">not count against the </w:t>
      </w:r>
      <w:r w:rsidRPr="00461C10" w:rsidR="00EB5B19">
        <w:t xml:space="preserve">large electric </w:t>
      </w:r>
      <w:r w:rsidRPr="00461C10" w:rsidR="46EB7905">
        <w:t xml:space="preserve">IOUs’ efforts to meet the adopted targets. </w:t>
      </w:r>
      <w:r w:rsidRPr="00461C10">
        <w:t>However</w:t>
      </w:r>
      <w:r w:rsidRPr="00461C10" w:rsidR="46EB7905">
        <w:t>, we still find value in tracking the time necessary</w:t>
      </w:r>
      <w:r w:rsidRPr="00461C10" w:rsidR="00B11559">
        <w:t xml:space="preserve"> for</w:t>
      </w:r>
      <w:r w:rsidRPr="00461C10" w:rsidR="46EB7905">
        <w:t xml:space="preserve"> </w:t>
      </w:r>
      <w:r w:rsidRPr="00461C10" w:rsidR="00EB5B19">
        <w:t>steps that are not fully within the large electric IOUs</w:t>
      </w:r>
      <w:r w:rsidRPr="00461C10" w:rsidR="00976FF5">
        <w:t>’</w:t>
      </w:r>
      <w:r w:rsidRPr="00461C10" w:rsidR="00EB5B19">
        <w:t xml:space="preserve"> control</w:t>
      </w:r>
      <w:r w:rsidRPr="00461C10" w:rsidR="006375BF">
        <w:t>, including instances when customers choose to change the scope of their energization project request</w:t>
      </w:r>
      <w:r w:rsidRPr="00461C10" w:rsidR="00EB5B19">
        <w:t xml:space="preserve">. </w:t>
      </w:r>
      <w:r w:rsidRPr="00461C10" w:rsidR="000C41C8">
        <w:t xml:space="preserve"> </w:t>
      </w:r>
    </w:p>
    <w:p w:rsidRPr="00461C10" w:rsidR="00FA212A" w:rsidP="00251923" w:rsidRDefault="00812CC5" w14:paraId="52B51235" w14:textId="2D624D6E">
      <w:pPr>
        <w:pStyle w:val="Standard"/>
      </w:pPr>
      <w:r w:rsidRPr="00461C10">
        <w:t xml:space="preserve">In order for the Commission to better understand the time necessary for the large electric IOUs to coordinate with customers and other jurisdictional requirements, </w:t>
      </w:r>
      <w:r w:rsidRPr="00461C10" w:rsidR="0015243A">
        <w:t>the large electric IOUs</w:t>
      </w:r>
      <w:r w:rsidRPr="00461C10" w:rsidR="000C41C8">
        <w:t xml:space="preserve"> </w:t>
      </w:r>
      <w:r w:rsidRPr="00461C10" w:rsidR="4C1ADF15">
        <w:t xml:space="preserve"> shall track the </w:t>
      </w:r>
      <w:r w:rsidRPr="00461C10" w:rsidR="46EB7905">
        <w:t>tim</w:t>
      </w:r>
      <w:r w:rsidRPr="00461C10" w:rsidR="68767572">
        <w:t>e</w:t>
      </w:r>
      <w:r w:rsidRPr="00461C10" w:rsidR="38117210">
        <w:t xml:space="preserve"> </w:t>
      </w:r>
      <w:r w:rsidRPr="00461C10" w:rsidR="46EB7905">
        <w:t xml:space="preserve">to complete the steps </w:t>
      </w:r>
      <w:r w:rsidRPr="00461C10" w:rsidR="000C41C8">
        <w:t>outside</w:t>
      </w:r>
      <w:r w:rsidRPr="00461C10" w:rsidR="46EB7905">
        <w:t xml:space="preserve"> the</w:t>
      </w:r>
      <w:r w:rsidRPr="00461C10" w:rsidR="74413079">
        <w:t>ir</w:t>
      </w:r>
      <w:r w:rsidRPr="00461C10" w:rsidR="003426C1">
        <w:t xml:space="preserve"> full control</w:t>
      </w:r>
      <w:r w:rsidRPr="00461C10" w:rsidR="0019339D">
        <w:t xml:space="preserve">, as described </w:t>
      </w:r>
      <w:r w:rsidRPr="00461C10" w:rsidR="00A20F1C">
        <w:t xml:space="preserve">herein and Appendix B of this decision, </w:t>
      </w:r>
      <w:r w:rsidRPr="00461C10" w:rsidR="00A20F1C">
        <w:rPr>
          <w:rFonts w:cs="Arial"/>
        </w:rPr>
        <w:t>Energization Target Reporting Template Requirements</w:t>
      </w:r>
      <w:r w:rsidR="00C94E48">
        <w:rPr>
          <w:rFonts w:cs="Arial"/>
        </w:rPr>
        <w:t xml:space="preserve">. </w:t>
      </w:r>
      <w:r w:rsidRPr="00461C10" w:rsidR="005A115E">
        <w:t xml:space="preserve">Although the large electric IOUs may not have full control of, or insight into, reasons for any non-utility-side delays, they shall still track both the timing of steps outside of their control and the reasons for any delays whenever that information is available. </w:t>
      </w:r>
      <w:r w:rsidRPr="00461C10" w:rsidR="008731A5">
        <w:t>The</w:t>
      </w:r>
      <w:r w:rsidRPr="00461C10" w:rsidR="00981CBE">
        <w:t xml:space="preserve"> large electric IOUs shall also report the</w:t>
      </w:r>
      <w:r w:rsidRPr="00461C10" w:rsidR="00042C36">
        <w:t xml:space="preserve"> customer’s requested energization date and </w:t>
      </w:r>
      <w:r w:rsidRPr="00461C10" w:rsidR="00AD252F">
        <w:t xml:space="preserve">the changes that were necessary to </w:t>
      </w:r>
      <w:r w:rsidRPr="00461C10" w:rsidR="008731A5">
        <w:t xml:space="preserve">complete the new or upgrade electric service request. </w:t>
      </w:r>
      <w:r w:rsidRPr="00461C10" w:rsidR="00206C53">
        <w:rPr>
          <w:rFonts w:cs="Arial"/>
        </w:rPr>
        <w:t xml:space="preserve">This information </w:t>
      </w:r>
      <w:r w:rsidRPr="00461C10" w:rsidR="0010701B">
        <w:rPr>
          <w:rFonts w:cs="Arial"/>
        </w:rPr>
        <w:t>should</w:t>
      </w:r>
      <w:r w:rsidRPr="00461C10" w:rsidR="0010701B">
        <w:t xml:space="preserve"> inform</w:t>
      </w:r>
      <w:r w:rsidRPr="00461C10" w:rsidR="46EB7905">
        <w:t xml:space="preserve"> process improvements in future </w:t>
      </w:r>
      <w:r w:rsidRPr="00461C10" w:rsidR="00206C53">
        <w:t>Commission</w:t>
      </w:r>
      <w:r w:rsidRPr="00461C10" w:rsidR="46EB7905">
        <w:t xml:space="preserve"> decisions</w:t>
      </w:r>
      <w:r w:rsidRPr="00461C10" w:rsidR="0010701B">
        <w:t xml:space="preserve"> related to energization targets</w:t>
      </w:r>
      <w:r w:rsidRPr="00461C10" w:rsidR="46EB7905">
        <w:t xml:space="preserve">. </w:t>
      </w:r>
    </w:p>
    <w:p w:rsidRPr="00461C10" w:rsidR="00251923" w:rsidP="00251923" w:rsidRDefault="46EB7905" w14:paraId="78DEF731" w14:textId="74574312">
      <w:pPr>
        <w:pStyle w:val="Standard"/>
      </w:pPr>
      <w:r w:rsidRPr="00461C10">
        <w:t xml:space="preserve">We </w:t>
      </w:r>
      <w:r w:rsidRPr="00461C10" w:rsidR="00F62FD0">
        <w:t xml:space="preserve">also </w:t>
      </w:r>
      <w:r w:rsidRPr="00461C10">
        <w:t>direct the</w:t>
      </w:r>
      <w:r w:rsidRPr="00461C10" w:rsidR="0037008E">
        <w:t xml:space="preserve"> large</w:t>
      </w:r>
      <w:r w:rsidRPr="00461C10">
        <w:t xml:space="preserve"> </w:t>
      </w:r>
      <w:r w:rsidRPr="00461C10" w:rsidR="00E14393">
        <w:t xml:space="preserve">electric </w:t>
      </w:r>
      <w:r w:rsidRPr="00461C10">
        <w:t>IOUs</w:t>
      </w:r>
      <w:r w:rsidRPr="00461C10" w:rsidR="00871615">
        <w:t xml:space="preserve"> </w:t>
      </w:r>
      <w:r w:rsidRPr="00461C10">
        <w:t xml:space="preserve">to report the timing of each specific step identified in </w:t>
      </w:r>
      <w:r w:rsidRPr="00461C10" w:rsidR="001E072B">
        <w:t>Section 7</w:t>
      </w:r>
      <w:r w:rsidRPr="00461C10" w:rsidR="0060518B">
        <w:t xml:space="preserve"> of this decision</w:t>
      </w:r>
      <w:r w:rsidRPr="00461C10" w:rsidR="001E072B">
        <w:t>, Energization Targets, and Section 8</w:t>
      </w:r>
      <w:r w:rsidRPr="00461C10" w:rsidR="00871615">
        <w:t xml:space="preserve">, </w:t>
      </w:r>
      <w:r w:rsidRPr="00461C10" w:rsidR="00871615">
        <w:lastRenderedPageBreak/>
        <w:t>of this decision, Upstream Capacity Upgrade Targets</w:t>
      </w:r>
      <w:r w:rsidRPr="00461C10" w:rsidR="00E14393">
        <w:t>, using the requirements outlined in Appendix B of this decision</w:t>
      </w:r>
      <w:r w:rsidRPr="00461C10" w:rsidR="0037008E">
        <w:t xml:space="preserve">, </w:t>
      </w:r>
      <w:r w:rsidRPr="00461C10" w:rsidR="0037008E">
        <w:rPr>
          <w:rFonts w:cs="Arial"/>
        </w:rPr>
        <w:t>Energization Target Reporting Template Requirements</w:t>
      </w:r>
      <w:r w:rsidRPr="00461C10" w:rsidR="0037008E">
        <w:t>.</w:t>
      </w:r>
      <w:r w:rsidRPr="00461C10" w:rsidR="00D75299">
        <w:t xml:space="preserve"> </w:t>
      </w:r>
    </w:p>
    <w:p w:rsidRPr="00461C10" w:rsidR="00A3735B" w:rsidP="00A3735B" w:rsidRDefault="0076525E" w14:paraId="67FCC0A6" w14:textId="4DC83E66">
      <w:pPr>
        <w:pStyle w:val="Standard"/>
      </w:pPr>
      <w:r w:rsidRPr="00461C10">
        <w:t>Additional data is necessary because</w:t>
      </w:r>
      <w:r w:rsidRPr="00461C10" w:rsidR="4FF90308">
        <w:t xml:space="preserve"> </w:t>
      </w:r>
      <w:r w:rsidRPr="00461C10" w:rsidR="00FF3CB2">
        <w:t xml:space="preserve">the information provided by the </w:t>
      </w:r>
      <w:r w:rsidRPr="00461C10" w:rsidR="00115EA8">
        <w:t xml:space="preserve">large electric </w:t>
      </w:r>
      <w:r w:rsidRPr="00461C10" w:rsidR="00FF3CB2">
        <w:t xml:space="preserve">IOUs </w:t>
      </w:r>
      <w:r w:rsidRPr="00461C10">
        <w:t xml:space="preserve">on the record of this proceeding, </w:t>
      </w:r>
      <w:r w:rsidRPr="00461C10" w:rsidR="00B50757">
        <w:t>to date</w:t>
      </w:r>
      <w:r w:rsidRPr="00461C10">
        <w:t>,</w:t>
      </w:r>
      <w:r w:rsidRPr="00461C10" w:rsidR="00B50757">
        <w:t xml:space="preserve"> </w:t>
      </w:r>
      <w:r w:rsidRPr="00461C10" w:rsidR="2FDE436D">
        <w:t xml:space="preserve">is </w:t>
      </w:r>
      <w:r w:rsidRPr="00461C10" w:rsidR="00FF3CB2">
        <w:t xml:space="preserve">inadequate to support </w:t>
      </w:r>
      <w:r w:rsidRPr="00461C10" w:rsidR="00D62FBB">
        <w:t xml:space="preserve">full </w:t>
      </w:r>
      <w:r w:rsidRPr="00461C10" w:rsidR="00FF3CB2">
        <w:t>implementation of Pub. Util. Code §</w:t>
      </w:r>
      <w:r w:rsidRPr="00461C10" w:rsidR="00F358E5">
        <w:t xml:space="preserve"> </w:t>
      </w:r>
      <w:r w:rsidRPr="00461C10" w:rsidR="00FF3CB2">
        <w:t>933.5(a)(2)(B).</w:t>
      </w:r>
      <w:r w:rsidRPr="00461C10" w:rsidR="00D648FF">
        <w:t xml:space="preserve"> While the </w:t>
      </w:r>
      <w:r w:rsidRPr="00461C10" w:rsidR="00115EA8">
        <w:t>large electric</w:t>
      </w:r>
      <w:r w:rsidRPr="00461C10" w:rsidR="00D648FF">
        <w:t xml:space="preserve"> IOUs </w:t>
      </w:r>
      <w:r w:rsidRPr="00461C10" w:rsidR="008F6B60">
        <w:t>reported</w:t>
      </w:r>
      <w:r w:rsidRPr="00461C10" w:rsidR="004E3E1F">
        <w:t xml:space="preserve"> that they currently collect</w:t>
      </w:r>
      <w:r w:rsidRPr="00461C10" w:rsidR="008F6B60">
        <w:t xml:space="preserve"> </w:t>
      </w:r>
      <w:r w:rsidRPr="00461C10" w:rsidR="00D648FF">
        <w:t xml:space="preserve">some of the data necessary to evaluate timeliness of customer energization requests, there are </w:t>
      </w:r>
      <w:r w:rsidRPr="00461C10" w:rsidR="008044F1">
        <w:t xml:space="preserve">many </w:t>
      </w:r>
      <w:r w:rsidRPr="00461C10" w:rsidR="00D648FF">
        <w:t xml:space="preserve">gaps </w:t>
      </w:r>
      <w:r w:rsidRPr="00461C10" w:rsidR="00BB2A50">
        <w:t>in the data on this proceeding’s record</w:t>
      </w:r>
      <w:r w:rsidRPr="00461C10" w:rsidR="00D648FF">
        <w:t xml:space="preserve"> that </w:t>
      </w:r>
      <w:r w:rsidRPr="00461C10" w:rsidR="36335AD1">
        <w:t>must</w:t>
      </w:r>
      <w:r w:rsidRPr="00461C10" w:rsidR="00D648FF">
        <w:t xml:space="preserve"> be addressed to ensure statutory compliance.</w:t>
      </w:r>
      <w:r w:rsidRPr="00461C10" w:rsidR="00A3735B">
        <w:t xml:space="preserve"> </w:t>
      </w:r>
    </w:p>
    <w:p w:rsidRPr="00461C10" w:rsidR="00561DCA" w:rsidP="00A3735B" w:rsidRDefault="00A3735B" w14:paraId="300DCCF1" w14:textId="77777777">
      <w:pPr>
        <w:pStyle w:val="Standard"/>
      </w:pPr>
      <w:r w:rsidRPr="00461C10">
        <w:t>Pub. Util. Code §</w:t>
      </w:r>
      <w:r w:rsidRPr="00461C10" w:rsidR="00F358E5">
        <w:t xml:space="preserve"> </w:t>
      </w:r>
      <w:r w:rsidRPr="00461C10">
        <w:t xml:space="preserve">933.5 requires the </w:t>
      </w:r>
      <w:r w:rsidRPr="00461C10" w:rsidR="006A08C7">
        <w:t>electric</w:t>
      </w:r>
      <w:r w:rsidRPr="00461C10">
        <w:t xml:space="preserve"> IOUs to “demonstrate improvement in energization performance and the resolution of backlogs of customers waiting for electricity.” Specifically, it requires each electrical corporation that energized less than 35</w:t>
      </w:r>
      <w:r w:rsidRPr="00461C10" w:rsidR="00333072">
        <w:t> percent</w:t>
      </w:r>
      <w:r w:rsidRPr="00461C10">
        <w:t xml:space="preserve"> of customers with completed applications in a timeframe that exceeds 12 months to submit a report to the Commission, on or before December 1, 2024, demonstrating that the electrical corporation has energized 80</w:t>
      </w:r>
      <w:r w:rsidRPr="00461C10" w:rsidR="00333072">
        <w:t> percent</w:t>
      </w:r>
      <w:r w:rsidRPr="00461C10">
        <w:t xml:space="preserve"> of customers with applications deemed complete as of January</w:t>
      </w:r>
      <w:r w:rsidRPr="00461C10" w:rsidR="00B424AB">
        <w:t> </w:t>
      </w:r>
      <w:r w:rsidRPr="00461C10">
        <w:t>31, 2023. The 80</w:t>
      </w:r>
      <w:r w:rsidRPr="00461C10" w:rsidR="00333072">
        <w:t> percent</w:t>
      </w:r>
      <w:r w:rsidRPr="00461C10">
        <w:t xml:space="preserve"> target defined in statute excludes applications that have been withdrawn, canceled, or with customer-requested energization dates beyond December 1, 2024. </w:t>
      </w:r>
      <w:r w:rsidRPr="00461C10" w:rsidR="00CE2DC1">
        <w:t xml:space="preserve">Pursuant to Pub. Util. Code </w:t>
      </w:r>
    </w:p>
    <w:p w:rsidRPr="00461C10" w:rsidR="00FF3CB2" w:rsidP="00260303" w:rsidRDefault="00CE2DC1" w14:paraId="32C6405D" w14:textId="70B1E324">
      <w:pPr>
        <w:pStyle w:val="Standard"/>
        <w:ind w:firstLine="0"/>
      </w:pPr>
      <w:r w:rsidRPr="00461C10">
        <w:t>§</w:t>
      </w:r>
      <w:r w:rsidR="00D1492A">
        <w:t> </w:t>
      </w:r>
      <w:r w:rsidRPr="00461C10">
        <w:t>933.5(</w:t>
      </w:r>
      <w:r w:rsidRPr="00461C10" w:rsidR="00A045F8">
        <w:t xml:space="preserve">b), </w:t>
      </w:r>
      <w:r w:rsidRPr="00461C10" w:rsidR="00D7408A">
        <w:t xml:space="preserve">each large electric IOU shall submit a report to the commission, on or before December 1, 2024, demonstrating the large electric IOU has energized at least 80 percent of customers </w:t>
      </w:r>
      <w:r w:rsidRPr="00461C10" w:rsidR="005E4E19">
        <w:t>that had</w:t>
      </w:r>
      <w:r w:rsidRPr="00461C10" w:rsidR="00260303">
        <w:t xml:space="preserve"> completed applications for</w:t>
      </w:r>
      <w:r w:rsidRPr="00461C10" w:rsidR="005E4E19">
        <w:t xml:space="preserve"> energization </w:t>
      </w:r>
      <w:r w:rsidRPr="00461C10" w:rsidR="00260303">
        <w:t>projects</w:t>
      </w:r>
      <w:r w:rsidRPr="00461C10" w:rsidR="005E4E19">
        <w:t xml:space="preserve"> pending as of January 1, 2023</w:t>
      </w:r>
      <w:r w:rsidRPr="00461C10" w:rsidR="00D7408A">
        <w:t xml:space="preserve">. </w:t>
      </w:r>
      <w:r w:rsidRPr="00461C10" w:rsidR="008056EE">
        <w:t>This data shall be considered part of the record of this proceeding</w:t>
      </w:r>
      <w:r w:rsidRPr="00461C10" w:rsidR="00B41D86">
        <w:t xml:space="preserve"> and </w:t>
      </w:r>
      <w:r w:rsidRPr="00461C10" w:rsidR="0012674E">
        <w:t>shall</w:t>
      </w:r>
      <w:r w:rsidRPr="00461C10" w:rsidR="00B41D86">
        <w:t xml:space="preserve"> be filed and served to the service list</w:t>
      </w:r>
      <w:r w:rsidRPr="00461C10" w:rsidR="0012674E">
        <w:t>s</w:t>
      </w:r>
      <w:r w:rsidRPr="00461C10" w:rsidR="00B41D86">
        <w:t xml:space="preserve"> of R.24</w:t>
      </w:r>
      <w:r w:rsidR="005143E8">
        <w:noBreakHyphen/>
      </w:r>
      <w:r w:rsidRPr="00461C10" w:rsidR="00B41D86">
        <w:t>01</w:t>
      </w:r>
      <w:r w:rsidR="005143E8">
        <w:noBreakHyphen/>
      </w:r>
      <w:r w:rsidRPr="00461C10" w:rsidR="00B41D86">
        <w:t>018</w:t>
      </w:r>
      <w:r w:rsidRPr="00461C10" w:rsidR="009671F7">
        <w:t xml:space="preserve"> and R.2</w:t>
      </w:r>
      <w:r w:rsidRPr="00461C10" w:rsidR="0012674E">
        <w:t>1</w:t>
      </w:r>
      <w:r w:rsidR="005143E8">
        <w:noBreakHyphen/>
      </w:r>
      <w:r w:rsidRPr="00461C10" w:rsidR="0012674E">
        <w:t>06</w:t>
      </w:r>
      <w:r w:rsidR="005143E8">
        <w:noBreakHyphen/>
      </w:r>
      <w:r w:rsidRPr="00461C10" w:rsidR="0012674E">
        <w:t>017</w:t>
      </w:r>
      <w:r w:rsidRPr="00461C10" w:rsidR="008056EE">
        <w:t>.</w:t>
      </w:r>
    </w:p>
    <w:p w:rsidRPr="00461C10" w:rsidR="00065D8F" w:rsidP="00B37200" w:rsidRDefault="009E7C7E" w14:paraId="2975996B" w14:textId="64DB9231">
      <w:pPr>
        <w:pStyle w:val="Standard"/>
      </w:pPr>
      <w:r w:rsidRPr="00461C10">
        <w:lastRenderedPageBreak/>
        <w:t>Considering the requirements discussed above</w:t>
      </w:r>
      <w:r w:rsidRPr="00461C10" w:rsidR="00392D43">
        <w:t xml:space="preserve"> and provided in statute</w:t>
      </w:r>
      <w:r w:rsidRPr="00461C10">
        <w:t>,</w:t>
      </w:r>
      <w:r w:rsidRPr="00461C10" w:rsidR="00FF3CB2">
        <w:t xml:space="preserve"> we direct the </w:t>
      </w:r>
      <w:r w:rsidRPr="00461C10" w:rsidR="00C73358">
        <w:t xml:space="preserve">large electric </w:t>
      </w:r>
      <w:r w:rsidRPr="00461C10" w:rsidR="3CAE8F60">
        <w:t>IOUs</w:t>
      </w:r>
      <w:r w:rsidRPr="00461C10" w:rsidR="00C73358">
        <w:t xml:space="preserve"> </w:t>
      </w:r>
      <w:r w:rsidRPr="00461C10" w:rsidR="00FF3CB2">
        <w:t xml:space="preserve">to </w:t>
      </w:r>
      <w:r w:rsidRPr="00461C10" w:rsidR="7E313C77">
        <w:t>jointly</w:t>
      </w:r>
      <w:r w:rsidRPr="00461C10" w:rsidR="00FF3CB2">
        <w:t xml:space="preserve"> develop </w:t>
      </w:r>
      <w:r w:rsidRPr="00461C10" w:rsidR="521C8224">
        <w:t xml:space="preserve">a </w:t>
      </w:r>
      <w:r w:rsidRPr="00461C10" w:rsidR="00FF3CB2">
        <w:t xml:space="preserve">new data reporting </w:t>
      </w:r>
      <w:r w:rsidRPr="00461C10" w:rsidR="60A569C6">
        <w:t>template</w:t>
      </w:r>
      <w:r w:rsidRPr="00461C10" w:rsidR="00FF3CB2">
        <w:t xml:space="preserve"> that align</w:t>
      </w:r>
      <w:r w:rsidRPr="00461C10" w:rsidR="24A87063">
        <w:t>s</w:t>
      </w:r>
      <w:r w:rsidRPr="00461C10" w:rsidR="00FF3CB2">
        <w:t xml:space="preserve"> with </w:t>
      </w:r>
      <w:r w:rsidRPr="00461C10" w:rsidR="36CA3452">
        <w:t xml:space="preserve">the data requirements </w:t>
      </w:r>
      <w:r w:rsidRPr="00461C10" w:rsidR="00FF3CB2">
        <w:t xml:space="preserve">codified in </w:t>
      </w:r>
      <w:r w:rsidRPr="00461C10" w:rsidR="00191D7F">
        <w:t>Pub. Util. Code</w:t>
      </w:r>
      <w:r w:rsidRPr="00461C10" w:rsidR="00803A43">
        <w:t> </w:t>
      </w:r>
      <w:r w:rsidRPr="00461C10" w:rsidR="001E072B">
        <w:t>§</w:t>
      </w:r>
      <w:r w:rsidRPr="00461C10" w:rsidR="00803A43">
        <w:t> </w:t>
      </w:r>
      <w:r w:rsidRPr="00461C10" w:rsidR="00FF3CB2">
        <w:t>933.5(2)(B)</w:t>
      </w:r>
      <w:r w:rsidRPr="00461C10" w:rsidR="4D328F92">
        <w:t xml:space="preserve">, </w:t>
      </w:r>
      <w:r w:rsidRPr="00461C10" w:rsidR="00814DCD">
        <w:t xml:space="preserve">the requirements adopted in Appendix B of this decision, Energization Target Reporting Template Requirements, </w:t>
      </w:r>
      <w:r w:rsidRPr="00461C10" w:rsidR="4D328F92">
        <w:t xml:space="preserve">and the energization targets described </w:t>
      </w:r>
      <w:r w:rsidRPr="00461C10" w:rsidR="00BB2FFD">
        <w:t>in Section 7 of this decision, Energization Targets</w:t>
      </w:r>
      <w:r w:rsidRPr="00461C10" w:rsidR="4D328F92">
        <w:t xml:space="preserve">. </w:t>
      </w:r>
      <w:r w:rsidRPr="00461C10" w:rsidR="70026102">
        <w:t>T</w:t>
      </w:r>
      <w:r w:rsidRPr="00461C10" w:rsidR="00FF3CB2">
        <w:t xml:space="preserve">he </w:t>
      </w:r>
      <w:r w:rsidRPr="00461C10" w:rsidR="00C73358">
        <w:t>large electric</w:t>
      </w:r>
      <w:r w:rsidRPr="00461C10" w:rsidR="00FF3CB2">
        <w:t xml:space="preserve"> </w:t>
      </w:r>
      <w:r w:rsidRPr="00461C10" w:rsidR="36C432E5">
        <w:t xml:space="preserve">IOUs shall </w:t>
      </w:r>
      <w:r w:rsidRPr="00461C10" w:rsidR="00FF3CB2">
        <w:t>collect and report data for energization steps that are within their direct control</w:t>
      </w:r>
      <w:r w:rsidRPr="00461C10" w:rsidR="113E53A5">
        <w:t xml:space="preserve"> using a consolidated template that is </w:t>
      </w:r>
      <w:r w:rsidRPr="00461C10" w:rsidR="008A3498">
        <w:t>served</w:t>
      </w:r>
      <w:r w:rsidRPr="00461C10" w:rsidR="113E53A5">
        <w:t xml:space="preserve"> via a Tier 1 Advice Letter</w:t>
      </w:r>
      <w:r w:rsidRPr="00461C10" w:rsidR="004B459F">
        <w:t xml:space="preserve"> within 60</w:t>
      </w:r>
      <w:r w:rsidRPr="00461C10" w:rsidR="00B424AB">
        <w:t> </w:t>
      </w:r>
      <w:r w:rsidRPr="00461C10" w:rsidR="004B459F">
        <w:t xml:space="preserve">days of the issuance of this </w:t>
      </w:r>
      <w:r w:rsidRPr="00461C10" w:rsidR="00F358E5">
        <w:t>decision</w:t>
      </w:r>
      <w:r w:rsidRPr="00461C10" w:rsidR="00FF3CB2">
        <w:t xml:space="preserve">. </w:t>
      </w:r>
      <w:r w:rsidRPr="00461C10" w:rsidR="00065D8F">
        <w:t xml:space="preserve">Once the </w:t>
      </w:r>
      <w:r w:rsidRPr="00461C10" w:rsidR="00C73358">
        <w:t xml:space="preserve">large electric </w:t>
      </w:r>
      <w:r w:rsidRPr="00461C10" w:rsidR="00065D8F">
        <w:t>IOU</w:t>
      </w:r>
      <w:r w:rsidRPr="00461C10" w:rsidR="00315F29">
        <w:t>s</w:t>
      </w:r>
      <w:r w:rsidRPr="00461C10" w:rsidR="00065D8F">
        <w:t xml:space="preserve"> </w:t>
      </w:r>
      <w:r w:rsidRPr="00461C10" w:rsidR="00315F29">
        <w:t xml:space="preserve">file and </w:t>
      </w:r>
      <w:r w:rsidRPr="00461C10" w:rsidR="5D08865F">
        <w:t xml:space="preserve">serve their jointly proposed </w:t>
      </w:r>
      <w:r w:rsidRPr="00461C10" w:rsidR="00C73358">
        <w:t xml:space="preserve">reporting template </w:t>
      </w:r>
      <w:r w:rsidRPr="00461C10" w:rsidR="00065D8F">
        <w:t xml:space="preserve">to the service lists of this proceeding and the High DER proceeding, </w:t>
      </w:r>
      <w:r w:rsidRPr="00461C10" w:rsidR="003426C1">
        <w:t>parties may comment on the proposal</w:t>
      </w:r>
      <w:r w:rsidRPr="00461C10" w:rsidR="00D00704">
        <w:t xml:space="preserve"> through the advice letter process</w:t>
      </w:r>
      <w:r w:rsidRPr="00461C10" w:rsidR="003426C1">
        <w:t>. T</w:t>
      </w:r>
      <w:r w:rsidRPr="00461C10" w:rsidR="006C6221">
        <w:t xml:space="preserve">he </w:t>
      </w:r>
      <w:r w:rsidRPr="00461C10" w:rsidR="00C73358">
        <w:t xml:space="preserve">large electric </w:t>
      </w:r>
      <w:r w:rsidRPr="00461C10" w:rsidR="006C6221">
        <w:t>IOUs shall</w:t>
      </w:r>
      <w:r w:rsidRPr="00461C10" w:rsidR="00065D8F">
        <w:t xml:space="preserve"> </w:t>
      </w:r>
      <w:r w:rsidRPr="00461C10" w:rsidR="003426C1">
        <w:t>work</w:t>
      </w:r>
      <w:r w:rsidRPr="00461C10" w:rsidR="006C6221">
        <w:t xml:space="preserve"> </w:t>
      </w:r>
      <w:r w:rsidRPr="00461C10" w:rsidR="009E7D81">
        <w:t>with Energy Division and stakeholders</w:t>
      </w:r>
      <w:r w:rsidRPr="00461C10" w:rsidR="00065D8F">
        <w:t xml:space="preserve"> to finalize the template</w:t>
      </w:r>
      <w:r w:rsidRPr="00461C10" w:rsidR="003426C1">
        <w:t xml:space="preserve"> before the first biannual energization reports are due in March 2025</w:t>
      </w:r>
      <w:r w:rsidRPr="00461C10" w:rsidR="00065D8F">
        <w:t xml:space="preserve">. </w:t>
      </w:r>
    </w:p>
    <w:p w:rsidRPr="00461C10" w:rsidR="003C5C65" w:rsidP="00B37200" w:rsidRDefault="00C56A70" w14:paraId="437DC667" w14:textId="546BFCED">
      <w:pPr>
        <w:pStyle w:val="Standard"/>
      </w:pPr>
      <w:r w:rsidRPr="00461C10">
        <w:t>Initially, the</w:t>
      </w:r>
      <w:r w:rsidRPr="00461C10" w:rsidR="00C73358">
        <w:t xml:space="preserve"> </w:t>
      </w:r>
      <w:r w:rsidRPr="00461C10" w:rsidR="166E8822">
        <w:t>large electric IOUs shall file</w:t>
      </w:r>
      <w:r w:rsidRPr="00461C10" w:rsidR="00C73358">
        <w:t xml:space="preserve"> </w:t>
      </w:r>
      <w:r w:rsidRPr="00461C10" w:rsidR="166E8822">
        <w:t xml:space="preserve">their </w:t>
      </w:r>
      <w:r w:rsidRPr="00461C10" w:rsidR="00C73358">
        <w:t>energization</w:t>
      </w:r>
      <w:r w:rsidRPr="00461C10">
        <w:t xml:space="preserve"> reports </w:t>
      </w:r>
      <w:r w:rsidRPr="00461C10" w:rsidR="00EF3417">
        <w:t>bi</w:t>
      </w:r>
      <w:r w:rsidRPr="00461C10">
        <w:t>annually</w:t>
      </w:r>
      <w:r w:rsidRPr="00461C10" w:rsidR="001D125F">
        <w:t xml:space="preserve"> (once every six months)</w:t>
      </w:r>
      <w:r w:rsidRPr="00461C10" w:rsidR="00B57303">
        <w:t xml:space="preserve">, </w:t>
      </w:r>
      <w:r w:rsidRPr="00461C10" w:rsidR="00065D8F">
        <w:t xml:space="preserve">beginning </w:t>
      </w:r>
      <w:r w:rsidRPr="00461C10" w:rsidR="00B57303">
        <w:t>no later than March</w:t>
      </w:r>
      <w:r w:rsidR="00D1492A">
        <w:t> </w:t>
      </w:r>
      <w:r w:rsidRPr="00461C10" w:rsidR="00B57303">
        <w:t>31</w:t>
      </w:r>
      <w:r w:rsidRPr="00461C10" w:rsidR="00B22981">
        <w:t>,</w:t>
      </w:r>
      <w:r w:rsidRPr="00461C10" w:rsidR="000F6FC6">
        <w:t xml:space="preserve"> </w:t>
      </w:r>
      <w:r w:rsidRPr="00461C10" w:rsidR="00065D8F">
        <w:t xml:space="preserve">2025, </w:t>
      </w:r>
      <w:r w:rsidRPr="00461C10" w:rsidR="000F6FC6">
        <w:t>to</w:t>
      </w:r>
      <w:r w:rsidRPr="00461C10">
        <w:t xml:space="preserve"> the </w:t>
      </w:r>
      <w:r w:rsidRPr="00461C10" w:rsidR="000F6FC6">
        <w:t>Energization OIR service list</w:t>
      </w:r>
      <w:r w:rsidRPr="00461C10" w:rsidR="00065D8F">
        <w:t xml:space="preserve"> </w:t>
      </w:r>
      <w:r w:rsidRPr="00461C10" w:rsidR="000620DE">
        <w:t>(R.24-01-018)</w:t>
      </w:r>
      <w:r w:rsidRPr="00461C10" w:rsidR="00ED7026">
        <w:t xml:space="preserve"> </w:t>
      </w:r>
      <w:r w:rsidRPr="00461C10" w:rsidR="00B708D6">
        <w:t>or</w:t>
      </w:r>
      <w:r w:rsidRPr="00461C10" w:rsidR="000F6FC6">
        <w:t xml:space="preserve"> any succeeding proceeding</w:t>
      </w:r>
      <w:r w:rsidRPr="00461C10" w:rsidR="00065D8F">
        <w:t>(s)</w:t>
      </w:r>
      <w:r w:rsidRPr="00461C10" w:rsidR="00951D9E">
        <w:t xml:space="preserve"> </w:t>
      </w:r>
      <w:r w:rsidRPr="00461C10">
        <w:t>for analysis</w:t>
      </w:r>
      <w:r w:rsidRPr="00461C10" w:rsidR="000620DE">
        <w:t xml:space="preserve">. The </w:t>
      </w:r>
      <w:r w:rsidRPr="00461C10" w:rsidR="2C77BC75">
        <w:t xml:space="preserve">Energy Division will post the </w:t>
      </w:r>
      <w:r w:rsidRPr="00461C10" w:rsidR="000620DE">
        <w:t>biannual reports on the</w:t>
      </w:r>
      <w:r w:rsidRPr="00461C10" w:rsidDel="00C56A70" w:rsidR="00FF3CB2">
        <w:t xml:space="preserve"> </w:t>
      </w:r>
      <w:r w:rsidRPr="00461C10" w:rsidR="003C5C65">
        <w:t>existing Energization OIR website.</w:t>
      </w:r>
      <w:r w:rsidRPr="00461C10">
        <w:t xml:space="preserve"> </w:t>
      </w:r>
      <w:r w:rsidRPr="00461C10" w:rsidR="000A1F09">
        <w:t xml:space="preserve">Data to improve the Commission’s understanding of the time necessary to complete energization requests is crucial to consider </w:t>
      </w:r>
      <w:r w:rsidRPr="00461C10" w:rsidR="002C5F27">
        <w:t>when and how to accelerate the targets adopted in Section 7.2 above</w:t>
      </w:r>
      <w:r w:rsidRPr="00461C10" w:rsidR="00023CF9">
        <w:t xml:space="preserve">. The </w:t>
      </w:r>
      <w:r w:rsidRPr="00461C10" w:rsidR="00E62821">
        <w:t>initial deadline of March 2025,</w:t>
      </w:r>
      <w:r w:rsidRPr="00461C10" w:rsidR="00023CF9">
        <w:t xml:space="preserve"> and </w:t>
      </w:r>
      <w:r w:rsidRPr="00461C10" w:rsidR="00F64661">
        <w:t>the initial biannual</w:t>
      </w:r>
      <w:r w:rsidRPr="00461C10" w:rsidR="00023CF9">
        <w:t xml:space="preserve"> reporting</w:t>
      </w:r>
      <w:r w:rsidRPr="00461C10" w:rsidR="00E62821">
        <w:t xml:space="preserve">, </w:t>
      </w:r>
      <w:r w:rsidRPr="00461C10" w:rsidR="000B6FC7">
        <w:t>should provide that incremental data</w:t>
      </w:r>
      <w:r w:rsidRPr="00461C10" w:rsidR="00644D8C">
        <w:t>.</w:t>
      </w:r>
      <w:r w:rsidRPr="00461C10" w:rsidR="000B6FC7">
        <w:t xml:space="preserve"> </w:t>
      </w:r>
      <w:r w:rsidRPr="00461C10" w:rsidR="00644D8C">
        <w:t>C</w:t>
      </w:r>
      <w:r w:rsidRPr="00461C10" w:rsidR="000B6FC7">
        <w:t xml:space="preserve">hanges to the data reporting </w:t>
      </w:r>
      <w:r w:rsidRPr="00461C10" w:rsidR="00E02EFA">
        <w:t>timing</w:t>
      </w:r>
      <w:r w:rsidRPr="00461C10" w:rsidR="000B6FC7">
        <w:t xml:space="preserve"> may be considered in a later phase of this proceeding.</w:t>
      </w:r>
    </w:p>
    <w:p w:rsidRPr="00461C10" w:rsidR="009908FA" w:rsidP="590A35AA" w:rsidRDefault="00400004" w14:paraId="72F68750" w14:textId="7F4C9B06">
      <w:pPr>
        <w:pStyle w:val="Standard"/>
      </w:pPr>
      <w:r w:rsidRPr="00461C10">
        <w:t>The</w:t>
      </w:r>
      <w:r w:rsidRPr="00461C10" w:rsidR="1C0B4CE6">
        <w:t xml:space="preserve"> </w:t>
      </w:r>
      <w:r w:rsidRPr="00461C10" w:rsidR="0004434D">
        <w:t xml:space="preserve">large electric </w:t>
      </w:r>
      <w:r w:rsidRPr="00461C10" w:rsidR="001033D2">
        <w:t xml:space="preserve">IOUs </w:t>
      </w:r>
      <w:r w:rsidRPr="00461C10">
        <w:t xml:space="preserve">shall </w:t>
      </w:r>
      <w:r w:rsidRPr="00461C10" w:rsidR="1C0B4CE6">
        <w:t xml:space="preserve">provide data related to all energization projects that have submitted complete applications </w:t>
      </w:r>
      <w:r w:rsidRPr="00461C10" w:rsidR="00AC1701">
        <w:t xml:space="preserve">as of January </w:t>
      </w:r>
      <w:r w:rsidRPr="00461C10" w:rsidR="00C13A03">
        <w:t>3</w:t>
      </w:r>
      <w:r w:rsidRPr="00461C10" w:rsidR="00AC1701">
        <w:t>1, 2023,</w:t>
      </w:r>
      <w:r w:rsidRPr="00461C10" w:rsidR="0004434D">
        <w:t xml:space="preserve"> in their </w:t>
      </w:r>
      <w:r w:rsidRPr="00461C10" w:rsidR="0004434D">
        <w:lastRenderedPageBreak/>
        <w:t xml:space="preserve">first biannual </w:t>
      </w:r>
      <w:r w:rsidRPr="00461C10" w:rsidR="00AF3176">
        <w:t>report filed no later than Ma</w:t>
      </w:r>
      <w:r w:rsidRPr="00461C10" w:rsidR="009A3EF2">
        <w:t>rch 31, 2025</w:t>
      </w:r>
      <w:r w:rsidRPr="00461C10" w:rsidR="1C0B4CE6">
        <w:t xml:space="preserve">. </w:t>
      </w:r>
      <w:r w:rsidRPr="00461C10" w:rsidR="00486AE8">
        <w:t>The</w:t>
      </w:r>
      <w:r w:rsidRPr="00461C10" w:rsidR="009A3EF2">
        <w:t xml:space="preserve"> large electric</w:t>
      </w:r>
      <w:r w:rsidRPr="00461C10" w:rsidR="1C0B4CE6">
        <w:t xml:space="preserve"> </w:t>
      </w:r>
      <w:r w:rsidRPr="00461C10" w:rsidR="00130EC2">
        <w:t xml:space="preserve">IOUs’ </w:t>
      </w:r>
      <w:r w:rsidRPr="00461C10" w:rsidR="009A3EF2">
        <w:t>biannual</w:t>
      </w:r>
      <w:r w:rsidRPr="00461C10" w:rsidR="00130EC2">
        <w:t xml:space="preserve"> </w:t>
      </w:r>
      <w:r w:rsidRPr="00461C10" w:rsidR="1C0B4CE6">
        <w:t xml:space="preserve">reports shall </w:t>
      </w:r>
      <w:r w:rsidRPr="00461C10" w:rsidR="00671A61">
        <w:t xml:space="preserve">track </w:t>
      </w:r>
      <w:r w:rsidRPr="00461C10" w:rsidR="1C0B4CE6">
        <w:t xml:space="preserve">the amount of time between each of the steps the </w:t>
      </w:r>
      <w:r w:rsidRPr="00461C10" w:rsidR="00671A61">
        <w:t xml:space="preserve">large electric </w:t>
      </w:r>
      <w:r w:rsidRPr="00461C10" w:rsidR="00130EC2">
        <w:t xml:space="preserve">IOU </w:t>
      </w:r>
      <w:r w:rsidRPr="00461C10" w:rsidR="1C0B4CE6">
        <w:t xml:space="preserve">has full control </w:t>
      </w:r>
      <w:r w:rsidRPr="00461C10" w:rsidR="4D2DB516">
        <w:t xml:space="preserve">over </w:t>
      </w:r>
      <w:r w:rsidRPr="00461C10" w:rsidR="00671A61">
        <w:t>to better inform the Commission of the amount of time that typically</w:t>
      </w:r>
      <w:r w:rsidRPr="00461C10" w:rsidDel="00671A61" w:rsidR="1C0B4CE6">
        <w:t xml:space="preserve"> </w:t>
      </w:r>
      <w:r w:rsidRPr="00461C10" w:rsidR="1C0B4CE6">
        <w:t xml:space="preserve">lapses while </w:t>
      </w:r>
      <w:r w:rsidRPr="00461C10" w:rsidR="00671A61">
        <w:t xml:space="preserve">the large electric IOU(s) </w:t>
      </w:r>
      <w:r w:rsidRPr="00461C10" w:rsidR="1C0B4CE6">
        <w:t xml:space="preserve">wait for the completion of </w:t>
      </w:r>
      <w:r w:rsidRPr="00461C10" w:rsidR="00671A61">
        <w:t>customer permitting efforts,</w:t>
      </w:r>
      <w:r w:rsidRPr="00461C10" w:rsidR="1C0B4CE6">
        <w:t xml:space="preserve"> local or state compliance review(s) for necessary permits</w:t>
      </w:r>
      <w:r w:rsidRPr="00461C10" w:rsidR="00671A61">
        <w:t>,</w:t>
      </w:r>
      <w:r w:rsidRPr="00461C10" w:rsidR="1C0B4CE6">
        <w:t xml:space="preserve"> and/or customer lag time to respond to requests</w:t>
      </w:r>
      <w:r w:rsidRPr="00461C10" w:rsidR="00671A61">
        <w:t xml:space="preserve"> from the large electric IOU(s)</w:t>
      </w:r>
      <w:r w:rsidRPr="00461C10" w:rsidR="1C0B4CE6">
        <w:t xml:space="preserve">. </w:t>
      </w:r>
      <w:r w:rsidRPr="00461C10" w:rsidR="00486AE8">
        <w:t xml:space="preserve">The full reporting requirements the large electric IOUs </w:t>
      </w:r>
      <w:r w:rsidRPr="00461C10" w:rsidR="04CBB7E2">
        <w:t>shall</w:t>
      </w:r>
      <w:r w:rsidRPr="00461C10" w:rsidR="00486AE8">
        <w:t xml:space="preserve"> c</w:t>
      </w:r>
      <w:r w:rsidRPr="00461C10" w:rsidR="008536E4">
        <w:t xml:space="preserve">omply with are </w:t>
      </w:r>
      <w:r w:rsidRPr="00461C10" w:rsidR="0023575A">
        <w:t>defined in Appendix B of this decision, Energization Target Report</w:t>
      </w:r>
      <w:r w:rsidRPr="00461C10" w:rsidR="004312E2">
        <w:t>ing</w:t>
      </w:r>
      <w:r w:rsidRPr="00461C10" w:rsidR="0023575A">
        <w:t xml:space="preserve"> Template Requirements. </w:t>
      </w:r>
    </w:p>
    <w:p w:rsidRPr="00461C10" w:rsidR="00FF3CB2" w:rsidP="00B37200" w:rsidRDefault="00AC71F4" w14:paraId="7A9FFF22" w14:textId="6B16879D">
      <w:pPr>
        <w:pStyle w:val="Standard"/>
      </w:pPr>
      <w:r w:rsidRPr="00461C10">
        <w:t xml:space="preserve">The </w:t>
      </w:r>
      <w:r w:rsidRPr="00461C10" w:rsidR="2BF1EE42">
        <w:t xml:space="preserve">large electric IOUs may achieve the </w:t>
      </w:r>
      <w:r w:rsidRPr="00461C10">
        <w:t xml:space="preserve">data collection necessary to comply with the directives of this decision </w:t>
      </w:r>
      <w:r w:rsidRPr="00461C10" w:rsidR="00EF57D7">
        <w:t xml:space="preserve">using </w:t>
      </w:r>
      <w:r w:rsidRPr="00461C10" w:rsidR="00AB7A26">
        <w:t xml:space="preserve">existing data </w:t>
      </w:r>
      <w:r w:rsidRPr="00461C10" w:rsidR="00D53020">
        <w:t>collection tool</w:t>
      </w:r>
      <w:r w:rsidRPr="00461C10" w:rsidR="00AB7A26">
        <w:t>s and analysis processes</w:t>
      </w:r>
      <w:r w:rsidRPr="00461C10" w:rsidR="00EF57D7">
        <w:t>.</w:t>
      </w:r>
      <w:r w:rsidRPr="00461C10" w:rsidR="00AB7A26">
        <w:t xml:space="preserve"> The </w:t>
      </w:r>
      <w:r w:rsidRPr="00461C10" w:rsidR="00D53020">
        <w:t>incremental</w:t>
      </w:r>
      <w:r w:rsidRPr="00461C10" w:rsidR="00AB7A26">
        <w:t xml:space="preserve"> data collection </w:t>
      </w:r>
      <w:r w:rsidRPr="00461C10" w:rsidR="00D53020">
        <w:t>requirement</w:t>
      </w:r>
      <w:r w:rsidRPr="00461C10" w:rsidR="00AB7A26">
        <w:t xml:space="preserve">s shall be implemented as of the date of the issuance of this </w:t>
      </w:r>
      <w:r w:rsidRPr="00461C10" w:rsidR="00507028">
        <w:t>d</w:t>
      </w:r>
      <w:r w:rsidRPr="00461C10" w:rsidR="00AB7A26">
        <w:t>ecision</w:t>
      </w:r>
      <w:r w:rsidRPr="00461C10" w:rsidR="00AE43D2">
        <w:t xml:space="preserve">, but data </w:t>
      </w:r>
      <w:r w:rsidRPr="00461C10" w:rsidR="000F026F">
        <w:t xml:space="preserve">going back to January </w:t>
      </w:r>
      <w:r w:rsidRPr="00461C10" w:rsidR="00C13A03">
        <w:t>3</w:t>
      </w:r>
      <w:r w:rsidRPr="00461C10" w:rsidR="000F026F">
        <w:t>1, 2023</w:t>
      </w:r>
      <w:r w:rsidRPr="00461C10" w:rsidR="005A3784">
        <w:t xml:space="preserve">, is required to be reported pursuant to </w:t>
      </w:r>
      <w:r w:rsidRPr="00461C10" w:rsidR="00C13A03">
        <w:t>Pub. Util. Code §</w:t>
      </w:r>
      <w:r w:rsidR="00ED2109">
        <w:t> </w:t>
      </w:r>
      <w:r w:rsidRPr="00461C10" w:rsidR="00697260">
        <w:t>933.5(</w:t>
      </w:r>
      <w:r w:rsidRPr="00461C10" w:rsidR="00816C95">
        <w:t>b)</w:t>
      </w:r>
      <w:r w:rsidRPr="00461C10" w:rsidR="00E368A7">
        <w:t xml:space="preserve">. </w:t>
      </w:r>
      <w:r w:rsidRPr="00461C10" w:rsidR="00A20F1C">
        <w:t xml:space="preserve">The large electric </w:t>
      </w:r>
      <w:r w:rsidRPr="00461C10" w:rsidR="00E368A7">
        <w:t xml:space="preserve">IOUs shall provide information describing how the </w:t>
      </w:r>
      <w:r w:rsidRPr="00461C10" w:rsidR="009F5258">
        <w:t>timelines they track align with the energization targets adopted herein</w:t>
      </w:r>
      <w:r w:rsidRPr="00461C10" w:rsidR="007656ED">
        <w:t xml:space="preserve">, using the data reporting tools that </w:t>
      </w:r>
      <w:r w:rsidRPr="00461C10" w:rsidR="00CE0E53">
        <w:t>each large electric IOU already</w:t>
      </w:r>
      <w:r w:rsidRPr="00461C10" w:rsidR="007656ED">
        <w:t xml:space="preserve"> use</w:t>
      </w:r>
      <w:r w:rsidRPr="00461C10" w:rsidR="000B744E">
        <w:t>s</w:t>
      </w:r>
      <w:r w:rsidRPr="00461C10" w:rsidR="008513F7">
        <w:t xml:space="preserve">, </w:t>
      </w:r>
      <w:r w:rsidRPr="00461C10" w:rsidR="000B744E">
        <w:t xml:space="preserve">and complying with </w:t>
      </w:r>
      <w:r w:rsidRPr="00461C10" w:rsidR="008513F7">
        <w:t>the adopted data template</w:t>
      </w:r>
      <w:r w:rsidRPr="00461C10" w:rsidR="007656ED">
        <w:t xml:space="preserve"> </w:t>
      </w:r>
      <w:r w:rsidRPr="00461C10" w:rsidR="000B744E">
        <w:t xml:space="preserve">by providing </w:t>
      </w:r>
      <w:r w:rsidRPr="00461C10" w:rsidR="008513F7">
        <w:t xml:space="preserve">more </w:t>
      </w:r>
      <w:r w:rsidRPr="00461C10" w:rsidR="000A402F">
        <w:t>individualized</w:t>
      </w:r>
      <w:r w:rsidRPr="00461C10" w:rsidR="008513F7">
        <w:t xml:space="preserve"> </w:t>
      </w:r>
      <w:r w:rsidRPr="00461C10" w:rsidR="007A10F2">
        <w:t>narrative explanations</w:t>
      </w:r>
      <w:r w:rsidRPr="00461C10" w:rsidR="000B744E">
        <w:t xml:space="preserve"> where necessary</w:t>
      </w:r>
      <w:r w:rsidRPr="00461C10" w:rsidR="009F5258">
        <w:t>.</w:t>
      </w:r>
      <w:r w:rsidRPr="00461C10" w:rsidR="00AD49A3">
        <w:rPr>
          <w:rStyle w:val="FootnoteReference"/>
        </w:rPr>
        <w:footnoteReference w:id="96"/>
      </w:r>
      <w:r w:rsidRPr="00461C10" w:rsidR="009F5258">
        <w:t xml:space="preserve"> If a</w:t>
      </w:r>
      <w:r w:rsidRPr="00461C10" w:rsidR="000A402F">
        <w:t xml:space="preserve"> large electric</w:t>
      </w:r>
      <w:r w:rsidRPr="00461C10" w:rsidR="009F5258">
        <w:t xml:space="preserve"> </w:t>
      </w:r>
      <w:r w:rsidRPr="00461C10" w:rsidR="00A9799F">
        <w:t>IOU</w:t>
      </w:r>
      <w:r w:rsidRPr="00461C10" w:rsidR="007B6A40">
        <w:t>’</w:t>
      </w:r>
      <w:r w:rsidRPr="00461C10" w:rsidR="000E1FAA">
        <w:t xml:space="preserve">s </w:t>
      </w:r>
      <w:r w:rsidRPr="00461C10" w:rsidR="009F5258">
        <w:t xml:space="preserve">timelines do not meet the targets, their </w:t>
      </w:r>
      <w:r w:rsidRPr="00461C10" w:rsidR="000A402F">
        <w:t>bi</w:t>
      </w:r>
      <w:r w:rsidRPr="00461C10" w:rsidR="009F5258">
        <w:t>annual reports sh</w:t>
      </w:r>
      <w:r w:rsidRPr="00461C10" w:rsidR="0E5B3C39">
        <w:t>all</w:t>
      </w:r>
      <w:r w:rsidRPr="00461C10" w:rsidR="009F5258">
        <w:t xml:space="preserve"> explain why and the anticipated steps they anticipate are necessary to meet the targets in the following year.</w:t>
      </w:r>
      <w:r w:rsidRPr="00461C10" w:rsidR="00FF3CB2">
        <w:t xml:space="preserve"> </w:t>
      </w:r>
    </w:p>
    <w:p w:rsidRPr="00461C10" w:rsidR="17272D7D" w:rsidP="00B37200" w:rsidRDefault="17272D7D" w14:paraId="27AEE8D1" w14:textId="77A2BE83">
      <w:pPr>
        <w:pStyle w:val="Standard"/>
      </w:pPr>
      <w:r w:rsidRPr="00461C10">
        <w:lastRenderedPageBreak/>
        <w:t xml:space="preserve">All parties support the use of data collection efforts to inform the </w:t>
      </w:r>
      <w:r w:rsidRPr="00461C10" w:rsidR="00C67CC5">
        <w:t xml:space="preserve">large electric </w:t>
      </w:r>
      <w:r w:rsidRPr="00461C10" w:rsidR="00AD7F32">
        <w:t xml:space="preserve">IOUs’ </w:t>
      </w:r>
      <w:r w:rsidRPr="00461C10">
        <w:t xml:space="preserve">ability to meet the adopted average and maximum energization targets, and to inform future </w:t>
      </w:r>
      <w:r w:rsidRPr="00461C10" w:rsidR="00736E3A">
        <w:t>work on</w:t>
      </w:r>
      <w:r w:rsidRPr="00461C10">
        <w:t xml:space="preserve"> accelerati</w:t>
      </w:r>
      <w:r w:rsidRPr="00461C10" w:rsidR="00736E3A">
        <w:t>ng</w:t>
      </w:r>
      <w:r w:rsidRPr="00461C10">
        <w:t xml:space="preserve"> the energization process</w:t>
      </w:r>
      <w:r w:rsidRPr="00461C10" w:rsidR="00860848">
        <w:t xml:space="preserve">. </w:t>
      </w:r>
      <w:r w:rsidRPr="00461C10">
        <w:t xml:space="preserve">To comply with the requirement of </w:t>
      </w:r>
      <w:r w:rsidRPr="00461C10" w:rsidR="001E072B">
        <w:t>Pub. Util. Code §</w:t>
      </w:r>
      <w:r w:rsidRPr="00461C10" w:rsidR="00C67CC5">
        <w:t xml:space="preserve"> </w:t>
      </w:r>
      <w:r w:rsidRPr="00461C10">
        <w:t xml:space="preserve">933.5(a)(3), </w:t>
      </w:r>
      <w:r w:rsidRPr="00461C10" w:rsidR="00131AD0">
        <w:t xml:space="preserve">Commission staff shall </w:t>
      </w:r>
      <w:r w:rsidRPr="00461C10">
        <w:t>host a public workshop within 90</w:t>
      </w:r>
      <w:r w:rsidRPr="00461C10" w:rsidR="00B424AB">
        <w:t> </w:t>
      </w:r>
      <w:r w:rsidRPr="00461C10">
        <w:t xml:space="preserve">days of </w:t>
      </w:r>
      <w:r w:rsidRPr="00461C10" w:rsidR="00131AD0">
        <w:t xml:space="preserve">the large electric IOUs’ submission of </w:t>
      </w:r>
      <w:r w:rsidRPr="00461C10">
        <w:t xml:space="preserve">their </w:t>
      </w:r>
      <w:r w:rsidRPr="00461C10" w:rsidR="00C67CC5">
        <w:t>first bi</w:t>
      </w:r>
      <w:r w:rsidRPr="00461C10">
        <w:t xml:space="preserve">annual data to the Commission </w:t>
      </w:r>
      <w:r w:rsidRPr="00461C10" w:rsidR="00C67CC5">
        <w:t>(</w:t>
      </w:r>
      <w:r w:rsidRPr="00461C10" w:rsidR="00497C45">
        <w:t xml:space="preserve">due </w:t>
      </w:r>
      <w:r w:rsidRPr="00461C10" w:rsidR="00C67CC5">
        <w:t>no later than March 31, 2025)</w:t>
      </w:r>
      <w:r w:rsidRPr="00461C10">
        <w:t xml:space="preserve"> to discuss the </w:t>
      </w:r>
      <w:r w:rsidRPr="00461C10" w:rsidR="007D60DB">
        <w:t xml:space="preserve">large electric </w:t>
      </w:r>
      <w:r w:rsidRPr="00461C10" w:rsidR="00252EFF">
        <w:t xml:space="preserve">IOUs’ </w:t>
      </w:r>
      <w:r w:rsidRPr="00461C10">
        <w:t>data and inform the need for and the potential revisions to the adopted energization targets</w:t>
      </w:r>
      <w:r w:rsidRPr="00461C10" w:rsidR="00860848">
        <w:t xml:space="preserve">. </w:t>
      </w:r>
      <w:r w:rsidRPr="00461C10">
        <w:t xml:space="preserve">The workshop and annual reporting requirements will ensure the </w:t>
      </w:r>
      <w:r w:rsidRPr="00461C10" w:rsidR="005E735A">
        <w:t xml:space="preserve">large electric </w:t>
      </w:r>
      <w:r w:rsidRPr="00461C10">
        <w:t xml:space="preserve">IOUs are able to collect enough data to show a significant sample of how they are meeting adopted targets and </w:t>
      </w:r>
      <w:r w:rsidRPr="00461C10" w:rsidR="00487904">
        <w:t xml:space="preserve">can </w:t>
      </w:r>
      <w:r w:rsidRPr="00461C10" w:rsidR="001D0B80">
        <w:t>minimize the</w:t>
      </w:r>
      <w:r w:rsidRPr="00461C10">
        <w:t xml:space="preserve"> administrative efforts </w:t>
      </w:r>
      <w:r w:rsidRPr="00461C10" w:rsidR="0F6F2866">
        <w:t xml:space="preserve">that more frequent data reporting would have on the </w:t>
      </w:r>
      <w:r w:rsidRPr="00461C10" w:rsidR="005E735A">
        <w:t xml:space="preserve">large electric </w:t>
      </w:r>
      <w:r w:rsidRPr="00461C10" w:rsidR="0F6F2866">
        <w:t>IOU</w:t>
      </w:r>
      <w:r w:rsidRPr="00461C10" w:rsidR="005E735A">
        <w:t>s</w:t>
      </w:r>
      <w:r w:rsidRPr="00461C10" w:rsidR="0F6F2866">
        <w:t xml:space="preserve"> and Commission staff.</w:t>
      </w:r>
      <w:r w:rsidRPr="00461C10">
        <w:t xml:space="preserve"> </w:t>
      </w:r>
    </w:p>
    <w:p w:rsidRPr="00461C10" w:rsidR="00D34FA8" w:rsidP="00B37200" w:rsidRDefault="001D0B80" w14:paraId="4CE1BC48" w14:textId="1A39E3B7">
      <w:pPr>
        <w:pStyle w:val="Standard"/>
      </w:pPr>
      <w:r w:rsidRPr="00461C10">
        <w:t xml:space="preserve">To support the improvement of Energy Division’s ability to </w:t>
      </w:r>
      <w:r w:rsidRPr="00461C10" w:rsidR="00A4142F">
        <w:t xml:space="preserve">analyze, </w:t>
      </w:r>
      <w:r w:rsidRPr="00461C10">
        <w:t xml:space="preserve">collect, track, </w:t>
      </w:r>
      <w:r w:rsidRPr="00461C10" w:rsidR="005512B1">
        <w:t xml:space="preserve">evaluate </w:t>
      </w:r>
      <w:r w:rsidRPr="00461C10">
        <w:t xml:space="preserve">and report </w:t>
      </w:r>
      <w:r w:rsidRPr="00461C10" w:rsidR="005E735A">
        <w:t xml:space="preserve">the large electric </w:t>
      </w:r>
      <w:r w:rsidRPr="00461C10">
        <w:t>IOU</w:t>
      </w:r>
      <w:r w:rsidRPr="00461C10" w:rsidR="005E735A">
        <w:t xml:space="preserve"> biannual energization</w:t>
      </w:r>
      <w:r w:rsidRPr="00461C10">
        <w:t xml:space="preserve"> data </w:t>
      </w:r>
      <w:r w:rsidRPr="00461C10" w:rsidR="00A050C7">
        <w:t xml:space="preserve">and </w:t>
      </w:r>
      <w:r w:rsidRPr="00461C10" w:rsidR="008C3295">
        <w:t>progress toward meeting the targets adopted in Section 7 of this decision, Energization Targets, and Section 8 of this decision, Upstream Capacity Upgrade Targets,</w:t>
      </w:r>
      <w:r w:rsidRPr="00461C10">
        <w:t xml:space="preserve"> to the </w:t>
      </w:r>
      <w:r w:rsidRPr="00461C10" w:rsidR="008C3295">
        <w:t xml:space="preserve">general </w:t>
      </w:r>
      <w:r w:rsidRPr="00461C10">
        <w:t xml:space="preserve">public, </w:t>
      </w:r>
      <w:r w:rsidRPr="00461C10" w:rsidR="4D498B08">
        <w:t xml:space="preserve">we authorize </w:t>
      </w:r>
      <w:r w:rsidRPr="00461C10">
        <w:t xml:space="preserve">the Commission’s Executive Director </w:t>
      </w:r>
      <w:r w:rsidRPr="00461C10" w:rsidR="0017776A">
        <w:t xml:space="preserve">to </w:t>
      </w:r>
      <w:r w:rsidRPr="00461C10" w:rsidR="006E422F">
        <w:t>enter into a contract of $1 million per year over five</w:t>
      </w:r>
      <w:r w:rsidRPr="00461C10" w:rsidR="005C7635">
        <w:t> </w:t>
      </w:r>
      <w:r w:rsidRPr="00461C10" w:rsidR="006E422F">
        <w:t>years, or $5</w:t>
      </w:r>
      <w:r w:rsidRPr="00461C10" w:rsidR="005C7635">
        <w:t> </w:t>
      </w:r>
      <w:r w:rsidRPr="00461C10" w:rsidR="006E422F">
        <w:t>million total</w:t>
      </w:r>
      <w:r w:rsidRPr="00461C10" w:rsidR="0003008B">
        <w:t xml:space="preserve"> over five</w:t>
      </w:r>
      <w:r w:rsidRPr="00461C10" w:rsidR="005C7635">
        <w:t> </w:t>
      </w:r>
      <w:r w:rsidRPr="00461C10" w:rsidR="0003008B">
        <w:t xml:space="preserve">years, </w:t>
      </w:r>
      <w:r w:rsidRPr="00461C10" w:rsidR="00A42110">
        <w:t xml:space="preserve">and recover the cost via reimbursement from </w:t>
      </w:r>
      <w:r w:rsidRPr="00461C10" w:rsidR="00661462">
        <w:t xml:space="preserve">PG&amp;E, SCE, and SDG&amp;E based on their respective share of their California-jurisdictional </w:t>
      </w:r>
      <w:r w:rsidRPr="00461C10" w:rsidR="0040708D">
        <w:t>annual</w:t>
      </w:r>
      <w:r w:rsidRPr="00461C10" w:rsidR="00661462">
        <w:t xml:space="preserve"> electric </w:t>
      </w:r>
      <w:r w:rsidRPr="00461C10" w:rsidR="00E53B7C">
        <w:t>sales</w:t>
      </w:r>
      <w:r w:rsidRPr="00461C10" w:rsidR="00661462">
        <w:t xml:space="preserve"> </w:t>
      </w:r>
      <w:r w:rsidRPr="00461C10" w:rsidR="0040708D">
        <w:t>as</w:t>
      </w:r>
      <w:r w:rsidRPr="00461C10" w:rsidR="00661462">
        <w:t xml:space="preserve"> </w:t>
      </w:r>
      <w:r w:rsidRPr="00461C10" w:rsidR="005E735A">
        <w:t xml:space="preserve">of the issuance </w:t>
      </w:r>
      <w:r w:rsidRPr="00461C10" w:rsidR="00C43764">
        <w:t xml:space="preserve">date </w:t>
      </w:r>
      <w:r w:rsidRPr="00461C10" w:rsidR="005E735A">
        <w:t>of this decision</w:t>
      </w:r>
      <w:r w:rsidRPr="00461C10" w:rsidR="00812BE2">
        <w:rPr>
          <w:szCs w:val="26"/>
        </w:rPr>
        <w:t xml:space="preserve">. </w:t>
      </w:r>
      <w:r w:rsidRPr="00461C10" w:rsidR="00C43764">
        <w:t>F</w:t>
      </w:r>
      <w:r w:rsidRPr="00461C10" w:rsidR="003D7422">
        <w:t xml:space="preserve">unding for the </w:t>
      </w:r>
      <w:r w:rsidRPr="00461C10" w:rsidR="00C43764">
        <w:t>Commission</w:t>
      </w:r>
      <w:r w:rsidRPr="00461C10" w:rsidR="003D7422">
        <w:t xml:space="preserve">-managed evaluation budget will be sought pursuant to the California Legislature’s Annual Budget Act, which gives the </w:t>
      </w:r>
      <w:r w:rsidRPr="00461C10" w:rsidR="003D7422">
        <w:lastRenderedPageBreak/>
        <w:t>Commission certain specific and limited ongoing reimbursable expenditure authority.</w:t>
      </w:r>
      <w:r w:rsidRPr="00461C10" w:rsidR="003D7422">
        <w:rPr>
          <w:rStyle w:val="FootnoteReference"/>
        </w:rPr>
        <w:footnoteReference w:id="97"/>
      </w:r>
    </w:p>
    <w:p w:rsidRPr="00461C10" w:rsidR="665F736A" w:rsidP="69AD9DA9" w:rsidRDefault="665F736A" w14:paraId="0D60B1F2" w14:textId="356FD241">
      <w:pPr>
        <w:pStyle w:val="Standard"/>
      </w:pPr>
      <w:r w:rsidRPr="00461C10">
        <w:t>To track the costs associated with the contract described above, PG&amp;E, SCE, and SDG&amp;E are directed to file motions in this proceeding requesting authority to establish memorandum accounts specifically associated w</w:t>
      </w:r>
      <w:r w:rsidRPr="00461C10" w:rsidR="6B6D1329">
        <w:t>ith the contract to support Energy Division in analyzing in analyzing energization data collected through the template to be developed in compliance with this decision. The costs tracked in each large electric I</w:t>
      </w:r>
      <w:r w:rsidRPr="00461C10" w:rsidR="4485E32E">
        <w:t>OU’s separate memorandum accounts cannot be recovered from ratepayers until the costs are reviewed and approved by the Commission in a ratesetting proceeding.</w:t>
      </w:r>
    </w:p>
    <w:p w:rsidRPr="00461C10" w:rsidR="001D0B80" w:rsidP="00B37200" w:rsidRDefault="00D34FA8" w14:paraId="42369C63" w14:textId="5B74E0CE">
      <w:pPr>
        <w:pStyle w:val="Standard"/>
      </w:pPr>
      <w:r w:rsidRPr="00461C10">
        <w:t xml:space="preserve">Finally, we </w:t>
      </w:r>
      <w:r w:rsidRPr="00461C10" w:rsidR="00317641">
        <w:t>delegate</w:t>
      </w:r>
      <w:r w:rsidRPr="00461C10" w:rsidR="003B0AAC">
        <w:t xml:space="preserve"> any </w:t>
      </w:r>
      <w:r w:rsidRPr="00461C10" w:rsidR="00A96924">
        <w:t xml:space="preserve">necessary </w:t>
      </w:r>
      <w:r w:rsidRPr="00461C10" w:rsidR="003B0AAC">
        <w:t xml:space="preserve">modifications and updates to the </w:t>
      </w:r>
      <w:r w:rsidRPr="00461C10" w:rsidR="00A96924">
        <w:t xml:space="preserve">biannual </w:t>
      </w:r>
      <w:r w:rsidRPr="00461C10" w:rsidR="008E028E">
        <w:t xml:space="preserve">energization target </w:t>
      </w:r>
      <w:r w:rsidRPr="00461C10" w:rsidR="00E4162D">
        <w:t>reporting template</w:t>
      </w:r>
      <w:r w:rsidRPr="00461C10" w:rsidR="00A96924">
        <w:t xml:space="preserve"> that is finalized by the large electric IOUs </w:t>
      </w:r>
      <w:r w:rsidRPr="00461C10" w:rsidR="002324B7">
        <w:t>pursuant to Section 10 of this decision</w:t>
      </w:r>
      <w:r w:rsidRPr="00461C10" w:rsidR="008E028E">
        <w:t xml:space="preserve"> </w:t>
      </w:r>
      <w:r w:rsidRPr="00461C10" w:rsidR="002B35CB">
        <w:t>to Commission staff</w:t>
      </w:r>
      <w:r w:rsidRPr="00461C10" w:rsidR="002324B7">
        <w:t>, s</w:t>
      </w:r>
      <w:r w:rsidRPr="00461C10" w:rsidR="00035D32">
        <w:t xml:space="preserve">hould </w:t>
      </w:r>
      <w:r w:rsidRPr="00461C10" w:rsidR="002324B7">
        <w:t xml:space="preserve">staff determine </w:t>
      </w:r>
      <w:r w:rsidRPr="00461C10" w:rsidR="00035D32">
        <w:t xml:space="preserve">changes </w:t>
      </w:r>
      <w:r w:rsidRPr="00461C10" w:rsidR="002324B7">
        <w:t xml:space="preserve">are necessary </w:t>
      </w:r>
      <w:r w:rsidRPr="00461C10" w:rsidR="00035D32">
        <w:t>to the template prior to</w:t>
      </w:r>
      <w:r w:rsidRPr="00461C10" w:rsidR="002324B7">
        <w:t xml:space="preserve"> </w:t>
      </w:r>
      <w:r w:rsidRPr="00461C10" w:rsidR="00035D32">
        <w:t xml:space="preserve">a future decision in </w:t>
      </w:r>
      <w:r w:rsidRPr="00461C10" w:rsidR="002324B7">
        <w:t>this proceeding</w:t>
      </w:r>
      <w:r w:rsidRPr="00461C10" w:rsidR="009C630E">
        <w:t>.</w:t>
      </w:r>
      <w:r w:rsidRPr="00461C10" w:rsidR="002324B7">
        <w:t xml:space="preserve"> The Commission finds that providing Commission staff with the authority to modify the energization target reporting template in the near term is the most effective way to ensure the Commission is collecting the necessary data to inform improvements to the energization process(es) moving forward.</w:t>
      </w:r>
      <w:r w:rsidRPr="00461C10" w:rsidR="002C4892">
        <w:t xml:space="preserve"> No updates to the data</w:t>
      </w:r>
      <w:r w:rsidRPr="00461C10" w:rsidR="00621643">
        <w:t xml:space="preserve"> collection</w:t>
      </w:r>
      <w:r w:rsidRPr="00461C10" w:rsidR="002C4892">
        <w:t xml:space="preserve"> template shall be required </w:t>
      </w:r>
      <w:r w:rsidRPr="00461C10" w:rsidR="0021597D">
        <w:t>prior to September</w:t>
      </w:r>
      <w:r w:rsidR="00ED2109">
        <w:t> </w:t>
      </w:r>
      <w:r w:rsidRPr="00461C10" w:rsidR="0021597D">
        <w:t>30, 2025</w:t>
      </w:r>
      <w:r w:rsidRPr="00461C10" w:rsidR="0032743C">
        <w:t xml:space="preserve">. The updates shall occur </w:t>
      </w:r>
      <w:r w:rsidRPr="00461C10" w:rsidR="00621643">
        <w:t>through a resolution process</w:t>
      </w:r>
      <w:r w:rsidRPr="00461C10" w:rsidR="472FC760">
        <w:t>,</w:t>
      </w:r>
      <w:r w:rsidRPr="00461C10" w:rsidR="576C597E">
        <w:t xml:space="preserve"> led by Commission staff</w:t>
      </w:r>
      <w:r w:rsidRPr="00461C10" w:rsidR="002C4892">
        <w:t xml:space="preserve">, to ensure parties have adequate information to </w:t>
      </w:r>
      <w:r w:rsidRPr="00461C10" w:rsidR="00621643">
        <w:t>review the proposed</w:t>
      </w:r>
      <w:r w:rsidRPr="00461C10" w:rsidR="009A3B85">
        <w:t xml:space="preserve"> changes to the </w:t>
      </w:r>
      <w:r w:rsidRPr="00461C10" w:rsidR="00621643">
        <w:t>data collection template</w:t>
      </w:r>
      <w:r w:rsidRPr="00461C10" w:rsidR="008B5003">
        <w:t xml:space="preserve"> and </w:t>
      </w:r>
      <w:r w:rsidRPr="00461C10" w:rsidR="00621643">
        <w:t>how often the energization data</w:t>
      </w:r>
      <w:r w:rsidRPr="00461C10" w:rsidR="008B5003">
        <w:t xml:space="preserve"> reported to the Commission.</w:t>
      </w:r>
    </w:p>
    <w:p w:rsidRPr="00461C10" w:rsidR="007D0EC9" w:rsidP="00D1492A" w:rsidRDefault="007D0EC9" w14:paraId="09FCEE7A" w14:textId="5DD5AFCB">
      <w:pPr>
        <w:pStyle w:val="Heading1"/>
        <w:ind w:left="720" w:hanging="720"/>
      </w:pPr>
      <w:bookmarkStart w:name="_Toc809975813" w:id="53"/>
      <w:bookmarkStart w:name="_Toc172024441" w:id="54"/>
      <w:bookmarkStart w:name="_Toc177469355" w:id="55"/>
      <w:r w:rsidRPr="00461C10">
        <w:lastRenderedPageBreak/>
        <w:t xml:space="preserve">Customer Reporting Procedures for </w:t>
      </w:r>
      <w:r w:rsidRPr="00461C10" w:rsidR="007D689E">
        <w:t xml:space="preserve">Delays in Providing </w:t>
      </w:r>
      <w:r w:rsidRPr="00461C10">
        <w:t xml:space="preserve">New </w:t>
      </w:r>
      <w:r w:rsidRPr="00461C10" w:rsidR="00833649">
        <w:t>or</w:t>
      </w:r>
      <w:r w:rsidRPr="00461C10">
        <w:t xml:space="preserve"> Upgraded Electric Service Requests</w:t>
      </w:r>
      <w:bookmarkStart w:name="_Hlk169074985" w:id="56"/>
      <w:bookmarkEnd w:id="53"/>
      <w:bookmarkEnd w:id="54"/>
      <w:bookmarkEnd w:id="55"/>
    </w:p>
    <w:p w:rsidRPr="00461C10" w:rsidR="00644748" w:rsidP="00644748" w:rsidRDefault="00C76A60" w14:paraId="4C485B95" w14:textId="0F46517E">
      <w:pPr>
        <w:pStyle w:val="Standard"/>
      </w:pPr>
      <w:r w:rsidRPr="00461C10">
        <w:t xml:space="preserve">This decision adopts a new </w:t>
      </w:r>
      <w:r w:rsidRPr="00461C10" w:rsidR="00272734">
        <w:t>process to</w:t>
      </w:r>
      <w:r w:rsidRPr="00461C10">
        <w:t xml:space="preserve"> </w:t>
      </w:r>
      <w:r w:rsidRPr="00461C10" w:rsidR="00A44AB2">
        <w:t>enable customers to report</w:t>
      </w:r>
      <w:r w:rsidRPr="00461C10" w:rsidR="007F0BC7">
        <w:t xml:space="preserve"> </w:t>
      </w:r>
      <w:r w:rsidRPr="00461C10" w:rsidR="006C05E0">
        <w:t xml:space="preserve">delays </w:t>
      </w:r>
      <w:r w:rsidRPr="00461C10" w:rsidR="00A44AB2">
        <w:t>they experience when requesting new or upgraded electric service from the large electric IOUs. Any forms submitted by customers will provide</w:t>
      </w:r>
      <w:r w:rsidRPr="00461C10" w:rsidR="001C50DE">
        <w:t xml:space="preserve"> the Commission with</w:t>
      </w:r>
      <w:r w:rsidRPr="00461C10" w:rsidR="7D303543">
        <w:t xml:space="preserve"> </w:t>
      </w:r>
      <w:r w:rsidRPr="00461C10" w:rsidR="00A44AB2">
        <w:t>information about w</w:t>
      </w:r>
      <w:r w:rsidRPr="00461C10" w:rsidR="0013571E">
        <w:t>hy and when</w:t>
      </w:r>
      <w:r w:rsidRPr="00461C10" w:rsidR="00A44AB2">
        <w:t xml:space="preserve"> </w:t>
      </w:r>
      <w:r w:rsidRPr="00461C10" w:rsidR="00753DC4">
        <w:t xml:space="preserve">energization </w:t>
      </w:r>
      <w:r w:rsidRPr="00461C10" w:rsidR="0013571E">
        <w:t>projects face delay</w:t>
      </w:r>
      <w:r w:rsidRPr="00461C10" w:rsidR="00753DC4">
        <w:t>s</w:t>
      </w:r>
      <w:r w:rsidRPr="00461C10" w:rsidR="00644748">
        <w:t xml:space="preserve">, </w:t>
      </w:r>
      <w:r w:rsidRPr="00461C10" w:rsidR="00753DC4">
        <w:t>when</w:t>
      </w:r>
      <w:r w:rsidRPr="00461C10" w:rsidR="00644748">
        <w:t xml:space="preserve"> the </w:t>
      </w:r>
      <w:r w:rsidRPr="00461C10" w:rsidR="005E735A">
        <w:t>large electric</w:t>
      </w:r>
      <w:r w:rsidRPr="00461C10" w:rsidR="00644748">
        <w:t xml:space="preserve"> IOUs may be responsible for the delays</w:t>
      </w:r>
      <w:r w:rsidRPr="00461C10" w:rsidR="007F0BC7">
        <w:t>, and whe</w:t>
      </w:r>
      <w:r w:rsidRPr="00461C10" w:rsidR="00C803A2">
        <w:t>n</w:t>
      </w:r>
      <w:r w:rsidRPr="00461C10" w:rsidR="007F0BC7">
        <w:t xml:space="preserve"> </w:t>
      </w:r>
      <w:r w:rsidRPr="00461C10" w:rsidR="00644748">
        <w:t xml:space="preserve">other </w:t>
      </w:r>
      <w:r w:rsidRPr="00461C10" w:rsidR="007F0BC7">
        <w:t>authorities</w:t>
      </w:r>
      <w:r w:rsidRPr="00461C10" w:rsidR="00C803A2">
        <w:t>, such as</w:t>
      </w:r>
      <w:r w:rsidRPr="00461C10" w:rsidR="007F0BC7">
        <w:t xml:space="preserve"> local permitting agencies</w:t>
      </w:r>
      <w:r w:rsidRPr="00461C10" w:rsidR="00644748">
        <w:t xml:space="preserve"> </w:t>
      </w:r>
      <w:r w:rsidRPr="00461C10" w:rsidR="00C803A2">
        <w:t>or customers themselves, may be</w:t>
      </w:r>
      <w:r w:rsidRPr="00461C10" w:rsidR="00644748">
        <w:t xml:space="preserve"> creating </w:t>
      </w:r>
      <w:r w:rsidRPr="00461C10" w:rsidR="00C803A2">
        <w:t xml:space="preserve">delays, issues, or </w:t>
      </w:r>
      <w:r w:rsidRPr="00461C10" w:rsidR="00644748">
        <w:t>roadblocks in customers’ project requests.</w:t>
      </w:r>
    </w:p>
    <w:p w:rsidRPr="00461C10" w:rsidR="5D0B9560" w:rsidP="7AD1EBB1" w:rsidRDefault="5D0B9560" w14:paraId="3F3A479D" w14:textId="7BB05EC1">
      <w:pPr>
        <w:pStyle w:val="Standard"/>
      </w:pPr>
      <w:r w:rsidRPr="00461C10">
        <w:t xml:space="preserve">Parties provide different suggestions as to how customer reporting </w:t>
      </w:r>
      <w:r w:rsidRPr="00461C10" w:rsidR="43F111B1">
        <w:t>may</w:t>
      </w:r>
      <w:r w:rsidRPr="00461C10">
        <w:t xml:space="preserve"> be accomplished. SCE </w:t>
      </w:r>
      <w:r w:rsidRPr="00461C10" w:rsidR="7A5EA63E">
        <w:t>recommended</w:t>
      </w:r>
      <w:r w:rsidRPr="00461C10">
        <w:t xml:space="preserve"> that the Commission create a simple form </w:t>
      </w:r>
      <w:r w:rsidRPr="00461C10" w:rsidR="05A77892">
        <w:t xml:space="preserve">that would include guidance on what constitutes a reportable delay </w:t>
      </w:r>
      <w:r w:rsidRPr="00461C10" w:rsidR="3C8223D6">
        <w:t>to help inform future Commission policy.</w:t>
      </w:r>
      <w:r w:rsidRPr="00461C10">
        <w:rPr>
          <w:rStyle w:val="FootnoteReference"/>
        </w:rPr>
        <w:footnoteReference w:id="98"/>
      </w:r>
      <w:r w:rsidRPr="00461C10" w:rsidR="1BC4E885">
        <w:t xml:space="preserve"> Walmart suggest</w:t>
      </w:r>
      <w:r w:rsidRPr="00461C10" w:rsidR="657D4F6A">
        <w:t>ed</w:t>
      </w:r>
      <w:r w:rsidRPr="00461C10" w:rsidR="1BC4E885">
        <w:t xml:space="preserve"> the Commission require the </w:t>
      </w:r>
      <w:r w:rsidRPr="00461C10" w:rsidR="005E735A">
        <w:t>large electric</w:t>
      </w:r>
      <w:r w:rsidRPr="00461C10" w:rsidR="1BC4E885">
        <w:t xml:space="preserve"> IOUs to develop a standardized portfolio view of all in-process applications for energization projects for a given customer with metrics that could be shared as a dataset</w:t>
      </w:r>
      <w:r w:rsidRPr="00461C10" w:rsidR="7F27C5DF">
        <w:t xml:space="preserve"> for dispute resolution.</w:t>
      </w:r>
      <w:r w:rsidRPr="00461C10">
        <w:rPr>
          <w:rStyle w:val="FootnoteReference"/>
        </w:rPr>
        <w:footnoteReference w:id="99"/>
      </w:r>
      <w:r w:rsidRPr="00461C10" w:rsidR="1048321D">
        <w:t xml:space="preserve"> </w:t>
      </w:r>
      <w:r w:rsidRPr="00461C10" w:rsidR="52393498">
        <w:t>Terawatt recommend</w:t>
      </w:r>
      <w:r w:rsidRPr="00461C10" w:rsidR="0220F3FA">
        <w:t>ed</w:t>
      </w:r>
      <w:r w:rsidRPr="00461C10" w:rsidR="52393498">
        <w:t xml:space="preserve"> the Commission direct the </w:t>
      </w:r>
      <w:r w:rsidRPr="00461C10" w:rsidR="005E735A">
        <w:t xml:space="preserve">large electric </w:t>
      </w:r>
      <w:r w:rsidRPr="00461C10" w:rsidR="52393498">
        <w:t xml:space="preserve">IOUs to develop and manage an online energization project management system to allow customers to report energization delays; the management system should include a pathway for </w:t>
      </w:r>
      <w:r w:rsidRPr="00461C10" w:rsidR="4996AA7E">
        <w:t xml:space="preserve">customers to report energization delays if the </w:t>
      </w:r>
      <w:r w:rsidRPr="00461C10" w:rsidR="005E735A">
        <w:t xml:space="preserve">large electric </w:t>
      </w:r>
      <w:r w:rsidRPr="00461C10" w:rsidR="00A85F54">
        <w:t xml:space="preserve">IOU </w:t>
      </w:r>
      <w:r w:rsidRPr="00461C10" w:rsidR="4996AA7E">
        <w:t>exceeds the timeline set by the instant decision.</w:t>
      </w:r>
      <w:r w:rsidRPr="00461C10">
        <w:rPr>
          <w:rStyle w:val="FootnoteReference"/>
        </w:rPr>
        <w:footnoteReference w:id="100"/>
      </w:r>
      <w:r w:rsidRPr="00461C10" w:rsidR="1B05D115">
        <w:t xml:space="preserve">  SDG&amp;E report</w:t>
      </w:r>
      <w:r w:rsidRPr="00461C10" w:rsidR="44005E8F">
        <w:t>ed</w:t>
      </w:r>
      <w:r w:rsidRPr="00461C10" w:rsidR="1B05D115">
        <w:t xml:space="preserve"> they are engaged closely with customers throughout the energization </w:t>
      </w:r>
      <w:r w:rsidRPr="00461C10" w:rsidR="32ADE5F6">
        <w:t>process and</w:t>
      </w:r>
      <w:r w:rsidRPr="00461C10" w:rsidR="1B05D115">
        <w:t xml:space="preserve"> do not believe there is a </w:t>
      </w:r>
      <w:r w:rsidRPr="00461C10" w:rsidR="1B05D115">
        <w:lastRenderedPageBreak/>
        <w:t>need for the Commission to improve the existing processes available to customers.</w:t>
      </w:r>
      <w:r w:rsidRPr="00461C10">
        <w:rPr>
          <w:rStyle w:val="FootnoteReference"/>
        </w:rPr>
        <w:footnoteReference w:id="101"/>
      </w:r>
      <w:r w:rsidRPr="00461C10" w:rsidR="3B29E164">
        <w:t xml:space="preserve"> Alternatively, PG&amp;E is open to the Commission establishing an email box or webform for customers to submit timeline concerns directly to the Commission for routing </w:t>
      </w:r>
      <w:r w:rsidRPr="00461C10" w:rsidR="0C13C6C6">
        <w:t>or escalation.</w:t>
      </w:r>
      <w:r w:rsidRPr="00461C10">
        <w:rPr>
          <w:rStyle w:val="FootnoteReference"/>
        </w:rPr>
        <w:footnoteReference w:id="102"/>
      </w:r>
      <w:r w:rsidRPr="00461C10" w:rsidR="510A55CB">
        <w:t xml:space="preserve">  Crown Castle suggest</w:t>
      </w:r>
      <w:r w:rsidRPr="00461C10" w:rsidR="0BE6D03C">
        <w:t>ed</w:t>
      </w:r>
      <w:r w:rsidRPr="00461C10" w:rsidR="510A55CB">
        <w:t xml:space="preserve"> the Commission require the </w:t>
      </w:r>
      <w:r w:rsidRPr="00461C10" w:rsidR="005E735A">
        <w:t xml:space="preserve">large electric </w:t>
      </w:r>
      <w:r w:rsidRPr="00461C10" w:rsidR="510A55CB">
        <w:t xml:space="preserve">IOUs to adopt a practice utilized by PG&amp;E – an online portal for customers to track the status of their </w:t>
      </w:r>
      <w:r w:rsidRPr="00461C10" w:rsidR="078B2F59">
        <w:t>applications</w:t>
      </w:r>
      <w:r w:rsidRPr="00461C10" w:rsidR="510A55CB">
        <w:t xml:space="preserve"> and energization requests.</w:t>
      </w:r>
      <w:r w:rsidRPr="00461C10">
        <w:rPr>
          <w:rStyle w:val="FootnoteReference"/>
        </w:rPr>
        <w:footnoteReference w:id="103"/>
      </w:r>
    </w:p>
    <w:p w:rsidRPr="00461C10" w:rsidR="004F5346" w:rsidP="61FCB4E2" w:rsidRDefault="2DB90F12" w14:paraId="55466C26" w14:textId="628F533D">
      <w:pPr>
        <w:pStyle w:val="Standard"/>
      </w:pPr>
      <w:r w:rsidRPr="00461C10">
        <w:t xml:space="preserve">Given the potential </w:t>
      </w:r>
      <w:r w:rsidRPr="00461C10" w:rsidR="002324B7">
        <w:t xml:space="preserve">number </w:t>
      </w:r>
      <w:r w:rsidRPr="00461C10" w:rsidDel="2DB90F12">
        <w:t>of</w:t>
      </w:r>
      <w:r w:rsidRPr="00461C10">
        <w:t xml:space="preserve"> </w:t>
      </w:r>
      <w:r w:rsidRPr="00461C10" w:rsidR="00EA4F84">
        <w:t>customer reports</w:t>
      </w:r>
      <w:r w:rsidRPr="00461C10" w:rsidR="00606246">
        <w:t xml:space="preserve"> related to energization delays</w:t>
      </w:r>
      <w:r w:rsidRPr="00461C10">
        <w:t xml:space="preserve"> across the </w:t>
      </w:r>
      <w:r w:rsidRPr="00461C10" w:rsidR="005E735A">
        <w:t xml:space="preserve">large electric </w:t>
      </w:r>
      <w:r w:rsidRPr="00461C10">
        <w:t>IOUs’ service territories, we adopt a</w:t>
      </w:r>
      <w:r w:rsidRPr="00461C10" w:rsidR="5050EAE5">
        <w:t xml:space="preserve"> </w:t>
      </w:r>
      <w:r w:rsidRPr="00461C10" w:rsidR="009919D7">
        <w:t xml:space="preserve">form </w:t>
      </w:r>
      <w:r w:rsidRPr="00461C10" w:rsidR="00472B4B">
        <w:t>intended to</w:t>
      </w:r>
      <w:r w:rsidRPr="00461C10" w:rsidR="009919D7">
        <w:t xml:space="preserve"> streamline customer reporting</w:t>
      </w:r>
      <w:r w:rsidRPr="00461C10" w:rsidR="5050EAE5">
        <w:t xml:space="preserve">. </w:t>
      </w:r>
      <w:r w:rsidRPr="00461C10" w:rsidR="004F5346">
        <w:t xml:space="preserve">This </w:t>
      </w:r>
      <w:r w:rsidRPr="00461C10" w:rsidR="00C0584C">
        <w:t>form</w:t>
      </w:r>
      <w:r w:rsidRPr="00461C10" w:rsidR="004F5346">
        <w:t xml:space="preserve"> shall be included in the </w:t>
      </w:r>
      <w:r w:rsidRPr="00461C10" w:rsidR="005E735A">
        <w:t xml:space="preserve">large electric </w:t>
      </w:r>
      <w:r w:rsidRPr="00461C10" w:rsidR="004F5346">
        <w:t>IOUs’ customer information packages</w:t>
      </w:r>
      <w:r w:rsidRPr="00461C10" w:rsidR="00C0584C">
        <w:t xml:space="preserve"> whenever a customer submits an energization application request</w:t>
      </w:r>
      <w:r w:rsidRPr="00461C10" w:rsidR="00D7478C">
        <w:t xml:space="preserve">, </w:t>
      </w:r>
      <w:r w:rsidRPr="00461C10" w:rsidR="00C0584C">
        <w:t>and be provided</w:t>
      </w:r>
      <w:r w:rsidRPr="00461C10" w:rsidR="00D7478C">
        <w:t xml:space="preserve"> </w:t>
      </w:r>
      <w:r w:rsidRPr="00461C10" w:rsidR="00174E3C">
        <w:t xml:space="preserve">on </w:t>
      </w:r>
      <w:r w:rsidRPr="00461C10" w:rsidR="00C0584C">
        <w:t xml:space="preserve">any </w:t>
      </w:r>
      <w:r w:rsidRPr="00461C10" w:rsidR="00BA1374">
        <w:t>webpages</w:t>
      </w:r>
      <w:r w:rsidRPr="00461C10" w:rsidR="00C0584C">
        <w:t xml:space="preserve"> that </w:t>
      </w:r>
      <w:r w:rsidRPr="00461C10" w:rsidR="004F5346">
        <w:t xml:space="preserve"> that explain the energization process and the targets adopted in this decision, as discussed further in Section </w:t>
      </w:r>
      <w:r w:rsidRPr="00461C10" w:rsidR="0051228B">
        <w:t>12</w:t>
      </w:r>
      <w:r w:rsidRPr="00461C10" w:rsidR="004F5346">
        <w:t xml:space="preserve"> of this decision, Improved Customer Outreach. </w:t>
      </w:r>
    </w:p>
    <w:p w:rsidRPr="00461C10" w:rsidR="00F60F40" w:rsidP="61FCB4E2" w:rsidRDefault="67D4CE14" w14:paraId="34535D11" w14:textId="35BFC7C9">
      <w:pPr>
        <w:pStyle w:val="Standard"/>
      </w:pPr>
      <w:r w:rsidRPr="00461C10">
        <w:t>Customers m</w:t>
      </w:r>
      <w:r w:rsidRPr="00461C10" w:rsidR="0089425E">
        <w:t>ust</w:t>
      </w:r>
      <w:r w:rsidRPr="00461C10">
        <w:t xml:space="preserve"> utilize the</w:t>
      </w:r>
      <w:r w:rsidRPr="00461C10" w:rsidR="200C1892">
        <w:t xml:space="preserve"> Energization Delay </w:t>
      </w:r>
      <w:r w:rsidRPr="00461C10" w:rsidR="00A824E3">
        <w:t xml:space="preserve">Reporting </w:t>
      </w:r>
      <w:r w:rsidRPr="00461C10" w:rsidR="200C1892">
        <w:t>Form (Appendix</w:t>
      </w:r>
      <w:r w:rsidR="00ED2109">
        <w:t> </w:t>
      </w:r>
      <w:r w:rsidRPr="00461C10" w:rsidR="002736B9">
        <w:t>C</w:t>
      </w:r>
      <w:r w:rsidRPr="00461C10" w:rsidR="200C1892">
        <w:t>) when submitting</w:t>
      </w:r>
      <w:r w:rsidRPr="00461C10" w:rsidR="00981313">
        <w:t xml:space="preserve"> </w:t>
      </w:r>
      <w:r w:rsidRPr="00461C10" w:rsidR="00F47A9C">
        <w:t xml:space="preserve">reports of </w:t>
      </w:r>
      <w:r w:rsidRPr="00461C10" w:rsidR="00E32200">
        <w:t>projects that exceed the maximum targets adopted in Section 7.2, Adopted Statewide Average and Maximum Energization Targets,</w:t>
      </w:r>
      <w:r w:rsidRPr="00461C10" w:rsidR="00F47A9C">
        <w:t xml:space="preserve"> </w:t>
      </w:r>
      <w:r w:rsidRPr="00461C10" w:rsidR="001E072B">
        <w:t xml:space="preserve">to provide Commission staff with the appropriate information to log the customer </w:t>
      </w:r>
      <w:r w:rsidRPr="00461C10" w:rsidR="0501EBD3">
        <w:t>delay report</w:t>
      </w:r>
      <w:r w:rsidRPr="00461C10" w:rsidR="200C1892">
        <w:t xml:space="preserve">. This </w:t>
      </w:r>
      <w:r w:rsidRPr="00461C10" w:rsidR="00981313">
        <w:t xml:space="preserve">form </w:t>
      </w:r>
      <w:r w:rsidRPr="00461C10" w:rsidR="0FF16ECF">
        <w:t>aims to provide the Commission with useful information as to why a customer may fac</w:t>
      </w:r>
      <w:r w:rsidRPr="00461C10" w:rsidR="4C89314C">
        <w:t>e</w:t>
      </w:r>
      <w:r w:rsidRPr="00461C10" w:rsidR="0FF16ECF">
        <w:t xml:space="preserve"> an energization delay</w:t>
      </w:r>
      <w:r w:rsidRPr="00461C10" w:rsidR="0089425E">
        <w:t xml:space="preserve"> and </w:t>
      </w:r>
      <w:r w:rsidRPr="00461C10" w:rsidR="426D51CB">
        <w:t>attempts to resolve the delay</w:t>
      </w:r>
      <w:r w:rsidRPr="00461C10" w:rsidR="0FF16ECF">
        <w:t xml:space="preserve">. </w:t>
      </w:r>
      <w:r w:rsidRPr="00461C10" w:rsidR="00221E2B">
        <w:t xml:space="preserve">Customers may email  </w:t>
      </w:r>
      <w:hyperlink r:id="rId15">
        <w:r w:rsidRPr="00D1492A" w:rsidR="00221E2B">
          <w:rPr>
            <w:rStyle w:val="Hyperlink"/>
            <w:color w:val="0070C0"/>
          </w:rPr>
          <w:t>energizationcustomer@cpuc.ca.gov</w:t>
        </w:r>
      </w:hyperlink>
      <w:r w:rsidRPr="00461C10" w:rsidR="00221E2B">
        <w:t xml:space="preserve"> if </w:t>
      </w:r>
      <w:r w:rsidRPr="00461C10" w:rsidR="00127048">
        <w:t>they are unable to utilize the online form</w:t>
      </w:r>
      <w:r w:rsidRPr="00461C10" w:rsidR="00377D6B">
        <w:t xml:space="preserve">, </w:t>
      </w:r>
      <w:r w:rsidRPr="00461C10" w:rsidR="00377D6B">
        <w:lastRenderedPageBreak/>
        <w:t xml:space="preserve">but should still provide the same information described in Appendix </w:t>
      </w:r>
      <w:r w:rsidRPr="00461C10" w:rsidR="00B36CB9">
        <w:t xml:space="preserve">C, Energization Delay </w:t>
      </w:r>
      <w:r w:rsidRPr="00461C10" w:rsidR="008A6D4A">
        <w:t>Reporting Form</w:t>
      </w:r>
      <w:r w:rsidRPr="00461C10" w:rsidR="00F47A9C">
        <w:t>.</w:t>
      </w:r>
      <w:r w:rsidRPr="00461C10" w:rsidR="0FF16ECF">
        <w:t xml:space="preserve"> Customers </w:t>
      </w:r>
      <w:r w:rsidRPr="00461C10" w:rsidR="78417C60">
        <w:t>may</w:t>
      </w:r>
      <w:r w:rsidRPr="00461C10" w:rsidR="00EF23D5">
        <w:t xml:space="preserve"> </w:t>
      </w:r>
      <w:r w:rsidRPr="00461C10" w:rsidR="001E072B">
        <w:t>also contact</w:t>
      </w:r>
      <w:r w:rsidRPr="00461C10" w:rsidR="00D71BD5">
        <w:t xml:space="preserve"> the Commission’s Public Advisor’s Office </w:t>
      </w:r>
      <w:r w:rsidRPr="00461C10" w:rsidR="006D1DB3">
        <w:t xml:space="preserve">with questions on the </w:t>
      </w:r>
      <w:r w:rsidRPr="00461C10" w:rsidR="001E072B">
        <w:t xml:space="preserve">customer complaint </w:t>
      </w:r>
      <w:r w:rsidRPr="00461C10" w:rsidR="00AD44CB">
        <w:t>form</w:t>
      </w:r>
      <w:r w:rsidRPr="00461C10" w:rsidR="002520D8">
        <w:t xml:space="preserve">at </w:t>
      </w:r>
      <w:hyperlink r:id="rId16">
        <w:r w:rsidRPr="00D1492A" w:rsidR="002520D8">
          <w:rPr>
            <w:rStyle w:val="Hyperlink"/>
            <w:color w:val="0070C0"/>
          </w:rPr>
          <w:t>public.advisor@cpuc.ca.gov</w:t>
        </w:r>
      </w:hyperlink>
      <w:r w:rsidRPr="00461C10" w:rsidR="002520D8">
        <w:t xml:space="preserve"> or </w:t>
      </w:r>
      <w:r w:rsidRPr="00461C10" w:rsidR="00B424AB">
        <w:t>1-</w:t>
      </w:r>
      <w:r w:rsidRPr="00461C10" w:rsidR="002520D8">
        <w:t>866</w:t>
      </w:r>
      <w:r w:rsidRPr="00461C10" w:rsidR="00B424AB">
        <w:t>-</w:t>
      </w:r>
      <w:r w:rsidRPr="00461C10" w:rsidR="003A4AC8">
        <w:t>849-</w:t>
      </w:r>
      <w:r w:rsidRPr="00461C10" w:rsidR="00F31F57">
        <w:t>8390</w:t>
      </w:r>
      <w:r w:rsidRPr="00461C10" w:rsidR="00441458">
        <w:t xml:space="preserve"> – toll</w:t>
      </w:r>
      <w:r w:rsidR="00ED2109">
        <w:t> </w:t>
      </w:r>
      <w:r w:rsidRPr="00461C10" w:rsidR="00441458">
        <w:t xml:space="preserve">free, or </w:t>
      </w:r>
      <w:r w:rsidRPr="00461C10" w:rsidR="00B424AB">
        <w:t>1</w:t>
      </w:r>
      <w:r w:rsidR="00ED2109">
        <w:noBreakHyphen/>
      </w:r>
      <w:r w:rsidRPr="00461C10" w:rsidR="00BA4442">
        <w:t>415</w:t>
      </w:r>
      <w:r w:rsidR="00ED2109">
        <w:noBreakHyphen/>
      </w:r>
      <w:r w:rsidRPr="00461C10" w:rsidR="00BA4442">
        <w:t>703</w:t>
      </w:r>
      <w:r w:rsidR="00ED2109">
        <w:noBreakHyphen/>
      </w:r>
      <w:r w:rsidRPr="00461C10" w:rsidR="00BA4442">
        <w:t>2074.</w:t>
      </w:r>
      <w:r w:rsidRPr="00461C10" w:rsidR="001E072B">
        <w:t xml:space="preserve"> </w:t>
      </w:r>
      <w:r w:rsidRPr="00461C10" w:rsidR="003D4B8A">
        <w:t>This</w:t>
      </w:r>
      <w:r w:rsidRPr="00461C10" w:rsidR="001E072B">
        <w:t xml:space="preserve"> streamlined approach to </w:t>
      </w:r>
      <w:r w:rsidRPr="00461C10" w:rsidR="003D4B8A">
        <w:t xml:space="preserve">address </w:t>
      </w:r>
      <w:r w:rsidRPr="00461C10" w:rsidR="001E072B">
        <w:t xml:space="preserve">customer reporting delays will ensure the Commission’s Energy Division has a full accounting of </w:t>
      </w:r>
      <w:r w:rsidRPr="00461C10" w:rsidR="003D4B8A">
        <w:t xml:space="preserve">current </w:t>
      </w:r>
      <w:r w:rsidRPr="00461C10" w:rsidR="001E072B">
        <w:t>scenarios an individual customer may fac</w:t>
      </w:r>
      <w:r w:rsidRPr="00461C10" w:rsidR="3D710148">
        <w:t>e</w:t>
      </w:r>
      <w:r w:rsidRPr="00461C10" w:rsidR="001E072B">
        <w:t xml:space="preserve"> </w:t>
      </w:r>
      <w:r w:rsidRPr="00461C10" w:rsidR="003D4B8A">
        <w:t xml:space="preserve">that create </w:t>
      </w:r>
      <w:r w:rsidRPr="00461C10" w:rsidR="001E072B">
        <w:t>energization delay</w:t>
      </w:r>
      <w:r w:rsidRPr="00461C10" w:rsidR="003D4B8A">
        <w:t>s</w:t>
      </w:r>
      <w:r w:rsidRPr="00461C10" w:rsidR="001E072B">
        <w:t xml:space="preserve"> across the </w:t>
      </w:r>
      <w:r w:rsidRPr="00461C10" w:rsidR="005E735A">
        <w:t xml:space="preserve">large electric </w:t>
      </w:r>
      <w:r w:rsidRPr="00461C10" w:rsidR="001E072B">
        <w:t>IOU</w:t>
      </w:r>
      <w:r w:rsidRPr="00461C10" w:rsidR="003D4B8A">
        <w:t xml:space="preserve"> service</w:t>
      </w:r>
      <w:r w:rsidRPr="00461C10" w:rsidR="001E072B">
        <w:t xml:space="preserve"> territories.</w:t>
      </w:r>
    </w:p>
    <w:p w:rsidRPr="00461C10" w:rsidR="00F60F40" w:rsidP="009F794F" w:rsidRDefault="00F60F40" w14:paraId="1EFA2A79" w14:textId="5C8AD840">
      <w:pPr>
        <w:pStyle w:val="Heading1"/>
      </w:pPr>
      <w:bookmarkStart w:name="_Toc800798222" w:id="57"/>
      <w:bookmarkStart w:name="_Toc172024442" w:id="58"/>
      <w:bookmarkStart w:name="_Toc177469356" w:id="59"/>
      <w:r w:rsidRPr="00461C10">
        <w:t>Improved Customer Outreach</w:t>
      </w:r>
      <w:bookmarkEnd w:id="57"/>
      <w:bookmarkEnd w:id="58"/>
      <w:bookmarkEnd w:id="59"/>
    </w:p>
    <w:p w:rsidRPr="00461C10" w:rsidR="00F66D53" w:rsidP="00F60F40" w:rsidRDefault="00A5388C" w14:paraId="6537486B" w14:textId="67413953">
      <w:pPr>
        <w:pStyle w:val="Standard"/>
      </w:pPr>
      <w:r w:rsidRPr="00461C10">
        <w:t>To meet requirements established</w:t>
      </w:r>
      <w:r w:rsidRPr="00461C10" w:rsidR="00A612D3">
        <w:t xml:space="preserve"> in </w:t>
      </w:r>
      <w:r w:rsidRPr="00461C10" w:rsidR="00B37200">
        <w:t>AB </w:t>
      </w:r>
      <w:r w:rsidRPr="00461C10" w:rsidR="00A612D3">
        <w:t xml:space="preserve">50 and </w:t>
      </w:r>
      <w:r w:rsidRPr="00461C10" w:rsidR="00B37200">
        <w:t>SB </w:t>
      </w:r>
      <w:r w:rsidRPr="00461C10" w:rsidR="00A612D3">
        <w:t>410</w:t>
      </w:r>
      <w:r w:rsidRPr="00461C10">
        <w:t xml:space="preserve">, the </w:t>
      </w:r>
      <w:r w:rsidRPr="00461C10" w:rsidR="00257A5C">
        <w:t>commu</w:t>
      </w:r>
      <w:r w:rsidRPr="00461C10" w:rsidR="00A612D3">
        <w:t xml:space="preserve">nication between the </w:t>
      </w:r>
      <w:r w:rsidRPr="00461C10" w:rsidR="00F66D53">
        <w:t xml:space="preserve">large electric </w:t>
      </w:r>
      <w:r w:rsidRPr="00461C10" w:rsidR="00A612D3">
        <w:t>IOUs and customers seeking new or upgraded service</w:t>
      </w:r>
      <w:r w:rsidRPr="00461C10" w:rsidR="00257A5C">
        <w:t xml:space="preserve"> must improve</w:t>
      </w:r>
      <w:r w:rsidRPr="00461C10" w:rsidR="00F66D53">
        <w:t xml:space="preserve"> such that customers have more insight into the time necessary for each step of the energization process that the large electric IOUs can fully control</w:t>
      </w:r>
      <w:r w:rsidRPr="00461C10" w:rsidR="00A612D3">
        <w:t xml:space="preserve">. </w:t>
      </w:r>
      <w:r w:rsidRPr="00461C10" w:rsidR="004D542F">
        <w:t xml:space="preserve">In particular, it is important for the large electric IOUs to improve communication with customers between </w:t>
      </w:r>
      <w:r w:rsidRPr="00461C10" w:rsidR="00363FC0">
        <w:t>the steps identified in Section 7 of this decision, Energization Targets.</w:t>
      </w:r>
    </w:p>
    <w:p w:rsidRPr="00461C10" w:rsidR="00F22F86" w:rsidP="00F60F40" w:rsidRDefault="00BF7A86" w14:paraId="55C1C077" w14:textId="6DB9A348">
      <w:pPr>
        <w:pStyle w:val="Standard"/>
      </w:pPr>
      <w:r w:rsidRPr="00461C10">
        <w:t xml:space="preserve">This decision adopts </w:t>
      </w:r>
      <w:r w:rsidRPr="00461C10" w:rsidR="004F5346">
        <w:t xml:space="preserve">targets </w:t>
      </w:r>
      <w:r w:rsidRPr="00461C10">
        <w:t xml:space="preserve">specific to energization steps that the </w:t>
      </w:r>
      <w:r w:rsidRPr="00461C10" w:rsidR="002A4BF3">
        <w:t xml:space="preserve">large electric </w:t>
      </w:r>
      <w:r w:rsidRPr="00461C10">
        <w:t xml:space="preserve">IOUs have complete control over, </w:t>
      </w:r>
      <w:r w:rsidRPr="00461C10" w:rsidR="008A1D41">
        <w:t xml:space="preserve">and sets </w:t>
      </w:r>
      <w:r w:rsidRPr="00461C10" w:rsidR="00F22F86">
        <w:t xml:space="preserve">reporting </w:t>
      </w:r>
      <w:r w:rsidRPr="00461C10" w:rsidR="008A1D41">
        <w:t>requirements for, when feasible</w:t>
      </w:r>
      <w:r w:rsidRPr="00461C10" w:rsidR="00F22F86">
        <w:t>,</w:t>
      </w:r>
      <w:r w:rsidRPr="00461C10">
        <w:t xml:space="preserve"> tracking </w:t>
      </w:r>
      <w:r w:rsidRPr="00461C10" w:rsidR="00F22F86">
        <w:t>and reporting</w:t>
      </w:r>
      <w:r w:rsidRPr="00461C10">
        <w:t xml:space="preserve"> the time for customers or AHJs </w:t>
      </w:r>
      <w:r w:rsidRPr="00461C10" w:rsidR="00CD6252">
        <w:t xml:space="preserve">to complete </w:t>
      </w:r>
      <w:r w:rsidRPr="00461C10" w:rsidR="002A0EA2">
        <w:t>steps the large electric IOUs may not have full control over</w:t>
      </w:r>
      <w:r w:rsidRPr="00461C10" w:rsidR="00C23D76">
        <w:t xml:space="preserve">. </w:t>
      </w:r>
    </w:p>
    <w:p w:rsidRPr="00461C10" w:rsidR="00B46D68" w:rsidP="00F60F40" w:rsidRDefault="00C23D76" w14:paraId="04774ACD" w14:textId="5876196E">
      <w:pPr>
        <w:pStyle w:val="Standard"/>
      </w:pPr>
      <w:r w:rsidRPr="00461C10">
        <w:t xml:space="preserve">It is important </w:t>
      </w:r>
      <w:r w:rsidRPr="00461C10" w:rsidR="004C3492">
        <w:t xml:space="preserve">for the </w:t>
      </w:r>
      <w:r w:rsidRPr="00461C10" w:rsidR="002A4BF3">
        <w:t xml:space="preserve">large electric </w:t>
      </w:r>
      <w:r w:rsidRPr="00461C10" w:rsidR="00616323">
        <w:t xml:space="preserve">IOUs </w:t>
      </w:r>
      <w:r w:rsidRPr="00461C10" w:rsidR="004C3492">
        <w:t xml:space="preserve">to improve </w:t>
      </w:r>
      <w:r w:rsidRPr="00461C10" w:rsidR="0030238C">
        <w:t>communication</w:t>
      </w:r>
      <w:r w:rsidRPr="00461C10" w:rsidR="004C3492">
        <w:t xml:space="preserve"> with customers </w:t>
      </w:r>
      <w:r w:rsidRPr="00461C10" w:rsidR="0030238C">
        <w:t>between steps. For example</w:t>
      </w:r>
      <w:r w:rsidRPr="00461C10" w:rsidR="00AC10E1">
        <w:t xml:space="preserve">, </w:t>
      </w:r>
      <w:r w:rsidRPr="00461C10" w:rsidR="00B46D68">
        <w:t xml:space="preserve">if a customer’s application is complete but there are outstanding issues the </w:t>
      </w:r>
      <w:r w:rsidRPr="00461C10" w:rsidR="00F66D53">
        <w:t xml:space="preserve">large electric </w:t>
      </w:r>
      <w:r w:rsidRPr="00461C10" w:rsidR="0016000D">
        <w:t>IOUs</w:t>
      </w:r>
      <w:r w:rsidRPr="00461C10" w:rsidR="00011941">
        <w:t xml:space="preserve"> </w:t>
      </w:r>
      <w:r w:rsidRPr="00461C10" w:rsidR="00B46D68">
        <w:t>control</w:t>
      </w:r>
      <w:r w:rsidRPr="00461C10" w:rsidR="001C5C4B">
        <w:t xml:space="preserve"> that could delay the project</w:t>
      </w:r>
      <w:r w:rsidRPr="00461C10" w:rsidR="00B46D68">
        <w:t xml:space="preserve">, the </w:t>
      </w:r>
      <w:r w:rsidRPr="00461C10" w:rsidR="00F66D53">
        <w:t xml:space="preserve">large electric </w:t>
      </w:r>
      <w:r w:rsidRPr="00461C10" w:rsidR="00CF0E54">
        <w:t xml:space="preserve">IOU </w:t>
      </w:r>
      <w:r w:rsidRPr="00461C10" w:rsidR="2F4F689B">
        <w:t>shall</w:t>
      </w:r>
      <w:r w:rsidRPr="00461C10" w:rsidR="00B46D68">
        <w:t xml:space="preserve"> provide the customer information about</w:t>
      </w:r>
      <w:r w:rsidRPr="00461C10" w:rsidR="00D61294">
        <w:t xml:space="preserve"> the specific issues that are outstanding and</w:t>
      </w:r>
      <w:r w:rsidRPr="00461C10" w:rsidR="00B46D68">
        <w:t xml:space="preserve"> the </w:t>
      </w:r>
      <w:r w:rsidRPr="00461C10" w:rsidR="00D61294">
        <w:t xml:space="preserve">anticipated </w:t>
      </w:r>
      <w:r w:rsidRPr="00461C10" w:rsidR="00B46D68">
        <w:t xml:space="preserve">timing </w:t>
      </w:r>
      <w:r w:rsidRPr="00461C10" w:rsidR="00D61294">
        <w:t xml:space="preserve">for completion of </w:t>
      </w:r>
      <w:r w:rsidRPr="00461C10" w:rsidR="00B46D68">
        <w:t>each incremental step</w:t>
      </w:r>
      <w:r w:rsidRPr="00461C10" w:rsidR="00D61294">
        <w:t xml:space="preserve"> necessary to complete the </w:t>
      </w:r>
      <w:r w:rsidRPr="00461C10" w:rsidR="00813EAE">
        <w:t>energization request</w:t>
      </w:r>
      <w:r w:rsidRPr="00461C10" w:rsidR="00AA293C">
        <w:t xml:space="preserve">. </w:t>
      </w:r>
      <w:r w:rsidRPr="00461C10" w:rsidR="00103CF3">
        <w:t xml:space="preserve">Once a </w:t>
      </w:r>
      <w:r w:rsidRPr="00461C10" w:rsidR="00103CF3">
        <w:lastRenderedPageBreak/>
        <w:t>customer files an application for new or upgraded electric</w:t>
      </w:r>
      <w:r w:rsidRPr="00461C10" w:rsidR="00071557">
        <w:t xml:space="preserve"> service, the large </w:t>
      </w:r>
      <w:r w:rsidRPr="00461C10" w:rsidR="00AF1025">
        <w:t xml:space="preserve">electric IOUs shall provide clear information regarding </w:t>
      </w:r>
      <w:r w:rsidRPr="00461C10" w:rsidR="005D7AE3">
        <w:t>the targets adopted in this decision for requests that fall under</w:t>
      </w:r>
      <w:r w:rsidRPr="00461C10" w:rsidR="00AF1025">
        <w:t xml:space="preserve"> </w:t>
      </w:r>
      <w:r w:rsidRPr="00461C10" w:rsidR="00DA6EB6">
        <w:t>Electric</w:t>
      </w:r>
      <w:r w:rsidRPr="00461C10" w:rsidR="006819B5">
        <w:t xml:space="preserve"> Rule </w:t>
      </w:r>
      <w:r w:rsidRPr="00461C10" w:rsidR="005D7AE3">
        <w:t>T</w:t>
      </w:r>
      <w:r w:rsidRPr="00461C10" w:rsidR="006819B5">
        <w:t>ariff</w:t>
      </w:r>
      <w:r w:rsidRPr="00461C10" w:rsidR="005D7AE3">
        <w:t>s</w:t>
      </w:r>
      <w:r w:rsidRPr="00461C10" w:rsidR="00DA6EB6">
        <w:t xml:space="preserve"> 15, 16, 29, and 45</w:t>
      </w:r>
      <w:r w:rsidRPr="00461C10" w:rsidR="005D7AE3">
        <w:t xml:space="preserve">. This information </w:t>
      </w:r>
      <w:r w:rsidRPr="00461C10" w:rsidR="0005276D">
        <w:t xml:space="preserve">shall also be included on the large electric IOUs’ websites for customer review prior to </w:t>
      </w:r>
      <w:r w:rsidRPr="00461C10" w:rsidR="005D2301">
        <w:t>applying</w:t>
      </w:r>
      <w:r w:rsidRPr="00461C10" w:rsidR="0005276D">
        <w:t xml:space="preserve"> for new or upgraded electric service.</w:t>
      </w:r>
    </w:p>
    <w:p w:rsidRPr="00461C10" w:rsidR="00ED5BBC" w:rsidP="00C92BBB" w:rsidRDefault="0004431C" w14:paraId="33185320" w14:textId="06F4F0DB">
      <w:pPr>
        <w:pStyle w:val="Standard"/>
      </w:pPr>
      <w:r w:rsidRPr="00461C10">
        <w:t>I</w:t>
      </w:r>
      <w:r w:rsidRPr="00461C10" w:rsidR="00AC10E1">
        <w:t>f a</w:t>
      </w:r>
      <w:r w:rsidRPr="00461C10" w:rsidR="00194A4B">
        <w:t xml:space="preserve"> </w:t>
      </w:r>
      <w:r w:rsidRPr="00461C10" w:rsidR="14931255">
        <w:t xml:space="preserve">large electric IOU cannot complete a </w:t>
      </w:r>
      <w:r w:rsidRPr="00461C10">
        <w:t xml:space="preserve">new </w:t>
      </w:r>
      <w:r w:rsidRPr="00461C10" w:rsidR="009F493B">
        <w:t xml:space="preserve">electric </w:t>
      </w:r>
      <w:r w:rsidRPr="00461C10" w:rsidR="00AC10E1">
        <w:t xml:space="preserve">distribution line </w:t>
      </w:r>
      <w:r w:rsidRPr="00461C10">
        <w:t xml:space="preserve">or </w:t>
      </w:r>
      <w:r w:rsidRPr="00461C10" w:rsidR="004F5346">
        <w:t xml:space="preserve">electric </w:t>
      </w:r>
      <w:r w:rsidRPr="00461C10">
        <w:t xml:space="preserve">distribution line </w:t>
      </w:r>
      <w:r w:rsidRPr="00461C10" w:rsidR="00AC10E1">
        <w:t xml:space="preserve">upgrade until an upstream capacity upgrade is complete, the </w:t>
      </w:r>
      <w:r w:rsidRPr="00461C10" w:rsidR="00F66D53">
        <w:t xml:space="preserve">large electric </w:t>
      </w:r>
      <w:r w:rsidRPr="00461C10" w:rsidR="00CF0E54">
        <w:t xml:space="preserve">IOU </w:t>
      </w:r>
      <w:r w:rsidRPr="00461C10" w:rsidR="00AC10E1">
        <w:t>sh</w:t>
      </w:r>
      <w:r w:rsidRPr="00461C10" w:rsidR="51918A8E">
        <w:t>all</w:t>
      </w:r>
      <w:r w:rsidRPr="00461C10" w:rsidR="00AC10E1">
        <w:t xml:space="preserve"> </w:t>
      </w:r>
      <w:r w:rsidRPr="00461C10" w:rsidR="00797C9F">
        <w:t>inform the</w:t>
      </w:r>
      <w:r w:rsidRPr="00461C10" w:rsidR="00AC10E1">
        <w:t xml:space="preserve"> customer </w:t>
      </w:r>
      <w:r w:rsidRPr="00461C10" w:rsidR="32DD79C2">
        <w:t xml:space="preserve">of the </w:t>
      </w:r>
      <w:r w:rsidRPr="00461C10" w:rsidR="00666432">
        <w:t xml:space="preserve">reason and expected timeline of the </w:t>
      </w:r>
      <w:r w:rsidRPr="00461C10" w:rsidR="32DD79C2">
        <w:t>delay</w:t>
      </w:r>
      <w:r w:rsidRPr="00461C10" w:rsidR="00666432">
        <w:t>,</w:t>
      </w:r>
      <w:r w:rsidRPr="00461C10" w:rsidR="00797C9F">
        <w:t xml:space="preserve"> </w:t>
      </w:r>
      <w:r w:rsidRPr="00461C10" w:rsidR="0015C4FF">
        <w:t xml:space="preserve">and </w:t>
      </w:r>
      <w:r w:rsidRPr="00461C10" w:rsidR="00654722">
        <w:t xml:space="preserve">include </w:t>
      </w:r>
      <w:r w:rsidRPr="00461C10" w:rsidR="6FDE049B">
        <w:t xml:space="preserve">the upstream capacity project </w:t>
      </w:r>
      <w:r w:rsidRPr="00461C10" w:rsidR="00654722">
        <w:t xml:space="preserve">in </w:t>
      </w:r>
      <w:r w:rsidRPr="00461C10" w:rsidR="0F177577">
        <w:t>its</w:t>
      </w:r>
      <w:r w:rsidRPr="00461C10" w:rsidR="00FA0362">
        <w:t xml:space="preserve"> </w:t>
      </w:r>
      <w:r w:rsidRPr="00461C10" w:rsidR="007A0883">
        <w:t>projected load forecasts</w:t>
      </w:r>
      <w:r w:rsidRPr="00461C10" w:rsidR="00891468">
        <w:t>. Individual</w:t>
      </w:r>
      <w:r w:rsidRPr="00461C10" w:rsidR="00893F1E">
        <w:t xml:space="preserve"> customer</w:t>
      </w:r>
      <w:r w:rsidRPr="00461C10" w:rsidR="00891468">
        <w:t>s whose projects are delayed due to a scheduled upstream capacity project</w:t>
      </w:r>
      <w:r w:rsidRPr="00461C10" w:rsidR="00893F1E">
        <w:t xml:space="preserve"> sh</w:t>
      </w:r>
      <w:r w:rsidRPr="00461C10" w:rsidR="10441E75">
        <w:t>all</w:t>
      </w:r>
      <w:r w:rsidRPr="00461C10" w:rsidR="00893F1E">
        <w:t xml:space="preserve"> receive </w:t>
      </w:r>
      <w:r w:rsidRPr="00461C10" w:rsidR="00B46D68">
        <w:t>quarterly updates about the status of the upstream capacity upgrade process</w:t>
      </w:r>
      <w:r w:rsidRPr="00461C10" w:rsidR="00891468">
        <w:t xml:space="preserve"> until it is feasible to move on to the next step in their individual energization request</w:t>
      </w:r>
      <w:r w:rsidRPr="00461C10" w:rsidR="00B46D68">
        <w:t>.</w:t>
      </w:r>
    </w:p>
    <w:p w:rsidRPr="00461C10" w:rsidR="00A10625" w:rsidP="00C92BBB" w:rsidRDefault="002D17EA" w14:paraId="4455DF02" w14:textId="5666FE85">
      <w:pPr>
        <w:pStyle w:val="Standard"/>
      </w:pPr>
      <w:r w:rsidRPr="00461C10">
        <w:t xml:space="preserve">PG&amp;E and SCE </w:t>
      </w:r>
      <w:r w:rsidRPr="00461C10" w:rsidR="00646EB5">
        <w:t xml:space="preserve">commented that </w:t>
      </w:r>
      <w:r w:rsidRPr="00461C10" w:rsidR="00F66D53">
        <w:t xml:space="preserve">large electric </w:t>
      </w:r>
      <w:r w:rsidRPr="00461C10" w:rsidR="005F01DF">
        <w:t>IOU</w:t>
      </w:r>
      <w:r w:rsidRPr="00461C10" w:rsidR="00F66D53">
        <w:t>s</w:t>
      </w:r>
      <w:r w:rsidRPr="00461C10" w:rsidR="005F01DF">
        <w:t xml:space="preserve"> can </w:t>
      </w:r>
      <w:r w:rsidRPr="00461C10" w:rsidR="009506D5">
        <w:t xml:space="preserve">demonstrate they </w:t>
      </w:r>
      <w:r w:rsidRPr="00461C10" w:rsidR="00F86A5F">
        <w:t xml:space="preserve">are making efforts to </w:t>
      </w:r>
      <w:r w:rsidRPr="00461C10" w:rsidR="00D624B9">
        <w:t xml:space="preserve">avoid and/or resolve energization delays </w:t>
      </w:r>
      <w:r w:rsidRPr="00461C10" w:rsidR="00A54A28">
        <w:t xml:space="preserve">through </w:t>
      </w:r>
      <w:r w:rsidRPr="00461C10" w:rsidR="00EB32DD">
        <w:t xml:space="preserve">established customer and </w:t>
      </w:r>
      <w:r w:rsidRPr="00461C10" w:rsidR="00E16FD6">
        <w:t>stakeholder</w:t>
      </w:r>
      <w:r w:rsidRPr="00461C10" w:rsidR="00EB32DD">
        <w:t xml:space="preserve"> engagement processes t</w:t>
      </w:r>
      <w:r w:rsidRPr="00461C10" w:rsidR="00D15B4F">
        <w:t>hat</w:t>
      </w:r>
      <w:r w:rsidRPr="00461C10" w:rsidR="00EB32DD">
        <w:t xml:space="preserve"> provide transparency and manage customer </w:t>
      </w:r>
      <w:r w:rsidRPr="00461C10" w:rsidR="00016F80">
        <w:t>energization timing</w:t>
      </w:r>
      <w:r w:rsidRPr="00461C10" w:rsidR="00EB32DD">
        <w:t xml:space="preserve"> expectations.</w:t>
      </w:r>
      <w:r w:rsidRPr="00461C10" w:rsidR="00EB32DD">
        <w:rPr>
          <w:rStyle w:val="FootnoteReference"/>
        </w:rPr>
        <w:footnoteReference w:id="104"/>
      </w:r>
      <w:r w:rsidRPr="00461C10" w:rsidR="00016F80">
        <w:t xml:space="preserve"> </w:t>
      </w:r>
      <w:r w:rsidRPr="00461C10" w:rsidR="00DC2E3A">
        <w:t>The Joint EV Industry recommend</w:t>
      </w:r>
      <w:r w:rsidRPr="00461C10" w:rsidR="3214BDEA">
        <w:t>ed</w:t>
      </w:r>
      <w:r w:rsidRPr="00461C10" w:rsidR="00DC2E3A">
        <w:t xml:space="preserve"> that the </w:t>
      </w:r>
      <w:r w:rsidRPr="00461C10" w:rsidR="00F66D53">
        <w:t xml:space="preserve">large electric </w:t>
      </w:r>
      <w:r w:rsidRPr="00461C10" w:rsidR="00DC2E3A">
        <w:t>IOUs</w:t>
      </w:r>
      <w:r w:rsidRPr="00461C10" w:rsidR="00F66D53">
        <w:t xml:space="preserve"> </w:t>
      </w:r>
      <w:r w:rsidRPr="00461C10" w:rsidR="00DC2E3A">
        <w:t xml:space="preserve">provide customers with </w:t>
      </w:r>
      <w:r w:rsidRPr="00461C10" w:rsidR="00A10625">
        <w:t>a clear understanding of the energization process</w:t>
      </w:r>
      <w:r w:rsidRPr="00461C10" w:rsidR="00B72FA9">
        <w:t xml:space="preserve"> to help set expectations for project completion, </w:t>
      </w:r>
      <w:r w:rsidRPr="00461C10" w:rsidR="00C71482">
        <w:t xml:space="preserve">provide </w:t>
      </w:r>
      <w:r w:rsidRPr="00461C10" w:rsidR="00DE3C85">
        <w:t>regular updates</w:t>
      </w:r>
      <w:r w:rsidRPr="00461C10" w:rsidR="00AC3FA9">
        <w:t xml:space="preserve"> about the status of achieving the</w:t>
      </w:r>
      <w:r w:rsidRPr="00461C10" w:rsidR="008030C6">
        <w:t xml:space="preserve"> </w:t>
      </w:r>
      <w:r w:rsidRPr="00461C10" w:rsidR="00C71482">
        <w:t xml:space="preserve">requested </w:t>
      </w:r>
      <w:r w:rsidRPr="00461C10" w:rsidR="008030C6">
        <w:t>energization date</w:t>
      </w:r>
      <w:r w:rsidRPr="00461C10" w:rsidR="00C71482">
        <w:t>,</w:t>
      </w:r>
      <w:r w:rsidRPr="00461C10" w:rsidR="008030C6">
        <w:t xml:space="preserve"> and </w:t>
      </w:r>
      <w:r w:rsidRPr="00461C10" w:rsidR="00FB73AC">
        <w:t xml:space="preserve">discuss any </w:t>
      </w:r>
      <w:r w:rsidRPr="00461C10" w:rsidR="00E62B85">
        <w:t>delays to the energization process to the customer.</w:t>
      </w:r>
      <w:r w:rsidRPr="00461C10" w:rsidR="00E62B85">
        <w:rPr>
          <w:rStyle w:val="FootnoteReference"/>
        </w:rPr>
        <w:footnoteReference w:id="105"/>
      </w:r>
      <w:r w:rsidRPr="00461C10" w:rsidR="008030C6">
        <w:t xml:space="preserve"> </w:t>
      </w:r>
      <w:r w:rsidRPr="00461C10" w:rsidR="00426522">
        <w:t>PACT</w:t>
      </w:r>
      <w:r w:rsidRPr="00461C10" w:rsidR="00C235F1">
        <w:t xml:space="preserve"> also recommend</w:t>
      </w:r>
      <w:r w:rsidRPr="00461C10" w:rsidR="0987C8A7">
        <w:t>ed</w:t>
      </w:r>
      <w:r w:rsidRPr="00461C10" w:rsidR="00C235F1">
        <w:t xml:space="preserve"> </w:t>
      </w:r>
      <w:r w:rsidRPr="00461C10" w:rsidR="005A49EF">
        <w:t xml:space="preserve">that to improve timely communication and </w:t>
      </w:r>
      <w:r w:rsidRPr="00461C10" w:rsidR="00E16FD6">
        <w:t>transparency</w:t>
      </w:r>
      <w:r w:rsidRPr="00461C10" w:rsidR="005A49EF">
        <w:t xml:space="preserve">, especially from </w:t>
      </w:r>
      <w:r w:rsidRPr="00461C10" w:rsidR="00F66D53">
        <w:t xml:space="preserve">large electric </w:t>
      </w:r>
      <w:r w:rsidRPr="00461C10" w:rsidR="00034F3C">
        <w:t>IOU</w:t>
      </w:r>
      <w:r w:rsidRPr="00461C10" w:rsidR="00F66D53">
        <w:t>s</w:t>
      </w:r>
      <w:r w:rsidRPr="00461C10" w:rsidR="00034F3C">
        <w:t xml:space="preserve"> </w:t>
      </w:r>
      <w:r w:rsidRPr="00461C10" w:rsidR="005A49EF">
        <w:t xml:space="preserve">to the </w:t>
      </w:r>
      <w:r w:rsidRPr="00461C10" w:rsidR="005A49EF">
        <w:lastRenderedPageBreak/>
        <w:t>customer,</w:t>
      </w:r>
      <w:r w:rsidRPr="00461C10" w:rsidR="001C3BDF">
        <w:t xml:space="preserve"> </w:t>
      </w:r>
      <w:r w:rsidRPr="00461C10" w:rsidR="00F66D53">
        <w:t xml:space="preserve">one or more </w:t>
      </w:r>
      <w:r w:rsidRPr="00461C10" w:rsidR="001C3BDF">
        <w:t xml:space="preserve">specific </w:t>
      </w:r>
      <w:r w:rsidRPr="00461C10" w:rsidR="00F66D53">
        <w:t>member of the electric IOUs</w:t>
      </w:r>
      <w:r w:rsidRPr="00461C10" w:rsidR="00A91880">
        <w:t xml:space="preserve"> </w:t>
      </w:r>
      <w:r w:rsidRPr="00461C10" w:rsidR="001C3BDF">
        <w:t>personnel should be assigned to</w:t>
      </w:r>
      <w:r w:rsidRPr="00461C10" w:rsidR="006662D6">
        <w:t xml:space="preserve"> particular energization </w:t>
      </w:r>
      <w:r w:rsidRPr="00461C10" w:rsidR="002C724D">
        <w:t>projects</w:t>
      </w:r>
      <w:r w:rsidRPr="00461C10" w:rsidR="00F15113">
        <w:t xml:space="preserve"> to provide subject matter expertise to the customer.</w:t>
      </w:r>
      <w:r w:rsidRPr="00461C10" w:rsidR="00F15113">
        <w:rPr>
          <w:rStyle w:val="FootnoteReference"/>
        </w:rPr>
        <w:footnoteReference w:id="106"/>
      </w:r>
      <w:r w:rsidRPr="00461C10" w:rsidR="0037554A">
        <w:t xml:space="preserve"> </w:t>
      </w:r>
      <w:r w:rsidRPr="00461C10" w:rsidR="004A1F6A">
        <w:t xml:space="preserve">CALSSA, </w:t>
      </w:r>
      <w:r w:rsidRPr="00461C10" w:rsidR="00021F48">
        <w:t>Crown Castle</w:t>
      </w:r>
      <w:r w:rsidRPr="00461C10" w:rsidR="000656E0">
        <w:t>,</w:t>
      </w:r>
      <w:r w:rsidRPr="00461C10" w:rsidR="00021F48">
        <w:t xml:space="preserve"> </w:t>
      </w:r>
      <w:r w:rsidRPr="00461C10" w:rsidR="000656E0">
        <w:t xml:space="preserve">Terawatt, </w:t>
      </w:r>
      <w:r w:rsidRPr="00461C10" w:rsidR="00613DB8">
        <w:t>Voltera</w:t>
      </w:r>
      <w:r w:rsidRPr="00461C10" w:rsidR="000656E0">
        <w:t>, and Walmart</w:t>
      </w:r>
      <w:r w:rsidRPr="00461C10" w:rsidR="00613DB8">
        <w:t xml:space="preserve"> </w:t>
      </w:r>
      <w:r w:rsidRPr="00461C10" w:rsidR="000656E0">
        <w:t>recommend</w:t>
      </w:r>
      <w:r w:rsidRPr="00461C10" w:rsidR="61344342">
        <w:t>ed</w:t>
      </w:r>
      <w:r w:rsidRPr="00461C10" w:rsidR="000656E0">
        <w:t xml:space="preserve"> </w:t>
      </w:r>
      <w:r w:rsidRPr="00461C10" w:rsidR="0095263D">
        <w:t xml:space="preserve">the Commission require the </w:t>
      </w:r>
      <w:r w:rsidRPr="00461C10" w:rsidR="00F66D53">
        <w:t xml:space="preserve">large electric </w:t>
      </w:r>
      <w:r w:rsidRPr="00461C10" w:rsidR="0095263D">
        <w:t>IOUs to adopt an online portal for customers to track the status of their applications and energization requests.</w:t>
      </w:r>
      <w:r w:rsidRPr="00461C10" w:rsidR="00426573">
        <w:rPr>
          <w:rStyle w:val="FootnoteReference"/>
        </w:rPr>
        <w:footnoteReference w:id="107"/>
      </w:r>
      <w:r w:rsidRPr="00461C10" w:rsidDel="00E5050C" w:rsidR="00E5050C">
        <w:rPr>
          <w:rStyle w:val="FootnoteReference"/>
        </w:rPr>
        <w:t xml:space="preserve"> </w:t>
      </w:r>
      <w:r w:rsidRPr="00461C10" w:rsidR="006453CF">
        <w:t xml:space="preserve"> </w:t>
      </w:r>
    </w:p>
    <w:p w:rsidRPr="00461C10" w:rsidR="008952FE" w:rsidP="00C92BBB" w:rsidRDefault="009A1E2F" w14:paraId="73BE4D10" w14:textId="40597E6A">
      <w:pPr>
        <w:pStyle w:val="Standard"/>
      </w:pPr>
      <w:r w:rsidRPr="00461C10">
        <w:t xml:space="preserve">To better improve customer understanding of the energization </w:t>
      </w:r>
      <w:r w:rsidRPr="00461C10" w:rsidR="00E16FD6">
        <w:t>process and</w:t>
      </w:r>
      <w:r w:rsidRPr="00461C10">
        <w:t xml:space="preserve"> provide them with transparency of the status of their project, w</w:t>
      </w:r>
      <w:r w:rsidRPr="00461C10" w:rsidR="00CD7ABA">
        <w:t>e direct the</w:t>
      </w:r>
      <w:r w:rsidRPr="00461C10" w:rsidR="00E10E2A">
        <w:t xml:space="preserve"> </w:t>
      </w:r>
      <w:r w:rsidRPr="00461C10" w:rsidR="00F66D53">
        <w:t xml:space="preserve">large electric </w:t>
      </w:r>
      <w:r w:rsidRPr="00461C10" w:rsidR="00E10E2A">
        <w:t xml:space="preserve">IOUs </w:t>
      </w:r>
      <w:r w:rsidRPr="00461C10" w:rsidR="00CD7ABA">
        <w:t>t</w:t>
      </w:r>
      <w:r w:rsidRPr="00461C10" w:rsidR="00E10E2A">
        <w:t xml:space="preserve">o </w:t>
      </w:r>
      <w:r w:rsidRPr="00461C10">
        <w:t>assign</w:t>
      </w:r>
      <w:r w:rsidRPr="00461C10" w:rsidR="00A76BC3">
        <w:t xml:space="preserve"> an account/project manager to</w:t>
      </w:r>
      <w:r w:rsidRPr="00461C10" w:rsidR="004277FC">
        <w:t xml:space="preserve"> each approved application </w:t>
      </w:r>
      <w:r w:rsidRPr="00461C10" w:rsidR="00A76BC3">
        <w:t>for new or upgraded electric service</w:t>
      </w:r>
      <w:r w:rsidRPr="00461C10" w:rsidR="00C255F8">
        <w:t xml:space="preserve"> </w:t>
      </w:r>
      <w:r w:rsidRPr="00461C10" w:rsidR="009E5CA6">
        <w:t xml:space="preserve">within </w:t>
      </w:r>
      <w:r w:rsidRPr="00461C10" w:rsidR="0060668B">
        <w:t>1</w:t>
      </w:r>
      <w:r w:rsidRPr="00461C10" w:rsidR="009E5CA6">
        <w:t xml:space="preserve">0 </w:t>
      </w:r>
      <w:r w:rsidRPr="00461C10" w:rsidR="004275E3">
        <w:t>business</w:t>
      </w:r>
      <w:r w:rsidRPr="00461C10" w:rsidR="00E827BE">
        <w:t xml:space="preserve"> </w:t>
      </w:r>
      <w:r w:rsidRPr="00461C10" w:rsidR="009E5CA6">
        <w:t>days</w:t>
      </w:r>
      <w:r w:rsidRPr="00461C10" w:rsidR="006B688C">
        <w:t xml:space="preserve"> of an application being </w:t>
      </w:r>
      <w:r w:rsidRPr="00461C10" w:rsidR="00015503">
        <w:t xml:space="preserve">approved. </w:t>
      </w:r>
      <w:r w:rsidRPr="00461C10" w:rsidR="008952FE">
        <w:t xml:space="preserve">This dedicated account/project manager shall ensure the customer receives detailed information about the steps and targets adopted in this </w:t>
      </w:r>
      <w:r w:rsidRPr="00461C10" w:rsidR="00723957">
        <w:t xml:space="preserve">Section 7 of </w:t>
      </w:r>
      <w:r w:rsidRPr="00461C10" w:rsidR="008952FE">
        <w:t>decision</w:t>
      </w:r>
      <w:r w:rsidRPr="00461C10" w:rsidR="00723957">
        <w:t>, Energization Targets,</w:t>
      </w:r>
      <w:r w:rsidRPr="00461C10" w:rsidR="008952FE">
        <w:t xml:space="preserve"> for Electric Rules 15, 16, 29, and 45</w:t>
      </w:r>
      <w:r w:rsidRPr="00461C10" w:rsidR="00723957">
        <w:t>, and when necessary, information regarding the steps and targets adopted in Section 8 of this decision, Upstream Capacity Upgrade Targets</w:t>
      </w:r>
      <w:r w:rsidRPr="00461C10" w:rsidR="008952FE">
        <w:t>.</w:t>
      </w:r>
      <w:r w:rsidRPr="00461C10" w:rsidR="005022E1">
        <w:t xml:space="preserve"> The account/project manager should be available to</w:t>
      </w:r>
      <w:r w:rsidRPr="00461C10" w:rsidR="0DCF01ED">
        <w:t xml:space="preserve"> support</w:t>
      </w:r>
      <w:r w:rsidRPr="00461C10" w:rsidR="005022E1">
        <w:t xml:space="preserve"> </w:t>
      </w:r>
      <w:r w:rsidRPr="00461C10" w:rsidR="2BB6CDC7">
        <w:t xml:space="preserve">multiple </w:t>
      </w:r>
      <w:r w:rsidRPr="00461C10" w:rsidR="3AEB5F32">
        <w:t xml:space="preserve">customers’ </w:t>
      </w:r>
      <w:r w:rsidRPr="00461C10" w:rsidR="2BB6CDC7">
        <w:t>energization projects</w:t>
      </w:r>
      <w:r w:rsidRPr="00461C10" w:rsidR="1EC23BDC">
        <w:t>.</w:t>
      </w:r>
      <w:r w:rsidRPr="00461C10" w:rsidR="00AB2AF4">
        <w:t xml:space="preserve"> T</w:t>
      </w:r>
      <w:r w:rsidRPr="00461C10" w:rsidR="00E2264F">
        <w:t xml:space="preserve">his decision does not establish any </w:t>
      </w:r>
      <w:r w:rsidRPr="00461C10" w:rsidR="00D571F8">
        <w:t xml:space="preserve">requirement for </w:t>
      </w:r>
      <w:r w:rsidRPr="00461C10" w:rsidR="00E2264F">
        <w:t>the large electric IOUs to hire a separate account manager for each project application</w:t>
      </w:r>
      <w:r w:rsidRPr="00461C10" w:rsidR="00BE27C2">
        <w:t>.</w:t>
      </w:r>
    </w:p>
    <w:p w:rsidRPr="00461C10" w:rsidR="00E10E2A" w:rsidP="00C92BBB" w:rsidRDefault="006A6040" w14:paraId="29E989CA" w14:textId="509FFA51">
      <w:pPr>
        <w:pStyle w:val="Standard"/>
      </w:pPr>
      <w:r w:rsidRPr="00461C10">
        <w:t xml:space="preserve">The account/project manager </w:t>
      </w:r>
      <w:r w:rsidRPr="00461C10" w:rsidR="14B5CC3E">
        <w:t>shall</w:t>
      </w:r>
      <w:r w:rsidRPr="00461C10" w:rsidR="004E2B65">
        <w:t xml:space="preserve"> serve as the main point of contact </w:t>
      </w:r>
      <w:r w:rsidRPr="00461C10" w:rsidR="00162AF1">
        <w:t xml:space="preserve">throughout the life of the </w:t>
      </w:r>
      <w:r w:rsidRPr="00461C10" w:rsidR="00D475C4">
        <w:t xml:space="preserve">energization request application process </w:t>
      </w:r>
      <w:r w:rsidRPr="00461C10" w:rsidR="004E2B65">
        <w:t>for a</w:t>
      </w:r>
      <w:r w:rsidRPr="00461C10" w:rsidR="0037361D">
        <w:t>ll</w:t>
      </w:r>
      <w:r w:rsidRPr="00461C10" w:rsidR="004E2B65">
        <w:t xml:space="preserve"> customer questions, </w:t>
      </w:r>
      <w:r w:rsidRPr="00461C10" w:rsidR="00F95019">
        <w:t xml:space="preserve">provide </w:t>
      </w:r>
      <w:r w:rsidRPr="00461C10" w:rsidR="005C6AD7">
        <w:t xml:space="preserve">periodic updates to the customer on the status of </w:t>
      </w:r>
      <w:r w:rsidRPr="00461C10" w:rsidR="005C6AD7">
        <w:lastRenderedPageBreak/>
        <w:t>their energization request</w:t>
      </w:r>
      <w:r w:rsidRPr="00461C10" w:rsidR="00EC77A7">
        <w:t xml:space="preserve">, and </w:t>
      </w:r>
      <w:r w:rsidRPr="00461C10" w:rsidR="002F5F49">
        <w:t>address concerns related to the</w:t>
      </w:r>
      <w:r w:rsidRPr="00461C10" w:rsidR="000C6A0E">
        <w:t xml:space="preserve"> customer’s project. </w:t>
      </w:r>
      <w:r w:rsidRPr="00461C10" w:rsidR="00F104CC">
        <w:t xml:space="preserve">To comply with this decision, the </w:t>
      </w:r>
      <w:r w:rsidRPr="00461C10" w:rsidR="00C216EE">
        <w:t>large electric</w:t>
      </w:r>
      <w:r w:rsidRPr="00461C10" w:rsidR="00F104CC">
        <w:t xml:space="preserve"> IOU’s</w:t>
      </w:r>
      <w:r w:rsidRPr="00461C10" w:rsidR="000C6A0E">
        <w:t xml:space="preserve"> account/project manager </w:t>
      </w:r>
      <w:r w:rsidRPr="00461C10" w:rsidR="68231733">
        <w:t>shall</w:t>
      </w:r>
      <w:r w:rsidRPr="00461C10" w:rsidR="000C6A0E">
        <w:t xml:space="preserve"> provide the customer with the following</w:t>
      </w:r>
      <w:r w:rsidRPr="00461C10" w:rsidR="00F104CC">
        <w:t xml:space="preserve"> once an energization request for a new or upgraded service line is requested</w:t>
      </w:r>
      <w:r w:rsidRPr="00461C10" w:rsidR="000C6A0E">
        <w:t>:</w:t>
      </w:r>
    </w:p>
    <w:p w:rsidRPr="00461C10" w:rsidR="000C6A0E" w:rsidP="007B4742" w:rsidRDefault="008A7C44" w14:paraId="1D2A8FE6" w14:textId="7D610265">
      <w:pPr>
        <w:pStyle w:val="ListBullet"/>
        <w:ind w:left="1080"/>
      </w:pPr>
      <w:r w:rsidRPr="00461C10">
        <w:t>Recurring</w:t>
      </w:r>
      <w:r w:rsidRPr="00461C10" w:rsidR="000E4B74">
        <w:t xml:space="preserve"> meetings bet</w:t>
      </w:r>
      <w:r w:rsidRPr="00461C10" w:rsidR="00804C35">
        <w:t>ween the customer</w:t>
      </w:r>
      <w:r w:rsidRPr="00461C10" w:rsidR="003B4396">
        <w:t xml:space="preserve"> and/or third-party speaking on behalf of the customer</w:t>
      </w:r>
      <w:r w:rsidRPr="00461C10" w:rsidR="002475BA">
        <w:t>. The frequency and duration of the meetings must be determined based on discussions with the customer</w:t>
      </w:r>
      <w:r w:rsidRPr="00461C10" w:rsidR="005D6A9B">
        <w:t xml:space="preserve"> once the application for service is approved.</w:t>
      </w:r>
    </w:p>
    <w:p w:rsidRPr="00461C10" w:rsidR="00F83A67" w:rsidP="007B4742" w:rsidRDefault="00B21903" w14:paraId="53CE3297" w14:textId="50437D35">
      <w:pPr>
        <w:pStyle w:val="ListBullet"/>
        <w:ind w:left="1080"/>
      </w:pPr>
      <w:r w:rsidRPr="00461C10">
        <w:t>The account</w:t>
      </w:r>
      <w:r w:rsidRPr="00461C10" w:rsidR="00130F2F">
        <w:t xml:space="preserve">/project manager </w:t>
      </w:r>
      <w:r w:rsidRPr="00461C10" w:rsidR="00353CDF">
        <w:t xml:space="preserve">must </w:t>
      </w:r>
      <w:r w:rsidRPr="00461C10" w:rsidR="00DD0B4D">
        <w:t>provide the customer with an overview of the energization process, including the steps to complete an energization request</w:t>
      </w:r>
      <w:r w:rsidRPr="00461C10" w:rsidR="00B347D8">
        <w:t xml:space="preserve">, the party responsible for completing the energization steps, </w:t>
      </w:r>
      <w:r w:rsidRPr="00461C10" w:rsidR="005D09AC">
        <w:t>the adopted average and maximum energization targets,</w:t>
      </w:r>
      <w:r w:rsidRPr="00461C10" w:rsidR="00B347D8">
        <w:t xml:space="preserve"> and the efforts a customer can take to avoid energization delays.</w:t>
      </w:r>
    </w:p>
    <w:p w:rsidRPr="00461C10" w:rsidR="00C216EE" w:rsidP="00781074" w:rsidRDefault="001F2214" w14:paraId="103977D3" w14:textId="61750F7F">
      <w:pPr>
        <w:pStyle w:val="ListBullet"/>
        <w:keepNext/>
        <w:ind w:left="1080"/>
      </w:pPr>
      <w:r w:rsidRPr="00461C10">
        <w:t>Monthly project status updates to</w:t>
      </w:r>
      <w:r w:rsidRPr="00461C10" w:rsidR="00166B80">
        <w:t>:</w:t>
      </w:r>
      <w:r w:rsidRPr="00461C10">
        <w:t xml:space="preserve"> </w:t>
      </w:r>
    </w:p>
    <w:p w:rsidRPr="00461C10" w:rsidR="00C216EE" w:rsidP="00781074" w:rsidRDefault="001F2214" w14:paraId="34F337E0" w14:textId="54DC7B8F">
      <w:pPr>
        <w:pStyle w:val="ListBullet"/>
        <w:numPr>
          <w:ilvl w:val="0"/>
          <w:numId w:val="0"/>
        </w:numPr>
        <w:ind w:left="1440" w:hanging="360"/>
      </w:pPr>
      <w:r w:rsidRPr="00461C10">
        <w:t>1)</w:t>
      </w:r>
      <w:r w:rsidRPr="00461C10" w:rsidR="00781074">
        <w:tab/>
      </w:r>
      <w:r w:rsidRPr="00461C10" w:rsidR="00AD775D">
        <w:t>I</w:t>
      </w:r>
      <w:r w:rsidRPr="00461C10" w:rsidR="00425C5A">
        <w:t xml:space="preserve">dentify </w:t>
      </w:r>
      <w:r w:rsidRPr="00461C10" w:rsidR="00AD775D">
        <w:t>the current step the project falls within the</w:t>
      </w:r>
      <w:r w:rsidRPr="00461C10" w:rsidR="00425C5A">
        <w:t xml:space="preserve"> energization process </w:t>
      </w:r>
      <w:r w:rsidRPr="00461C10" w:rsidR="00AD775D">
        <w:t>as defined in Section 7 of this decision, Energization Targets</w:t>
      </w:r>
      <w:r w:rsidRPr="00461C10" w:rsidR="00C216EE">
        <w:t>;</w:t>
      </w:r>
      <w:r w:rsidRPr="00461C10" w:rsidR="00425C5A">
        <w:t xml:space="preserve"> </w:t>
      </w:r>
    </w:p>
    <w:p w:rsidRPr="00461C10" w:rsidR="00C216EE" w:rsidP="00781074" w:rsidRDefault="00425C5A" w14:paraId="4A08CF4C" w14:textId="297D094C">
      <w:pPr>
        <w:pStyle w:val="ListBullet"/>
        <w:numPr>
          <w:ilvl w:val="0"/>
          <w:numId w:val="0"/>
        </w:numPr>
        <w:ind w:left="1440" w:hanging="360"/>
      </w:pPr>
      <w:r w:rsidRPr="00461C10">
        <w:t xml:space="preserve">2) </w:t>
      </w:r>
      <w:r w:rsidRPr="00461C10" w:rsidR="00781074">
        <w:tab/>
      </w:r>
      <w:r w:rsidRPr="00461C10" w:rsidR="00AD775D">
        <w:t>Provide</w:t>
      </w:r>
      <w:r w:rsidRPr="00461C10">
        <w:t xml:space="preserve"> </w:t>
      </w:r>
      <w:r w:rsidRPr="00461C10" w:rsidR="007D24E1">
        <w:t>the current number of</w:t>
      </w:r>
      <w:r w:rsidRPr="00461C10" w:rsidR="00197322">
        <w:t> business</w:t>
      </w:r>
      <w:r w:rsidRPr="00461C10" w:rsidR="0021159C">
        <w:t xml:space="preserve"> and calendar</w:t>
      </w:r>
      <w:r w:rsidRPr="00461C10" w:rsidR="00197322">
        <w:t> days</w:t>
      </w:r>
      <w:r w:rsidRPr="00461C10" w:rsidR="007D24E1">
        <w:t xml:space="preserve"> the project has been open for work</w:t>
      </w:r>
      <w:r w:rsidRPr="00461C10" w:rsidR="00C216EE">
        <w:t xml:space="preserve"> that can be completed by the large electric IOU</w:t>
      </w:r>
      <w:r w:rsidRPr="00461C10" w:rsidR="007D24E1">
        <w:t>, work</w:t>
      </w:r>
      <w:r w:rsidRPr="00461C10" w:rsidR="00C216EE">
        <w:t xml:space="preserve"> that may be outside of the large electric IOU(s) control</w:t>
      </w:r>
      <w:r w:rsidRPr="00461C10" w:rsidR="00F238BE">
        <w:t>, and the total</w:t>
      </w:r>
      <w:r w:rsidRPr="00461C10" w:rsidR="00197322">
        <w:t> business days</w:t>
      </w:r>
      <w:r w:rsidRPr="00461C10" w:rsidR="0079140B">
        <w:t xml:space="preserve"> the project has been open</w:t>
      </w:r>
      <w:r w:rsidRPr="00461C10" w:rsidR="00C216EE">
        <w:t>;</w:t>
      </w:r>
      <w:r w:rsidRPr="00461C10" w:rsidR="0079140B">
        <w:t xml:space="preserve"> and </w:t>
      </w:r>
    </w:p>
    <w:p w:rsidRPr="00461C10" w:rsidR="00B347D8" w:rsidP="00781074" w:rsidRDefault="0079140B" w14:paraId="20B2D315" w14:textId="3CDA751D">
      <w:pPr>
        <w:pStyle w:val="ListBullet"/>
        <w:numPr>
          <w:ilvl w:val="0"/>
          <w:numId w:val="0"/>
        </w:numPr>
        <w:ind w:left="1440" w:hanging="360"/>
      </w:pPr>
      <w:r w:rsidRPr="00461C10">
        <w:t xml:space="preserve">3) </w:t>
      </w:r>
      <w:r w:rsidRPr="00461C10" w:rsidR="00781074">
        <w:tab/>
      </w:r>
      <w:r w:rsidRPr="00461C10" w:rsidR="00AD775D">
        <w:t>Define t</w:t>
      </w:r>
      <w:r w:rsidRPr="00461C10">
        <w:t xml:space="preserve">he </w:t>
      </w:r>
      <w:r w:rsidRPr="00461C10" w:rsidR="00C216EE">
        <w:t>status</w:t>
      </w:r>
      <w:r w:rsidRPr="00461C10" w:rsidR="006E6454">
        <w:t xml:space="preserve"> of the </w:t>
      </w:r>
      <w:r w:rsidRPr="00461C10" w:rsidR="00C216EE">
        <w:t xml:space="preserve">large electric </w:t>
      </w:r>
      <w:r w:rsidRPr="00461C10" w:rsidR="006E6454">
        <w:t>IOU</w:t>
      </w:r>
      <w:r w:rsidRPr="00461C10" w:rsidR="00C216EE">
        <w:t>(s)</w:t>
      </w:r>
      <w:r w:rsidRPr="00461C10" w:rsidR="00C43574">
        <w:t xml:space="preserve"> </w:t>
      </w:r>
      <w:r w:rsidRPr="00461C10" w:rsidR="006E6454">
        <w:t xml:space="preserve">efforts to complete </w:t>
      </w:r>
      <w:r w:rsidRPr="00461C10" w:rsidR="00AD775D">
        <w:t>the</w:t>
      </w:r>
      <w:r w:rsidRPr="00461C10" w:rsidR="006E6454">
        <w:t xml:space="preserve"> pending work </w:t>
      </w:r>
      <w:r w:rsidRPr="00461C10" w:rsidR="007F188B">
        <w:t>to complete the customer’s energization request,</w:t>
      </w:r>
      <w:r w:rsidRPr="00461C10" w:rsidR="006E6454">
        <w:t xml:space="preserve"> and the anticipated completion date of this work</w:t>
      </w:r>
      <w:r w:rsidRPr="00461C10">
        <w:t>.</w:t>
      </w:r>
    </w:p>
    <w:p w:rsidRPr="00461C10" w:rsidR="006B1105" w:rsidP="007B4742" w:rsidRDefault="006B1105" w14:paraId="48EB0875" w14:textId="72E2F60C">
      <w:pPr>
        <w:pStyle w:val="ListBullet"/>
        <w:ind w:left="1080"/>
      </w:pPr>
      <w:r w:rsidRPr="00461C10">
        <w:t xml:space="preserve">For projects awaiting pre-scheduled work </w:t>
      </w:r>
      <w:r w:rsidRPr="00461C10" w:rsidR="007F188B">
        <w:t xml:space="preserve">to be performed by the large electric IOU(s) </w:t>
      </w:r>
      <w:r w:rsidRPr="00461C10">
        <w:t xml:space="preserve">(i.e., site-visit, construction, inspection, etc.), </w:t>
      </w:r>
      <w:r w:rsidRPr="00461C10" w:rsidR="007F188B">
        <w:t xml:space="preserve">the large electric IOU shall </w:t>
      </w:r>
      <w:r w:rsidRPr="00461C10">
        <w:t>provid</w:t>
      </w:r>
      <w:r w:rsidRPr="00461C10" w:rsidR="00274759">
        <w:t>e</w:t>
      </w:r>
      <w:r w:rsidRPr="00461C10">
        <w:t xml:space="preserve"> notice </w:t>
      </w:r>
      <w:r w:rsidRPr="00461C10" w:rsidR="003B2EAF">
        <w:t>no less than</w:t>
      </w:r>
      <w:r w:rsidRPr="00461C10">
        <w:t xml:space="preserve"> 72</w:t>
      </w:r>
      <w:r w:rsidRPr="00461C10" w:rsidR="00AD775D">
        <w:t xml:space="preserve"> </w:t>
      </w:r>
      <w:r w:rsidRPr="00461C10" w:rsidR="00395402">
        <w:t xml:space="preserve">prior to </w:t>
      </w:r>
      <w:r w:rsidRPr="00461C10" w:rsidR="00274759">
        <w:t xml:space="preserve">the scheduled task </w:t>
      </w:r>
      <w:r w:rsidRPr="00461C10" w:rsidR="003B2EAF">
        <w:t xml:space="preserve">and </w:t>
      </w:r>
      <w:r w:rsidRPr="00461C10" w:rsidR="00274759">
        <w:t>explain the reasons why the large electric IOU must</w:t>
      </w:r>
      <w:r w:rsidRPr="00461C10" w:rsidDel="00274759">
        <w:t xml:space="preserve"> </w:t>
      </w:r>
      <w:r w:rsidRPr="00461C10">
        <w:t xml:space="preserve">reschedule or </w:t>
      </w:r>
      <w:r w:rsidRPr="00461C10">
        <w:lastRenderedPageBreak/>
        <w:t xml:space="preserve">cancel the </w:t>
      </w:r>
      <w:r w:rsidRPr="00461C10" w:rsidR="00274759">
        <w:t>s</w:t>
      </w:r>
      <w:r w:rsidRPr="00461C10">
        <w:t xml:space="preserve">cheduled </w:t>
      </w:r>
      <w:r w:rsidRPr="00461C10" w:rsidR="00274759">
        <w:t>electrification step</w:t>
      </w:r>
      <w:r w:rsidRPr="00461C10">
        <w:t xml:space="preserve">. The </w:t>
      </w:r>
      <w:r w:rsidRPr="00461C10" w:rsidR="00274759">
        <w:t>large electric IOU</w:t>
      </w:r>
      <w:r w:rsidRPr="00461C10" w:rsidR="00964D39">
        <w:t xml:space="preserve">’s </w:t>
      </w:r>
      <w:r w:rsidRPr="00461C10">
        <w:t>account/project manage</w:t>
      </w:r>
      <w:r w:rsidRPr="00461C10" w:rsidR="00FF000E">
        <w:t>r</w:t>
      </w:r>
      <w:r w:rsidRPr="00461C10">
        <w:t xml:space="preserve"> must ensure </w:t>
      </w:r>
      <w:r w:rsidRPr="00461C10" w:rsidR="001D09A0">
        <w:t xml:space="preserve">any delayed energization </w:t>
      </w:r>
      <w:r w:rsidRPr="00461C10">
        <w:t>task is rescheduled within 20</w:t>
      </w:r>
      <w:r w:rsidRPr="00461C10" w:rsidR="001D09A0">
        <w:t xml:space="preserve"> </w:t>
      </w:r>
      <w:r w:rsidRPr="00461C10">
        <w:t>business</w:t>
      </w:r>
      <w:r w:rsidRPr="00461C10" w:rsidR="001D09A0">
        <w:t xml:space="preserve"> </w:t>
      </w:r>
      <w:r w:rsidRPr="00461C10">
        <w:t xml:space="preserve">days (one month). </w:t>
      </w:r>
    </w:p>
    <w:p w:rsidRPr="00461C10" w:rsidR="006B1105" w:rsidP="007B4742" w:rsidRDefault="006B1105" w14:paraId="7BB04D56" w14:textId="0155B824">
      <w:pPr>
        <w:pStyle w:val="ListBullet"/>
        <w:ind w:left="1080"/>
      </w:pPr>
      <w:r w:rsidRPr="00461C10">
        <w:t xml:space="preserve">Within 48 hours of knowing delays are </w:t>
      </w:r>
      <w:r w:rsidRPr="00461C10" w:rsidR="004A3A22">
        <w:t xml:space="preserve">occurring, </w:t>
      </w:r>
      <w:r w:rsidRPr="00461C10">
        <w:t xml:space="preserve">or are expected to occur, </w:t>
      </w:r>
      <w:r w:rsidRPr="00461C10" w:rsidR="001D09A0">
        <w:t xml:space="preserve">the large electric IOUs and/or the large electric IOU’s representative must have a </w:t>
      </w:r>
      <w:r w:rsidRPr="00461C10">
        <w:t>discussion</w:t>
      </w:r>
      <w:r w:rsidRPr="00461C10" w:rsidR="00012689">
        <w:t xml:space="preserve"> with the customer</w:t>
      </w:r>
      <w:r w:rsidRPr="00461C10">
        <w:t xml:space="preserve"> </w:t>
      </w:r>
      <w:r w:rsidRPr="00461C10" w:rsidR="001D09A0">
        <w:t xml:space="preserve">to fully explain </w:t>
      </w:r>
      <w:r w:rsidRPr="00461C10">
        <w:t xml:space="preserve">the cause of the delay, who is responsible for resolving the delay, an estimate timeframe for when the delay will be resolved (if the delay is caused by the </w:t>
      </w:r>
      <w:r w:rsidRPr="00461C10" w:rsidR="001D09A0">
        <w:t xml:space="preserve">large electric </w:t>
      </w:r>
      <w:r w:rsidRPr="00461C10" w:rsidR="00012689">
        <w:t>IOU</w:t>
      </w:r>
      <w:r w:rsidRPr="00461C10">
        <w:t xml:space="preserve">), and potential options to </w:t>
      </w:r>
      <w:r w:rsidRPr="00461C10" w:rsidR="001D09A0">
        <w:t>remediate</w:t>
      </w:r>
      <w:r w:rsidRPr="00461C10">
        <w:t xml:space="preserve"> the delay.</w:t>
      </w:r>
    </w:p>
    <w:p w:rsidRPr="00461C10" w:rsidR="006B1105" w:rsidP="007B4742" w:rsidRDefault="00B057D7" w14:paraId="3593DE78" w14:textId="7BCCFE5C">
      <w:pPr>
        <w:pStyle w:val="ListBullet"/>
        <w:ind w:left="1080"/>
      </w:pPr>
      <w:r w:rsidRPr="00461C10">
        <w:t>If the large electric IOU identifies any issue(s) that could cancel or delay a customer’s energization request, t</w:t>
      </w:r>
      <w:r w:rsidRPr="00461C10" w:rsidR="001D09A0">
        <w:t xml:space="preserve">he large electric IOU shall provide customers </w:t>
      </w:r>
      <w:r w:rsidRPr="00461C10" w:rsidR="006B1105">
        <w:t>notice</w:t>
      </w:r>
      <w:r w:rsidRPr="00461C10">
        <w:t xml:space="preserve"> within</w:t>
      </w:r>
      <w:r w:rsidRPr="00461C10" w:rsidR="006B1105">
        <w:t xml:space="preserve"> </w:t>
      </w:r>
      <w:r w:rsidRPr="00461C10" w:rsidR="001D09A0">
        <w:t xml:space="preserve">no </w:t>
      </w:r>
      <w:r w:rsidRPr="00461C10">
        <w:t xml:space="preserve">more </w:t>
      </w:r>
      <w:r w:rsidRPr="00461C10" w:rsidR="001D09A0">
        <w:t>than</w:t>
      </w:r>
      <w:r w:rsidRPr="00461C10" w:rsidR="006B1105">
        <w:t xml:space="preserve"> 10</w:t>
      </w:r>
      <w:r w:rsidRPr="00461C10" w:rsidR="00B44A33">
        <w:t xml:space="preserve"> </w:t>
      </w:r>
      <w:r w:rsidRPr="00461C10" w:rsidR="006B1105">
        <w:t xml:space="preserve">business days </w:t>
      </w:r>
      <w:r w:rsidRPr="00461C10" w:rsidR="000C2BD7">
        <w:t>if</w:t>
      </w:r>
      <w:r w:rsidRPr="00461C10" w:rsidR="00B949D6">
        <w:t xml:space="preserve"> the large electric IOU identifies</w:t>
      </w:r>
      <w:r w:rsidRPr="00461C10" w:rsidR="006B1105">
        <w:t xml:space="preserve"> </w:t>
      </w:r>
      <w:r w:rsidRPr="00461C10" w:rsidR="00F070BE">
        <w:t>and</w:t>
      </w:r>
      <w:r w:rsidRPr="00461C10" w:rsidR="00F104CC">
        <w:t xml:space="preserve"> provid</w:t>
      </w:r>
      <w:r w:rsidRPr="00461C10">
        <w:t>e the customer with</w:t>
      </w:r>
      <w:r w:rsidRPr="00461C10" w:rsidR="00F104CC">
        <w:t xml:space="preserve"> clear</w:t>
      </w:r>
      <w:r w:rsidRPr="00461C10" w:rsidR="006B1105">
        <w:t xml:space="preserve"> </w:t>
      </w:r>
      <w:r w:rsidRPr="00461C10" w:rsidR="00B44A33">
        <w:t xml:space="preserve">steps </w:t>
      </w:r>
      <w:r w:rsidRPr="00461C10" w:rsidR="00AB3B7B">
        <w:t>necessary</w:t>
      </w:r>
      <w:r w:rsidRPr="00461C10" w:rsidR="00B44A33">
        <w:t xml:space="preserve"> to </w:t>
      </w:r>
      <w:r w:rsidRPr="00461C10" w:rsidR="006B1105">
        <w:t xml:space="preserve">ensure a </w:t>
      </w:r>
      <w:r w:rsidRPr="00461C10" w:rsidR="002F31DB">
        <w:t xml:space="preserve">requested </w:t>
      </w:r>
      <w:r w:rsidRPr="00461C10" w:rsidR="006B1105">
        <w:t xml:space="preserve">project </w:t>
      </w:r>
      <w:r w:rsidRPr="00461C10" w:rsidR="00B44A33">
        <w:t xml:space="preserve">is not </w:t>
      </w:r>
      <w:r w:rsidRPr="00461C10" w:rsidR="006B1105">
        <w:t>cancel</w:t>
      </w:r>
      <w:r w:rsidRPr="00461C10" w:rsidR="00B44A33">
        <w:t>led</w:t>
      </w:r>
      <w:r w:rsidRPr="00461C10" w:rsidR="002F31DB">
        <w:t xml:space="preserve"> or delayed</w:t>
      </w:r>
      <w:r w:rsidRPr="00461C10" w:rsidR="006B1105">
        <w:t>.</w:t>
      </w:r>
    </w:p>
    <w:p w:rsidRPr="00461C10" w:rsidR="006B1105" w:rsidP="007B4742" w:rsidRDefault="001D09A0" w14:paraId="04CA6FBF" w14:textId="241519BE">
      <w:pPr>
        <w:pStyle w:val="ListBullet"/>
        <w:ind w:left="1080"/>
      </w:pPr>
      <w:r w:rsidRPr="00461C10">
        <w:t>The large electric IOU(s) must report</w:t>
      </w:r>
      <w:r w:rsidRPr="00461C10" w:rsidR="006B1105">
        <w:t xml:space="preserve"> </w:t>
      </w:r>
      <w:r w:rsidRPr="00461C10">
        <w:t xml:space="preserve">all </w:t>
      </w:r>
      <w:r w:rsidRPr="00461C10" w:rsidR="006B1105">
        <w:t xml:space="preserve">energization delay(s) </w:t>
      </w:r>
      <w:r w:rsidRPr="00461C10" w:rsidR="00B44A33">
        <w:t xml:space="preserve">and any associated </w:t>
      </w:r>
      <w:r w:rsidRPr="00461C10" w:rsidR="006B1105">
        <w:t>complaint resolution(s)</w:t>
      </w:r>
      <w:r w:rsidRPr="00461C10">
        <w:t xml:space="preserve"> in each biannual (every six months) report as directed in Section 10 of this decision, Annual Energization Reporting Requirements, and Appendix B of this decision, </w:t>
      </w:r>
      <w:r w:rsidRPr="00461C10">
        <w:rPr>
          <w:rFonts w:cs="Arial"/>
          <w:szCs w:val="26"/>
        </w:rPr>
        <w:t>Energization Target Reporting Template Requirements</w:t>
      </w:r>
      <w:r w:rsidRPr="00461C10" w:rsidR="00B44A33">
        <w:t>.</w:t>
      </w:r>
    </w:p>
    <w:p w:rsidRPr="00461C10" w:rsidR="004045D7" w:rsidP="007B4742" w:rsidRDefault="001D09A0" w14:paraId="76F46B91" w14:textId="4647ED9F">
      <w:pPr>
        <w:pStyle w:val="ListBullet"/>
        <w:ind w:left="1080"/>
      </w:pPr>
      <w:r w:rsidRPr="00461C10">
        <w:t>Each large electric</w:t>
      </w:r>
      <w:r w:rsidRPr="00461C10" w:rsidR="00B44A33">
        <w:t xml:space="preserve"> IOU shall n</w:t>
      </w:r>
      <w:r w:rsidRPr="00461C10" w:rsidR="006B1105">
        <w:t xml:space="preserve">otify the customer </w:t>
      </w:r>
      <w:r w:rsidRPr="00461C10">
        <w:t xml:space="preserve">requesting a new or upgraded electric service line of a change in their </w:t>
      </w:r>
      <w:r w:rsidRPr="00461C10" w:rsidR="006B1105">
        <w:t>account/project manager notifying th</w:t>
      </w:r>
      <w:r w:rsidRPr="00461C10" w:rsidR="0014549D">
        <w:t xml:space="preserve">eir employer (IOU) </w:t>
      </w:r>
      <w:r w:rsidRPr="00461C10">
        <w:t xml:space="preserve">within five days of the prior account/ project manager </w:t>
      </w:r>
      <w:r w:rsidRPr="00461C10" w:rsidR="003455FF">
        <w:t xml:space="preserve">providing the large </w:t>
      </w:r>
      <w:r w:rsidRPr="00461C10" w:rsidR="004045D7">
        <w:t xml:space="preserve">electric </w:t>
      </w:r>
      <w:r w:rsidRPr="00461C10" w:rsidR="003455FF">
        <w:t xml:space="preserve">IOU notice that </w:t>
      </w:r>
      <w:r w:rsidRPr="00461C10" w:rsidR="0014549D">
        <w:t xml:space="preserve">they are leaving their current position at the company. </w:t>
      </w:r>
    </w:p>
    <w:p w:rsidRPr="00461C10" w:rsidR="0079140B" w:rsidP="007B4742" w:rsidRDefault="0014549D" w14:paraId="0C979EC2" w14:textId="73012F26">
      <w:pPr>
        <w:pStyle w:val="ListBullet"/>
        <w:ind w:left="1080"/>
      </w:pPr>
      <w:r w:rsidRPr="00461C10">
        <w:t xml:space="preserve">The </w:t>
      </w:r>
      <w:r w:rsidRPr="00461C10" w:rsidR="004045D7">
        <w:t xml:space="preserve">large electric </w:t>
      </w:r>
      <w:r w:rsidRPr="00461C10" w:rsidR="00B44A33">
        <w:t>IOU</w:t>
      </w:r>
      <w:r w:rsidRPr="00461C10" w:rsidR="00E85783">
        <w:t>s</w:t>
      </w:r>
      <w:r w:rsidRPr="00461C10">
        <w:t xml:space="preserve"> must provide</w:t>
      </w:r>
      <w:r w:rsidRPr="00461C10" w:rsidR="006B1105">
        <w:t xml:space="preserve"> </w:t>
      </w:r>
      <w:r w:rsidRPr="00461C10" w:rsidR="004045D7">
        <w:t>all customers with outstanding requests for new or upgraded electric service with</w:t>
      </w:r>
      <w:r w:rsidRPr="00461C10" w:rsidR="006B1105">
        <w:t xml:space="preserve"> the contact information of the new account/project manager</w:t>
      </w:r>
      <w:r w:rsidRPr="00461C10">
        <w:t xml:space="preserve"> filling the</w:t>
      </w:r>
      <w:r w:rsidRPr="00461C10" w:rsidR="00B44A33">
        <w:t xml:space="preserve"> prior account/project manager</w:t>
      </w:r>
      <w:r w:rsidRPr="00461C10">
        <w:t xml:space="preserve"> role and</w:t>
      </w:r>
      <w:r w:rsidRPr="00461C10" w:rsidR="006B1105">
        <w:t xml:space="preserve"> ensure the new account/project manager is provide</w:t>
      </w:r>
      <w:r w:rsidRPr="00461C10" w:rsidR="00B44A33">
        <w:t>d</w:t>
      </w:r>
      <w:r w:rsidRPr="00461C10" w:rsidR="006B1105">
        <w:t xml:space="preserve"> full information on the details and status of each project at the time of their assignment.</w:t>
      </w:r>
    </w:p>
    <w:p w:rsidRPr="00461C10" w:rsidR="009908FA" w:rsidP="00B37200" w:rsidRDefault="00450D65" w14:paraId="13854FC1" w14:textId="414C3B12">
      <w:pPr>
        <w:pStyle w:val="Standard"/>
      </w:pPr>
      <w:r w:rsidRPr="00461C10">
        <w:lastRenderedPageBreak/>
        <w:t xml:space="preserve">This decision directs the </w:t>
      </w:r>
      <w:r w:rsidRPr="00461C10" w:rsidR="00DE1782">
        <w:t xml:space="preserve">large </w:t>
      </w:r>
      <w:r w:rsidRPr="00461C10" w:rsidR="004045D7">
        <w:t>electric</w:t>
      </w:r>
      <w:r w:rsidRPr="00461C10" w:rsidR="00DE1782">
        <w:t xml:space="preserve"> IOUs to submit a Tier 1 </w:t>
      </w:r>
      <w:r w:rsidRPr="00461C10" w:rsidR="00337754">
        <w:t xml:space="preserve">Advice Letter </w:t>
      </w:r>
      <w:r w:rsidRPr="00461C10" w:rsidR="00132E75">
        <w:t xml:space="preserve">within </w:t>
      </w:r>
      <w:r w:rsidRPr="00461C10" w:rsidR="00D94F27">
        <w:t>6</w:t>
      </w:r>
      <w:r w:rsidRPr="00461C10" w:rsidR="004A49C9">
        <w:t>0</w:t>
      </w:r>
      <w:r w:rsidRPr="00461C10" w:rsidR="00B424AB">
        <w:t> </w:t>
      </w:r>
      <w:r w:rsidRPr="00461C10" w:rsidR="004A49C9">
        <w:t>days of approval of this decision</w:t>
      </w:r>
      <w:r w:rsidRPr="00461C10" w:rsidR="00E60026">
        <w:t xml:space="preserve"> </w:t>
      </w:r>
      <w:r w:rsidRPr="00461C10" w:rsidR="00BE7F9A">
        <w:t>proposing a customer</w:t>
      </w:r>
      <w:r w:rsidRPr="00461C10" w:rsidR="00F104CC">
        <w:t xml:space="preserve"> </w:t>
      </w:r>
      <w:r w:rsidRPr="00461C10" w:rsidR="00BE7F9A">
        <w:t>engagement and communication plan. The plan</w:t>
      </w:r>
      <w:r w:rsidRPr="00461C10" w:rsidR="00487904">
        <w:t xml:space="preserve"> must</w:t>
      </w:r>
      <w:r w:rsidRPr="00461C10" w:rsidR="00337754">
        <w:t xml:space="preserve"> </w:t>
      </w:r>
      <w:r w:rsidRPr="00461C10" w:rsidR="00A7039E">
        <w:t>describ</w:t>
      </w:r>
      <w:r w:rsidRPr="00461C10" w:rsidR="00BE7F9A">
        <w:t>e</w:t>
      </w:r>
      <w:r w:rsidRPr="00461C10" w:rsidR="00A7039E">
        <w:t xml:space="preserve"> what existing </w:t>
      </w:r>
      <w:r w:rsidRPr="00461C10" w:rsidR="004877FB">
        <w:t xml:space="preserve">customer communication </w:t>
      </w:r>
      <w:r w:rsidRPr="00461C10" w:rsidR="00A7039E">
        <w:t xml:space="preserve">systems can be utilized </w:t>
      </w:r>
      <w:r w:rsidRPr="00461C10" w:rsidR="00B07B15">
        <w:t xml:space="preserve">to provide customers </w:t>
      </w:r>
      <w:r w:rsidRPr="00461C10" w:rsidR="00BF1991">
        <w:t xml:space="preserve">that file energization applications </w:t>
      </w:r>
      <w:r w:rsidRPr="00461C10" w:rsidR="00B07B15">
        <w:t xml:space="preserve">with more detailed information about the </w:t>
      </w:r>
      <w:r w:rsidRPr="00461C10" w:rsidR="008F2218">
        <w:t xml:space="preserve">energization process and the </w:t>
      </w:r>
      <w:r w:rsidRPr="00461C10" w:rsidR="00B07B15">
        <w:t>timing of their requests.</w:t>
      </w:r>
      <w:r w:rsidRPr="00461C10" w:rsidR="00F104CC">
        <w:t xml:space="preserve"> </w:t>
      </w:r>
      <w:bookmarkStart w:name="_Hlk173242113" w:id="60"/>
      <w:r w:rsidRPr="00461C10" w:rsidR="00F104CC">
        <w:t xml:space="preserve">The customer engagement and communication plan shall not only be used to improve customer outreach, but also be used by the </w:t>
      </w:r>
      <w:r w:rsidRPr="00461C10" w:rsidR="004127B7">
        <w:t xml:space="preserve">large electric </w:t>
      </w:r>
      <w:r w:rsidRPr="00461C10" w:rsidR="00F104CC">
        <w:t>IOUs to inform their recruiting, training, and retaining programs for employees needed to promptly respond to customer energization requests, pursuant to Pub. Util. Code §</w:t>
      </w:r>
      <w:r w:rsidRPr="00461C10" w:rsidR="00CE378E">
        <w:t xml:space="preserve"> </w:t>
      </w:r>
      <w:r w:rsidRPr="00461C10">
        <w:t>932(a)(9).</w:t>
      </w:r>
      <w:bookmarkEnd w:id="60"/>
      <w:r w:rsidRPr="00461C10">
        <w:t xml:space="preserve"> </w:t>
      </w:r>
      <w:r w:rsidRPr="00461C10" w:rsidR="009908FA">
        <w:t xml:space="preserve">The </w:t>
      </w:r>
      <w:r w:rsidRPr="00461C10">
        <w:t xml:space="preserve">large </w:t>
      </w:r>
      <w:r w:rsidRPr="00461C10" w:rsidR="004127B7">
        <w:t>electric</w:t>
      </w:r>
      <w:r w:rsidRPr="00461C10">
        <w:t xml:space="preserve"> </w:t>
      </w:r>
      <w:r w:rsidRPr="00461C10" w:rsidR="00F12B5B">
        <w:t>IOUs</w:t>
      </w:r>
      <w:r w:rsidRPr="00461C10" w:rsidR="009908FA">
        <w:t xml:space="preserve"> shall ensure all energization-related collateral and customer outreach efforts are developed in multiple languages for the communities within their service territories. </w:t>
      </w:r>
    </w:p>
    <w:p w:rsidRPr="00ED2109" w:rsidR="00E04578" w:rsidP="00ED2109" w:rsidRDefault="6A2D1E8C" w14:paraId="1A944320" w14:textId="080617FC">
      <w:pPr>
        <w:pStyle w:val="Standard"/>
      </w:pPr>
      <w:r w:rsidRPr="00ED2109">
        <w:t xml:space="preserve">As recommended by CalCCA, the large electric IOUs can alternatively develop a web portal to automate the process outlined above. If  the large electric IOUs opt for an online web portal, it shall include, at minimum: </w:t>
      </w:r>
    </w:p>
    <w:p w:rsidRPr="00ED2109" w:rsidR="00E04578" w:rsidP="00ED2109" w:rsidRDefault="6A2D1E8C" w14:paraId="4A07BF17" w14:textId="5488EF68">
      <w:pPr>
        <w:pStyle w:val="Standard"/>
        <w:numPr>
          <w:ilvl w:val="0"/>
          <w:numId w:val="35"/>
        </w:numPr>
        <w:spacing w:after="120" w:line="240" w:lineRule="auto"/>
        <w:ind w:left="1080" w:right="1440"/>
      </w:pPr>
      <w:r w:rsidRPr="00ED2109">
        <w:t>dynamic energization status updates that identify the step of the energization process the project is currently in</w:t>
      </w:r>
      <w:r w:rsidRPr="00ED2109" w:rsidR="00E04578">
        <w:t>;</w:t>
      </w:r>
      <w:r w:rsidRPr="00ED2109">
        <w:t xml:space="preserve"> </w:t>
      </w:r>
    </w:p>
    <w:p w:rsidRPr="00ED2109" w:rsidR="00E04578" w:rsidP="00ED2109" w:rsidRDefault="6A2D1E8C" w14:paraId="67EF1FE4" w14:textId="37A2A050">
      <w:pPr>
        <w:pStyle w:val="Standard"/>
        <w:numPr>
          <w:ilvl w:val="0"/>
          <w:numId w:val="35"/>
        </w:numPr>
        <w:spacing w:after="120" w:line="240" w:lineRule="auto"/>
        <w:ind w:left="1080" w:right="1440"/>
      </w:pPr>
      <w:r w:rsidRPr="00ED2109">
        <w:t>the total number of business and calendar days the energization project has been open, and the total number of business and calendar days the project has been pending in the individual energization step</w:t>
      </w:r>
      <w:r w:rsidRPr="00ED2109" w:rsidR="00E04578">
        <w:t>;</w:t>
      </w:r>
      <w:r w:rsidRPr="00ED2109">
        <w:t xml:space="preserve"> </w:t>
      </w:r>
    </w:p>
    <w:p w:rsidRPr="00ED2109" w:rsidR="00E04578" w:rsidP="00ED2109" w:rsidRDefault="6A2D1E8C" w14:paraId="3832EEA3" w14:textId="76C2E87A">
      <w:pPr>
        <w:pStyle w:val="Standard"/>
        <w:numPr>
          <w:ilvl w:val="0"/>
          <w:numId w:val="35"/>
        </w:numPr>
        <w:spacing w:after="120" w:line="240" w:lineRule="auto"/>
        <w:ind w:left="1080" w:right="1440"/>
      </w:pPr>
      <w:r w:rsidRPr="00ED2109">
        <w:t>direct communication pathways between the customer and large electric IOU project/account manager to discuss any outstanding questions and/or concerns regarding their project</w:t>
      </w:r>
      <w:r w:rsidRPr="00ED2109" w:rsidR="00E04578">
        <w:t>;</w:t>
      </w:r>
      <w:r w:rsidRPr="00ED2109">
        <w:t xml:space="preserve"> and </w:t>
      </w:r>
    </w:p>
    <w:p w:rsidRPr="00ED2109" w:rsidR="6A2D1E8C" w:rsidP="001D1428" w:rsidRDefault="6A2D1E8C" w14:paraId="03B732BB" w14:textId="6D5492EC">
      <w:pPr>
        <w:pStyle w:val="Standard"/>
        <w:numPr>
          <w:ilvl w:val="0"/>
          <w:numId w:val="35"/>
        </w:numPr>
        <w:spacing w:after="120" w:line="240" w:lineRule="auto"/>
        <w:ind w:left="1080" w:right="1440"/>
        <w:rPr>
          <w:sz w:val="20"/>
          <w:szCs w:val="20"/>
        </w:rPr>
      </w:pPr>
      <w:r w:rsidRPr="00ED2109">
        <w:t xml:space="preserve">information regarding the energization process, specifically, the adopted target timelines adopted in this decision, the party responsible for completing each step of the energization process, and what is needed to complete </w:t>
      </w:r>
      <w:r w:rsidRPr="00ED2109">
        <w:lastRenderedPageBreak/>
        <w:t>these steps, and how the energization timing tracking changes between the large electric IOU and the customer.</w:t>
      </w:r>
    </w:p>
    <w:p w:rsidRPr="00461C10" w:rsidR="003C35A4" w:rsidP="00346251" w:rsidRDefault="003C35A4" w14:paraId="783392EC" w14:textId="6A3E6243">
      <w:pPr>
        <w:pStyle w:val="Standard"/>
      </w:pPr>
      <w:r w:rsidRPr="00461C10">
        <w:t xml:space="preserve">Further, the </w:t>
      </w:r>
      <w:r w:rsidRPr="00461C10" w:rsidR="004127B7">
        <w:t xml:space="preserve">large electric </w:t>
      </w:r>
      <w:r w:rsidRPr="00461C10">
        <w:t xml:space="preserve">IOUs </w:t>
      </w:r>
      <w:r w:rsidRPr="00461C10" w:rsidR="00A37605">
        <w:t>customer-engagement and communication plan shall</w:t>
      </w:r>
      <w:r w:rsidRPr="00461C10">
        <w:t xml:space="preserve"> </w:t>
      </w:r>
      <w:r w:rsidRPr="00461C10" w:rsidR="000530C6">
        <w:t>include</w:t>
      </w:r>
      <w:r w:rsidRPr="00461C10">
        <w:t xml:space="preserve"> a tool</w:t>
      </w:r>
      <w:r w:rsidRPr="00461C10" w:rsidR="00587CBA">
        <w:t xml:space="preserve"> </w:t>
      </w:r>
      <w:r w:rsidRPr="00461C10">
        <w:t xml:space="preserve">that notifies individual customers when each step under the </w:t>
      </w:r>
      <w:r w:rsidRPr="00461C10" w:rsidR="004127B7">
        <w:t xml:space="preserve">large electric </w:t>
      </w:r>
      <w:r w:rsidRPr="00461C10">
        <w:t xml:space="preserve">IOU’s control, as described in </w:t>
      </w:r>
      <w:r w:rsidRPr="00461C10" w:rsidR="001E072B">
        <w:t xml:space="preserve">Section 7, Energization Targets, and Section 8, Upstream Capacity </w:t>
      </w:r>
      <w:r w:rsidRPr="00461C10" w:rsidR="001E052D">
        <w:t xml:space="preserve">Upgrade </w:t>
      </w:r>
      <w:r w:rsidRPr="00461C10" w:rsidR="001E072B">
        <w:t>Targets,</w:t>
      </w:r>
      <w:r w:rsidRPr="00461C10">
        <w:t xml:space="preserve"> above, is complete. This notification process </w:t>
      </w:r>
      <w:r w:rsidRPr="00461C10" w:rsidR="00487904">
        <w:t xml:space="preserve">must </w:t>
      </w:r>
      <w:r w:rsidRPr="00461C10">
        <w:t xml:space="preserve">not require incremental information technology or billing system upgrades; instead, it </w:t>
      </w:r>
      <w:r w:rsidRPr="00461C10" w:rsidR="00487904">
        <w:t xml:space="preserve">must </w:t>
      </w:r>
      <w:r w:rsidRPr="00461C10">
        <w:t xml:space="preserve">fall on the </w:t>
      </w:r>
      <w:r w:rsidRPr="00461C10" w:rsidR="004127B7">
        <w:t xml:space="preserve">large electric </w:t>
      </w:r>
      <w:r w:rsidRPr="00461C10">
        <w:t>IOUs to directly correspond with the customer once an energization application is received to (1) describe the adopted energization targets adopted in this decision, and (2) keep the customer informed about each stage of the energization process, as necessary. Should a</w:t>
      </w:r>
      <w:r w:rsidRPr="00461C10" w:rsidR="000C7575">
        <w:t xml:space="preserve"> large electric</w:t>
      </w:r>
      <w:r w:rsidRPr="00461C10">
        <w:t xml:space="preserve"> IOU determine it needs incremental funding to implement this notification process</w:t>
      </w:r>
      <w:r w:rsidRPr="00461C10" w:rsidR="00035785">
        <w:t xml:space="preserve"> or further meet the</w:t>
      </w:r>
      <w:r w:rsidRPr="00461C10" w:rsidR="00922CBC">
        <w:t xml:space="preserve"> customer outreach</w:t>
      </w:r>
      <w:r w:rsidRPr="00461C10" w:rsidR="00035785">
        <w:t xml:space="preserve"> requirements adopted in this decision</w:t>
      </w:r>
      <w:r w:rsidRPr="00461C10">
        <w:t xml:space="preserve">, it </w:t>
      </w:r>
      <w:r w:rsidRPr="00461C10" w:rsidR="00487904">
        <w:t xml:space="preserve">must </w:t>
      </w:r>
      <w:r w:rsidRPr="00461C10">
        <w:t>request a ratemaking mechanism to track and recover associated costs, pursuant to Pub. Util. Code §</w:t>
      </w:r>
      <w:r w:rsidRPr="00461C10" w:rsidR="00CE378E">
        <w:t xml:space="preserve"> </w:t>
      </w:r>
      <w:r w:rsidRPr="00461C10">
        <w:t>937.</w:t>
      </w:r>
    </w:p>
    <w:p w:rsidRPr="00461C10" w:rsidR="009908FA" w:rsidP="00B37200" w:rsidRDefault="009908FA" w14:paraId="7C5161B9" w14:textId="5F09C525">
      <w:pPr>
        <w:pStyle w:val="Standard"/>
      </w:pPr>
      <w:r w:rsidRPr="00461C10">
        <w:t>In developing their efforts to meet the adopted average and maximum energization targets</w:t>
      </w:r>
      <w:r w:rsidRPr="00461C10" w:rsidR="00BC676A">
        <w:t>, as discussed in Section 7</w:t>
      </w:r>
      <w:r w:rsidRPr="00461C10" w:rsidR="00281DA8">
        <w:t>,</w:t>
      </w:r>
      <w:r w:rsidRPr="00461C10" w:rsidR="00BC676A">
        <w:t xml:space="preserve"> Energization Targets,</w:t>
      </w:r>
      <w:r w:rsidRPr="00461C10">
        <w:t xml:space="preserve"> </w:t>
      </w:r>
      <w:r w:rsidRPr="00461C10" w:rsidR="00D70253">
        <w:t>and Section</w:t>
      </w:r>
      <w:r w:rsidR="003D0CBE">
        <w:t> </w:t>
      </w:r>
      <w:r w:rsidRPr="00461C10" w:rsidR="00D70253">
        <w:t xml:space="preserve">8, Upstream Capacity Upgrade Targets, </w:t>
      </w:r>
      <w:r w:rsidRPr="00461C10">
        <w:t>and to accelerate the energization process</w:t>
      </w:r>
      <w:r w:rsidRPr="00461C10" w:rsidR="00BC676A">
        <w:t xml:space="preserve"> going forward</w:t>
      </w:r>
      <w:r w:rsidRPr="00461C10">
        <w:t xml:space="preserve">, the </w:t>
      </w:r>
      <w:r w:rsidRPr="00461C10" w:rsidR="004127B7">
        <w:t xml:space="preserve">large electric </w:t>
      </w:r>
      <w:r w:rsidRPr="00461C10" w:rsidR="00482676">
        <w:t xml:space="preserve">IOUs </w:t>
      </w:r>
      <w:r w:rsidRPr="00461C10">
        <w:t xml:space="preserve">shall identify </w:t>
      </w:r>
      <w:r w:rsidRPr="00461C10" w:rsidR="008800D2">
        <w:t xml:space="preserve">any </w:t>
      </w:r>
      <w:r w:rsidRPr="00461C10">
        <w:t xml:space="preserve">unique barriers that cause delays to the energization process for projects located in and/or service ESJ communities. The </w:t>
      </w:r>
      <w:r w:rsidRPr="00461C10" w:rsidR="004127B7">
        <w:t>large electric</w:t>
      </w:r>
      <w:r w:rsidRPr="00461C10">
        <w:t xml:space="preserve"> </w:t>
      </w:r>
      <w:r w:rsidRPr="00461C10" w:rsidR="00482676">
        <w:t>IOUs</w:t>
      </w:r>
      <w:r w:rsidRPr="00461C10">
        <w:t xml:space="preserve"> shall include a description of these unique barriers within their </w:t>
      </w:r>
      <w:r w:rsidRPr="00461C10" w:rsidR="00BC676A">
        <w:t>e</w:t>
      </w:r>
      <w:r w:rsidRPr="00461C10">
        <w:t xml:space="preserve">nergization </w:t>
      </w:r>
      <w:r w:rsidRPr="00461C10" w:rsidR="00BC676A">
        <w:t>d</w:t>
      </w:r>
      <w:r w:rsidRPr="00461C10">
        <w:t xml:space="preserve">ata </w:t>
      </w:r>
      <w:r w:rsidRPr="00461C10" w:rsidR="00BC676A">
        <w:t>c</w:t>
      </w:r>
      <w:r w:rsidRPr="00461C10">
        <w:t xml:space="preserve">ollection and </w:t>
      </w:r>
      <w:r w:rsidRPr="00461C10" w:rsidR="00BC676A">
        <w:t>r</w:t>
      </w:r>
      <w:r w:rsidRPr="00461C10">
        <w:t xml:space="preserve">eporting </w:t>
      </w:r>
      <w:r w:rsidRPr="00461C10" w:rsidR="00BC676A">
        <w:t>e</w:t>
      </w:r>
      <w:r w:rsidRPr="00461C10">
        <w:t>fforts</w:t>
      </w:r>
      <w:r w:rsidRPr="00461C10" w:rsidR="00BC676A">
        <w:t>, as directed in this decision and outlined in Appendix B of this decision</w:t>
      </w:r>
      <w:r w:rsidRPr="00461C10" w:rsidR="00FA0C8E">
        <w:t xml:space="preserve">, </w:t>
      </w:r>
      <w:r w:rsidRPr="00461C10" w:rsidR="00FA0C8E">
        <w:rPr>
          <w:rFonts w:cs="Arial"/>
          <w:szCs w:val="26"/>
        </w:rPr>
        <w:t>Energization Target Reporting Template Requirements</w:t>
      </w:r>
      <w:r w:rsidRPr="00461C10" w:rsidR="00BC676A">
        <w:t xml:space="preserve">. In each annual report directed in this decision, the </w:t>
      </w:r>
      <w:r w:rsidRPr="00461C10" w:rsidR="004127B7">
        <w:t xml:space="preserve">large electric </w:t>
      </w:r>
      <w:r w:rsidRPr="00461C10" w:rsidR="00BC676A">
        <w:t xml:space="preserve">IOUs shall </w:t>
      </w:r>
      <w:r w:rsidRPr="00461C10">
        <w:t>discuss the efforts they’ve made to overcome barriers</w:t>
      </w:r>
      <w:r w:rsidRPr="00461C10" w:rsidR="00BC676A">
        <w:t xml:space="preserve"> and delays specific to ESJ communities</w:t>
      </w:r>
      <w:r w:rsidRPr="00461C10">
        <w:t xml:space="preserve"> and </w:t>
      </w:r>
      <w:r w:rsidRPr="00461C10" w:rsidR="00BC676A">
        <w:lastRenderedPageBreak/>
        <w:t xml:space="preserve">the steps </w:t>
      </w:r>
      <w:r w:rsidRPr="00461C10">
        <w:t>they have</w:t>
      </w:r>
      <w:r w:rsidRPr="00461C10" w:rsidR="00BC676A">
        <w:t xml:space="preserve"> taken to</w:t>
      </w:r>
      <w:r w:rsidRPr="00461C10">
        <w:t xml:space="preserve"> improve</w:t>
      </w:r>
      <w:r w:rsidRPr="00461C10" w:rsidR="00BC676A">
        <w:t xml:space="preserve"> the timing of providing new or upgraded electric service to ESJ communities</w:t>
      </w:r>
      <w:r w:rsidRPr="00461C10">
        <w:t>.</w:t>
      </w:r>
    </w:p>
    <w:p w:rsidRPr="00461C10" w:rsidR="001D3E2F" w:rsidP="00F60F40" w:rsidRDefault="007D1708" w14:paraId="271A5609" w14:textId="1A091187">
      <w:pPr>
        <w:pStyle w:val="Standard"/>
      </w:pPr>
      <w:r w:rsidRPr="00461C10">
        <w:t xml:space="preserve">Each </w:t>
      </w:r>
      <w:r w:rsidRPr="00461C10" w:rsidR="004127B7">
        <w:t>large electric</w:t>
      </w:r>
      <w:r w:rsidRPr="00461C10">
        <w:t xml:space="preserve"> IOUs’ </w:t>
      </w:r>
      <w:r w:rsidRPr="00461C10" w:rsidR="00106F79">
        <w:t xml:space="preserve">Tier 1 </w:t>
      </w:r>
      <w:r w:rsidRPr="00461C10" w:rsidR="00B07B15">
        <w:t xml:space="preserve">Advice Letter </w:t>
      </w:r>
      <w:r w:rsidRPr="00461C10" w:rsidR="00D47FC2">
        <w:t>proposing improved customer outreach</w:t>
      </w:r>
      <w:r w:rsidRPr="00461C10" w:rsidR="00F070BE">
        <w:t xml:space="preserve"> </w:t>
      </w:r>
      <w:r w:rsidRPr="00461C10" w:rsidR="00B07B15">
        <w:t xml:space="preserve">shall </w:t>
      </w:r>
      <w:r w:rsidRPr="00461C10">
        <w:t xml:space="preserve">also </w:t>
      </w:r>
      <w:r w:rsidRPr="00461C10" w:rsidR="00B07B15">
        <w:t xml:space="preserve">explain how </w:t>
      </w:r>
      <w:r w:rsidRPr="00461C10">
        <w:t xml:space="preserve">any </w:t>
      </w:r>
      <w:r w:rsidRPr="00461C10" w:rsidR="00B07B15">
        <w:t>existing</w:t>
      </w:r>
      <w:r w:rsidRPr="00461C10">
        <w:t xml:space="preserve"> customer outreach</w:t>
      </w:r>
      <w:r w:rsidRPr="00461C10" w:rsidR="00B07B15">
        <w:t xml:space="preserve"> systems </w:t>
      </w:r>
      <w:r w:rsidRPr="00461C10" w:rsidR="00E74E3C">
        <w:t>and customer notification processes</w:t>
      </w:r>
      <w:r w:rsidRPr="00461C10" w:rsidR="00B07B15">
        <w:t xml:space="preserve"> can be used to improve communication</w:t>
      </w:r>
      <w:r w:rsidRPr="00461C10" w:rsidR="00E74E3C">
        <w:t xml:space="preserve"> with customers seeking new or upgraded electric service(s</w:t>
      </w:r>
      <w:r w:rsidRPr="00461C10" w:rsidR="00B24A15">
        <w:t>)</w:t>
      </w:r>
      <w:r w:rsidRPr="00461C10" w:rsidR="00B07B15">
        <w:t>.</w:t>
      </w:r>
      <w:r w:rsidRPr="00461C10" w:rsidR="00415613">
        <w:t xml:space="preserve"> The goal of this Advice Letter is to</w:t>
      </w:r>
      <w:r w:rsidRPr="00461C10" w:rsidR="0012509D">
        <w:t xml:space="preserve"> ensure </w:t>
      </w:r>
      <w:r w:rsidRPr="00461C10">
        <w:t>each</w:t>
      </w:r>
      <w:r w:rsidRPr="00461C10" w:rsidR="0012509D">
        <w:t xml:space="preserve"> </w:t>
      </w:r>
      <w:r w:rsidRPr="00461C10" w:rsidR="004127B7">
        <w:t xml:space="preserve">large </w:t>
      </w:r>
      <w:r w:rsidRPr="00461C10" w:rsidR="0012509D">
        <w:t>electric IOUs’ customer-engagement and communication plans will lead to</w:t>
      </w:r>
      <w:r w:rsidRPr="00461C10" w:rsidR="00415613">
        <w:t xml:space="preserve"> </w:t>
      </w:r>
      <w:r w:rsidRPr="00461C10" w:rsidR="0012509D">
        <w:t>customers being provided</w:t>
      </w:r>
      <w:r w:rsidRPr="00461C10" w:rsidR="007B5BBB">
        <w:t xml:space="preserve"> with</w:t>
      </w:r>
      <w:r w:rsidRPr="00461C10" w:rsidR="00415613">
        <w:t xml:space="preserve"> more </w:t>
      </w:r>
      <w:r w:rsidRPr="00461C10" w:rsidR="009928B0">
        <w:t xml:space="preserve">clarity </w:t>
      </w:r>
      <w:r w:rsidRPr="00461C10" w:rsidR="00123D90">
        <w:t>on the</w:t>
      </w:r>
      <w:r w:rsidRPr="00461C10">
        <w:t>ir</w:t>
      </w:r>
      <w:r w:rsidRPr="00461C10" w:rsidR="00123D90">
        <w:t xml:space="preserve"> energization process</w:t>
      </w:r>
      <w:r w:rsidRPr="00461C10">
        <w:t>(es),</w:t>
      </w:r>
      <w:r w:rsidRPr="00461C10" w:rsidR="00123D90">
        <w:t xml:space="preserve"> </w:t>
      </w:r>
      <w:r w:rsidRPr="00461C10">
        <w:t xml:space="preserve">more </w:t>
      </w:r>
      <w:r w:rsidRPr="00461C10" w:rsidR="00415613">
        <w:t xml:space="preserve">certainty that their project’s progress is being tracked by the </w:t>
      </w:r>
      <w:r w:rsidRPr="00461C10" w:rsidR="000703F3">
        <w:t>IOU</w:t>
      </w:r>
      <w:r w:rsidRPr="00461C10">
        <w:t>,</w:t>
      </w:r>
      <w:r w:rsidRPr="00461C10" w:rsidR="000703F3">
        <w:t xml:space="preserve"> </w:t>
      </w:r>
      <w:r w:rsidRPr="00461C10" w:rsidR="00415613">
        <w:t xml:space="preserve">and </w:t>
      </w:r>
      <w:r w:rsidRPr="00461C10" w:rsidR="00201B55">
        <w:t xml:space="preserve">that </w:t>
      </w:r>
      <w:r w:rsidRPr="00461C10">
        <w:t>their project is moving</w:t>
      </w:r>
      <w:r w:rsidRPr="00461C10" w:rsidR="00201B55">
        <w:t xml:space="preserve"> forward even in times when there is little activity occurring. </w:t>
      </w:r>
      <w:r w:rsidRPr="00461C10" w:rsidR="00DB0A83">
        <w:t xml:space="preserve">The </w:t>
      </w:r>
      <w:r w:rsidRPr="00461C10" w:rsidR="004127B7">
        <w:t xml:space="preserve">large </w:t>
      </w:r>
      <w:r w:rsidRPr="00461C10" w:rsidR="00AD775D">
        <w:t>electric</w:t>
      </w:r>
      <w:r w:rsidRPr="00461C10" w:rsidR="00DB0A83">
        <w:t xml:space="preserve"> </w:t>
      </w:r>
      <w:r w:rsidRPr="00461C10">
        <w:t xml:space="preserve">IOUs’ </w:t>
      </w:r>
      <w:r w:rsidRPr="00461C10" w:rsidR="00905ED8">
        <w:t xml:space="preserve">Tier 1 </w:t>
      </w:r>
      <w:r w:rsidRPr="00461C10" w:rsidR="00DB0A83">
        <w:t>Advice Letter</w:t>
      </w:r>
      <w:r w:rsidRPr="00461C10">
        <w:t>s</w:t>
      </w:r>
      <w:r w:rsidRPr="00461C10" w:rsidR="00905ED8">
        <w:t xml:space="preserve"> to address improved customer outreach must</w:t>
      </w:r>
      <w:r w:rsidRPr="00461C10" w:rsidR="00DB0A83">
        <w:t>, at minimum, include the following:</w:t>
      </w:r>
    </w:p>
    <w:p w:rsidRPr="00461C10" w:rsidR="004127B7" w:rsidP="008328AC" w:rsidRDefault="00DB0A83" w14:paraId="2F385935" w14:textId="6095482A">
      <w:pPr>
        <w:pStyle w:val="2ndlevelbullet"/>
        <w:keepNext/>
        <w:ind w:left="1080"/>
      </w:pPr>
      <w:r w:rsidRPr="00461C10">
        <w:t xml:space="preserve">An explanation for how the </w:t>
      </w:r>
      <w:r w:rsidRPr="00461C10" w:rsidR="004127B7">
        <w:t xml:space="preserve">large electric IOU </w:t>
      </w:r>
      <w:r w:rsidRPr="00461C10">
        <w:t xml:space="preserve">will explain the scope of each step of the energization process adopted in </w:t>
      </w:r>
      <w:r w:rsidRPr="00461C10" w:rsidR="000D21D9">
        <w:t>Section 7</w:t>
      </w:r>
      <w:r w:rsidRPr="00461C10" w:rsidR="007D1708">
        <w:t xml:space="preserve"> of this decision</w:t>
      </w:r>
      <w:r w:rsidRPr="00461C10" w:rsidR="000D21D9">
        <w:t>, Energization Targets and Section 8</w:t>
      </w:r>
      <w:r w:rsidRPr="00461C10" w:rsidR="007D1708">
        <w:t xml:space="preserve"> of this decision</w:t>
      </w:r>
      <w:r w:rsidRPr="00461C10" w:rsidR="000D21D9">
        <w:t>, Upstream Capacity Upgrade Targets</w:t>
      </w:r>
      <w:r w:rsidRPr="00461C10" w:rsidR="0016238F">
        <w:t>.</w:t>
      </w:r>
      <w:r w:rsidRPr="00461C10" w:rsidR="00E2176A">
        <w:t xml:space="preserve"> </w:t>
      </w:r>
      <w:r w:rsidRPr="00461C10" w:rsidR="0016238F">
        <w:t xml:space="preserve">The explanation must include: </w:t>
      </w:r>
    </w:p>
    <w:p w:rsidR="008328AC" w:rsidP="008328AC" w:rsidRDefault="004127B7" w14:paraId="714F9E15" w14:textId="77777777">
      <w:pPr>
        <w:pStyle w:val="2ndsub"/>
        <w:ind w:left="1440"/>
      </w:pPr>
      <w:r w:rsidRPr="00461C10">
        <w:t>T</w:t>
      </w:r>
      <w:r w:rsidRPr="00461C10" w:rsidR="0016238F">
        <w:t>he party responsible for completing each step</w:t>
      </w:r>
      <w:r w:rsidRPr="00461C10" w:rsidR="00B9436A">
        <w:t xml:space="preserve"> of the energization process</w:t>
      </w:r>
      <w:r w:rsidRPr="00461C10" w:rsidR="00FA3A60">
        <w:t>;</w:t>
      </w:r>
    </w:p>
    <w:p w:rsidR="008328AC" w:rsidP="008328AC" w:rsidRDefault="008328AC" w14:paraId="58468C50" w14:textId="63432EC5">
      <w:pPr>
        <w:pStyle w:val="2ndsub"/>
        <w:ind w:left="1440"/>
      </w:pPr>
      <w:r w:rsidRPr="008328AC">
        <w:t>The documentation the large electric IOU will need from the customer and/or third party to demonstrate a step that is not fully within the large electric IOU’s control is complete;</w:t>
      </w:r>
    </w:p>
    <w:p w:rsidR="008328AC" w:rsidP="008328AC" w:rsidRDefault="008328AC" w14:paraId="6114DA43" w14:textId="602B1947">
      <w:pPr>
        <w:pStyle w:val="2ndsub"/>
        <w:ind w:left="1440"/>
      </w:pPr>
      <w:r w:rsidRPr="008328AC">
        <w:t>How the large electric IOU will communicate to the customer when a step fully within the large electric IOU’s control is completed; and</w:t>
      </w:r>
    </w:p>
    <w:p w:rsidR="008328AC" w:rsidP="008328AC" w:rsidRDefault="008328AC" w14:paraId="57287CDB" w14:textId="667F304D">
      <w:pPr>
        <w:pStyle w:val="2ndsub"/>
        <w:ind w:left="1440"/>
      </w:pPr>
      <w:r w:rsidRPr="008328AC">
        <w:t>How the large electric IOU will communicate the identification of a delay(s) and, if the delay is on any step that is fully within the large electric IOU’s control, the process to resolve the delay.</w:t>
      </w:r>
    </w:p>
    <w:p w:rsidRPr="00461C10" w:rsidR="0020332C" w:rsidP="008328AC" w:rsidRDefault="00B244A6" w14:paraId="163EC40B" w14:textId="5A33F60C">
      <w:pPr>
        <w:pStyle w:val="2ndlevelbullet"/>
        <w:keepNext/>
        <w:ind w:left="1080"/>
      </w:pPr>
      <w:r w:rsidRPr="00461C10">
        <w:lastRenderedPageBreak/>
        <w:t>An explanation for how the adopted average and maximum energization targets apply to each project, including:</w:t>
      </w:r>
    </w:p>
    <w:p w:rsidRPr="00461C10" w:rsidR="00B244A6" w:rsidP="008328AC" w:rsidRDefault="00F33610" w14:paraId="2D2CFE58" w14:textId="18C76234">
      <w:pPr>
        <w:pStyle w:val="2ndsub"/>
        <w:numPr>
          <w:ilvl w:val="0"/>
          <w:numId w:val="38"/>
        </w:numPr>
        <w:ind w:left="1440"/>
      </w:pPr>
      <w:r w:rsidRPr="00461C10">
        <w:t>How the IOU will communicate the expected timing for the customer</w:t>
      </w:r>
      <w:r w:rsidRPr="00461C10" w:rsidR="009E33B9">
        <w:t>/third-party/</w:t>
      </w:r>
      <w:r w:rsidRPr="00461C10" w:rsidR="004127B7">
        <w:t xml:space="preserve">large electric </w:t>
      </w:r>
      <w:r w:rsidRPr="00461C10" w:rsidR="009E33B9">
        <w:t xml:space="preserve">IOU </w:t>
      </w:r>
      <w:r w:rsidRPr="00461C10" w:rsidR="00A11ECE">
        <w:t>to complete their step(s)</w:t>
      </w:r>
      <w:r w:rsidRPr="00461C10" w:rsidR="00F03DD2">
        <w:t xml:space="preserve"> in the energization process.</w:t>
      </w:r>
    </w:p>
    <w:p w:rsidRPr="00461C10" w:rsidR="00F03DD2" w:rsidP="008328AC" w:rsidRDefault="0012509D" w14:paraId="642925DD" w14:textId="41FD7897">
      <w:pPr>
        <w:pStyle w:val="2ndsub"/>
        <w:numPr>
          <w:ilvl w:val="0"/>
          <w:numId w:val="38"/>
        </w:numPr>
        <w:ind w:left="1440"/>
      </w:pPr>
      <w:r w:rsidRPr="00461C10">
        <w:t>An outline of t</w:t>
      </w:r>
      <w:r w:rsidRPr="00461C10" w:rsidR="00F03DD2">
        <w:t>he differen</w:t>
      </w:r>
      <w:r w:rsidRPr="00461C10" w:rsidR="00A20562">
        <w:t>t timing needs to complete non-tariff, tariff, and upstream capacity energization project</w:t>
      </w:r>
      <w:r w:rsidRPr="00461C10" w:rsidR="0069695D">
        <w:t xml:space="preserve">s (e.g., the inherent </w:t>
      </w:r>
      <w:r w:rsidRPr="00461C10" w:rsidR="00D21470">
        <w:t xml:space="preserve">need of a multi-year process to complete an </w:t>
      </w:r>
      <w:r w:rsidRPr="00461C10" w:rsidR="00304913">
        <w:t>upstream capacity project and how this impacts a tariff-based upgrade).</w:t>
      </w:r>
    </w:p>
    <w:p w:rsidRPr="00461C10" w:rsidR="00304913" w:rsidP="008328AC" w:rsidRDefault="00F209AF" w14:paraId="5D67D4F2" w14:textId="17392852">
      <w:pPr>
        <w:pStyle w:val="2ndsub"/>
        <w:numPr>
          <w:ilvl w:val="0"/>
          <w:numId w:val="38"/>
        </w:numPr>
        <w:ind w:left="1440"/>
      </w:pPr>
      <w:r w:rsidRPr="00461C10">
        <w:t>An explanation of how the site’s/project’s characteristics</w:t>
      </w:r>
      <w:r w:rsidRPr="00461C10" w:rsidR="002C014D">
        <w:t xml:space="preserve"> (</w:t>
      </w:r>
      <w:r w:rsidRPr="00461C10" w:rsidR="001850D4">
        <w:t xml:space="preserve">i.e., </w:t>
      </w:r>
      <w:r w:rsidRPr="00461C10" w:rsidR="00DC7040">
        <w:t xml:space="preserve">geographic barriers that impact </w:t>
      </w:r>
      <w:r w:rsidRPr="00461C10" w:rsidR="00AA0EE8">
        <w:t>the speed of trenching, local permitti</w:t>
      </w:r>
      <w:r w:rsidRPr="00461C10" w:rsidR="006E468F">
        <w:t xml:space="preserve">ng barriers, </w:t>
      </w:r>
      <w:r w:rsidRPr="00461C10" w:rsidR="00D81E97">
        <w:t xml:space="preserve">lack of known </w:t>
      </w:r>
      <w:r w:rsidRPr="00461C10" w:rsidR="00E41082">
        <w:t>upstream capacity availability, etc.)</w:t>
      </w:r>
      <w:r w:rsidRPr="00461C10">
        <w:t xml:space="preserve"> </w:t>
      </w:r>
      <w:r w:rsidRPr="00461C10" w:rsidR="002C014D">
        <w:t>may impact the timing needed to complete the customer’s energization request.</w:t>
      </w:r>
    </w:p>
    <w:p w:rsidRPr="00461C10" w:rsidR="00657586" w:rsidP="008328AC" w:rsidRDefault="00BB0BCE" w14:paraId="5BA7F9B6" w14:textId="2BEF9D67">
      <w:pPr>
        <w:pStyle w:val="2ndsub"/>
        <w:numPr>
          <w:ilvl w:val="0"/>
          <w:numId w:val="38"/>
        </w:numPr>
        <w:ind w:left="1440"/>
      </w:pPr>
      <w:r w:rsidRPr="00461C10">
        <w:t xml:space="preserve">An explanation for how the </w:t>
      </w:r>
      <w:r w:rsidRPr="00461C10" w:rsidR="004127B7">
        <w:t xml:space="preserve">large electric </w:t>
      </w:r>
      <w:r w:rsidRPr="00461C10">
        <w:t xml:space="preserve">IOU </w:t>
      </w:r>
      <w:r w:rsidRPr="00461C10" w:rsidR="00F21972">
        <w:t>will timely and clearly communicate an expected delay(s) to the customer</w:t>
      </w:r>
      <w:r w:rsidRPr="00461C10" w:rsidR="00BC09DE">
        <w:t>, and how</w:t>
      </w:r>
      <w:r w:rsidRPr="00461C10" w:rsidR="00F21972">
        <w:t xml:space="preserve"> the delay will be </w:t>
      </w:r>
      <w:r w:rsidRPr="00461C10" w:rsidR="00F5454A">
        <w:t>addressed</w:t>
      </w:r>
      <w:r w:rsidRPr="00461C10" w:rsidR="00657586">
        <w:t>.</w:t>
      </w:r>
      <w:r w:rsidRPr="00461C10" w:rsidR="00F5454A">
        <w:t xml:space="preserve"> </w:t>
      </w:r>
    </w:p>
    <w:p w:rsidRPr="00461C10" w:rsidR="00BB0BCE" w:rsidP="008328AC" w:rsidRDefault="00657586" w14:paraId="2F688774" w14:textId="266D5F39">
      <w:pPr>
        <w:pStyle w:val="2ndsub"/>
        <w:numPr>
          <w:ilvl w:val="0"/>
          <w:numId w:val="38"/>
        </w:numPr>
        <w:ind w:left="1440"/>
      </w:pPr>
      <w:r w:rsidRPr="00461C10">
        <w:t xml:space="preserve">When a delay occurs within a step that is fully within the </w:t>
      </w:r>
      <w:r w:rsidRPr="00461C10" w:rsidR="00BC09DE">
        <w:t xml:space="preserve">large electric </w:t>
      </w:r>
      <w:r w:rsidRPr="00461C10">
        <w:t xml:space="preserve">IOU’s control, the </w:t>
      </w:r>
      <w:r w:rsidRPr="00461C10" w:rsidR="00BC09DE">
        <w:t xml:space="preserve">large electric </w:t>
      </w:r>
      <w:r w:rsidRPr="00461C10">
        <w:t xml:space="preserve">IOU shall provide customers with clear information about </w:t>
      </w:r>
      <w:r w:rsidRPr="00461C10" w:rsidR="00F5454A">
        <w:t xml:space="preserve">how long </w:t>
      </w:r>
      <w:r w:rsidRPr="00461C10">
        <w:t>the delay will take to remedy</w:t>
      </w:r>
      <w:r w:rsidRPr="00461C10" w:rsidR="00F5454A">
        <w:t>.</w:t>
      </w:r>
    </w:p>
    <w:p w:rsidRPr="001D1428" w:rsidR="0B5E51C1" w:rsidP="008328AC" w:rsidRDefault="0B5E51C1" w14:paraId="40E4FD9F" w14:textId="5677C9AD">
      <w:pPr>
        <w:pStyle w:val="2ndlevelbullet"/>
        <w:keepNext/>
        <w:ind w:left="1080"/>
        <w:rPr>
          <w:rFonts w:eastAsia="Book Antiqua" w:cs="Book Antiqua"/>
          <w:szCs w:val="26"/>
        </w:rPr>
      </w:pPr>
      <w:r w:rsidRPr="008328AC">
        <w:rPr>
          <w:rFonts w:eastAsia="Book Antiqua" w:cs="Book Antiqua"/>
          <w:szCs w:val="26"/>
        </w:rPr>
        <w:t xml:space="preserve">If </w:t>
      </w:r>
      <w:r w:rsidRPr="008328AC">
        <w:t>opting</w:t>
      </w:r>
      <w:r w:rsidRPr="008328AC">
        <w:rPr>
          <w:rFonts w:eastAsia="Book Antiqua" w:cs="Book Antiqua"/>
          <w:szCs w:val="26"/>
        </w:rPr>
        <w:t xml:space="preserve"> to develop an online web portal, an explanation of the following:</w:t>
      </w:r>
    </w:p>
    <w:p w:rsidRPr="008328AC" w:rsidR="0B5E51C1" w:rsidP="001D1428" w:rsidRDefault="0B5E51C1" w14:paraId="226C4537" w14:textId="64040882">
      <w:pPr>
        <w:pStyle w:val="2ndsub"/>
        <w:numPr>
          <w:ilvl w:val="0"/>
          <w:numId w:val="44"/>
        </w:numPr>
        <w:ind w:left="1440"/>
      </w:pPr>
      <w:r w:rsidRPr="008328AC">
        <w:t>The process(es) to develop the online web portal.</w:t>
      </w:r>
    </w:p>
    <w:p w:rsidRPr="001D1428" w:rsidR="0B5E51C1" w:rsidP="001D1428" w:rsidRDefault="0B5E51C1" w14:paraId="6B20E42E" w14:textId="7CA4054F">
      <w:pPr>
        <w:pStyle w:val="2ndsub"/>
        <w:numPr>
          <w:ilvl w:val="0"/>
          <w:numId w:val="44"/>
        </w:numPr>
        <w:ind w:left="1440"/>
        <w:rPr>
          <w:rFonts w:eastAsia="Book Antiqua" w:cs="Book Antiqua"/>
          <w:szCs w:val="26"/>
        </w:rPr>
      </w:pPr>
      <w:r w:rsidRPr="008328AC">
        <w:rPr>
          <w:rFonts w:eastAsia="Book Antiqua" w:cs="Book Antiqua"/>
          <w:szCs w:val="26"/>
        </w:rPr>
        <w:t xml:space="preserve">The </w:t>
      </w:r>
      <w:r w:rsidRPr="008328AC">
        <w:t>information</w:t>
      </w:r>
      <w:r w:rsidRPr="008328AC">
        <w:rPr>
          <w:rFonts w:eastAsia="Book Antiqua" w:cs="Book Antiqua"/>
          <w:szCs w:val="26"/>
        </w:rPr>
        <w:t xml:space="preserve"> that will be presented to customers and how it will be presented.</w:t>
      </w:r>
    </w:p>
    <w:p w:rsidRPr="001D1428" w:rsidR="0B5E51C1" w:rsidP="001D1428" w:rsidRDefault="0B5E51C1" w14:paraId="58EF4667" w14:textId="6715C935">
      <w:pPr>
        <w:pStyle w:val="2ndsub"/>
        <w:numPr>
          <w:ilvl w:val="0"/>
          <w:numId w:val="44"/>
        </w:numPr>
        <w:ind w:left="1440"/>
        <w:rPr>
          <w:rFonts w:eastAsia="Book Antiqua" w:cs="Book Antiqua"/>
          <w:szCs w:val="26"/>
        </w:rPr>
      </w:pPr>
      <w:r w:rsidRPr="008328AC">
        <w:t>How</w:t>
      </w:r>
      <w:r w:rsidRPr="008328AC">
        <w:rPr>
          <w:rFonts w:eastAsia="Book Antiqua" w:cs="Book Antiqua"/>
          <w:szCs w:val="26"/>
        </w:rPr>
        <w:t xml:space="preserve"> </w:t>
      </w:r>
      <w:r w:rsidRPr="008328AC">
        <w:t>long</w:t>
      </w:r>
      <w:r w:rsidRPr="008328AC">
        <w:rPr>
          <w:rFonts w:eastAsia="Book Antiqua" w:cs="Book Antiqua"/>
          <w:szCs w:val="26"/>
        </w:rPr>
        <w:t xml:space="preserve"> it will take for the large electric IOU to develop the online web portal.</w:t>
      </w:r>
    </w:p>
    <w:p w:rsidRPr="008328AC" w:rsidR="69AD9DA9" w:rsidP="001D1428" w:rsidRDefault="0B5E51C1" w14:paraId="62809A30" w14:textId="17BCADF4">
      <w:pPr>
        <w:pStyle w:val="2ndsub"/>
        <w:numPr>
          <w:ilvl w:val="0"/>
          <w:numId w:val="44"/>
        </w:numPr>
        <w:ind w:left="1440"/>
        <w:rPr>
          <w:rFonts w:eastAsia="Book Antiqua" w:cs="Book Antiqua"/>
          <w:szCs w:val="26"/>
        </w:rPr>
      </w:pPr>
      <w:r w:rsidRPr="008328AC">
        <w:rPr>
          <w:rFonts w:eastAsia="Book Antiqua" w:cs="Book Antiqua"/>
          <w:szCs w:val="26"/>
        </w:rPr>
        <w:t xml:space="preserve">The total expected costs to develop, operate, and </w:t>
      </w:r>
      <w:r w:rsidRPr="008328AC">
        <w:t>maintain</w:t>
      </w:r>
      <w:r w:rsidRPr="008328AC">
        <w:rPr>
          <w:rFonts w:eastAsia="Book Antiqua" w:cs="Book Antiqua"/>
          <w:szCs w:val="26"/>
        </w:rPr>
        <w:t xml:space="preserve"> the online web portal.</w:t>
      </w:r>
    </w:p>
    <w:p w:rsidRPr="00461C10" w:rsidR="00B0163C" w:rsidP="009F794F" w:rsidRDefault="00266492" w14:paraId="77B6788D" w14:textId="11712AC3">
      <w:pPr>
        <w:pStyle w:val="Heading1"/>
      </w:pPr>
      <w:bookmarkStart w:name="_Toc845463243" w:id="61"/>
      <w:bookmarkStart w:name="_Toc177469357" w:id="62"/>
      <w:bookmarkEnd w:id="56"/>
      <w:r w:rsidRPr="00461C10">
        <w:lastRenderedPageBreak/>
        <w:t>Timing of Compliance with Energization</w:t>
      </w:r>
      <w:r w:rsidRPr="00461C10" w:rsidR="00F070BE">
        <w:t xml:space="preserve"> </w:t>
      </w:r>
      <w:r w:rsidRPr="00461C10" w:rsidR="00BF7B27">
        <w:t>T</w:t>
      </w:r>
      <w:r w:rsidRPr="00461C10" w:rsidR="274A8C1E">
        <w:t>argets</w:t>
      </w:r>
      <w:bookmarkEnd w:id="61"/>
      <w:bookmarkEnd w:id="62"/>
      <w:r w:rsidRPr="00461C10" w:rsidR="274A8C1E">
        <w:t xml:space="preserve"> </w:t>
      </w:r>
    </w:p>
    <w:p w:rsidRPr="00461C10" w:rsidR="00C24B84" w:rsidP="00AE10B9" w:rsidRDefault="0012509D" w14:paraId="4A688666" w14:textId="34A13F21">
      <w:pPr>
        <w:pStyle w:val="Standard"/>
      </w:pPr>
      <w:r w:rsidRPr="00461C10">
        <w:t>Issue 9 of the Scoping Memo</w:t>
      </w:r>
      <w:r w:rsidRPr="00461C10" w:rsidR="00AD2537">
        <w:t xml:space="preserve"> </w:t>
      </w:r>
      <w:r w:rsidRPr="00461C10" w:rsidR="001B3743">
        <w:t>discusses the Commission</w:t>
      </w:r>
      <w:r w:rsidRPr="00461C10" w:rsidR="005831D1">
        <w:t xml:space="preserve">’s potential to </w:t>
      </w:r>
      <w:r w:rsidRPr="00461C10" w:rsidR="001B3743">
        <w:t xml:space="preserve">adopt </w:t>
      </w:r>
      <w:r w:rsidRPr="00461C10" w:rsidR="00925AAC">
        <w:t xml:space="preserve">energization targets </w:t>
      </w:r>
      <w:r w:rsidRPr="00461C10" w:rsidR="001B3743">
        <w:t>that are</w:t>
      </w:r>
      <w:r w:rsidRPr="00461C10" w:rsidR="00925AAC">
        <w:t xml:space="preserve"> phased over time</w:t>
      </w:r>
      <w:r w:rsidRPr="00461C10" w:rsidR="001B3743">
        <w:t xml:space="preserve">, such that acceleration could occur once more data is collected regarding the status of the </w:t>
      </w:r>
      <w:r w:rsidRPr="00461C10" w:rsidR="000E037A">
        <w:t xml:space="preserve">large electric </w:t>
      </w:r>
      <w:r w:rsidRPr="00461C10" w:rsidR="001B3743">
        <w:t>IOUs’ energization processes</w:t>
      </w:r>
      <w:r w:rsidRPr="00461C10" w:rsidR="00860848">
        <w:t xml:space="preserve">. </w:t>
      </w:r>
      <w:r w:rsidRPr="00461C10" w:rsidR="00111906">
        <w:t xml:space="preserve">AEU, SCE, SDG&amp;E, and Terawatt </w:t>
      </w:r>
      <w:r w:rsidRPr="00461C10" w:rsidR="00063E89">
        <w:t>all provide comments in support of phasing, while Auto Innovators, CalBroadband, CALSTART</w:t>
      </w:r>
      <w:r w:rsidRPr="00461C10" w:rsidR="00681B5F">
        <w:t xml:space="preserve">, CMTA, EDF/NRDC, </w:t>
      </w:r>
      <w:r w:rsidRPr="00461C10" w:rsidR="005A50F7">
        <w:t>Joint E</w:t>
      </w:r>
      <w:r w:rsidRPr="00461C10" w:rsidR="00510241">
        <w:t>V</w:t>
      </w:r>
      <w:r w:rsidRPr="00461C10" w:rsidR="005A50F7">
        <w:t xml:space="preserve"> Industry, </w:t>
      </w:r>
      <w:r w:rsidRPr="00461C10" w:rsidR="001B4721">
        <w:t>and PG&amp;E</w:t>
      </w:r>
      <w:r w:rsidRPr="00461C10" w:rsidR="00425499">
        <w:t xml:space="preserve"> oppose phasing.</w:t>
      </w:r>
    </w:p>
    <w:p w:rsidRPr="00461C10" w:rsidR="00FB5B59" w:rsidP="00AE10B9" w:rsidRDefault="00510241" w14:paraId="1DEE15B1" w14:textId="6D1D2E82">
      <w:pPr>
        <w:pStyle w:val="Standard"/>
      </w:pPr>
      <w:r w:rsidRPr="00461C10">
        <w:t>A</w:t>
      </w:r>
      <w:r w:rsidRPr="00461C10" w:rsidR="00427A62">
        <w:t xml:space="preserve">EU provides that the Commission </w:t>
      </w:r>
      <w:r w:rsidRPr="00461C10" w:rsidR="004F04ED">
        <w:t>should</w:t>
      </w:r>
      <w:r w:rsidRPr="00461C10" w:rsidR="00427A62">
        <w:t xml:space="preserve"> consider setting </w:t>
      </w:r>
      <w:r w:rsidRPr="00461C10" w:rsidR="004F04ED">
        <w:t>multi-year target pathways that become more stringent over time with learning and dedication</w:t>
      </w:r>
      <w:r w:rsidRPr="00461C10" w:rsidR="004C0FB8">
        <w:t xml:space="preserve"> of resources</w:t>
      </w:r>
      <w:r w:rsidRPr="00461C10" w:rsidR="00F54BCB">
        <w:t xml:space="preserve">; </w:t>
      </w:r>
      <w:r w:rsidRPr="00461C10" w:rsidR="006600A8">
        <w:t xml:space="preserve">a multi-year phased target provides visibility to the </w:t>
      </w:r>
      <w:r w:rsidRPr="00461C10" w:rsidR="000703F3">
        <w:t xml:space="preserve">IOU </w:t>
      </w:r>
      <w:r w:rsidRPr="00461C10" w:rsidR="006600A8">
        <w:t>about its future performance expectations, while allowing for annual review and adjustment.</w:t>
      </w:r>
      <w:r w:rsidRPr="00461C10" w:rsidR="006600A8">
        <w:rPr>
          <w:rStyle w:val="FootnoteReference"/>
        </w:rPr>
        <w:footnoteReference w:id="108"/>
      </w:r>
      <w:r w:rsidRPr="00461C10" w:rsidR="00617815">
        <w:t xml:space="preserve"> Similarly,</w:t>
      </w:r>
      <w:r w:rsidRPr="00461C10" w:rsidR="00B9064C">
        <w:t xml:space="preserve"> SCE </w:t>
      </w:r>
      <w:r w:rsidRPr="00461C10" w:rsidR="00BD5828">
        <w:t xml:space="preserve">believes the Commission should delay the effective date of the adopted energization timelines and implementation of annual reporting requirements to allow the </w:t>
      </w:r>
      <w:r w:rsidRPr="00461C10" w:rsidR="000E037A">
        <w:t xml:space="preserve">large electric </w:t>
      </w:r>
      <w:r w:rsidRPr="00461C10" w:rsidR="00BD5828">
        <w:t>IOUs sufficient time to operationalize th</w:t>
      </w:r>
      <w:r w:rsidRPr="00461C10" w:rsidR="005213B0">
        <w:t>e new requirements and modify their data systems.</w:t>
      </w:r>
      <w:r w:rsidRPr="00461C10" w:rsidR="005213B0">
        <w:rPr>
          <w:rStyle w:val="FootnoteReference"/>
        </w:rPr>
        <w:footnoteReference w:id="109"/>
      </w:r>
      <w:r w:rsidRPr="00461C10" w:rsidR="00AF67D9">
        <w:t xml:space="preserve"> Terawatt supports a phased-in approach but notes that, as discussed above, the Commission and </w:t>
      </w:r>
      <w:r w:rsidRPr="00461C10" w:rsidR="000E037A">
        <w:t xml:space="preserve">large electric </w:t>
      </w:r>
      <w:r w:rsidRPr="00461C10" w:rsidR="00AF67D9">
        <w:t xml:space="preserve">IOUs should prioritize phasing in energization targets for </w:t>
      </w:r>
      <w:r w:rsidRPr="00461C10" w:rsidR="002D0DCB">
        <w:t>medium/heavy duty</w:t>
      </w:r>
      <w:r w:rsidRPr="00461C10" w:rsidR="00AF67D9">
        <w:t xml:space="preserve"> EV charging infrastructure projects.</w:t>
      </w:r>
      <w:r w:rsidRPr="00461C10" w:rsidR="00CD5575">
        <w:rPr>
          <w:rStyle w:val="FootnoteReference"/>
        </w:rPr>
        <w:footnoteReference w:id="110"/>
      </w:r>
      <w:r w:rsidRPr="00461C10" w:rsidR="009B73B0">
        <w:t xml:space="preserve"> SDG&amp;E </w:t>
      </w:r>
      <w:r w:rsidRPr="00461C10" w:rsidR="007D2D9C">
        <w:t xml:space="preserve">believes phased targets </w:t>
      </w:r>
      <w:r w:rsidRPr="00461C10" w:rsidR="00814AAD">
        <w:t xml:space="preserve">will </w:t>
      </w:r>
      <w:r w:rsidRPr="00461C10" w:rsidR="00742A02">
        <w:t xml:space="preserve">allow for internal </w:t>
      </w:r>
      <w:r w:rsidRPr="00461C10" w:rsidR="00632651">
        <w:t xml:space="preserve">process and system changes, additional training to comply with new process and reporting requirements, and continuous learning and change implementations to improve the </w:t>
      </w:r>
      <w:r w:rsidRPr="00461C10" w:rsidR="000E037A">
        <w:t xml:space="preserve">large electric </w:t>
      </w:r>
      <w:r w:rsidRPr="00461C10" w:rsidR="009D7070">
        <w:t xml:space="preserve">IOUs’ </w:t>
      </w:r>
      <w:r w:rsidRPr="00461C10" w:rsidR="00632651">
        <w:t>ability to meet timeline targets and comply with reporting requirements.</w:t>
      </w:r>
      <w:r w:rsidRPr="00461C10" w:rsidR="00632651">
        <w:rPr>
          <w:rStyle w:val="FootnoteReference"/>
        </w:rPr>
        <w:footnoteReference w:id="111"/>
      </w:r>
    </w:p>
    <w:p w:rsidRPr="00461C10" w:rsidR="00425499" w:rsidP="00AE10B9" w:rsidRDefault="001F21C5" w14:paraId="2476AB78" w14:textId="42DB7D35">
      <w:pPr>
        <w:pStyle w:val="Standard"/>
      </w:pPr>
      <w:r w:rsidRPr="00461C10">
        <w:lastRenderedPageBreak/>
        <w:t>Auto Innovators</w:t>
      </w:r>
      <w:r w:rsidRPr="00461C10" w:rsidR="00EC3BF4">
        <w:t xml:space="preserve"> pushes for </w:t>
      </w:r>
      <w:r w:rsidRPr="00461C10" w:rsidR="00BA2167">
        <w:t>non-phased</w:t>
      </w:r>
      <w:r w:rsidRPr="00461C10" w:rsidR="00B24CB6">
        <w:t xml:space="preserve"> energization timelines that are effective immediately.</w:t>
      </w:r>
      <w:r w:rsidRPr="00461C10" w:rsidR="00B24CB6">
        <w:rPr>
          <w:rStyle w:val="FootnoteReference"/>
        </w:rPr>
        <w:footnoteReference w:id="112"/>
      </w:r>
      <w:r w:rsidRPr="00461C10" w:rsidR="003A4C3A">
        <w:t xml:space="preserve"> CMTA believes it is imperative the Commission adopt all energization targets as soon as possible to address customer concerns about energization delays, regardless of customer group or type or size of projects.</w:t>
      </w:r>
      <w:r w:rsidRPr="00461C10" w:rsidR="003A4C3A">
        <w:rPr>
          <w:rStyle w:val="FootnoteReference"/>
        </w:rPr>
        <w:footnoteReference w:id="113"/>
      </w:r>
      <w:r w:rsidRPr="00461C10" w:rsidR="0040382A">
        <w:t xml:space="preserve"> EDF/NRDC </w:t>
      </w:r>
      <w:r w:rsidRPr="00461C10" w:rsidR="000C6616">
        <w:t xml:space="preserve">feel the initial targets should be ambitious but achievable </w:t>
      </w:r>
      <w:r w:rsidRPr="00461C10" w:rsidR="007711CE">
        <w:t xml:space="preserve">that drive </w:t>
      </w:r>
      <w:r w:rsidRPr="00461C10" w:rsidR="0042742D">
        <w:t xml:space="preserve">IOU </w:t>
      </w:r>
      <w:r w:rsidRPr="00461C10" w:rsidR="007711CE">
        <w:t>behavior.</w:t>
      </w:r>
      <w:r w:rsidRPr="00461C10" w:rsidR="007711CE">
        <w:rPr>
          <w:rStyle w:val="FootnoteReference"/>
        </w:rPr>
        <w:footnoteReference w:id="114"/>
      </w:r>
      <w:r w:rsidRPr="00461C10" w:rsidR="0064249D">
        <w:t xml:space="preserve"> Joint EV Industry </w:t>
      </w:r>
      <w:r w:rsidRPr="00461C10" w:rsidR="001C273F">
        <w:t>believe there is no compelling reason to delay the implementation of energization targets</w:t>
      </w:r>
      <w:r w:rsidRPr="00461C10" w:rsidR="00EF4B7C">
        <w:t xml:space="preserve">, while </w:t>
      </w:r>
      <w:r w:rsidRPr="00461C10" w:rsidR="00675242">
        <w:t xml:space="preserve">CALSTART </w:t>
      </w:r>
      <w:r w:rsidRPr="00461C10" w:rsidR="00946ED9">
        <w:t xml:space="preserve">notes </w:t>
      </w:r>
      <w:r w:rsidRPr="00461C10" w:rsidR="00626168">
        <w:t>that the Commission should immediately establish energization t</w:t>
      </w:r>
      <w:r w:rsidRPr="00461C10" w:rsidR="00257708">
        <w:t>imeli</w:t>
      </w:r>
      <w:r w:rsidRPr="00461C10" w:rsidR="00DB0011">
        <w:t>nes for project types.</w:t>
      </w:r>
      <w:r w:rsidRPr="00461C10" w:rsidR="00DB0011">
        <w:rPr>
          <w:rStyle w:val="FootnoteReference"/>
        </w:rPr>
        <w:footnoteReference w:id="115"/>
      </w:r>
      <w:r w:rsidRPr="00461C10" w:rsidR="001B4721">
        <w:t xml:space="preserve"> Finally, PG&amp;E </w:t>
      </w:r>
      <w:r w:rsidRPr="00461C10" w:rsidR="006828E0">
        <w:t xml:space="preserve">notes if the data the </w:t>
      </w:r>
      <w:r w:rsidRPr="00461C10" w:rsidR="003D4347">
        <w:t xml:space="preserve">large electric </w:t>
      </w:r>
      <w:r w:rsidRPr="00461C10" w:rsidR="006828E0">
        <w:t>IOU</w:t>
      </w:r>
      <w:r w:rsidRPr="00461C10" w:rsidR="003D4347">
        <w:t>(</w:t>
      </w:r>
      <w:r w:rsidRPr="00461C10" w:rsidR="006828E0">
        <w:t>s</w:t>
      </w:r>
      <w:r w:rsidRPr="00461C10" w:rsidR="003D4347">
        <w:t>)</w:t>
      </w:r>
      <w:r w:rsidRPr="00461C10" w:rsidR="006828E0">
        <w:t xml:space="preserve"> provide the Commission indicates an inability to achieve set targets, a phased approach could be implemented to create a g</w:t>
      </w:r>
      <w:r w:rsidRPr="00461C10" w:rsidR="00D66DCF">
        <w:t>lidepath to achieve the targets.</w:t>
      </w:r>
      <w:r w:rsidRPr="00461C10" w:rsidR="00D66DCF">
        <w:rPr>
          <w:rStyle w:val="FootnoteReference"/>
        </w:rPr>
        <w:footnoteReference w:id="116"/>
      </w:r>
      <w:r w:rsidRPr="00461C10" w:rsidR="00D66DCF">
        <w:t xml:space="preserve"> </w:t>
      </w:r>
    </w:p>
    <w:p w:rsidRPr="00461C10" w:rsidR="00AE10B9" w:rsidP="00AE10B9" w:rsidRDefault="00326CE5" w14:paraId="1862ED36" w14:textId="3631326B">
      <w:pPr>
        <w:pStyle w:val="Standard"/>
      </w:pPr>
      <w:r w:rsidRPr="00461C10">
        <w:t xml:space="preserve">In addition to party comments, we look to the intent of </w:t>
      </w:r>
      <w:r w:rsidRPr="00461C10" w:rsidR="00B37200">
        <w:t>SB </w:t>
      </w:r>
      <w:r w:rsidRPr="00461C10">
        <w:t xml:space="preserve">410 to evaluate </w:t>
      </w:r>
      <w:r w:rsidRPr="00461C10" w:rsidR="00BA53BD">
        <w:t>whether energization targets should be phased</w:t>
      </w:r>
      <w:r w:rsidRPr="00461C10" w:rsidR="00860848">
        <w:t xml:space="preserve">. </w:t>
      </w:r>
      <w:r w:rsidRPr="00461C10" w:rsidR="00C65419">
        <w:t>SB 410 declared th</w:t>
      </w:r>
      <w:r w:rsidRPr="00461C10" w:rsidR="003D4347">
        <w:t xml:space="preserve">e Commission </w:t>
      </w:r>
      <w:r w:rsidRPr="00461C10" w:rsidR="00B734E4">
        <w:t xml:space="preserve">must </w:t>
      </w:r>
      <w:r w:rsidRPr="00461C10" w:rsidR="7825E09C">
        <w:t>“establish target deadlines.”</w:t>
      </w:r>
      <w:r w:rsidRPr="00461C10" w:rsidR="00012586">
        <w:rPr>
          <w:rStyle w:val="FootnoteReference"/>
        </w:rPr>
        <w:footnoteReference w:id="117"/>
      </w:r>
      <w:r w:rsidRPr="00461C10" w:rsidR="00BA53BD">
        <w:t xml:space="preserve"> </w:t>
      </w:r>
      <w:r w:rsidRPr="00461C10" w:rsidR="00BD2238">
        <w:t xml:space="preserve">The Commission interprets “targets” as specific goals that the utilities will plan for and aim to achieve. Considering the costly impacts of delays discussed in the bill and the urgency in connecting new load, it is imperative that utilities begin planning and aiming to achieve these targets now. Therefore, the targets adopted in Section 7 of this decision, Energization Targets, are compliance requirements that go into effect immediately. </w:t>
      </w:r>
    </w:p>
    <w:p w:rsidRPr="00461C10" w:rsidR="004D2D29" w:rsidP="00AE10B9" w:rsidRDefault="00EB3636" w14:paraId="70F49578" w14:textId="0EAEB041">
      <w:pPr>
        <w:pStyle w:val="Standard"/>
      </w:pPr>
      <w:r w:rsidRPr="00461C10">
        <w:lastRenderedPageBreak/>
        <w:t>As discussed in Section 10</w:t>
      </w:r>
      <w:r w:rsidRPr="00461C10" w:rsidR="00C65419">
        <w:t xml:space="preserve"> of this decision</w:t>
      </w:r>
      <w:r w:rsidRPr="00461C10">
        <w:t>,</w:t>
      </w:r>
      <w:r w:rsidRPr="00461C10" w:rsidR="000D21D9">
        <w:t xml:space="preserve"> </w:t>
      </w:r>
      <w:r w:rsidRPr="00461C10" w:rsidR="00FD1579">
        <w:t>Bia</w:t>
      </w:r>
      <w:r w:rsidRPr="00461C10" w:rsidR="000D21D9">
        <w:t>nnual Energization Reporting Requirements,</w:t>
      </w:r>
      <w:r w:rsidRPr="00461C10">
        <w:t xml:space="preserve"> </w:t>
      </w:r>
      <w:r w:rsidRPr="00461C10" w:rsidR="00981313">
        <w:t xml:space="preserve">above, </w:t>
      </w:r>
      <w:r w:rsidRPr="00461C10" w:rsidR="00C65419">
        <w:t>we direct</w:t>
      </w:r>
      <w:r w:rsidRPr="00461C10" w:rsidR="00BB6AF7">
        <w:t xml:space="preserve"> the IOUs to collectively develop and propose a</w:t>
      </w:r>
      <w:r w:rsidRPr="00461C10" w:rsidR="004D2D29">
        <w:t xml:space="preserve"> </w:t>
      </w:r>
      <w:r w:rsidRPr="00461C10" w:rsidR="00CC29A5">
        <w:t>new</w:t>
      </w:r>
      <w:r w:rsidRPr="00461C10" w:rsidR="004D2D29">
        <w:t xml:space="preserve"> reporting </w:t>
      </w:r>
      <w:r w:rsidRPr="00461C10" w:rsidR="00BB6AF7">
        <w:t xml:space="preserve">template </w:t>
      </w:r>
      <w:r w:rsidRPr="00461C10" w:rsidR="004D2D29">
        <w:t xml:space="preserve">that </w:t>
      </w:r>
      <w:r w:rsidRPr="00461C10" w:rsidR="00586F67">
        <w:t>provides all of the data listed in Appendix</w:t>
      </w:r>
      <w:r w:rsidR="008328AC">
        <w:t> </w:t>
      </w:r>
      <w:r w:rsidRPr="00461C10" w:rsidR="004D34C7">
        <w:t>B</w:t>
      </w:r>
      <w:r w:rsidRPr="00461C10" w:rsidR="00F94DFC">
        <w:t xml:space="preserve">, </w:t>
      </w:r>
      <w:r w:rsidRPr="00461C10" w:rsidR="00F94DFC">
        <w:rPr>
          <w:rFonts w:cs="Arial"/>
        </w:rPr>
        <w:t>Energization Target Reporting Template Requirements</w:t>
      </w:r>
      <w:r w:rsidRPr="00461C10" w:rsidR="00586F67">
        <w:t xml:space="preserve">. The data collected through this reporting template </w:t>
      </w:r>
      <w:r w:rsidRPr="00461C10" w:rsidR="001B0F1C">
        <w:t>i</w:t>
      </w:r>
      <w:r w:rsidRPr="00461C10" w:rsidR="000B5E9A">
        <w:t>s</w:t>
      </w:r>
      <w:r w:rsidRPr="00461C10" w:rsidR="001B0F1C">
        <w:t xml:space="preserve"> intended to</w:t>
      </w:r>
      <w:r w:rsidRPr="00461C10" w:rsidR="004D2D29">
        <w:t xml:space="preserve"> support our consideration of (1) the </w:t>
      </w:r>
      <w:r w:rsidRPr="00461C10" w:rsidR="00BD192E">
        <w:t xml:space="preserve">IOUs’ </w:t>
      </w:r>
      <w:r w:rsidRPr="00461C10" w:rsidR="004D2D29">
        <w:t xml:space="preserve">compliance with the </w:t>
      </w:r>
      <w:r w:rsidRPr="00461C10" w:rsidR="00405EB4">
        <w:t xml:space="preserve">energization </w:t>
      </w:r>
      <w:r w:rsidRPr="00461C10" w:rsidR="004D2D29">
        <w:t xml:space="preserve">targets established in this </w:t>
      </w:r>
      <w:r w:rsidRPr="00461C10" w:rsidR="00507028">
        <w:t>d</w:t>
      </w:r>
      <w:r w:rsidRPr="00461C10" w:rsidR="004D2D29">
        <w:t>ecision</w:t>
      </w:r>
      <w:r w:rsidRPr="00461C10" w:rsidR="00B77F5B">
        <w:t xml:space="preserve">; (2) the ability of </w:t>
      </w:r>
      <w:r w:rsidRPr="00461C10" w:rsidR="00BD192E">
        <w:t xml:space="preserve">IOUs </w:t>
      </w:r>
      <w:r w:rsidRPr="00461C10" w:rsidR="00B77F5B">
        <w:t>to coordinate energization projects</w:t>
      </w:r>
      <w:r w:rsidRPr="00461C10" w:rsidR="00CA734B">
        <w:t xml:space="preserve"> within their service territories</w:t>
      </w:r>
      <w:r w:rsidRPr="00461C10" w:rsidR="00B77F5B">
        <w:t xml:space="preserve"> to </w:t>
      </w:r>
      <w:r w:rsidRPr="00461C10" w:rsidR="00840645">
        <w:t xml:space="preserve">accelerate </w:t>
      </w:r>
      <w:r w:rsidRPr="00461C10" w:rsidR="000B0561">
        <w:t>energization</w:t>
      </w:r>
      <w:r w:rsidRPr="00461C10" w:rsidR="00840645">
        <w:t xml:space="preserve">; and (3) additional data for considering methods to allow </w:t>
      </w:r>
      <w:r w:rsidRPr="00461C10" w:rsidR="0082718E">
        <w:t>intermediate energization solutions for larger projects that may necessitate larger upstream capacity upgrades.</w:t>
      </w:r>
    </w:p>
    <w:p w:rsidRPr="00461C10" w:rsidR="00793F54" w:rsidP="00AE10B9" w:rsidRDefault="004C16C7" w14:paraId="0C8B65DC" w14:textId="3263753B">
      <w:pPr>
        <w:pStyle w:val="Standard"/>
      </w:pPr>
      <w:r w:rsidRPr="00461C10">
        <w:t>As identified in Table</w:t>
      </w:r>
      <w:r w:rsidRPr="00461C10" w:rsidR="001B0F1C">
        <w:t xml:space="preserve"> 3</w:t>
      </w:r>
      <w:r w:rsidRPr="00461C10" w:rsidR="5F58CF2C">
        <w:t>,</w:t>
      </w:r>
      <w:r w:rsidRPr="00461C10" w:rsidR="0019494F">
        <w:t xml:space="preserve"> Rates of Acceleration Necessary to </w:t>
      </w:r>
      <w:r w:rsidRPr="00461C10" w:rsidR="001B0F1C">
        <w:t>M</w:t>
      </w:r>
      <w:r w:rsidRPr="00461C10" w:rsidR="0019494F">
        <w:t>eet the Average and Maximum Targets</w:t>
      </w:r>
      <w:r w:rsidRPr="00461C10">
        <w:t>,</w:t>
      </w:r>
      <w:r w:rsidRPr="00461C10" w:rsidR="009E6B96">
        <w:t xml:space="preserve"> </w:t>
      </w:r>
      <w:r w:rsidRPr="00461C10" w:rsidR="001E0820">
        <w:t>meeting</w:t>
      </w:r>
      <w:r w:rsidRPr="00461C10" w:rsidR="009E6B96">
        <w:t xml:space="preserve"> the adopted energization targets will largely accelerate PG&amp;E’s energization efforts</w:t>
      </w:r>
      <w:r w:rsidRPr="00461C10" w:rsidR="000507DC">
        <w:t xml:space="preserve">, with </w:t>
      </w:r>
      <w:r w:rsidRPr="00461C10" w:rsidR="00F73AA9">
        <w:t>SDG&amp;E also seeing some acceleration.</w:t>
      </w:r>
      <w:r w:rsidRPr="00461C10" w:rsidR="000507DC">
        <w:t xml:space="preserve"> </w:t>
      </w:r>
      <w:r w:rsidRPr="00461C10" w:rsidR="00491748">
        <w:t xml:space="preserve">The targets </w:t>
      </w:r>
      <w:r w:rsidRPr="00461C10" w:rsidR="005C7A4A">
        <w:t>also</w:t>
      </w:r>
      <w:r w:rsidRPr="00461C10" w:rsidR="00491748">
        <w:t xml:space="preserve"> reflect a</w:t>
      </w:r>
      <w:r w:rsidRPr="00461C10" w:rsidR="005C7A4A">
        <w:t>n incremental</w:t>
      </w:r>
      <w:r w:rsidRPr="00461C10" w:rsidR="00491748">
        <w:t xml:space="preserve"> five percent acceleration for all large electric IOUs</w:t>
      </w:r>
      <w:r w:rsidRPr="00461C10" w:rsidR="005C7A4A">
        <w:t xml:space="preserve">, which speeds PG&amp;E and SDG&amp;E’s processes further and requires SCE to also accelerate its energization processes. </w:t>
      </w:r>
      <w:r w:rsidRPr="00461C10" w:rsidR="00B278C4">
        <w:t>Although</w:t>
      </w:r>
      <w:r w:rsidRPr="00461C10" w:rsidR="00F60D11">
        <w:t xml:space="preserve"> the </w:t>
      </w:r>
      <w:r w:rsidRPr="00461C10" w:rsidR="00D71D36">
        <w:t>energization targets</w:t>
      </w:r>
      <w:r w:rsidRPr="00461C10" w:rsidR="00934918">
        <w:t xml:space="preserve"> adopted in Section 7 of this decision, Energization Targets,</w:t>
      </w:r>
      <w:r w:rsidRPr="00461C10" w:rsidR="00F60D11">
        <w:t xml:space="preserve"> may </w:t>
      </w:r>
      <w:r w:rsidRPr="00461C10" w:rsidR="00D11211">
        <w:t xml:space="preserve">primarily </w:t>
      </w:r>
      <w:r w:rsidRPr="00461C10" w:rsidR="00D71D36">
        <w:t>result in</w:t>
      </w:r>
      <w:r w:rsidRPr="00461C10" w:rsidR="00B278C4">
        <w:t xml:space="preserve"> acceleration of energization processes in</w:t>
      </w:r>
      <w:r w:rsidRPr="00461C10" w:rsidR="00D71D36">
        <w:t xml:space="preserve"> PG&amp;E and SDG&amp;E</w:t>
      </w:r>
      <w:r w:rsidRPr="00461C10" w:rsidR="00B278C4">
        <w:t xml:space="preserve">’s service territories, </w:t>
      </w:r>
      <w:r w:rsidRPr="00461C10" w:rsidR="002C78C6">
        <w:t xml:space="preserve">all </w:t>
      </w:r>
      <w:r w:rsidRPr="00461C10" w:rsidR="009846AC">
        <w:t xml:space="preserve">large electric </w:t>
      </w:r>
      <w:r w:rsidRPr="00461C10" w:rsidR="002C78C6">
        <w:t>IOUs</w:t>
      </w:r>
      <w:r w:rsidRPr="00461C10" w:rsidR="002B3A99">
        <w:t xml:space="preserve"> </w:t>
      </w:r>
      <w:r w:rsidRPr="00461C10" w:rsidR="00C011E1">
        <w:t>mus</w:t>
      </w:r>
      <w:r w:rsidRPr="00461C10" w:rsidR="00FD1B33">
        <w:t>t</w:t>
      </w:r>
      <w:r w:rsidRPr="00461C10" w:rsidR="00C26983">
        <w:t xml:space="preserve"> either meet the targets adopted </w:t>
      </w:r>
      <w:r w:rsidRPr="00461C10" w:rsidR="00841F1B">
        <w:t>herein,</w:t>
      </w:r>
      <w:r w:rsidRPr="00461C10" w:rsidR="00C26983">
        <w:t xml:space="preserve"> or </w:t>
      </w:r>
      <w:r w:rsidRPr="00461C10" w:rsidR="00B61082">
        <w:t xml:space="preserve">accelerate </w:t>
      </w:r>
      <w:r w:rsidRPr="00461C10" w:rsidR="00C26983">
        <w:t>their current timelines for energization processes</w:t>
      </w:r>
      <w:r w:rsidRPr="00461C10" w:rsidR="00B61082">
        <w:t xml:space="preserve"> by five percent</w:t>
      </w:r>
      <w:r w:rsidRPr="00461C10" w:rsidR="00C26983">
        <w:t>, whichever is the shortest timeframe for completing customer requests.</w:t>
      </w:r>
      <w:r w:rsidRPr="00461C10" w:rsidR="00C26983">
        <w:rPr>
          <w:rStyle w:val="FootnoteReference"/>
        </w:rPr>
        <w:footnoteReference w:id="118"/>
      </w:r>
      <w:r w:rsidRPr="00461C10" w:rsidR="007F0E47">
        <w:t xml:space="preserve"> </w:t>
      </w:r>
      <w:r w:rsidRPr="00461C10" w:rsidR="00E24D41">
        <w:t>Further a</w:t>
      </w:r>
      <w:r w:rsidRPr="00461C10" w:rsidR="00793F54">
        <w:t>cceleration of the timelines adopted in this decision may occur in Phase 2 of this rulemaking.</w:t>
      </w:r>
      <w:r w:rsidRPr="00461C10" w:rsidR="009615D0">
        <w:t xml:space="preserve"> </w:t>
      </w:r>
      <w:r w:rsidRPr="00461C10" w:rsidR="00915C07">
        <w:t xml:space="preserve">The need for an additional working group or </w:t>
      </w:r>
      <w:r w:rsidRPr="00461C10" w:rsidR="00915C07">
        <w:lastRenderedPageBreak/>
        <w:t>Commission-led workshop</w:t>
      </w:r>
      <w:r w:rsidRPr="00461C10" w:rsidR="006313A7">
        <w:t>(</w:t>
      </w:r>
      <w:r w:rsidRPr="00461C10" w:rsidR="00915C07">
        <w:t>s</w:t>
      </w:r>
      <w:r w:rsidRPr="00461C10" w:rsidR="006313A7">
        <w:t>)</w:t>
      </w:r>
      <w:r w:rsidRPr="00461C10" w:rsidR="00915C07">
        <w:t xml:space="preserve"> to </w:t>
      </w:r>
      <w:r w:rsidRPr="00461C10" w:rsidR="006313A7">
        <w:t xml:space="preserve">determine how to </w:t>
      </w:r>
      <w:r w:rsidRPr="00461C10" w:rsidR="00506B61">
        <w:t>accelerate</w:t>
      </w:r>
      <w:r w:rsidRPr="00461C10" w:rsidR="00915C07">
        <w:t xml:space="preserve"> </w:t>
      </w:r>
      <w:r w:rsidRPr="00461C10" w:rsidR="00506B61">
        <w:t xml:space="preserve">the energization targets adopted in Section 7 of this decision, Energization Targets, </w:t>
      </w:r>
      <w:r w:rsidRPr="00461C10" w:rsidR="006871A2">
        <w:t xml:space="preserve">may be considered </w:t>
      </w:r>
      <w:r w:rsidRPr="00461C10" w:rsidR="00644BFC">
        <w:t>in Phase 2 of this proceeding</w:t>
      </w:r>
      <w:r w:rsidRPr="00461C10" w:rsidR="00506B61">
        <w:t>.</w:t>
      </w:r>
      <w:r w:rsidRPr="00461C10" w:rsidR="540E0ACC">
        <w:rPr>
          <w:rFonts w:eastAsia="Book Antiqua" w:cs="Book Antiqua"/>
          <w:vertAlign w:val="superscript"/>
        </w:rPr>
        <w:t>121</w:t>
      </w:r>
    </w:p>
    <w:p w:rsidRPr="00461C10" w:rsidR="274A8C1E" w:rsidP="009F794F" w:rsidRDefault="274A8C1E" w14:paraId="1E9DE344" w14:textId="7C0D47B6">
      <w:pPr>
        <w:pStyle w:val="Heading1"/>
      </w:pPr>
      <w:bookmarkStart w:name="_Toc609671688" w:id="63"/>
      <w:bookmarkStart w:name="_Toc172024444" w:id="64"/>
      <w:bookmarkStart w:name="_Toc177469358" w:id="65"/>
      <w:r w:rsidRPr="00461C10">
        <w:t xml:space="preserve">Enforcement of </w:t>
      </w:r>
      <w:r w:rsidRPr="00461C10" w:rsidR="0611F9E5">
        <w:t>Energization Targets</w:t>
      </w:r>
      <w:bookmarkEnd w:id="63"/>
      <w:bookmarkEnd w:id="64"/>
      <w:bookmarkEnd w:id="65"/>
      <w:r w:rsidRPr="00461C10" w:rsidR="0611F9E5">
        <w:t xml:space="preserve"> </w:t>
      </w:r>
    </w:p>
    <w:p w:rsidRPr="00461C10" w:rsidR="000A100C" w:rsidP="007E04DC" w:rsidRDefault="00F867E2" w14:paraId="50D3E84D" w14:textId="0423E910">
      <w:pPr>
        <w:pStyle w:val="Standard"/>
      </w:pPr>
      <w:r w:rsidRPr="00461C10">
        <w:t>During</w:t>
      </w:r>
      <w:r w:rsidRPr="00461C10" w:rsidR="0611F9E5">
        <w:t xml:space="preserve"> the May 21, 2024</w:t>
      </w:r>
      <w:r w:rsidRPr="00461C10" w:rsidR="0037008E">
        <w:t>,</w:t>
      </w:r>
      <w:r w:rsidRPr="00461C10" w:rsidR="00540889">
        <w:t xml:space="preserve"> </w:t>
      </w:r>
      <w:r w:rsidRPr="00461C10" w:rsidR="0611F9E5">
        <w:t>Status Conference</w:t>
      </w:r>
      <w:r w:rsidRPr="00461C10">
        <w:t xml:space="preserve">, parties sought assurance that the </w:t>
      </w:r>
      <w:r w:rsidRPr="00461C10" w:rsidR="0611F9E5">
        <w:t xml:space="preserve">energization targets established by this Commission </w:t>
      </w:r>
      <w:r w:rsidRPr="00461C10">
        <w:t>would</w:t>
      </w:r>
      <w:r w:rsidRPr="00461C10" w:rsidR="0611F9E5">
        <w:t xml:space="preserve"> be enforced</w:t>
      </w:r>
      <w:r w:rsidRPr="00461C10" w:rsidR="00ED7E1D">
        <w:t xml:space="preserve"> and requested details on how enforcement would occur.</w:t>
      </w:r>
      <w:r w:rsidRPr="00461C10" w:rsidR="00970470">
        <w:t xml:space="preserve"> Pub. Util. Code § 932 (a)(11) requires the Commission to establish reporting requirements that ensure the large electric IOUs report compliance with the targets adopted in this decision, or explain why the large electric IOU is out of compliance. Pub. Util. Code § 934(b) establishes that if a large electric IOU exceeds the targets established by the Commission</w:t>
      </w:r>
      <w:r w:rsidRPr="00461C10" w:rsidR="008E1046">
        <w:t>, it should provide a detailed strategy for meeting the targets adopted in this decision in the future. Further, Pub. Util. Code § 934(d) states that the Commission shall require all large electric IOUs to take remedial actions necessary to achieve the targets adopted by the Commission.</w:t>
      </w:r>
    </w:p>
    <w:p w:rsidRPr="00461C10" w:rsidR="006B483A" w:rsidP="00F51B0A" w:rsidRDefault="001D4FAE" w14:paraId="002D7FDE" w14:textId="2BAD8278">
      <w:pPr>
        <w:pStyle w:val="Standard"/>
      </w:pPr>
      <w:r w:rsidRPr="00461C10">
        <w:t xml:space="preserve">In </w:t>
      </w:r>
      <w:r w:rsidRPr="00461C10" w:rsidR="00981313">
        <w:t>Section 10</w:t>
      </w:r>
      <w:r w:rsidRPr="00461C10" w:rsidR="00540889">
        <w:t xml:space="preserve"> of this decision</w:t>
      </w:r>
      <w:r w:rsidRPr="00461C10" w:rsidR="00981313">
        <w:t xml:space="preserve">, </w:t>
      </w:r>
      <w:r w:rsidRPr="00461C10" w:rsidR="009846AC">
        <w:t>Bia</w:t>
      </w:r>
      <w:r w:rsidRPr="00461C10" w:rsidR="00981313">
        <w:t>nnual Energization Reporting Requirements,</w:t>
      </w:r>
      <w:r w:rsidRPr="00461C10">
        <w:t xml:space="preserve"> above, </w:t>
      </w:r>
      <w:r w:rsidRPr="00461C10" w:rsidR="0B9FAEE0">
        <w:t xml:space="preserve">we </w:t>
      </w:r>
      <w:r w:rsidRPr="00461C10" w:rsidR="7B256577">
        <w:t>direct</w:t>
      </w:r>
      <w:r w:rsidRPr="00461C10" w:rsidR="00F21FF5">
        <w:t xml:space="preserve"> the IOUs </w:t>
      </w:r>
      <w:r w:rsidRPr="00461C10" w:rsidR="421938A7">
        <w:t xml:space="preserve">to develop a standard reporting template </w:t>
      </w:r>
      <w:r w:rsidRPr="00461C10" w:rsidR="00B0369A">
        <w:t xml:space="preserve">using the data reporting requirements listed in Appendix </w:t>
      </w:r>
      <w:r w:rsidRPr="00461C10" w:rsidR="00C62534">
        <w:t>B</w:t>
      </w:r>
      <w:r w:rsidRPr="00461C10" w:rsidR="00F94DFC">
        <w:t xml:space="preserve">, </w:t>
      </w:r>
      <w:r w:rsidRPr="00461C10" w:rsidR="00F94DFC">
        <w:rPr>
          <w:rFonts w:cs="Arial"/>
        </w:rPr>
        <w:t>Energization Target Reporting Template Requirements,</w:t>
      </w:r>
      <w:r w:rsidRPr="00461C10" w:rsidR="421938A7">
        <w:t xml:space="preserve"> to </w:t>
      </w:r>
      <w:r w:rsidRPr="00461C10" w:rsidR="62B4EE18">
        <w:t>track</w:t>
      </w:r>
      <w:r w:rsidRPr="00461C10" w:rsidR="00F21FF5">
        <w:t xml:space="preserve"> each step of their energization processes.</w:t>
      </w:r>
      <w:r w:rsidRPr="00461C10" w:rsidR="4BD055D2">
        <w:t xml:space="preserve"> </w:t>
      </w:r>
      <w:r w:rsidRPr="00461C10" w:rsidR="000C037D">
        <w:t xml:space="preserve">The average energization targets </w:t>
      </w:r>
      <w:r w:rsidRPr="00461C10" w:rsidR="2F63E52C">
        <w:t xml:space="preserve">defined above </w:t>
      </w:r>
      <w:r w:rsidRPr="00461C10" w:rsidR="000467A5">
        <w:t>must be achieved within a 12-month period, between January 1 and December 31 of each year.</w:t>
      </w:r>
      <w:r w:rsidRPr="00461C10" w:rsidR="0081659A">
        <w:t xml:space="preserve"> No more than </w:t>
      </w:r>
      <w:r w:rsidRPr="00461C10" w:rsidR="006853CF">
        <w:t>5</w:t>
      </w:r>
      <w:r w:rsidRPr="00461C10" w:rsidR="00333072">
        <w:t> percent</w:t>
      </w:r>
      <w:r w:rsidRPr="00461C10" w:rsidR="0081659A">
        <w:t xml:space="preserve"> of all </w:t>
      </w:r>
      <w:r w:rsidRPr="00461C10" w:rsidR="5CE84F0C">
        <w:t xml:space="preserve"> </w:t>
      </w:r>
      <w:r w:rsidRPr="00461C10" w:rsidR="0081659A">
        <w:t>energization projects</w:t>
      </w:r>
      <w:r w:rsidRPr="00461C10" w:rsidR="4FB27008">
        <w:t xml:space="preserve"> </w:t>
      </w:r>
      <w:r w:rsidRPr="00461C10" w:rsidR="1D7E81BE">
        <w:t>that do not trigger upstream capacity upgrades</w:t>
      </w:r>
      <w:r w:rsidRPr="00461C10" w:rsidR="0081659A">
        <w:t xml:space="preserve"> </w:t>
      </w:r>
      <w:r w:rsidRPr="00461C10" w:rsidR="008826EE">
        <w:t xml:space="preserve">shall </w:t>
      </w:r>
      <w:r w:rsidRPr="00461C10" w:rsidR="0081659A">
        <w:t xml:space="preserve">exceed </w:t>
      </w:r>
      <w:r w:rsidRPr="00461C10" w:rsidR="00F003B3">
        <w:t xml:space="preserve">the maximum energization target, as described in </w:t>
      </w:r>
      <w:r w:rsidRPr="00461C10" w:rsidR="00981313">
        <w:t>Section 7, Energization Targets,</w:t>
      </w:r>
      <w:r w:rsidRPr="00461C10" w:rsidR="00F003B3">
        <w:t xml:space="preserve"> above, within </w:t>
      </w:r>
      <w:r w:rsidRPr="00461C10" w:rsidR="00787B96">
        <w:t>a 12-month period.</w:t>
      </w:r>
      <w:r w:rsidRPr="00461C10" w:rsidR="4BD055D2">
        <w:t xml:space="preserve"> </w:t>
      </w:r>
      <w:r w:rsidRPr="00461C10" w:rsidR="00F23AA3">
        <w:t>Any project that exceeds the maximum energization target will be deemed an “overdue project</w:t>
      </w:r>
      <w:r w:rsidRPr="00461C10" w:rsidR="002E521E">
        <w:t>.</w:t>
      </w:r>
      <w:r w:rsidRPr="00461C10" w:rsidR="00F23AA3">
        <w:t xml:space="preserve">” </w:t>
      </w:r>
      <w:r w:rsidRPr="00461C10" w:rsidR="005C72C9">
        <w:t>If</w:t>
      </w:r>
      <w:r w:rsidRPr="00461C10" w:rsidR="00F21FF5">
        <w:t xml:space="preserve"> </w:t>
      </w:r>
      <w:r w:rsidRPr="00461C10" w:rsidR="588F5789">
        <w:t>an</w:t>
      </w:r>
      <w:r w:rsidRPr="00461C10" w:rsidR="005C72C9">
        <w:t>y</w:t>
      </w:r>
      <w:r w:rsidRPr="00461C10" w:rsidR="588F5789">
        <w:t xml:space="preserve"> </w:t>
      </w:r>
      <w:r w:rsidRPr="00461C10" w:rsidR="007E04DC">
        <w:t xml:space="preserve">large electric </w:t>
      </w:r>
      <w:r w:rsidRPr="00461C10" w:rsidR="00C676E9">
        <w:t>IOU exceed</w:t>
      </w:r>
      <w:r w:rsidRPr="00461C10" w:rsidR="00E82112">
        <w:t>s</w:t>
      </w:r>
      <w:r w:rsidRPr="00461C10" w:rsidR="00C676E9">
        <w:t xml:space="preserve"> the </w:t>
      </w:r>
      <w:r w:rsidRPr="00461C10" w:rsidR="007C41FE">
        <w:t xml:space="preserve">maximum statewide </w:t>
      </w:r>
      <w:r w:rsidRPr="00461C10" w:rsidR="00C676E9">
        <w:lastRenderedPageBreak/>
        <w:t xml:space="preserve">target for </w:t>
      </w:r>
      <w:r w:rsidRPr="00461C10" w:rsidR="006853CF">
        <w:t>5</w:t>
      </w:r>
      <w:r w:rsidRPr="00461C10" w:rsidR="00333072">
        <w:t> percent</w:t>
      </w:r>
      <w:r w:rsidRPr="00461C10" w:rsidR="007C41FE">
        <w:t xml:space="preserve"> or more </w:t>
      </w:r>
      <w:r w:rsidRPr="00461C10" w:rsidR="00C676E9">
        <w:t xml:space="preserve">of their </w:t>
      </w:r>
      <w:r w:rsidRPr="00461C10" w:rsidR="00CF4A9B">
        <w:t xml:space="preserve">customer’s </w:t>
      </w:r>
      <w:r w:rsidRPr="00461C10" w:rsidR="00C676E9">
        <w:t>energization requests in one year,</w:t>
      </w:r>
      <w:r w:rsidRPr="00461C10" w:rsidR="007F641F">
        <w:t xml:space="preserve"> </w:t>
      </w:r>
      <w:r w:rsidRPr="00461C10" w:rsidR="0083044A">
        <w:t>they will be out of compliance with the Commission's directive</w:t>
      </w:r>
      <w:r w:rsidRPr="00461C10" w:rsidR="00CF4A9B">
        <w:t>. This directive is</w:t>
      </w:r>
      <w:r w:rsidRPr="00461C10" w:rsidR="0092731B">
        <w:t xml:space="preserve"> adopted</w:t>
      </w:r>
      <w:r w:rsidRPr="00461C10" w:rsidR="00CF4A9B">
        <w:t xml:space="preserve"> in this Phase 1 </w:t>
      </w:r>
      <w:r w:rsidRPr="00461C10" w:rsidR="0058519E">
        <w:t>decision</w:t>
      </w:r>
      <w:r w:rsidRPr="00461C10" w:rsidR="0092731B">
        <w:t xml:space="preserve"> to comply with </w:t>
      </w:r>
      <w:r w:rsidRPr="00461C10" w:rsidR="00B37200">
        <w:t>SB </w:t>
      </w:r>
      <w:r w:rsidRPr="00461C10" w:rsidR="0092731B">
        <w:t>410</w:t>
      </w:r>
      <w:r w:rsidRPr="00461C10" w:rsidR="0083044A">
        <w:t xml:space="preserve"> and </w:t>
      </w:r>
      <w:r w:rsidRPr="00461C10" w:rsidR="00B37200">
        <w:t>AB </w:t>
      </w:r>
      <w:r w:rsidRPr="00461C10" w:rsidR="0092731B">
        <w:t>50</w:t>
      </w:r>
      <w:r w:rsidRPr="00461C10" w:rsidR="0058519E">
        <w:t xml:space="preserve">. </w:t>
      </w:r>
      <w:r w:rsidRPr="00461C10" w:rsidR="001261C8">
        <w:t xml:space="preserve">The Commission may consider </w:t>
      </w:r>
      <w:r w:rsidRPr="00461C10" w:rsidR="002D43A1">
        <w:t>additional compliance requirements</w:t>
      </w:r>
      <w:r w:rsidRPr="00461C10" w:rsidR="003F7312">
        <w:t>, and potential enforcement mechanisms,</w:t>
      </w:r>
      <w:r w:rsidRPr="00461C10" w:rsidR="001261C8">
        <w:t xml:space="preserve"> in a future phase of this </w:t>
      </w:r>
      <w:r w:rsidRPr="00461C10" w:rsidR="006B483A">
        <w:t>or a subsequent</w:t>
      </w:r>
      <w:r w:rsidRPr="00461C10" w:rsidR="001261C8">
        <w:t xml:space="preserve"> proceeding if</w:t>
      </w:r>
      <w:r w:rsidRPr="00461C10" w:rsidR="007E04DC">
        <w:t xml:space="preserve"> the large electric</w:t>
      </w:r>
      <w:r w:rsidRPr="00461C10" w:rsidR="001261C8">
        <w:t xml:space="preserve"> IOUs fail to comply with the targets</w:t>
      </w:r>
      <w:r w:rsidRPr="00461C10" w:rsidR="00C57B5F">
        <w:t>, timelines</w:t>
      </w:r>
      <w:r w:rsidRPr="00461C10" w:rsidR="001261C8">
        <w:t xml:space="preserve"> and associated requirements adopted herein. </w:t>
      </w:r>
    </w:p>
    <w:p w:rsidRPr="00461C10" w:rsidR="0051423E" w:rsidP="00F51B0A" w:rsidRDefault="00F51B0A" w14:paraId="413F8B55" w14:textId="3C8116EE">
      <w:pPr>
        <w:pStyle w:val="Standard"/>
      </w:pPr>
      <w:r w:rsidRPr="00461C10">
        <w:t xml:space="preserve">The </w:t>
      </w:r>
      <w:r w:rsidRPr="00461C10" w:rsidR="1E0B614C">
        <w:t xml:space="preserve">large electric </w:t>
      </w:r>
      <w:r w:rsidRPr="00461C10">
        <w:t xml:space="preserve">IOUs </w:t>
      </w:r>
      <w:r w:rsidRPr="00461C10" w:rsidR="02C65788">
        <w:t xml:space="preserve">shall </w:t>
      </w:r>
      <w:r w:rsidRPr="00461C10">
        <w:t>reduc</w:t>
      </w:r>
      <w:r w:rsidRPr="00461C10" w:rsidR="269E0FC1">
        <w:t>e</w:t>
      </w:r>
      <w:r w:rsidRPr="00461C10">
        <w:t xml:space="preserve"> timelines for all customers </w:t>
      </w:r>
      <w:r w:rsidRPr="00461C10" w:rsidR="000C7575">
        <w:t>seeking new or upgraded electric service,</w:t>
      </w:r>
      <w:r w:rsidRPr="00461C10">
        <w:t xml:space="preserve"> rather than specifically targeting certain </w:t>
      </w:r>
      <w:r w:rsidRPr="00461C10" w:rsidR="52A4F309">
        <w:t xml:space="preserve">customer or project types </w:t>
      </w:r>
      <w:r w:rsidRPr="00461C10">
        <w:t xml:space="preserve">that are easier to accelerate. </w:t>
      </w:r>
      <w:r w:rsidRPr="00461C10" w:rsidR="00827890">
        <w:t xml:space="preserve">Energization requests </w:t>
      </w:r>
      <w:r w:rsidRPr="00461C10" w:rsidR="0051423E">
        <w:t>shall</w:t>
      </w:r>
      <w:r w:rsidRPr="00461C10" w:rsidR="00827890">
        <w:t xml:space="preserve"> be processed based on </w:t>
      </w:r>
      <w:r w:rsidRPr="00461C10" w:rsidR="00D13135">
        <w:t>customer application completion</w:t>
      </w:r>
      <w:r w:rsidRPr="00461C10" w:rsidR="0051423E">
        <w:t xml:space="preserve"> and will be completed within the timeline of the targets adopted in Section 7 of this decision, Energization </w:t>
      </w:r>
      <w:r w:rsidRPr="00461C10" w:rsidR="00AC0178">
        <w:t>T</w:t>
      </w:r>
      <w:r w:rsidRPr="00461C10" w:rsidR="0051423E">
        <w:t>argets</w:t>
      </w:r>
      <w:r w:rsidRPr="00461C10" w:rsidR="00D13135">
        <w:t xml:space="preserve">. </w:t>
      </w:r>
    </w:p>
    <w:p w:rsidRPr="00461C10" w:rsidR="00F51B0A" w:rsidP="00F51B0A" w:rsidRDefault="00F51B0A" w14:paraId="42FD8AF2" w14:textId="72631CD9">
      <w:pPr>
        <w:pStyle w:val="Standard"/>
      </w:pPr>
      <w:r w:rsidRPr="00461C10">
        <w:t xml:space="preserve">Moving forward, the Commission will keep track of whether </w:t>
      </w:r>
      <w:r w:rsidRPr="00461C10" w:rsidR="497A8F27">
        <w:t xml:space="preserve">acceleration </w:t>
      </w:r>
      <w:r w:rsidRPr="00461C10" w:rsidR="00155F16">
        <w:t xml:space="preserve">of </w:t>
      </w:r>
      <w:r w:rsidRPr="00461C10" w:rsidR="4FE60F83">
        <w:t xml:space="preserve">all </w:t>
      </w:r>
      <w:r w:rsidRPr="00461C10" w:rsidR="00155F16">
        <w:t>energization processes</w:t>
      </w:r>
      <w:r w:rsidRPr="00461C10" w:rsidR="497A8F27">
        <w:t xml:space="preserve"> </w:t>
      </w:r>
      <w:r w:rsidRPr="00461C10">
        <w:t>is occurring</w:t>
      </w:r>
      <w:r w:rsidRPr="00461C10" w:rsidR="00155F16">
        <w:t xml:space="preserve"> across all customers,</w:t>
      </w:r>
      <w:r w:rsidRPr="00461C10">
        <w:t xml:space="preserve"> and</w:t>
      </w:r>
      <w:r w:rsidRPr="00461C10" w:rsidR="00706A27">
        <w:t xml:space="preserve"> may</w:t>
      </w:r>
      <w:r w:rsidRPr="00461C10">
        <w:t xml:space="preserve"> </w:t>
      </w:r>
      <w:r w:rsidRPr="00461C10" w:rsidR="6637FA0B">
        <w:t xml:space="preserve">adjust the targets adopted in </w:t>
      </w:r>
      <w:r w:rsidRPr="00461C10" w:rsidR="00971954">
        <w:t xml:space="preserve">Section 7 of </w:t>
      </w:r>
      <w:r w:rsidRPr="00461C10" w:rsidR="6637FA0B">
        <w:t xml:space="preserve">this decision, </w:t>
      </w:r>
      <w:r w:rsidRPr="00461C10" w:rsidR="004642C0">
        <w:t xml:space="preserve">Energization Targets, and </w:t>
      </w:r>
      <w:r w:rsidRPr="00461C10" w:rsidR="00927B70">
        <w:t xml:space="preserve">the timelines adopted in </w:t>
      </w:r>
      <w:r w:rsidRPr="00461C10" w:rsidR="004642C0">
        <w:t xml:space="preserve">Section 8 of this decision, Upstream Capacity Upgrade Targets, </w:t>
      </w:r>
      <w:r w:rsidRPr="00461C10" w:rsidR="6637FA0B">
        <w:t>if necessary,</w:t>
      </w:r>
      <w:r w:rsidRPr="00461C10" w:rsidR="008E432D">
        <w:t xml:space="preserve"> </w:t>
      </w:r>
      <w:r w:rsidRPr="00461C10" w:rsidR="00706A27">
        <w:t>to ensure</w:t>
      </w:r>
      <w:r w:rsidRPr="00461C10">
        <w:t xml:space="preserve"> all customers benefit from the targets</w:t>
      </w:r>
      <w:r w:rsidRPr="00461C10" w:rsidR="00A0427E">
        <w:t>’ implementation</w:t>
      </w:r>
      <w:r w:rsidRPr="00461C10">
        <w:t>.</w:t>
      </w:r>
    </w:p>
    <w:p w:rsidRPr="00461C10" w:rsidR="00471E49" w:rsidP="1887B3CF" w:rsidRDefault="61967A6A" w14:paraId="38A1841E" w14:textId="1C6AD117">
      <w:pPr>
        <w:pStyle w:val="Standard"/>
      </w:pPr>
      <w:r w:rsidRPr="00461C10">
        <w:t>The biannual energization</w:t>
      </w:r>
      <w:r w:rsidRPr="00461C10" w:rsidR="002F1689">
        <w:t xml:space="preserve"> </w:t>
      </w:r>
      <w:r w:rsidRPr="00461C10" w:rsidR="00AB0F83">
        <w:t xml:space="preserve">reports </w:t>
      </w:r>
      <w:r w:rsidRPr="00461C10" w:rsidR="008D179B">
        <w:t>shall</w:t>
      </w:r>
      <w:r w:rsidRPr="00461C10" w:rsidR="00AB0F83">
        <w:t xml:space="preserve"> be </w:t>
      </w:r>
      <w:r w:rsidRPr="00461C10" w:rsidR="009F220E">
        <w:t>filed</w:t>
      </w:r>
      <w:r w:rsidRPr="00461C10" w:rsidR="00AB0F83">
        <w:t xml:space="preserve"> </w:t>
      </w:r>
      <w:r w:rsidRPr="00461C10" w:rsidR="7D70E784">
        <w:t>by</w:t>
      </w:r>
      <w:r w:rsidRPr="00461C10" w:rsidR="008B0859">
        <w:t xml:space="preserve"> the IOUs </w:t>
      </w:r>
      <w:r w:rsidRPr="00461C10" w:rsidR="005E2D3B">
        <w:t>every six months</w:t>
      </w:r>
      <w:r w:rsidRPr="00461C10" w:rsidR="009F220E">
        <w:t xml:space="preserve"> to the </w:t>
      </w:r>
      <w:r w:rsidRPr="00461C10" w:rsidR="00540889">
        <w:t>R.24-01-018 service list</w:t>
      </w:r>
      <w:r w:rsidRPr="00461C10" w:rsidR="005E2D3B">
        <w:t>,</w:t>
      </w:r>
      <w:r w:rsidRPr="00461C10" w:rsidR="00917AEB">
        <w:t xml:space="preserve"> with the first </w:t>
      </w:r>
      <w:r w:rsidRPr="00461C10" w:rsidR="00EA384D">
        <w:t xml:space="preserve">submission required </w:t>
      </w:r>
      <w:r w:rsidRPr="00461C10" w:rsidR="00540889">
        <w:t xml:space="preserve">to be served no later than </w:t>
      </w:r>
      <w:r w:rsidRPr="00461C10" w:rsidR="00EA384D">
        <w:t>March</w:t>
      </w:r>
      <w:r w:rsidRPr="00461C10" w:rsidR="00B424AB">
        <w:t> </w:t>
      </w:r>
      <w:r w:rsidRPr="00461C10" w:rsidR="00EA384D">
        <w:t>31, 2025</w:t>
      </w:r>
      <w:r w:rsidRPr="00461C10" w:rsidR="54F71D40">
        <w:t>,</w:t>
      </w:r>
      <w:r w:rsidRPr="00461C10" w:rsidR="00AA2C82">
        <w:t xml:space="preserve"> and the second </w:t>
      </w:r>
      <w:r w:rsidRPr="00461C10" w:rsidR="00540889">
        <w:t xml:space="preserve">no later than </w:t>
      </w:r>
      <w:r w:rsidRPr="00461C10" w:rsidR="00DE7070">
        <w:t>September 30, 2025. The</w:t>
      </w:r>
      <w:r w:rsidRPr="00461C10" w:rsidR="11634A2B">
        <w:t xml:space="preserve">se </w:t>
      </w:r>
      <w:r w:rsidRPr="00461C10" w:rsidR="7769BE61">
        <w:t>biannual energization</w:t>
      </w:r>
      <w:r w:rsidRPr="00461C10" w:rsidR="11634A2B">
        <w:t xml:space="preserve"> reports shall reflect customer energization request</w:t>
      </w:r>
      <w:r w:rsidRPr="00461C10" w:rsidR="29784DDD">
        <w:t>s submitted after</w:t>
      </w:r>
      <w:r w:rsidRPr="00461C10" w:rsidR="11634A2B">
        <w:t xml:space="preserve"> the issuance of this decision</w:t>
      </w:r>
      <w:r w:rsidRPr="00461C10" w:rsidR="00471E49">
        <w:t xml:space="preserve"> and align with the large electric IOUs’ template directed in Section 10 of this decision, Biannual </w:t>
      </w:r>
      <w:r w:rsidRPr="00461C10" w:rsidR="00471E49">
        <w:lastRenderedPageBreak/>
        <w:t>Energization Reporting Requirements, and Appendix B of this decision, Energization Target Reporting Template Requirements</w:t>
      </w:r>
      <w:r w:rsidRPr="00461C10" w:rsidR="11634A2B">
        <w:t xml:space="preserve">. </w:t>
      </w:r>
    </w:p>
    <w:p w:rsidRPr="00461C10" w:rsidR="0012729E" w:rsidP="1887B3CF" w:rsidRDefault="11634A2B" w14:paraId="3B9BD35B" w14:textId="72655385">
      <w:pPr>
        <w:pStyle w:val="Standard"/>
      </w:pPr>
      <w:r w:rsidRPr="00461C10">
        <w:t xml:space="preserve">The </w:t>
      </w:r>
      <w:r w:rsidRPr="00461C10" w:rsidR="00471E49">
        <w:t xml:space="preserve">biannual </w:t>
      </w:r>
      <w:r w:rsidRPr="00461C10" w:rsidR="0649CDDC">
        <w:t>energization</w:t>
      </w:r>
      <w:r w:rsidRPr="00461C10" w:rsidR="00DE7070">
        <w:t xml:space="preserve"> reports</w:t>
      </w:r>
      <w:r w:rsidRPr="00461C10" w:rsidR="005E2D3B">
        <w:t xml:space="preserve"> will be</w:t>
      </w:r>
      <w:r w:rsidRPr="00461C10" w:rsidR="00471E49">
        <w:t xml:space="preserve"> filed and served on the service list of R.24-01-018 and</w:t>
      </w:r>
      <w:r w:rsidRPr="00461C10" w:rsidR="005E2D3B">
        <w:t xml:space="preserve"> </w:t>
      </w:r>
      <w:r w:rsidRPr="00461C10" w:rsidR="00AB0F83">
        <w:t>posted on the Commission’s Energization website</w:t>
      </w:r>
      <w:r w:rsidRPr="00461C10" w:rsidR="00A23C1E">
        <w:t xml:space="preserve">, </w:t>
      </w:r>
      <w:r w:rsidRPr="00461C10" w:rsidR="0012729E">
        <w:t xml:space="preserve">for the purposes of improving Commission, customer, and party insight into customer-reported energization delays. </w:t>
      </w:r>
      <w:r w:rsidRPr="00461C10" w:rsidR="0097098B">
        <w:t>Although</w:t>
      </w:r>
      <w:r w:rsidRPr="00461C10" w:rsidR="00D55079">
        <w:t xml:space="preserve"> Commission staff does not have the bandwidth to respond to each customer delay </w:t>
      </w:r>
      <w:r w:rsidRPr="00461C10" w:rsidR="004427F2">
        <w:t>complaint</w:t>
      </w:r>
      <w:r w:rsidRPr="00461C10" w:rsidR="00D55079">
        <w:t xml:space="preserve"> on a case-by-case </w:t>
      </w:r>
      <w:r w:rsidRPr="00461C10" w:rsidR="009800E5">
        <w:t>basis,</w:t>
      </w:r>
      <w:r w:rsidRPr="00461C10" w:rsidR="00D55079">
        <w:t xml:space="preserve"> these collective reports will help identify trends </w:t>
      </w:r>
      <w:r w:rsidRPr="00461C10" w:rsidR="00840D9B">
        <w:t xml:space="preserve">in energization delays, such as </w:t>
      </w:r>
      <w:r w:rsidRPr="00461C10" w:rsidR="00236CAA">
        <w:t>the impact</w:t>
      </w:r>
      <w:r w:rsidRPr="00461C10" w:rsidR="00840D9B">
        <w:t xml:space="preserve"> geographical locations</w:t>
      </w:r>
      <w:r w:rsidRPr="00461C10" w:rsidR="00236CAA">
        <w:t xml:space="preserve"> have on the energization timing</w:t>
      </w:r>
      <w:r w:rsidRPr="00461C10" w:rsidR="2321E5EB">
        <w:t>.</w:t>
      </w:r>
      <w:r w:rsidRPr="00461C10" w:rsidR="005E2D3B">
        <w:t xml:space="preserve"> Additional </w:t>
      </w:r>
      <w:r w:rsidRPr="00461C10" w:rsidR="001C7F7E">
        <w:t xml:space="preserve">methods of responding to customer complaints may be addressed in Phase 2 of this </w:t>
      </w:r>
      <w:r w:rsidRPr="00461C10" w:rsidR="00976DDE">
        <w:t>r</w:t>
      </w:r>
      <w:r w:rsidRPr="00461C10" w:rsidR="001C7F7E">
        <w:t>ulemaking.</w:t>
      </w:r>
      <w:r w:rsidRPr="00461C10" w:rsidR="00A50803">
        <w:t xml:space="preserve"> The collective reports will also protect customer privacy and prevent </w:t>
      </w:r>
      <w:r w:rsidRPr="00461C10" w:rsidR="00564683">
        <w:t>personal information from being publicized on the Commission’s website.</w:t>
      </w:r>
    </w:p>
    <w:p w:rsidRPr="00461C10" w:rsidR="00ED7E1D" w:rsidP="1887B3CF" w:rsidRDefault="009E1E07" w14:paraId="14AC7FEF" w14:textId="34420C9A">
      <w:pPr>
        <w:pStyle w:val="Standard"/>
      </w:pPr>
      <w:r w:rsidRPr="00461C10">
        <w:t xml:space="preserve">Customers </w:t>
      </w:r>
      <w:r w:rsidRPr="00461C10" w:rsidR="1E30A7C4">
        <w:t>filing energization requests on or after of the issuance of this decision</w:t>
      </w:r>
      <w:r w:rsidRPr="00461C10">
        <w:t xml:space="preserve"> have the ability to report </w:t>
      </w:r>
      <w:r w:rsidRPr="00461C10" w:rsidR="00737FB3">
        <w:t xml:space="preserve">project </w:t>
      </w:r>
      <w:r w:rsidRPr="00461C10" w:rsidR="004573BA">
        <w:t xml:space="preserve">delays that exceed </w:t>
      </w:r>
      <w:r w:rsidRPr="00461C10" w:rsidR="00335147">
        <w:t>the large electric</w:t>
      </w:r>
      <w:r w:rsidRPr="00461C10" w:rsidR="004573BA">
        <w:t xml:space="preserve"> IOUs’ maximum targets</w:t>
      </w:r>
      <w:r w:rsidRPr="00461C10" w:rsidR="007C41FE">
        <w:t xml:space="preserve">, as defined in </w:t>
      </w:r>
      <w:r w:rsidRPr="00461C10" w:rsidR="00981313">
        <w:t>Section 11</w:t>
      </w:r>
      <w:r w:rsidRPr="00461C10" w:rsidR="00540889">
        <w:t xml:space="preserve"> of this decision</w:t>
      </w:r>
      <w:r w:rsidRPr="00461C10" w:rsidR="00981313">
        <w:t xml:space="preserve">, Customer Reporting Procedures for New and Upgraded Service Requests, </w:t>
      </w:r>
      <w:r w:rsidRPr="00461C10" w:rsidR="004025B9">
        <w:t>above,</w:t>
      </w:r>
      <w:r w:rsidRPr="00461C10" w:rsidR="004573BA">
        <w:t xml:space="preserve"> and the enforcement policy </w:t>
      </w:r>
      <w:r w:rsidRPr="00461C10" w:rsidR="004025B9">
        <w:t>may</w:t>
      </w:r>
      <w:r w:rsidRPr="00461C10" w:rsidR="004573BA">
        <w:t xml:space="preserve"> be developed in more detail either in Phase 2 of this proceeding, or individual customer requests, </w:t>
      </w:r>
      <w:r w:rsidRPr="00461C10" w:rsidR="00DF6D28">
        <w:t xml:space="preserve">depending on the </w:t>
      </w:r>
      <w:r w:rsidRPr="00461C10" w:rsidR="00DF485F">
        <w:t>specifics</w:t>
      </w:r>
      <w:r w:rsidRPr="00461C10" w:rsidR="00AD2922">
        <w:t xml:space="preserve"> of the customer’s energization request.</w:t>
      </w:r>
      <w:r w:rsidRPr="00461C10" w:rsidR="00AD2922">
        <w:rPr>
          <w:rStyle w:val="FootnoteReference"/>
        </w:rPr>
        <w:footnoteReference w:id="119"/>
      </w:r>
      <w:r w:rsidRPr="00461C10" w:rsidR="0025155C">
        <w:t xml:space="preserve"> Individual customer complaints </w:t>
      </w:r>
      <w:r w:rsidRPr="00461C10" w:rsidR="00200206">
        <w:t xml:space="preserve">related to issues that may exceed the average energization targets adopted in this decision </w:t>
      </w:r>
      <w:r w:rsidRPr="00461C10" w:rsidR="000767FE">
        <w:t>are to be submitted consiste</w:t>
      </w:r>
      <w:r w:rsidRPr="00461C10" w:rsidR="4B759376">
        <w:t>nt</w:t>
      </w:r>
      <w:r w:rsidRPr="00461C10" w:rsidR="000767FE">
        <w:t xml:space="preserve"> with the direction</w:t>
      </w:r>
      <w:r w:rsidRPr="00461C10" w:rsidR="00024F6C">
        <w:t xml:space="preserve"> above</w:t>
      </w:r>
      <w:r w:rsidRPr="00461C10" w:rsidR="000767FE">
        <w:t xml:space="preserve"> in </w:t>
      </w:r>
      <w:r w:rsidRPr="00461C10" w:rsidR="00981313">
        <w:t>Section 11, Customer Reporting Procedures for New and Upgraded Service Requests</w:t>
      </w:r>
      <w:r w:rsidRPr="00461C10" w:rsidR="00024F6C">
        <w:t>, and Appendix</w:t>
      </w:r>
      <w:r w:rsidR="008328AC">
        <w:t> </w:t>
      </w:r>
      <w:r w:rsidRPr="00461C10" w:rsidR="00024F6C">
        <w:t>C</w:t>
      </w:r>
      <w:r w:rsidRPr="00461C10" w:rsidR="00F47D2A">
        <w:t xml:space="preserve"> </w:t>
      </w:r>
      <w:r w:rsidRPr="00461C10" w:rsidR="00F47D2A">
        <w:lastRenderedPageBreak/>
        <w:t xml:space="preserve">of this decision, Draft Customer </w:t>
      </w:r>
      <w:r w:rsidRPr="00461C10" w:rsidR="009D3295">
        <w:t xml:space="preserve">Energization Delay Reporting </w:t>
      </w:r>
      <w:r w:rsidRPr="00461C10" w:rsidR="00F47D2A">
        <w:t>Form</w:t>
      </w:r>
      <w:r w:rsidRPr="00461C10" w:rsidR="000767FE">
        <w:t>.</w:t>
      </w:r>
      <w:r w:rsidRPr="00461C10" w:rsidR="00875595">
        <w:t xml:space="preserve"> Nothing in this decision modifies or limits a person’s or entity’s right to file a complaint pursuant to the Commission’s Rules of Practice and Procedure or any applicable statutory law.</w:t>
      </w:r>
      <w:r w:rsidRPr="00461C10" w:rsidR="00EA7AC3">
        <w:t xml:space="preserve"> </w:t>
      </w:r>
    </w:p>
    <w:p w:rsidRPr="00461C10" w:rsidR="000B6EE4" w:rsidP="009F794F" w:rsidRDefault="00FF161C" w14:paraId="59C338CC" w14:textId="6BD75C3D">
      <w:pPr>
        <w:pStyle w:val="Heading1"/>
      </w:pPr>
      <w:bookmarkStart w:name="_Toc2140857254" w:id="66"/>
      <w:bookmarkStart w:name="_Toc177469359" w:id="67"/>
      <w:r w:rsidRPr="00461C10">
        <w:t>Small/Multijurisdictional Utilities</w:t>
      </w:r>
      <w:bookmarkEnd w:id="66"/>
      <w:bookmarkEnd w:id="67"/>
    </w:p>
    <w:p w:rsidRPr="00461C10" w:rsidR="006A562A" w:rsidP="00E262BC" w:rsidRDefault="00B37200" w14:paraId="6F70B634" w14:textId="51BABB26">
      <w:pPr>
        <w:pStyle w:val="Standard"/>
      </w:pPr>
      <w:r w:rsidRPr="00461C10">
        <w:t>SB </w:t>
      </w:r>
      <w:r w:rsidRPr="00461C10" w:rsidR="00E262BC">
        <w:t xml:space="preserve">410 </w:t>
      </w:r>
      <w:r w:rsidRPr="00461C10" w:rsidR="0087149A">
        <w:t xml:space="preserve">and </w:t>
      </w:r>
      <w:r w:rsidRPr="00461C10">
        <w:t>AB </w:t>
      </w:r>
      <w:r w:rsidRPr="00461C10" w:rsidR="0087149A">
        <w:t xml:space="preserve">50 both </w:t>
      </w:r>
      <w:r w:rsidRPr="00461C10" w:rsidR="00E262BC">
        <w:t xml:space="preserve">authorize the </w:t>
      </w:r>
      <w:r w:rsidRPr="00461C10" w:rsidR="003343F9">
        <w:t>Commission</w:t>
      </w:r>
      <w:r w:rsidRPr="00461C10" w:rsidR="00E262BC">
        <w:t xml:space="preserve"> to modify or adjust the </w:t>
      </w:r>
      <w:r w:rsidRPr="00461C10" w:rsidR="0066053F">
        <w:t xml:space="preserve">statutory </w:t>
      </w:r>
      <w:r w:rsidRPr="00461C10" w:rsidR="00E262BC">
        <w:t>requirements for electrical corporation</w:t>
      </w:r>
      <w:r w:rsidRPr="00461C10" w:rsidR="0066053F">
        <w:t>s</w:t>
      </w:r>
      <w:r w:rsidRPr="00461C10" w:rsidR="00E262BC">
        <w:t xml:space="preserve"> with fewer than 100,000</w:t>
      </w:r>
      <w:r w:rsidRPr="00461C10" w:rsidR="00A16F51">
        <w:t> </w:t>
      </w:r>
      <w:r w:rsidRPr="00461C10" w:rsidR="00E262BC">
        <w:t>service connections, as individual circumstances merit.</w:t>
      </w:r>
      <w:r w:rsidRPr="00461C10" w:rsidR="007A14CE">
        <w:rPr>
          <w:rStyle w:val="FootnoteReference"/>
        </w:rPr>
        <w:footnoteReference w:id="120"/>
      </w:r>
      <w:r w:rsidRPr="00461C10" w:rsidR="009152BE">
        <w:t xml:space="preserve"> </w:t>
      </w:r>
    </w:p>
    <w:p w:rsidRPr="00461C10" w:rsidR="00E262BC" w:rsidP="00E262BC" w:rsidRDefault="009152BE" w14:paraId="74778A4F" w14:textId="40B08489">
      <w:pPr>
        <w:pStyle w:val="Standard"/>
      </w:pPr>
      <w:r w:rsidRPr="00461C10">
        <w:t>CASMU filed comments</w:t>
      </w:r>
      <w:r w:rsidRPr="00461C10" w:rsidR="002D0006">
        <w:t xml:space="preserve"> on behalf of B</w:t>
      </w:r>
      <w:r w:rsidRPr="00461C10" w:rsidR="001F3ACD">
        <w:t xml:space="preserve">ear </w:t>
      </w:r>
      <w:r w:rsidRPr="00461C10" w:rsidR="002D0006">
        <w:t>V</w:t>
      </w:r>
      <w:r w:rsidRPr="00461C10" w:rsidR="001F3ACD">
        <w:t xml:space="preserve">alley </w:t>
      </w:r>
      <w:r w:rsidRPr="00461C10" w:rsidR="002D0006">
        <w:t>E</w:t>
      </w:r>
      <w:r w:rsidRPr="00461C10" w:rsidR="001F3ACD">
        <w:t xml:space="preserve">lectric </w:t>
      </w:r>
      <w:r w:rsidRPr="00461C10" w:rsidR="002D0006">
        <w:t>S</w:t>
      </w:r>
      <w:r w:rsidRPr="00461C10" w:rsidR="001F3ACD">
        <w:t>ervice</w:t>
      </w:r>
      <w:r w:rsidRPr="00461C10" w:rsidR="002D0006">
        <w:t>, Liberty</w:t>
      </w:r>
      <w:r w:rsidRPr="00461C10" w:rsidR="001F3ACD">
        <w:t xml:space="preserve"> U</w:t>
      </w:r>
      <w:r w:rsidRPr="00461C10" w:rsidR="00A415C7">
        <w:t>tilities (CalPeco Electric), LLC</w:t>
      </w:r>
      <w:r w:rsidRPr="00461C10" w:rsidR="002D0006">
        <w:t>, and PacifiCorp</w:t>
      </w:r>
      <w:r w:rsidRPr="00461C10" w:rsidR="00D70FA1">
        <w:t xml:space="preserve"> (doing business as Pacific Power)</w:t>
      </w:r>
      <w:r w:rsidRPr="00461C10">
        <w:t xml:space="preserve"> on</w:t>
      </w:r>
      <w:r w:rsidRPr="00461C10" w:rsidR="00D70FA1">
        <w:t xml:space="preserve"> both</w:t>
      </w:r>
      <w:r w:rsidRPr="00461C10">
        <w:t xml:space="preserve"> R.24</w:t>
      </w:r>
      <w:r w:rsidRPr="00461C10" w:rsidR="00B424AB">
        <w:noBreakHyphen/>
      </w:r>
      <w:r w:rsidRPr="00461C10">
        <w:t>01</w:t>
      </w:r>
      <w:r w:rsidRPr="00461C10" w:rsidR="00B424AB">
        <w:noBreakHyphen/>
      </w:r>
      <w:r w:rsidRPr="00461C10">
        <w:t xml:space="preserve">018 and </w:t>
      </w:r>
      <w:r w:rsidRPr="00461C10" w:rsidR="0038367A">
        <w:t>the</w:t>
      </w:r>
      <w:r w:rsidRPr="00461C10">
        <w:t xml:space="preserve"> scoping memo, </w:t>
      </w:r>
      <w:r w:rsidRPr="00461C10" w:rsidR="00E77007">
        <w:t xml:space="preserve">noting that the legislative history behind the development of </w:t>
      </w:r>
      <w:r w:rsidRPr="00461C10" w:rsidR="00B37200">
        <w:t>SB </w:t>
      </w:r>
      <w:r w:rsidRPr="00461C10" w:rsidR="00E77007">
        <w:t xml:space="preserve">410 and </w:t>
      </w:r>
      <w:r w:rsidRPr="00461C10" w:rsidR="00B37200">
        <w:t>AB </w:t>
      </w:r>
      <w:r w:rsidRPr="00461C10" w:rsidR="00E77007">
        <w:t xml:space="preserve">50 focused on the growing </w:t>
      </w:r>
      <w:r w:rsidRPr="00461C10" w:rsidR="005B7A02">
        <w:t xml:space="preserve">backlogs and delays for large IOU customers’ energization requests. CASMU argued there is no reason to create new energization requirements for </w:t>
      </w:r>
      <w:r w:rsidRPr="00461C10" w:rsidR="001F4E07">
        <w:t>the</w:t>
      </w:r>
      <w:r w:rsidRPr="00461C10" w:rsidR="005B7A02">
        <w:t xml:space="preserve"> </w:t>
      </w:r>
      <w:r w:rsidRPr="00461C10" w:rsidR="00D76486">
        <w:t xml:space="preserve">parties </w:t>
      </w:r>
      <w:r w:rsidRPr="00461C10" w:rsidR="001F4E07">
        <w:t xml:space="preserve">it represents </w:t>
      </w:r>
      <w:r w:rsidRPr="00461C10" w:rsidR="00D76486">
        <w:t>because no customer complaints have been raised for BVES, Liberty, or PacifiCorp at this time.</w:t>
      </w:r>
      <w:r w:rsidRPr="00461C10" w:rsidR="00D76486">
        <w:rPr>
          <w:rStyle w:val="FootnoteReference"/>
        </w:rPr>
        <w:footnoteReference w:id="121"/>
      </w:r>
      <w:r w:rsidRPr="00461C10" w:rsidR="001546E8">
        <w:t xml:space="preserve"> CASMU also stated </w:t>
      </w:r>
      <w:r w:rsidRPr="00461C10" w:rsidR="00AD642B">
        <w:t xml:space="preserve">the customers served by small or multijurisdictional utilities in California face </w:t>
      </w:r>
      <w:r w:rsidRPr="00461C10" w:rsidR="00843806">
        <w:t xml:space="preserve">“disproportionately large rate impacts” when new statewide requirements are implemented, particularly when those requirements are intended to address issues faced more </w:t>
      </w:r>
      <w:r w:rsidRPr="00461C10" w:rsidR="001F4E07">
        <w:t>frequently</w:t>
      </w:r>
      <w:r w:rsidRPr="00461C10" w:rsidR="00843806">
        <w:t xml:space="preserve"> by customers of </w:t>
      </w:r>
      <w:r w:rsidRPr="00461C10" w:rsidR="000F76C1">
        <w:t>PG&amp;E, SCE, and SDG&amp;E.</w:t>
      </w:r>
      <w:r w:rsidRPr="00461C10" w:rsidR="000F76C1">
        <w:rPr>
          <w:rStyle w:val="FootnoteReference"/>
        </w:rPr>
        <w:footnoteReference w:id="122"/>
      </w:r>
    </w:p>
    <w:p w:rsidRPr="00461C10" w:rsidR="00534F3C" w:rsidP="00E262BC" w:rsidRDefault="00A10973" w14:paraId="225D7604" w14:textId="01AD3E4C">
      <w:pPr>
        <w:pStyle w:val="Standard"/>
      </w:pPr>
      <w:r w:rsidRPr="00461C10">
        <w:t xml:space="preserve">The Commission has previously </w:t>
      </w:r>
      <w:r w:rsidRPr="00461C10" w:rsidR="00726516">
        <w:t>found, given the small customer base and staffing limitations of the CASMU parties,</w:t>
      </w:r>
      <w:r w:rsidRPr="00461C10" w:rsidR="00AE40F5">
        <w:t xml:space="preserve"> that</w:t>
      </w:r>
      <w:r w:rsidRPr="00461C10" w:rsidR="00726516">
        <w:t xml:space="preserve"> </w:t>
      </w:r>
      <w:r w:rsidRPr="00461C10" w:rsidR="00AE40F5">
        <w:t xml:space="preserve">some flexibility for compliance </w:t>
      </w:r>
      <w:r w:rsidRPr="00461C10" w:rsidR="00AE40F5">
        <w:lastRenderedPageBreak/>
        <w:t>with new requirements is appropriate.</w:t>
      </w:r>
      <w:r w:rsidRPr="00461C10" w:rsidR="00AE40F5">
        <w:rPr>
          <w:rStyle w:val="FootnoteReference"/>
        </w:rPr>
        <w:footnoteReference w:id="123"/>
      </w:r>
      <w:r w:rsidRPr="00461C10" w:rsidR="00E32B80">
        <w:t xml:space="preserve"> </w:t>
      </w:r>
      <w:r w:rsidRPr="00461C10" w:rsidR="00681AA6">
        <w:t xml:space="preserve">No </w:t>
      </w:r>
      <w:r w:rsidRPr="00461C10" w:rsidR="00540889">
        <w:t>party opposed</w:t>
      </w:r>
      <w:r w:rsidRPr="00461C10" w:rsidR="00681AA6">
        <w:t xml:space="preserve"> CASMU’s suggestion that their compliance with </w:t>
      </w:r>
      <w:r w:rsidRPr="00461C10" w:rsidR="00B37200">
        <w:t>SB </w:t>
      </w:r>
      <w:r w:rsidRPr="00461C10" w:rsidR="00681AA6">
        <w:t xml:space="preserve">410 and </w:t>
      </w:r>
      <w:r w:rsidRPr="00461C10" w:rsidR="00B37200">
        <w:t>AB </w:t>
      </w:r>
      <w:r w:rsidRPr="00461C10" w:rsidR="00681AA6">
        <w:t xml:space="preserve">50 could be delayed </w:t>
      </w:r>
      <w:r w:rsidRPr="00461C10" w:rsidR="0086045A">
        <w:t>if the Commission allows it.</w:t>
      </w:r>
    </w:p>
    <w:p w:rsidRPr="00461C10" w:rsidR="00A10973" w:rsidP="00E262BC" w:rsidRDefault="00E32B80" w14:paraId="625D9008" w14:textId="04347345">
      <w:pPr>
        <w:pStyle w:val="Standard"/>
      </w:pPr>
      <w:r w:rsidRPr="00461C10">
        <w:t xml:space="preserve">While we agree with CASMU that the energization targets required by </w:t>
      </w:r>
      <w:r w:rsidRPr="00461C10" w:rsidR="00B37200">
        <w:t>SB </w:t>
      </w:r>
      <w:r w:rsidRPr="00461C10" w:rsidR="00445E86">
        <w:t xml:space="preserve">410 and </w:t>
      </w:r>
      <w:r w:rsidRPr="00461C10" w:rsidR="00B37200">
        <w:t>AB </w:t>
      </w:r>
      <w:r w:rsidRPr="00461C10" w:rsidR="00445E86">
        <w:t>50 may have been primarily targeted to the large</w:t>
      </w:r>
      <w:r w:rsidRPr="00461C10" w:rsidR="00671D44">
        <w:t>r California</w:t>
      </w:r>
      <w:r w:rsidRPr="00461C10" w:rsidR="00445E86">
        <w:t xml:space="preserve"> IOUs,</w:t>
      </w:r>
      <w:r w:rsidRPr="00461C10" w:rsidR="00302196">
        <w:t xml:space="preserve"> </w:t>
      </w:r>
      <w:r w:rsidRPr="00461C10" w:rsidR="00C11C38">
        <w:t xml:space="preserve">it is reasonable to require </w:t>
      </w:r>
      <w:r w:rsidRPr="00461C10" w:rsidR="00445E86">
        <w:t xml:space="preserve">BVES, Liberty, and PacifiCorp </w:t>
      </w:r>
      <w:r w:rsidRPr="00461C10" w:rsidR="00C11C38">
        <w:t>to begin steps that would</w:t>
      </w:r>
      <w:r w:rsidRPr="00461C10" w:rsidR="00445E86">
        <w:t xml:space="preserve"> align </w:t>
      </w:r>
      <w:r w:rsidRPr="00461C10" w:rsidR="00C11C38">
        <w:t xml:space="preserve">their energization timelines and reporting ability </w:t>
      </w:r>
      <w:r w:rsidRPr="00461C10" w:rsidR="00445E86">
        <w:t xml:space="preserve">with </w:t>
      </w:r>
      <w:r w:rsidRPr="00461C10" w:rsidR="00C11C38">
        <w:t>directives adopted</w:t>
      </w:r>
      <w:r w:rsidRPr="00461C10" w:rsidR="00445E86">
        <w:t xml:space="preserve"> in this decision</w:t>
      </w:r>
      <w:r w:rsidRPr="00461C10" w:rsidR="00E02CBF">
        <w:t>.</w:t>
      </w:r>
      <w:r w:rsidRPr="00461C10" w:rsidR="00445E86">
        <w:t xml:space="preserve"> </w:t>
      </w:r>
      <w:r w:rsidRPr="00461C10" w:rsidR="002C169C">
        <w:t xml:space="preserve">Given the </w:t>
      </w:r>
      <w:r w:rsidRPr="00461C10" w:rsidR="00755471">
        <w:t>CASMU parties’</w:t>
      </w:r>
      <w:r w:rsidRPr="00461C10" w:rsidR="002C169C">
        <w:t xml:space="preserve"> st</w:t>
      </w:r>
      <w:r w:rsidRPr="00461C10" w:rsidR="00201915">
        <w:t>affing at this point, however</w:t>
      </w:r>
      <w:r w:rsidRPr="00461C10" w:rsidR="00755471">
        <w:t xml:space="preserve">, </w:t>
      </w:r>
      <w:r w:rsidRPr="00461C10" w:rsidR="00C11C38">
        <w:t xml:space="preserve">the </w:t>
      </w:r>
      <w:r w:rsidRPr="00461C10" w:rsidR="00C24572">
        <w:t xml:space="preserve">CASMU parties are not required to align with the </w:t>
      </w:r>
      <w:r w:rsidRPr="00461C10" w:rsidR="00521073">
        <w:t>requirements adopted in this decision</w:t>
      </w:r>
      <w:r w:rsidRPr="00461C10" w:rsidR="00D943E3">
        <w:t xml:space="preserve"> at this time</w:t>
      </w:r>
      <w:r w:rsidRPr="00461C10" w:rsidR="00521073">
        <w:t xml:space="preserve">, and </w:t>
      </w:r>
      <w:r w:rsidRPr="00461C10" w:rsidR="00755471">
        <w:t>we</w:t>
      </w:r>
      <w:r w:rsidRPr="00461C10" w:rsidR="00445E86">
        <w:t xml:space="preserve"> will </w:t>
      </w:r>
      <w:r w:rsidRPr="00461C10" w:rsidR="004E2F7C">
        <w:t xml:space="preserve">address the compliance deadlines for BVES, Liberty, and PacifiCorp in </w:t>
      </w:r>
      <w:r w:rsidRPr="00461C10" w:rsidR="00E00498">
        <w:t>Phase</w:t>
      </w:r>
      <w:r w:rsidRPr="00461C10" w:rsidR="004E2F7C">
        <w:t xml:space="preserve"> 2 of R.24-01-018.</w:t>
      </w:r>
    </w:p>
    <w:p w:rsidRPr="00461C10" w:rsidR="00603238" w:rsidP="009F794F" w:rsidRDefault="00603238" w14:paraId="431D2682" w14:textId="167D2363">
      <w:pPr>
        <w:pStyle w:val="Heading1"/>
      </w:pPr>
      <w:bookmarkStart w:name="_Toc1040679548" w:id="68"/>
      <w:bookmarkStart w:name="_Toc177469360" w:id="69"/>
      <w:r w:rsidRPr="00461C10">
        <w:t>Summary of Public Comment</w:t>
      </w:r>
      <w:bookmarkEnd w:id="68"/>
      <w:bookmarkEnd w:id="69"/>
    </w:p>
    <w:p w:rsidRPr="00461C10" w:rsidR="00603238" w:rsidP="00B37200" w:rsidRDefault="001272C1" w14:paraId="3161BD84" w14:textId="7825EDE9">
      <w:pPr>
        <w:pStyle w:val="Standard"/>
        <w:rPr>
          <w:rFonts w:ascii="Calibri" w:hAnsi="Calibri"/>
          <w:sz w:val="22"/>
        </w:rPr>
      </w:pPr>
      <w:bookmarkStart w:name="_Toc8123721" w:id="70"/>
      <w:r w:rsidRPr="00461C10">
        <w:t>Rule </w:t>
      </w:r>
      <w:r w:rsidRPr="00461C10" w:rsidR="00603238">
        <w:t>1.18 allows any member of the public to submit written comment in any Commission proceeding using the “Public Comment” tab of the online Docket Card for that proceeding on the Commission’s website. </w:t>
      </w:r>
      <w:r w:rsidRPr="00461C10">
        <w:t>Rule </w:t>
      </w:r>
      <w:r w:rsidRPr="00461C10" w:rsidR="00603238">
        <w:t xml:space="preserve">1.18(b) requires that relevant written comment submitted in a proceeding be summarized </w:t>
      </w:r>
      <w:r w:rsidRPr="00461C10" w:rsidR="00D041BE">
        <w:t>-</w:t>
      </w:r>
      <w:r w:rsidRPr="00461C10" w:rsidR="00603238">
        <w:t>in the final decision issued in that proceeding.</w:t>
      </w:r>
    </w:p>
    <w:p w:rsidRPr="00461C10" w:rsidR="1F0E0D46" w:rsidP="00B37200" w:rsidRDefault="1F0E0D46" w14:paraId="45070915" w14:textId="7177A1E9">
      <w:pPr>
        <w:pStyle w:val="Standard"/>
      </w:pPr>
      <w:r w:rsidRPr="00461C10">
        <w:t xml:space="preserve">As of </w:t>
      </w:r>
      <w:r w:rsidRPr="00461C10" w:rsidR="00630CCD">
        <w:t>September</w:t>
      </w:r>
      <w:r w:rsidRPr="00461C10" w:rsidR="00221390">
        <w:t xml:space="preserve"> </w:t>
      </w:r>
      <w:r w:rsidRPr="00461C10" w:rsidR="00B74CBB">
        <w:t>9</w:t>
      </w:r>
      <w:r w:rsidRPr="00461C10">
        <w:t>, 2024</w:t>
      </w:r>
      <w:r w:rsidRPr="00461C10" w:rsidR="6EC19451">
        <w:t>,</w:t>
      </w:r>
      <w:r w:rsidRPr="00461C10">
        <w:t xml:space="preserve"> there have been </w:t>
      </w:r>
      <w:r w:rsidRPr="00461C10" w:rsidR="00221390">
        <w:t xml:space="preserve">three </w:t>
      </w:r>
      <w:r w:rsidRPr="00461C10">
        <w:t>public comments filed on the Docket Card for this proceeding</w:t>
      </w:r>
      <w:r w:rsidRPr="00461C10" w:rsidR="00860848">
        <w:t xml:space="preserve">. </w:t>
      </w:r>
      <w:r w:rsidRPr="00461C10">
        <w:t xml:space="preserve">The first comment </w:t>
      </w:r>
      <w:r w:rsidRPr="00461C10" w:rsidR="007D76A9">
        <w:t>requests</w:t>
      </w:r>
      <w:r w:rsidRPr="00461C10">
        <w:t xml:space="preserve"> “no more rate hikes,” and the second </w:t>
      </w:r>
      <w:r w:rsidRPr="00461C10" w:rsidR="55453065">
        <w:t xml:space="preserve">underscores the importance of energization targets to ensure </w:t>
      </w:r>
      <w:r w:rsidRPr="00461C10" w:rsidR="00FA739F">
        <w:t>EV</w:t>
      </w:r>
      <w:r w:rsidRPr="00461C10" w:rsidR="55453065">
        <w:t xml:space="preserve"> charging infrastructure may be deployed in a timely manner. </w:t>
      </w:r>
      <w:r w:rsidRPr="00461C10" w:rsidR="00221390">
        <w:t>The third supports the directives in the proposed decision</w:t>
      </w:r>
      <w:r w:rsidRPr="00461C10" w:rsidR="00AF2401">
        <w:t xml:space="preserve"> </w:t>
      </w:r>
      <w:r w:rsidRPr="00461C10" w:rsidR="008B07A2">
        <w:t>as a mechanism to accelerate energization projects in Ontario, California.</w:t>
      </w:r>
    </w:p>
    <w:p w:rsidRPr="00461C10" w:rsidR="00FA1B4F" w:rsidP="009F794F" w:rsidRDefault="005939A5" w14:paraId="58B722C9" w14:textId="77777777">
      <w:pPr>
        <w:pStyle w:val="Heading1"/>
      </w:pPr>
      <w:bookmarkStart w:name="_Toc657808584" w:id="71"/>
      <w:bookmarkStart w:name="_Toc172024447" w:id="72"/>
      <w:bookmarkStart w:name="_Toc177469361" w:id="73"/>
      <w:r w:rsidRPr="00461C10">
        <w:lastRenderedPageBreak/>
        <w:t>Conclusion</w:t>
      </w:r>
      <w:bookmarkEnd w:id="70"/>
      <w:bookmarkEnd w:id="71"/>
      <w:bookmarkEnd w:id="72"/>
      <w:bookmarkEnd w:id="73"/>
    </w:p>
    <w:p w:rsidRPr="00461C10" w:rsidR="00540889" w:rsidP="00A0427E" w:rsidRDefault="002A3A84" w14:paraId="05D5369A" w14:textId="2294BDDD">
      <w:pPr>
        <w:pStyle w:val="Standard"/>
      </w:pPr>
      <w:r w:rsidRPr="00461C10">
        <w:t>This</w:t>
      </w:r>
      <w:r w:rsidRPr="00461C10" w:rsidR="205B5001">
        <w:t xml:space="preserve"> decision </w:t>
      </w:r>
      <w:r w:rsidRPr="00461C10">
        <w:t>implements</w:t>
      </w:r>
      <w:r w:rsidRPr="00461C10" w:rsidR="205B5001">
        <w:t xml:space="preserve"> the </w:t>
      </w:r>
      <w:r w:rsidRPr="00461C10" w:rsidR="003C35AB">
        <w:t>near-term</w:t>
      </w:r>
      <w:r w:rsidRPr="00461C10" w:rsidR="205B5001">
        <w:t xml:space="preserve"> statutory provisions of </w:t>
      </w:r>
      <w:r w:rsidRPr="00461C10" w:rsidR="00B37200">
        <w:t>SB </w:t>
      </w:r>
      <w:r w:rsidRPr="00461C10" w:rsidR="205B5001">
        <w:t xml:space="preserve">410 and </w:t>
      </w:r>
      <w:r w:rsidRPr="00461C10" w:rsidR="00B37200">
        <w:t>AB </w:t>
      </w:r>
      <w:r w:rsidRPr="00461C10" w:rsidR="205B5001">
        <w:t>50 within the timeframe allocated by the California State Legislature</w:t>
      </w:r>
      <w:r w:rsidRPr="00461C10" w:rsidR="00860848">
        <w:t xml:space="preserve">. </w:t>
      </w:r>
      <w:r w:rsidRPr="00461C10" w:rsidR="00B84967">
        <w:t>These adopted energization targets and data reporting requirements aim to accelerate energization activities, increase transparency for stakeholders, and improve the process of reporting delays to the Commission. These are important steps as California continues its path to decarbonization</w:t>
      </w:r>
      <w:r w:rsidR="00C94E48">
        <w:t>.</w:t>
      </w:r>
      <w:r w:rsidRPr="00461C10" w:rsidR="2EC7FBCE">
        <w:t xml:space="preserve"> The reporting requirements outlined in the body of this decision, as well as </w:t>
      </w:r>
      <w:r w:rsidRPr="00461C10" w:rsidR="52D8CBF1">
        <w:t>the</w:t>
      </w:r>
      <w:r w:rsidRPr="00461C10" w:rsidR="2EC7FBCE">
        <w:t xml:space="preserve"> appendices will provide necessary information </w:t>
      </w:r>
      <w:r w:rsidRPr="00461C10" w:rsidR="063D7ABD">
        <w:t>on</w:t>
      </w:r>
      <w:r w:rsidRPr="00461C10" w:rsidR="004B1660">
        <w:t xml:space="preserve"> the time </w:t>
      </w:r>
      <w:r w:rsidRPr="00461C10" w:rsidR="00E92035">
        <w:t xml:space="preserve">it takes </w:t>
      </w:r>
      <w:r w:rsidRPr="00461C10" w:rsidR="004B1660">
        <w:t>to complete</w:t>
      </w:r>
      <w:r w:rsidRPr="00461C10" w:rsidR="2EC7FBCE">
        <w:t xml:space="preserve"> energization projects throughout PG&amp;E, SCE, and SDG&amp;E service territories, and </w:t>
      </w:r>
      <w:r w:rsidRPr="00461C10" w:rsidR="004905A6">
        <w:t xml:space="preserve">can </w:t>
      </w:r>
      <w:r w:rsidRPr="00461C10" w:rsidR="2EC7FBCE">
        <w:t>serve as model</w:t>
      </w:r>
      <w:r w:rsidRPr="00461C10" w:rsidR="004905A6">
        <w:t>s</w:t>
      </w:r>
      <w:r w:rsidRPr="00461C10" w:rsidR="2EC7FBCE">
        <w:t xml:space="preserve"> for other states embarking on </w:t>
      </w:r>
      <w:r w:rsidRPr="00461C10" w:rsidR="5C352857">
        <w:t>statewide energization goals.</w:t>
      </w:r>
      <w:r w:rsidRPr="00461C10" w:rsidR="72D6482E">
        <w:t xml:space="preserve">  </w:t>
      </w:r>
    </w:p>
    <w:p w:rsidRPr="00461C10" w:rsidR="005C4D06" w:rsidP="0037008E" w:rsidRDefault="00C138BD" w14:paraId="09414857" w14:textId="1D361C3A">
      <w:pPr>
        <w:pStyle w:val="Standard"/>
      </w:pPr>
      <w:r w:rsidRPr="00461C10">
        <w:t>Phase 2 of this proceeding will continue work on timelines, discuss compliance and enforcement, and tackle other issues not contemplated in Phase</w:t>
      </w:r>
      <w:r w:rsidR="008328AC">
        <w:t> </w:t>
      </w:r>
      <w:r w:rsidRPr="00461C10">
        <w:t xml:space="preserve">1. </w:t>
      </w:r>
      <w:r w:rsidRPr="00461C10" w:rsidR="0529112F">
        <w:t>The Commission appreciates the wide participation from parties, with representative</w:t>
      </w:r>
      <w:r w:rsidRPr="00461C10" w:rsidR="7B7D3200">
        <w:t xml:space="preserve">s from </w:t>
      </w:r>
      <w:r w:rsidRPr="00461C10" w:rsidR="003D4BE9">
        <w:t>transportation</w:t>
      </w:r>
      <w:r w:rsidRPr="00461C10" w:rsidR="7B7D3200">
        <w:t xml:space="preserve">, housing, telecommunications, and environmental organizations, and looks forward to </w:t>
      </w:r>
      <w:r w:rsidRPr="00461C10" w:rsidR="00E92035">
        <w:t xml:space="preserve">continued </w:t>
      </w:r>
      <w:r w:rsidRPr="00461C10" w:rsidR="7B7D3200">
        <w:t xml:space="preserve">participation in the </w:t>
      </w:r>
      <w:r w:rsidRPr="00461C10" w:rsidR="003D4BE9">
        <w:t xml:space="preserve">next </w:t>
      </w:r>
      <w:r w:rsidRPr="00461C10" w:rsidR="7B7D3200">
        <w:t>phase of this proceeding.</w:t>
      </w:r>
      <w:r w:rsidRPr="00461C10" w:rsidR="72D6482E">
        <w:t xml:space="preserve"> </w:t>
      </w:r>
    </w:p>
    <w:p w:rsidRPr="00461C10" w:rsidR="004A1EAD" w:rsidP="009F794F" w:rsidRDefault="004A1EAD" w14:paraId="2EBA1D1F" w14:textId="39A21B32">
      <w:pPr>
        <w:pStyle w:val="Heading1"/>
      </w:pPr>
      <w:bookmarkStart w:name="_Toc1837129687" w:id="74"/>
      <w:bookmarkStart w:name="_Toc8123723" w:id="75"/>
      <w:bookmarkStart w:name="_Toc177469362" w:id="76"/>
      <w:r w:rsidRPr="00461C10">
        <w:t>Procedural Matters</w:t>
      </w:r>
      <w:bookmarkEnd w:id="74"/>
      <w:bookmarkEnd w:id="76"/>
    </w:p>
    <w:p w:rsidRPr="00461C10" w:rsidR="004A1EAD" w:rsidP="004A1EAD" w:rsidRDefault="004A1EAD" w14:paraId="4C2D695B" w14:textId="2485F026">
      <w:pPr>
        <w:pStyle w:val="Standard"/>
      </w:pPr>
      <w:r w:rsidRPr="00461C10">
        <w:t xml:space="preserve">This decision affirms all rulings made by the </w:t>
      </w:r>
      <w:r w:rsidRPr="00461C10" w:rsidR="0096108B">
        <w:t>assigned ALJs</w:t>
      </w:r>
      <w:r w:rsidRPr="00461C10">
        <w:t xml:space="preserve"> and assigned Commissioner in </w:t>
      </w:r>
      <w:r w:rsidRPr="00461C10" w:rsidR="007037FE">
        <w:t xml:space="preserve">Phase 1 of </w:t>
      </w:r>
      <w:r w:rsidRPr="00461C10">
        <w:t xml:space="preserve">this proceeding. All motions </w:t>
      </w:r>
      <w:r w:rsidRPr="00461C10" w:rsidR="007037FE">
        <w:t xml:space="preserve">related to Phase 1 issues that are </w:t>
      </w:r>
      <w:r w:rsidRPr="00461C10">
        <w:t>not ruled on are deemed denied.</w:t>
      </w:r>
    </w:p>
    <w:p w:rsidRPr="00461C10" w:rsidR="005939A5" w:rsidP="009F794F" w:rsidRDefault="005939A5" w14:paraId="052FB6A8" w14:textId="77777777">
      <w:pPr>
        <w:pStyle w:val="Heading1"/>
      </w:pPr>
      <w:bookmarkStart w:name="_Toc1222647249" w:id="77"/>
      <w:bookmarkStart w:name="_Toc177469363" w:id="78"/>
      <w:r w:rsidRPr="00461C10">
        <w:t>Comments on Proposed Decision</w:t>
      </w:r>
      <w:bookmarkEnd w:id="75"/>
      <w:bookmarkEnd w:id="77"/>
      <w:bookmarkEnd w:id="78"/>
    </w:p>
    <w:p w:rsidRPr="00461C10" w:rsidR="005939A5" w:rsidP="1887B3CF" w:rsidRDefault="005C58FA" w14:paraId="2D8C0C2D" w14:textId="34EB1732">
      <w:pPr>
        <w:pStyle w:val="Standard"/>
      </w:pPr>
      <w:r w:rsidRPr="00461C10">
        <w:t xml:space="preserve">The proposed decision of </w:t>
      </w:r>
      <w:r w:rsidRPr="00461C10" w:rsidR="0217A1AB">
        <w:t>President Alice Reynolds</w:t>
      </w:r>
      <w:r w:rsidRPr="00461C10">
        <w:t xml:space="preserve"> in this matter was mailed to the parties in accordance with </w:t>
      </w:r>
      <w:r w:rsidRPr="00461C10" w:rsidR="00024F6C">
        <w:t>Pub. Util. Code §</w:t>
      </w:r>
      <w:r w:rsidRPr="00461C10" w:rsidR="00E44336">
        <w:t xml:space="preserve"> </w:t>
      </w:r>
      <w:r w:rsidRPr="00461C10">
        <w:t xml:space="preserve">311 and comments were allowed under </w:t>
      </w:r>
      <w:r w:rsidRPr="00461C10" w:rsidR="001272C1">
        <w:t>Rule </w:t>
      </w:r>
      <w:r w:rsidRPr="00461C10">
        <w:t xml:space="preserve">14.3 of the Commission’s Rules of Practice and </w:t>
      </w:r>
      <w:r w:rsidRPr="00461C10">
        <w:lastRenderedPageBreak/>
        <w:t>Procedure.</w:t>
      </w:r>
      <w:r w:rsidRPr="00461C10" w:rsidR="000F2A84">
        <w:rPr>
          <w:rStyle w:val="FootnoteReference"/>
        </w:rPr>
        <w:footnoteReference w:id="124"/>
      </w:r>
      <w:r w:rsidRPr="00461C10">
        <w:t xml:space="preserve"> Comments were filed on </w:t>
      </w:r>
      <w:r w:rsidRPr="00461C10" w:rsidR="00165B64">
        <w:t>August</w:t>
      </w:r>
      <w:r w:rsidR="002917F1">
        <w:t> </w:t>
      </w:r>
      <w:r w:rsidRPr="00461C10" w:rsidR="00165B64">
        <w:t>29, 2024</w:t>
      </w:r>
      <w:r w:rsidRPr="00461C10" w:rsidR="005E2B28">
        <w:t xml:space="preserve">, by </w:t>
      </w:r>
      <w:r w:rsidRPr="00461C10" w:rsidR="003F4AAE">
        <w:t xml:space="preserve">Advanced Energy United, </w:t>
      </w:r>
      <w:r w:rsidRPr="00461C10" w:rsidR="002D5D31">
        <w:t xml:space="preserve">Alliance for Automotive Innovation, Bay Area Housing </w:t>
      </w:r>
      <w:r w:rsidRPr="00461C10" w:rsidR="00EA379D">
        <w:t>Coalition</w:t>
      </w:r>
      <w:r w:rsidRPr="00461C10" w:rsidR="00A31BC1">
        <w:t xml:space="preserve">, </w:t>
      </w:r>
      <w:r w:rsidRPr="00461C10" w:rsidR="002D5D31">
        <w:t xml:space="preserve">California Broadband &amp; Video Association, California Community Choice Association, California </w:t>
      </w:r>
      <w:r w:rsidRPr="00461C10" w:rsidR="00FB3F72">
        <w:t xml:space="preserve">Solar &amp; Storage Association, </w:t>
      </w:r>
      <w:r w:rsidRPr="00461C10" w:rsidR="00677EB6">
        <w:t xml:space="preserve">CALSTART, Clean Coalition, CUE, </w:t>
      </w:r>
      <w:r w:rsidRPr="00461C10" w:rsidR="00E56D03">
        <w:t xml:space="preserve">Crown Castle, CTIA, ExteNet, Industry Coalition, Interstate Renewable Council, Local Government Sustainable Energy Coalition, NRDC and EDF, PG&amp;E, PACT, SCE, SDG&amp;E, Silicon Valley Clean Energy, Small IOUs, Solar Energy Industries Association, Tesla, Vehicle-Grid Integration Council. </w:t>
      </w:r>
      <w:r w:rsidRPr="00461C10" w:rsidR="00D14E41">
        <w:t>. R</w:t>
      </w:r>
      <w:r w:rsidRPr="00461C10">
        <w:t xml:space="preserve">eply comments were filed on </w:t>
      </w:r>
      <w:r w:rsidRPr="00461C10" w:rsidR="00D14E41">
        <w:t xml:space="preserve">September 4, 2024, </w:t>
      </w:r>
      <w:r w:rsidRPr="00461C10">
        <w:t xml:space="preserve">by </w:t>
      </w:r>
      <w:r w:rsidRPr="00461C10" w:rsidR="00744C26">
        <w:t xml:space="preserve">EDF and NRDC, Cal Advocates, Cal.net, California Broadband and Video Association, California Community Choice Association, California Solar &amp; Storage Association, Clean Coalition, CUE, PG&amp;E, Pilot Travel Centers, </w:t>
      </w:r>
      <w:r w:rsidRPr="00461C10" w:rsidR="00612E49">
        <w:t xml:space="preserve">PACT, San Francisco Bay Area Planning and Urban Research Association, SCE, SDG&amp;E and the Interstate Renewable Energy Council. </w:t>
      </w:r>
      <w:r w:rsidRPr="00461C10" w:rsidR="00744C26">
        <w:t xml:space="preserve"> </w:t>
      </w:r>
    </w:p>
    <w:p w:rsidRPr="00461C10" w:rsidR="19375806" w:rsidP="19375806" w:rsidRDefault="3A6CDF13" w14:paraId="493CB5A2" w14:textId="39E5A06C">
      <w:pPr>
        <w:pStyle w:val="Standard"/>
      </w:pPr>
      <w:r w:rsidRPr="00461C10">
        <w:t xml:space="preserve">Comments have been incorporated throughout the proposed decision to improve clarity. We touch on some specific changes here for ease: </w:t>
      </w:r>
    </w:p>
    <w:p w:rsidR="008328AC" w:rsidP="008328AC" w:rsidRDefault="00B76F76" w14:paraId="1681C6AB" w14:textId="42964BF5">
      <w:pPr>
        <w:pStyle w:val="Standard"/>
        <w:rPr>
          <w:rFonts w:eastAsia="Book Antiqua" w:cs="Book Antiqua"/>
          <w:szCs w:val="26"/>
        </w:rPr>
      </w:pPr>
      <w:r w:rsidRPr="00461C10">
        <w:t xml:space="preserve">Comments have been incorporated to improve </w:t>
      </w:r>
      <w:r w:rsidRPr="00461C10" w:rsidR="00B84BE9">
        <w:t>reporting procedures for customers (Section 11</w:t>
      </w:r>
      <w:r w:rsidRPr="00461C10" w:rsidR="00C56310">
        <w:t>, Customer Reporting Procedures for Delays in Providing New or Upgraded Electric Service Requests</w:t>
      </w:r>
      <w:r w:rsidRPr="00461C10" w:rsidR="00B84BE9">
        <w:t xml:space="preserve">) and some edits have been made to </w:t>
      </w:r>
      <w:r w:rsidRPr="00461C10" w:rsidR="00C56310">
        <w:t>A</w:t>
      </w:r>
      <w:r w:rsidRPr="00461C10" w:rsidR="00B84BE9">
        <w:t>ppendix C to this decision</w:t>
      </w:r>
      <w:r w:rsidRPr="00461C10" w:rsidR="00C56310">
        <w:t xml:space="preserve">, </w:t>
      </w:r>
      <w:r w:rsidRPr="00461C10" w:rsidR="008C6D5D">
        <w:t xml:space="preserve">Energization </w:t>
      </w:r>
      <w:r w:rsidRPr="00461C10" w:rsidR="002F7280">
        <w:t>Delay Reporting Form,</w:t>
      </w:r>
      <w:r w:rsidRPr="00461C10" w:rsidR="00B93C14">
        <w:t xml:space="preserve"> to incorporate those</w:t>
      </w:r>
      <w:r w:rsidRPr="00461C10" w:rsidR="002F7216">
        <w:t xml:space="preserve"> improvements</w:t>
      </w:r>
      <w:r w:rsidRPr="00461C10" w:rsidR="00B84BE9">
        <w:t>.</w:t>
      </w:r>
      <w:r w:rsidRPr="00461C10" w:rsidR="002F7216">
        <w:t xml:space="preserve"> </w:t>
      </w:r>
      <w:r w:rsidRPr="00461C10" w:rsidR="00C56310">
        <w:t xml:space="preserve">Comments regarding the updating or acceleration of energization timelines </w:t>
      </w:r>
      <w:r w:rsidRPr="00461C10" w:rsidR="003D1B28">
        <w:t xml:space="preserve">have been incorporated in Section 13, Timing of Compliance with Energization Targets, and Section 14, Enforcement of </w:t>
      </w:r>
      <w:r w:rsidRPr="00461C10" w:rsidR="003D1B28">
        <w:lastRenderedPageBreak/>
        <w:t xml:space="preserve">Energization </w:t>
      </w:r>
      <w:r w:rsidRPr="008328AC" w:rsidR="003D1B28">
        <w:t>Targets.</w:t>
      </w:r>
      <w:r w:rsidRPr="008328AC" w:rsidR="008328AC">
        <w:t xml:space="preserve"> </w:t>
      </w:r>
      <w:r w:rsidRPr="008328AC" w:rsidR="75AD7FAA">
        <w:rPr>
          <w:rFonts w:eastAsia="Book Antiqua" w:cs="Book Antiqua"/>
          <w:szCs w:val="26"/>
        </w:rPr>
        <w:t>As discussed in Section 13, above, CALSTART, CalCCA, IREC, and EDF/NRDC all request a working group be established in or before Phase 2 of this proceeding</w:t>
      </w:r>
      <w:r w:rsidR="00C94E48">
        <w:rPr>
          <w:rFonts w:eastAsia="Book Antiqua" w:cs="Book Antiqua"/>
          <w:szCs w:val="26"/>
        </w:rPr>
        <w:t xml:space="preserve">. </w:t>
      </w:r>
      <w:r w:rsidRPr="008328AC" w:rsidR="75AD7FAA">
        <w:rPr>
          <w:rFonts w:eastAsia="Book Antiqua" w:cs="Book Antiqua"/>
          <w:szCs w:val="26"/>
        </w:rPr>
        <w:t>The Assigned Commissioner will consider this request during a prehearing conference and scoping ruling for Phase 2 matters.</w:t>
      </w:r>
    </w:p>
    <w:p w:rsidRPr="00461C10" w:rsidR="005939A5" w:rsidP="00063DC9" w:rsidRDefault="005939A5" w14:paraId="70BBDD42" w14:textId="77777777">
      <w:pPr>
        <w:pStyle w:val="Heading1"/>
      </w:pPr>
      <w:bookmarkStart w:name="_Toc176858371" w:id="79"/>
      <w:bookmarkStart w:name="_Toc8123724" w:id="80"/>
      <w:bookmarkStart w:name="_Toc539566170" w:id="81"/>
      <w:bookmarkStart w:name="_Toc177469364" w:id="82"/>
      <w:bookmarkEnd w:id="79"/>
      <w:r w:rsidRPr="00461C10">
        <w:t>Assignment of Proceeding</w:t>
      </w:r>
      <w:bookmarkEnd w:id="80"/>
      <w:bookmarkEnd w:id="81"/>
      <w:bookmarkEnd w:id="82"/>
    </w:p>
    <w:p w:rsidRPr="00461C10" w:rsidR="007E58B4" w:rsidP="006E6574" w:rsidRDefault="00C83E3A" w14:paraId="2FA71EE9" w14:textId="1FC4958B">
      <w:pPr>
        <w:pStyle w:val="Standard"/>
      </w:pPr>
      <w:r w:rsidRPr="00461C10">
        <w:t xml:space="preserve">Alice Reynolds </w:t>
      </w:r>
      <w:r w:rsidRPr="00461C10" w:rsidR="005939A5">
        <w:t xml:space="preserve">is the assigned Commissioner and </w:t>
      </w:r>
      <w:r w:rsidRPr="00461C10">
        <w:t>Carolyn</w:t>
      </w:r>
      <w:r w:rsidRPr="00461C10" w:rsidR="00333072">
        <w:t> </w:t>
      </w:r>
      <w:r w:rsidRPr="00461C10">
        <w:t>Sisto</w:t>
      </w:r>
      <w:r w:rsidRPr="00461C10" w:rsidR="00DC6E5D">
        <w:t xml:space="preserve"> and Sasha</w:t>
      </w:r>
      <w:r w:rsidRPr="00461C10" w:rsidR="00333072">
        <w:t> </w:t>
      </w:r>
      <w:r w:rsidRPr="00461C10" w:rsidR="00DC6E5D">
        <w:t>Goldberg are</w:t>
      </w:r>
      <w:r w:rsidRPr="00461C10" w:rsidR="005939A5">
        <w:t xml:space="preserve"> the assigned </w:t>
      </w:r>
      <w:r w:rsidRPr="00461C10" w:rsidR="00DC6E5D">
        <w:t>A</w:t>
      </w:r>
      <w:r w:rsidRPr="00461C10" w:rsidR="4A20B157">
        <w:t>dministrative Law Judges to this</w:t>
      </w:r>
      <w:r w:rsidRPr="00461C10" w:rsidR="005939A5">
        <w:t xml:space="preserve"> proceeding.</w:t>
      </w:r>
    </w:p>
    <w:p w:rsidRPr="00461C10" w:rsidR="001E3E07" w:rsidP="00F06BCD" w:rsidRDefault="001E3E07" w14:paraId="7EECE277" w14:textId="77777777">
      <w:pPr>
        <w:pStyle w:val="Dummy"/>
      </w:pPr>
      <w:bookmarkStart w:name="_Toc173152593" w:id="83"/>
      <w:bookmarkStart w:name="_Toc8123725" w:id="84"/>
      <w:bookmarkStart w:name="_Toc1252819294" w:id="85"/>
      <w:bookmarkStart w:name="_Toc177469365" w:id="86"/>
      <w:r w:rsidRPr="00461C10">
        <w:t>Findings of Fact</w:t>
      </w:r>
      <w:bookmarkEnd w:id="83"/>
      <w:bookmarkEnd w:id="86"/>
    </w:p>
    <w:p w:rsidRPr="00461C10" w:rsidR="003D1527" w:rsidP="00063DC9" w:rsidRDefault="003D1527" w14:paraId="62553E37" w14:textId="1CE6810F">
      <w:pPr>
        <w:pStyle w:val="FoF"/>
      </w:pPr>
      <w:r w:rsidRPr="00461C10">
        <w:t>All</w:t>
      </w:r>
      <w:r w:rsidRPr="00461C10" w:rsidDel="00E81A83">
        <w:t xml:space="preserve"> data used to develop the average and maximum targets</w:t>
      </w:r>
      <w:r w:rsidRPr="00461C10">
        <w:t xml:space="preserve"> energization targets described in Section 7 of this decision, Energization Targets,</w:t>
      </w:r>
      <w:r w:rsidRPr="00461C10" w:rsidDel="00E81A83">
        <w:t xml:space="preserve"> </w:t>
      </w:r>
      <w:r w:rsidRPr="00461C10">
        <w:t>was reported to the service list of this proceeding by</w:t>
      </w:r>
      <w:r w:rsidRPr="00461C10" w:rsidDel="00E81A83">
        <w:t xml:space="preserve"> the large electric IOUs</w:t>
      </w:r>
      <w:r w:rsidRPr="00461C10">
        <w:t xml:space="preserve">. The data reported by the large electric IOUs reflects the time it has recently taken for each large electric IOU </w:t>
      </w:r>
      <w:r w:rsidRPr="00461C10" w:rsidDel="00E81A83">
        <w:t xml:space="preserve">to complete new or upgraded service requests. </w:t>
      </w:r>
      <w:r w:rsidRPr="00461C10">
        <w:t>The Commission analyzed this data and developed assumptions to align the reported data across the large electric IOUs to develop statewide energization targets, as discussed further in Appendix A of this decision, Statewide Energization Timelines Analyses Report.</w:t>
      </w:r>
    </w:p>
    <w:p w:rsidRPr="00461C10" w:rsidR="0010701B" w:rsidP="006A337B" w:rsidRDefault="0010701B" w14:paraId="0A8EC7A2" w14:textId="5652A66B">
      <w:pPr>
        <w:pStyle w:val="FoF"/>
      </w:pPr>
      <w:r w:rsidRPr="00461C10">
        <w:t xml:space="preserve">The average statewide energization targets for the large electric IOUs adopted in Section 7 of this decision, Energization Targets, provide customers and the Commission with more certainty </w:t>
      </w:r>
      <w:r w:rsidRPr="00461C10" w:rsidR="00A55571">
        <w:t xml:space="preserve">about </w:t>
      </w:r>
      <w:r w:rsidRPr="00461C10">
        <w:t>the tim</w:t>
      </w:r>
      <w:r w:rsidRPr="00461C10" w:rsidR="00FA4565">
        <w:t>e the large electric IOUs currently take to complete the steps of the energization processes that are fully within the large electric IOUs’ control</w:t>
      </w:r>
      <w:r w:rsidRPr="00461C10" w:rsidR="01FAECBC">
        <w:t xml:space="preserve"> and will shorten the average time the large electric IOUs take to complete the steps of the energization processes that are fully within the large electric IOUs’ control by at least five percent</w:t>
      </w:r>
      <w:r w:rsidRPr="00461C10" w:rsidR="00FA4565">
        <w:t xml:space="preserve">. </w:t>
      </w:r>
    </w:p>
    <w:p w:rsidRPr="00461C10" w:rsidR="00BB0A6E" w:rsidP="006A337B" w:rsidRDefault="00DB2FF3" w14:paraId="10A9181B" w14:textId="2D045395">
      <w:pPr>
        <w:pStyle w:val="FoF"/>
      </w:pPr>
      <w:r w:rsidRPr="00461C10">
        <w:t>The</w:t>
      </w:r>
      <w:r w:rsidRPr="00461C10" w:rsidR="00AC54D3">
        <w:t xml:space="preserve"> maximum</w:t>
      </w:r>
      <w:r w:rsidRPr="00461C10">
        <w:t xml:space="preserve"> s</w:t>
      </w:r>
      <w:r w:rsidRPr="00461C10" w:rsidR="001E3E07">
        <w:t xml:space="preserve">tatewide energization targets </w:t>
      </w:r>
      <w:r w:rsidRPr="00461C10">
        <w:t xml:space="preserve">adopted in this decision </w:t>
      </w:r>
      <w:r w:rsidRPr="00461C10" w:rsidR="00AC54D3">
        <w:t xml:space="preserve">will </w:t>
      </w:r>
      <w:r w:rsidRPr="00461C10" w:rsidR="00BB0A6E">
        <w:t>shorten</w:t>
      </w:r>
      <w:r w:rsidRPr="00461C10" w:rsidR="00AC54D3">
        <w:t xml:space="preserve"> </w:t>
      </w:r>
      <w:r w:rsidRPr="00461C10" w:rsidR="00BB0A6E">
        <w:t xml:space="preserve">the longest amount of time the large electric IOUs </w:t>
      </w:r>
      <w:r w:rsidRPr="00461C10" w:rsidR="008826EE">
        <w:t xml:space="preserve">may </w:t>
      </w:r>
      <w:r w:rsidRPr="00461C10" w:rsidR="00BB0A6E">
        <w:t xml:space="preserve">take to complete </w:t>
      </w:r>
      <w:r w:rsidRPr="00461C10" w:rsidR="00BB0A6E">
        <w:lastRenderedPageBreak/>
        <w:t>the steps of the energization processes that are fully within the large electric IOUs’ control by five percent.</w:t>
      </w:r>
    </w:p>
    <w:p w:rsidRPr="00461C10" w:rsidR="001E3E07" w:rsidP="006A337B" w:rsidRDefault="00BB0A6E" w14:paraId="55B2246B" w14:textId="4FA6623B">
      <w:pPr>
        <w:pStyle w:val="FoF"/>
      </w:pPr>
      <w:r w:rsidRPr="00461C10">
        <w:t xml:space="preserve">The data collected through the requirements adopted in Section </w:t>
      </w:r>
      <w:r w:rsidRPr="00461C10" w:rsidR="002672E3">
        <w:t>10 of this decision, Biannual Energization Reporting Requirements</w:t>
      </w:r>
      <w:r w:rsidRPr="00461C10" w:rsidR="00A55571">
        <w:t xml:space="preserve"> </w:t>
      </w:r>
      <w:r w:rsidRPr="00461C10" w:rsidR="001E3E07">
        <w:t xml:space="preserve">can improve the Commission’s ability to identify the appropriate </w:t>
      </w:r>
      <w:r w:rsidRPr="00461C10" w:rsidR="0037602A">
        <w:t>amount of future</w:t>
      </w:r>
      <w:r w:rsidRPr="00461C10" w:rsidR="00AC54D3">
        <w:t xml:space="preserve"> </w:t>
      </w:r>
      <w:r w:rsidRPr="00461C10" w:rsidR="001E3E07">
        <w:t xml:space="preserve">acceleration </w:t>
      </w:r>
      <w:r w:rsidRPr="00461C10" w:rsidR="00DB2FF3">
        <w:t xml:space="preserve">of the large electric IOUs’ energization </w:t>
      </w:r>
      <w:r w:rsidRPr="00461C10" w:rsidR="001E3E07">
        <w:t xml:space="preserve">target(s) in Phase 2 of this proceeding. </w:t>
      </w:r>
    </w:p>
    <w:p w:rsidRPr="00461C10" w:rsidR="00AA3522" w:rsidP="006A337B" w:rsidRDefault="76791888" w14:paraId="41FC9B43" w14:textId="4047C62D">
      <w:pPr>
        <w:pStyle w:val="FoF"/>
      </w:pPr>
      <w:r w:rsidRPr="00461C10">
        <w:t>Observations of the data reported in this proceeding’s record indicate there is not a normal distribution of energization timelines,</w:t>
      </w:r>
      <w:r w:rsidRPr="00461C10" w:rsidR="64840AF7">
        <w:t xml:space="preserve"> due to a high variability in the different types of energization project requests the large electric IOUs receive and complete. There may be a more even distribution of timelines at the project-type level</w:t>
      </w:r>
      <w:r w:rsidRPr="00461C10" w:rsidR="69E6BD46">
        <w:t>.</w:t>
      </w:r>
    </w:p>
    <w:p w:rsidRPr="00461C10" w:rsidR="69E6BD46" w:rsidP="001D1428" w:rsidRDefault="69E6BD46" w14:paraId="2CEECE5C" w14:textId="608C578D">
      <w:pPr>
        <w:pStyle w:val="FoF"/>
        <w:rPr>
          <w:szCs w:val="26"/>
        </w:rPr>
      </w:pPr>
      <w:r w:rsidRPr="00461C10">
        <w:rPr>
          <w:szCs w:val="26"/>
        </w:rPr>
        <w:t>The data provided by the large electric IOUs in this proceeding did not specify project types.</w:t>
      </w:r>
    </w:p>
    <w:p w:rsidRPr="00461C10" w:rsidR="00803A43" w:rsidP="006A337B" w:rsidRDefault="00E94E73" w14:paraId="49367BD3" w14:textId="4DD38031">
      <w:pPr>
        <w:pStyle w:val="FoF"/>
      </w:pPr>
      <w:r w:rsidRPr="00461C10">
        <w:t xml:space="preserve">Data provided by the </w:t>
      </w:r>
      <w:r w:rsidRPr="00461C10" w:rsidR="00A55571">
        <w:t xml:space="preserve">large electric IOU </w:t>
      </w:r>
      <w:r w:rsidRPr="00461C10">
        <w:t xml:space="preserve">was used </w:t>
      </w:r>
      <w:r w:rsidRPr="00461C10" w:rsidR="001E3E07">
        <w:t>to</w:t>
      </w:r>
      <w:r w:rsidRPr="00461C10">
        <w:t xml:space="preserve"> develop average and maximum targets for completion of </w:t>
      </w:r>
      <w:r w:rsidRPr="00461C10" w:rsidR="001E3E07">
        <w:t>customers</w:t>
      </w:r>
      <w:r w:rsidRPr="00461C10">
        <w:t>’</w:t>
      </w:r>
      <w:r w:rsidRPr="00461C10" w:rsidR="001E3E07">
        <w:t xml:space="preserve"> new or upgraded electric service project</w:t>
      </w:r>
      <w:r w:rsidRPr="00461C10">
        <w:t xml:space="preserve"> requests</w:t>
      </w:r>
      <w:r w:rsidRPr="00461C10" w:rsidR="001E3E07">
        <w:t xml:space="preserve"> that fall under the tariffs of Electric Rule 15, Electric Rule 16, Electric Rules 15/16 combined, Electric Rule 29 (PG&amp;E and SCE</w:t>
      </w:r>
      <w:r w:rsidRPr="00461C10" w:rsidR="006B2D89">
        <w:t>)</w:t>
      </w:r>
      <w:r w:rsidRPr="00461C10" w:rsidR="001E3E07">
        <w:t>, and Electric Rule 45 (SDG&amp;E).</w:t>
      </w:r>
      <w:r w:rsidRPr="00461C10">
        <w:t xml:space="preserve"> </w:t>
      </w:r>
    </w:p>
    <w:p w:rsidRPr="00461C10" w:rsidR="00803A43" w:rsidP="006A337B" w:rsidRDefault="008B79E3" w14:paraId="584D7ED4" w14:textId="6DCB08A3">
      <w:pPr>
        <w:pStyle w:val="FoF"/>
      </w:pPr>
      <w:r w:rsidRPr="00461C10">
        <w:t>The analyses and assumptions used to develop the energization targets adopted in Section 7 of this decision, Energization Targets, are provided in Appendix A of this decision, Statewide Energization Timeline Analyses Report.</w:t>
      </w:r>
    </w:p>
    <w:p w:rsidRPr="00461C10" w:rsidR="00803A43" w:rsidP="006A337B" w:rsidRDefault="003E6E6F" w14:paraId="7ABB1993" w14:textId="6CE2DEBC">
      <w:pPr>
        <w:pStyle w:val="FoF"/>
      </w:pPr>
      <w:r w:rsidRPr="00461C10">
        <w:t>The data analyzed to establish the Energization Targets adopted in Section</w:t>
      </w:r>
      <w:r w:rsidRPr="00461C10" w:rsidR="00803A43">
        <w:t> </w:t>
      </w:r>
      <w:r w:rsidRPr="00461C10">
        <w:t>7 of this decision indicate that the maximum statewide targets could be met for up to 95 percent of the projects seeking new or upgraded electric service.</w:t>
      </w:r>
    </w:p>
    <w:p w:rsidRPr="00461C10" w:rsidR="00803A43" w:rsidP="006A337B" w:rsidRDefault="001E3E07" w14:paraId="5712B455" w14:textId="6032A383">
      <w:pPr>
        <w:pStyle w:val="FoF"/>
      </w:pPr>
      <w:r w:rsidRPr="00461C10">
        <w:t>It is reasonable to require each large electric IOU to communicate with a</w:t>
      </w:r>
      <w:r w:rsidRPr="00461C10" w:rsidR="0082647A">
        <w:t>ny</w:t>
      </w:r>
      <w:r w:rsidRPr="00461C10">
        <w:t xml:space="preserve"> customer that requests </w:t>
      </w:r>
      <w:r w:rsidRPr="00461C10" w:rsidR="00DB2FF3">
        <w:t xml:space="preserve">a </w:t>
      </w:r>
      <w:r w:rsidRPr="00461C10">
        <w:t xml:space="preserve">new or upgraded service connection within </w:t>
      </w:r>
      <w:r w:rsidRPr="00461C10">
        <w:lastRenderedPageBreak/>
        <w:t>10 business days of receiving the customer’s request</w:t>
      </w:r>
      <w:r w:rsidRPr="00461C10" w:rsidR="00FF2325">
        <w:t xml:space="preserve"> </w:t>
      </w:r>
      <w:r w:rsidRPr="00461C10" w:rsidR="000531FB">
        <w:t xml:space="preserve">to </w:t>
      </w:r>
      <w:r w:rsidRPr="00461C10" w:rsidR="001B7FF4">
        <w:t xml:space="preserve">accelerate the Customer Intake step identified in Section 7 of this decision, </w:t>
      </w:r>
      <w:r w:rsidRPr="00461C10" w:rsidR="00555A2C">
        <w:t>Energization Targets</w:t>
      </w:r>
      <w:r w:rsidRPr="00461C10">
        <w:t xml:space="preserve">.  </w:t>
      </w:r>
    </w:p>
    <w:p w:rsidR="00803A43" w:rsidP="006A337B" w:rsidRDefault="001028FB" w14:paraId="0B6FCAE3" w14:textId="1EDE40C7">
      <w:pPr>
        <w:pStyle w:val="FoF"/>
      </w:pPr>
      <w:r w:rsidRPr="00461C10">
        <w:t>The record indicates that</w:t>
      </w:r>
      <w:r w:rsidRPr="00461C10" w:rsidR="00C04B4F">
        <w:t xml:space="preserve"> the utility work necessary to complete</w:t>
      </w:r>
      <w:r w:rsidRPr="00461C10">
        <w:t xml:space="preserve"> a main panel upgrade (defined as upgrades that do not require that the IOU perform in front of the meter upgrades such as an upgrade to the service line) can reasonably be completed within an average of 30 days and a maximum of 45</w:t>
      </w:r>
      <w:r w:rsidR="002917F1">
        <w:t> </w:t>
      </w:r>
      <w:r w:rsidRPr="00461C10">
        <w:t xml:space="preserve">days, which is consistent with the directives of Pub. Util. Code § 934(a)(1). </w:t>
      </w:r>
    </w:p>
    <w:p w:rsidRPr="00461C10" w:rsidR="00803A43" w:rsidP="006A337B" w:rsidRDefault="001E3E07" w14:paraId="2A02095C" w14:textId="7AD359C8">
      <w:pPr>
        <w:pStyle w:val="FoF"/>
      </w:pPr>
      <w:r w:rsidRPr="00461C10">
        <w:t xml:space="preserve">Larger, more complicated, projects </w:t>
      </w:r>
      <w:r w:rsidRPr="00461C10" w:rsidR="00DB2FF3">
        <w:t xml:space="preserve">that require upstream capacity upgrades </w:t>
      </w:r>
      <w:r w:rsidRPr="00461C10">
        <w:t xml:space="preserve">may warrant differing energization targets to account for variances between the large IOUs’ service territories. </w:t>
      </w:r>
    </w:p>
    <w:p w:rsidRPr="00461C10" w:rsidR="00803A43" w:rsidP="006A337B" w:rsidRDefault="00D13618" w14:paraId="1EA8077F" w14:textId="30499EC2">
      <w:pPr>
        <w:pStyle w:val="FoF"/>
      </w:pPr>
      <w:r w:rsidRPr="00461C10">
        <w:t xml:space="preserve">The data </w:t>
      </w:r>
      <w:r w:rsidRPr="00461C10" w:rsidR="008851DE">
        <w:t>on the record of this proceeding</w:t>
      </w:r>
      <w:r w:rsidRPr="00461C10" w:rsidR="00202572">
        <w:t xml:space="preserve">, as analyzed in Appendix A of this decision, Statewide </w:t>
      </w:r>
      <w:r w:rsidRPr="00461C10" w:rsidR="002B7E4A">
        <w:t xml:space="preserve">Energization </w:t>
      </w:r>
      <w:r w:rsidRPr="00461C10" w:rsidR="00640E7A">
        <w:t xml:space="preserve">Timelines </w:t>
      </w:r>
      <w:r w:rsidRPr="00461C10" w:rsidR="008851DE">
        <w:t>Analyses Report,</w:t>
      </w:r>
      <w:r w:rsidRPr="00461C10">
        <w:t xml:space="preserve"> is not sufficient to establish varying energization targets across the different large electric IOUs’ service territories</w:t>
      </w:r>
      <w:r w:rsidRPr="00461C10" w:rsidR="008851DE">
        <w:t xml:space="preserve"> because not all of the large electric IOUs provided</w:t>
      </w:r>
      <w:r w:rsidRPr="00461C10" w:rsidR="00315F29">
        <w:t xml:space="preserve"> responses to all of</w:t>
      </w:r>
      <w:r w:rsidRPr="00461C10" w:rsidR="008851DE">
        <w:t xml:space="preserve"> the data requested in the March</w:t>
      </w:r>
      <w:r w:rsidR="002932C0">
        <w:t> </w:t>
      </w:r>
      <w:r w:rsidRPr="00461C10" w:rsidR="008851DE">
        <w:t>21, 2024</w:t>
      </w:r>
      <w:r w:rsidR="00C678ED">
        <w:t>, </w:t>
      </w:r>
      <w:r w:rsidRPr="00461C10" w:rsidR="008851DE">
        <w:t>ALJ Ruling</w:t>
      </w:r>
      <w:r w:rsidRPr="00461C10">
        <w:t>.</w:t>
      </w:r>
    </w:p>
    <w:p w:rsidRPr="00461C10" w:rsidR="00803A43" w:rsidP="006A337B" w:rsidRDefault="001E3E07" w14:paraId="16F69CD0" w14:textId="08628502">
      <w:pPr>
        <w:pStyle w:val="FoF"/>
      </w:pPr>
      <w:r w:rsidRPr="00461C10">
        <w:t xml:space="preserve">The types of projects necessary for </w:t>
      </w:r>
      <w:r w:rsidRPr="00461C10" w:rsidR="00D13618">
        <w:t xml:space="preserve">the large electric IOUs to complete an </w:t>
      </w:r>
      <w:r w:rsidRPr="00461C10">
        <w:t>energization</w:t>
      </w:r>
      <w:r w:rsidRPr="00461C10" w:rsidR="00D13618">
        <w:t xml:space="preserve"> service request</w:t>
      </w:r>
      <w:r w:rsidRPr="00461C10">
        <w:t xml:space="preserve">, such as </w:t>
      </w:r>
      <w:r w:rsidRPr="00461C10" w:rsidR="00D13618">
        <w:t xml:space="preserve">new or upgraded </w:t>
      </w:r>
      <w:r w:rsidRPr="00461C10" w:rsidR="002A0491">
        <w:t xml:space="preserve">electric </w:t>
      </w:r>
      <w:r w:rsidRPr="00461C10">
        <w:t>service</w:t>
      </w:r>
      <w:r w:rsidRPr="00461C10" w:rsidR="002A0491">
        <w:t xml:space="preserve"> lines</w:t>
      </w:r>
      <w:r w:rsidRPr="00461C10">
        <w:t xml:space="preserve"> and main panel upgrades, </w:t>
      </w:r>
      <w:r w:rsidRPr="00461C10" w:rsidR="003D1527">
        <w:t>can</w:t>
      </w:r>
      <w:r w:rsidRPr="00461C10">
        <w:t xml:space="preserve"> be streamlined with a statewide target. </w:t>
      </w:r>
    </w:p>
    <w:p w:rsidRPr="00461C10" w:rsidR="00803A43" w:rsidP="006A337B" w:rsidRDefault="00E81A83" w14:paraId="1099CAD7" w14:textId="4BC84097">
      <w:pPr>
        <w:pStyle w:val="FoF"/>
      </w:pPr>
      <w:r w:rsidRPr="00461C10">
        <w:t xml:space="preserve">The average targets for new or upgraded electric service requests adopted in this decision are based on the approximate average project timelines, as reported by the large electric investor-owned utilities and further described in Appendix A of this decision, </w:t>
      </w:r>
      <w:r w:rsidRPr="00461C10">
        <w:rPr>
          <w:rFonts w:cs="Arial"/>
          <w:szCs w:val="26"/>
        </w:rPr>
        <w:t>Statewide Energization Timelines Analyses Report</w:t>
      </w:r>
      <w:r w:rsidRPr="00461C10">
        <w:t>.</w:t>
      </w:r>
    </w:p>
    <w:p w:rsidRPr="00461C10" w:rsidR="00803A43" w:rsidP="006A337B" w:rsidRDefault="00E81A83" w14:paraId="36F5F1FC" w14:textId="686D299F">
      <w:pPr>
        <w:pStyle w:val="FoF"/>
      </w:pPr>
      <w:r w:rsidRPr="00461C10">
        <w:t xml:space="preserve">The maximum targets for the large electric IOUs to complete new or upgraded electric service requests adopted in Section 7 of this decision, Energization Targets, are based on the average plus one standard deviation. The data analyzed, and assumptions used, to develop the average and maximum </w:t>
      </w:r>
      <w:r w:rsidRPr="00461C10">
        <w:lastRenderedPageBreak/>
        <w:t xml:space="preserve">targets for the large electric IOUs to complete new or upgraded service requests adopted in Section 7 of this decision, Energization, are further described in Appendix A of this decision, </w:t>
      </w:r>
      <w:r w:rsidRPr="00461C10">
        <w:rPr>
          <w:rFonts w:cs="Arial"/>
          <w:szCs w:val="26"/>
        </w:rPr>
        <w:t>Statewide Energization Timelines Analyses Report</w:t>
      </w:r>
      <w:r w:rsidRPr="00461C10">
        <w:t xml:space="preserve">. </w:t>
      </w:r>
    </w:p>
    <w:p w:rsidRPr="00461C10" w:rsidR="00803A43" w:rsidP="006A337B" w:rsidRDefault="001E3E07" w14:paraId="12A3DE4F" w14:textId="28CF1AED">
      <w:pPr>
        <w:pStyle w:val="FoF"/>
      </w:pPr>
      <w:r w:rsidRPr="00461C10">
        <w:t xml:space="preserve">Establishing an energization target for </w:t>
      </w:r>
      <w:r w:rsidRPr="00461C10" w:rsidR="002C4427">
        <w:t xml:space="preserve">the large electric </w:t>
      </w:r>
      <w:r w:rsidRPr="00461C10" w:rsidR="003D1527">
        <w:t>I</w:t>
      </w:r>
      <w:r w:rsidRPr="00461C10" w:rsidR="002C4427">
        <w:t xml:space="preserve">OUs to complete requests </w:t>
      </w:r>
      <w:r w:rsidRPr="00461C10">
        <w:t xml:space="preserve">upgrades </w:t>
      </w:r>
      <w:r w:rsidRPr="00461C10" w:rsidR="003D1527">
        <w:t>that do not require service line upgrades is required under Pub. Util. Code</w:t>
      </w:r>
      <w:r w:rsidRPr="00461C10">
        <w:t xml:space="preserve"> </w:t>
      </w:r>
      <w:r w:rsidRPr="00461C10" w:rsidR="003D1527">
        <w:t>§ 934(a)(1).</w:t>
      </w:r>
    </w:p>
    <w:p w:rsidRPr="00461C10" w:rsidR="00803A43" w:rsidP="006A337B" w:rsidRDefault="001E3E07" w14:paraId="46C758BE" w14:textId="2746683A">
      <w:pPr>
        <w:pStyle w:val="FoF"/>
      </w:pPr>
      <w:r w:rsidRPr="00461C10">
        <w:t xml:space="preserve">Upstream capacity projects have various timelines and setting </w:t>
      </w:r>
      <w:r w:rsidRPr="00461C10" w:rsidR="003B0E1C">
        <w:t xml:space="preserve">an average or </w:t>
      </w:r>
      <w:r w:rsidRPr="00461C10">
        <w:t xml:space="preserve">maximum </w:t>
      </w:r>
      <w:r w:rsidRPr="00461C10" w:rsidR="003B0E1C">
        <w:t xml:space="preserve">timeline </w:t>
      </w:r>
      <w:r w:rsidRPr="00461C10">
        <w:t xml:space="preserve">in this decision may not accelerate any projects that require upstream capacity upgrades. </w:t>
      </w:r>
    </w:p>
    <w:p w:rsidRPr="00461C10" w:rsidR="00803A43" w:rsidP="006A337B" w:rsidRDefault="001E3E07" w14:paraId="4F0D6FD9" w14:textId="704B4C6F">
      <w:pPr>
        <w:pStyle w:val="FoF"/>
      </w:pPr>
      <w:r w:rsidRPr="00461C10">
        <w:t xml:space="preserve">The start date of an energization request begins on the date the customer’s application is deemed complete and </w:t>
      </w:r>
      <w:r w:rsidRPr="00461C10" w:rsidR="003C11BE">
        <w:t xml:space="preserve">the energization request </w:t>
      </w:r>
      <w:r w:rsidRPr="00461C10">
        <w:t xml:space="preserve">ends when the customer’s new or upgraded service request is energized. </w:t>
      </w:r>
    </w:p>
    <w:p w:rsidRPr="00461C10" w:rsidR="00C36712" w:rsidP="006A337B" w:rsidRDefault="00C36712" w14:paraId="684B8534" w14:textId="165FDE1F">
      <w:pPr>
        <w:pStyle w:val="FoF"/>
      </w:pPr>
      <w:r w:rsidRPr="00461C10">
        <w:t>If a customer expands or changes the scope of its project, the start date of the energization request could change.</w:t>
      </w:r>
    </w:p>
    <w:p w:rsidRPr="00461C10" w:rsidR="00803A43" w:rsidP="006A337B" w:rsidRDefault="001E3E07" w14:paraId="313DB327" w14:textId="31CBD645">
      <w:pPr>
        <w:pStyle w:val="FoF"/>
      </w:pPr>
      <w:r w:rsidRPr="00461C10">
        <w:t xml:space="preserve">More data is necessary to </w:t>
      </w:r>
      <w:r w:rsidRPr="00461C10" w:rsidR="008B19FF">
        <w:t>understand the energization timelines in</w:t>
      </w:r>
      <w:r w:rsidRPr="00461C10">
        <w:t xml:space="preserve"> ESJ communities</w:t>
      </w:r>
      <w:r w:rsidRPr="00461C10" w:rsidR="008B19FF">
        <w:t xml:space="preserve">. </w:t>
      </w:r>
    </w:p>
    <w:p w:rsidRPr="00461C10" w:rsidR="00803A43" w:rsidP="006A337B" w:rsidRDefault="008B19FF" w14:paraId="55CC9D2F" w14:textId="76846ED1">
      <w:pPr>
        <w:pStyle w:val="FoF"/>
      </w:pPr>
      <w:r w:rsidRPr="00461C10">
        <w:t>The data collected pursuant to Section 10 of this proceeding, Biannual Energization Reporting Requirements, will include specific information about energization requests within ESJ communities</w:t>
      </w:r>
      <w:r w:rsidRPr="00461C10" w:rsidR="006131F0">
        <w:t xml:space="preserve"> to inform whether additional data should be collected for specific communities</w:t>
      </w:r>
      <w:r w:rsidRPr="00461C10" w:rsidR="001E3E07">
        <w:t xml:space="preserve">. </w:t>
      </w:r>
    </w:p>
    <w:p w:rsidRPr="00461C10" w:rsidR="00803A43" w:rsidP="006A337B" w:rsidRDefault="00BB604D" w14:paraId="2B6C27B9" w14:textId="4F92272C">
      <w:pPr>
        <w:pStyle w:val="FoF"/>
      </w:pPr>
      <w:r w:rsidRPr="00461C10">
        <w:t xml:space="preserve">Requiring the large electric IOUs to track data to align with the ESJ Action Plan will enable the Commission to assess equity issues raised by the energization targets by </w:t>
      </w:r>
      <w:r w:rsidRPr="00461C10" w:rsidR="00561DCA">
        <w:t>providing information about the</w:t>
      </w:r>
      <w:r w:rsidRPr="00461C10" w:rsidR="00790ADB">
        <w:t xml:space="preserve"> large electric IOUs’</w:t>
      </w:r>
      <w:r w:rsidRPr="00461C10" w:rsidR="00561DCA">
        <w:t xml:space="preserve"> </w:t>
      </w:r>
      <w:r w:rsidRPr="00461C10" w:rsidR="00790ADB">
        <w:t>timelines for completing</w:t>
      </w:r>
      <w:r w:rsidRPr="00461C10" w:rsidR="00561DCA">
        <w:t xml:space="preserve"> energization</w:t>
      </w:r>
      <w:r w:rsidRPr="00461C10" w:rsidR="00790ADB">
        <w:t xml:space="preserve"> requests</w:t>
      </w:r>
      <w:r w:rsidRPr="00461C10" w:rsidR="00561DCA">
        <w:t xml:space="preserve"> in </w:t>
      </w:r>
      <w:r w:rsidRPr="00461C10" w:rsidR="00790ADB">
        <w:t>ESJ communities</w:t>
      </w:r>
      <w:r w:rsidRPr="00461C10">
        <w:t>.</w:t>
      </w:r>
      <w:r w:rsidRPr="00461C10" w:rsidR="001E3E07">
        <w:t xml:space="preserve">   </w:t>
      </w:r>
    </w:p>
    <w:p w:rsidRPr="00461C10" w:rsidR="00803A43" w:rsidP="006A337B" w:rsidRDefault="001E3E07" w14:paraId="1F2E0419" w14:textId="63A8B1FC">
      <w:pPr>
        <w:pStyle w:val="FoF"/>
      </w:pPr>
      <w:r w:rsidRPr="00461C10">
        <w:t xml:space="preserve">While we are currently excluding steps outside the </w:t>
      </w:r>
      <w:r w:rsidRPr="00461C10" w:rsidR="4B44BBFE">
        <w:t>large electric IOUs control in the energization targets and timelines established in this proceeding</w:t>
      </w:r>
      <w:r w:rsidRPr="00461C10">
        <w:t xml:space="preserve">  </w:t>
      </w:r>
      <w:r w:rsidRPr="00461C10">
        <w:lastRenderedPageBreak/>
        <w:t xml:space="preserve">from the timeline targets, we still find value in tracking the time necessary for non-utility processes to be completed. </w:t>
      </w:r>
    </w:p>
    <w:p w:rsidRPr="00461C10" w:rsidR="00803A43" w:rsidP="006A337B" w:rsidRDefault="001E3E07" w14:paraId="48EAD143" w14:textId="616E00A6">
      <w:pPr>
        <w:pStyle w:val="FoF"/>
      </w:pPr>
      <w:r w:rsidRPr="00461C10">
        <w:t>Adopting average and maximum target</w:t>
      </w:r>
      <w:r w:rsidRPr="00461C10" w:rsidR="00294424">
        <w:t>s</w:t>
      </w:r>
      <w:r w:rsidRPr="00461C10">
        <w:t xml:space="preserve"> for the overall energization processes within direct control of each </w:t>
      </w:r>
      <w:r w:rsidRPr="00461C10" w:rsidR="001C5427">
        <w:t>large electric IOU</w:t>
      </w:r>
      <w:r w:rsidRPr="00461C10">
        <w:t>, as described in Section 7 of this decision, Energization Targets, meets the requirements Pub. Util. Code</w:t>
      </w:r>
      <w:r w:rsidRPr="00461C10" w:rsidR="00803A43">
        <w:t> </w:t>
      </w:r>
      <w:r w:rsidRPr="00461C10">
        <w:t>§</w:t>
      </w:r>
      <w:r w:rsidRPr="00461C10" w:rsidR="00803A43">
        <w:t> </w:t>
      </w:r>
      <w:r w:rsidRPr="00461C10">
        <w:t xml:space="preserve">934. </w:t>
      </w:r>
    </w:p>
    <w:p w:rsidRPr="00461C10" w:rsidR="00803A43" w:rsidP="006A337B" w:rsidRDefault="002B6316" w14:paraId="6315C683" w14:textId="74BF490F">
      <w:pPr>
        <w:pStyle w:val="FoF"/>
      </w:pPr>
      <w:r w:rsidRPr="00461C10">
        <w:t xml:space="preserve">Pub. Util. Code § 937 authorizes the electric IOUs to seek incremental funding </w:t>
      </w:r>
      <w:r w:rsidRPr="00461C10" w:rsidR="002F755F">
        <w:t>by filing an application with the Commission</w:t>
      </w:r>
      <w:r w:rsidRPr="00461C10">
        <w:t xml:space="preserve"> request</w:t>
      </w:r>
      <w:r w:rsidRPr="00461C10" w:rsidR="002F755F">
        <w:t>ing to implement</w:t>
      </w:r>
      <w:r w:rsidRPr="00461C10">
        <w:t xml:space="preserve"> a ratemaking mechanism to track and </w:t>
      </w:r>
      <w:r w:rsidRPr="00461C10" w:rsidR="001E405F">
        <w:t xml:space="preserve">seek </w:t>
      </w:r>
      <w:r w:rsidRPr="00461C10">
        <w:t>recover</w:t>
      </w:r>
      <w:r w:rsidRPr="00461C10" w:rsidR="001E405F">
        <w:t>y of costs</w:t>
      </w:r>
      <w:r w:rsidRPr="00461C10">
        <w:t xml:space="preserve"> </w:t>
      </w:r>
      <w:r w:rsidRPr="00461C10" w:rsidR="001E405F">
        <w:t>that may accrue when complying with the Commission’s directives to comply with SB 410 and AB 50.</w:t>
      </w:r>
    </w:p>
    <w:p w:rsidRPr="00461C10" w:rsidR="00803A43" w:rsidP="006A337B" w:rsidRDefault="008B19FF" w14:paraId="0E6F9086" w14:textId="5AB0579E">
      <w:pPr>
        <w:pStyle w:val="FoF"/>
      </w:pPr>
      <w:r w:rsidRPr="00461C10">
        <w:t xml:space="preserve">Collecting and analyzing data regarding the large electric IOU’s compliance with the targets established in </w:t>
      </w:r>
      <w:r w:rsidRPr="00461C10" w:rsidR="006131F0">
        <w:t xml:space="preserve">Section 7 of this </w:t>
      </w:r>
      <w:r w:rsidRPr="00461C10">
        <w:t>decision</w:t>
      </w:r>
      <w:r w:rsidRPr="00461C10" w:rsidR="006131F0">
        <w:t>, Energization Targets,</w:t>
      </w:r>
      <w:r w:rsidRPr="00461C10">
        <w:t xml:space="preserve"> is critical to the Commission’s ability to support the energization processes. </w:t>
      </w:r>
    </w:p>
    <w:p w:rsidRPr="00461C10" w:rsidR="00803A43" w:rsidP="006A337B" w:rsidRDefault="00450FA6" w14:paraId="645FB252" w14:textId="740EAABF">
      <w:pPr>
        <w:pStyle w:val="FoF"/>
      </w:pPr>
      <w:r w:rsidRPr="00461C10">
        <w:t xml:space="preserve">Pub. Util. Code § 933.5(b) </w:t>
      </w:r>
      <w:r w:rsidRPr="00461C10" w:rsidR="00E71164">
        <w:t xml:space="preserve">requires each </w:t>
      </w:r>
      <w:r w:rsidRPr="00461C10" w:rsidR="00EB7B85">
        <w:t>large electric IOU</w:t>
      </w:r>
      <w:r w:rsidRPr="00461C10" w:rsidR="00E71164">
        <w:t xml:space="preserve"> that energized less than 35 percent of customers with completed applications in a timeframe that exceeds 12 months to submit a report to the Commission, on or before December 1, 2024, demonstrating that </w:t>
      </w:r>
      <w:r w:rsidRPr="00461C10" w:rsidR="00EB7B85">
        <w:t>each large electric IOU</w:t>
      </w:r>
      <w:r w:rsidRPr="00461C10" w:rsidR="00E71164">
        <w:t xml:space="preserve"> has energized 80</w:t>
      </w:r>
      <w:r w:rsidRPr="00461C10" w:rsidR="00803A43">
        <w:t> </w:t>
      </w:r>
      <w:r w:rsidRPr="00461C10" w:rsidR="00E71164">
        <w:t>percent of customers with applications deemed complete as of January 31, 2023.</w:t>
      </w:r>
    </w:p>
    <w:p w:rsidRPr="00461C10" w:rsidR="00BA565B" w:rsidP="006A337B" w:rsidRDefault="008C63E5" w14:paraId="55274378" w14:textId="59C0EA16">
      <w:pPr>
        <w:pStyle w:val="FoF"/>
      </w:pPr>
      <w:r w:rsidRPr="00461C10">
        <w:t xml:space="preserve">Consistent with the reporting requirements in AB 50 and SB 410, the Customer </w:t>
      </w:r>
      <w:r w:rsidRPr="00461C10" w:rsidR="00A51393">
        <w:t xml:space="preserve">Energization Delay Reporting </w:t>
      </w:r>
      <w:r w:rsidRPr="00461C10">
        <w:t xml:space="preserve">Form </w:t>
      </w:r>
      <w:r w:rsidRPr="00461C10" w:rsidR="00613861">
        <w:t xml:space="preserve">adopted </w:t>
      </w:r>
      <w:r w:rsidRPr="00461C10">
        <w:t>in Appendix C</w:t>
      </w:r>
      <w:r w:rsidRPr="00461C10" w:rsidR="00613861">
        <w:t xml:space="preserve"> of this decision</w:t>
      </w:r>
      <w:r w:rsidRPr="00461C10">
        <w:t xml:space="preserve"> provides customers with the ability to report energization delays directly to </w:t>
      </w:r>
      <w:r w:rsidRPr="00461C10" w:rsidR="0046107D">
        <w:t xml:space="preserve">the Commission’s </w:t>
      </w:r>
      <w:r w:rsidRPr="00461C10">
        <w:t>Energy Division.</w:t>
      </w:r>
    </w:p>
    <w:p w:rsidRPr="00461C10" w:rsidR="00BA565B" w:rsidP="006A337B" w:rsidRDefault="001C45F5" w14:paraId="1B6972BD" w14:textId="2D67703B">
      <w:pPr>
        <w:pStyle w:val="FoF"/>
      </w:pPr>
      <w:r w:rsidRPr="00461C10">
        <w:t>The directives established in Section 12 of this decision, Improved Customer Outreach, can help</w:t>
      </w:r>
      <w:r w:rsidRPr="00461C10" w:rsidR="009001EC">
        <w:t xml:space="preserve"> the Commission and the large electric IOUs </w:t>
      </w:r>
      <w:r w:rsidRPr="00461C10" w:rsidR="001E3E07">
        <w:t xml:space="preserve">meet </w:t>
      </w:r>
      <w:r w:rsidRPr="00461C10" w:rsidR="009001EC">
        <w:lastRenderedPageBreak/>
        <w:t xml:space="preserve">the </w:t>
      </w:r>
      <w:r w:rsidRPr="00461C10" w:rsidR="001E3E07">
        <w:t>requirements established in AB 50 and SB 410</w:t>
      </w:r>
      <w:r w:rsidRPr="00461C10" w:rsidR="009001EC">
        <w:t xml:space="preserve"> related to improved </w:t>
      </w:r>
      <w:r w:rsidRPr="00461C10" w:rsidR="001E3E07">
        <w:t xml:space="preserve">communication between the </w:t>
      </w:r>
      <w:r w:rsidRPr="00461C10" w:rsidR="009001EC">
        <w:t xml:space="preserve">large electric </w:t>
      </w:r>
      <w:r w:rsidRPr="00461C10" w:rsidR="001E3E07">
        <w:t xml:space="preserve">IOUs and the customers seeking new or upgraded service. </w:t>
      </w:r>
    </w:p>
    <w:p w:rsidRPr="00461C10" w:rsidR="00BA565B" w:rsidP="006A337B" w:rsidRDefault="009B6AFD" w14:paraId="5C311444" w14:textId="0E2D5F89">
      <w:pPr>
        <w:pStyle w:val="FoF"/>
      </w:pPr>
      <w:r w:rsidRPr="00461C10">
        <w:t>The large electric IOUs’ customer engagement and communication plans</w:t>
      </w:r>
      <w:r w:rsidRPr="00461C10" w:rsidR="00BC678B">
        <w:t>, as described in Section 12 of this decision, Improved Customer Outreach,</w:t>
      </w:r>
      <w:r w:rsidRPr="00461C10">
        <w:t xml:space="preserve"> </w:t>
      </w:r>
      <w:r w:rsidRPr="00461C10" w:rsidR="0082096D">
        <w:t>will</w:t>
      </w:r>
      <w:r w:rsidRPr="00461C10">
        <w:t xml:space="preserve"> improve customer outreach, </w:t>
      </w:r>
      <w:r w:rsidRPr="00461C10" w:rsidR="0046107D">
        <w:t xml:space="preserve">and </w:t>
      </w:r>
      <w:r w:rsidRPr="00461C10">
        <w:t>inform the</w:t>
      </w:r>
      <w:r w:rsidRPr="00461C10" w:rsidR="0046107D">
        <w:t xml:space="preserve"> large electric IOUs’</w:t>
      </w:r>
      <w:r w:rsidRPr="00461C10">
        <w:t xml:space="preserve"> recruiting, training, and retaining programs for employees needed to promptly respond to customer energization requests, pursuant to Pub. Util. Code § 932(a)(9).</w:t>
      </w:r>
    </w:p>
    <w:p w:rsidRPr="00461C10" w:rsidR="00BA565B" w:rsidP="006A337B" w:rsidRDefault="00BD386E" w14:paraId="45F8EE60" w14:textId="16779BB7">
      <w:pPr>
        <w:pStyle w:val="FoF"/>
      </w:pPr>
      <w:r w:rsidRPr="00461C10">
        <w:t>Pub. Util. Code § 937 authorizes the large electric IOUs to file applications with the Commission se</w:t>
      </w:r>
      <w:r w:rsidRPr="00461C10" w:rsidR="00E71C5F">
        <w:t xml:space="preserve">eking approval of a ratemaking mechanism to track and seek recovery of costs associated with implementing </w:t>
      </w:r>
      <w:r w:rsidRPr="00461C10" w:rsidR="000C00B6">
        <w:t>SB 410.</w:t>
      </w:r>
    </w:p>
    <w:p w:rsidRPr="00461C10" w:rsidR="00BA565B" w:rsidP="006A337B" w:rsidRDefault="001E3E07" w14:paraId="4A0E80CB" w14:textId="40236B02">
      <w:pPr>
        <w:pStyle w:val="FoF"/>
      </w:pPr>
      <w:r w:rsidRPr="00461C10">
        <w:t xml:space="preserve">Consistent with Pub. Util. Code § 933.5(2)(B) it is reasonable to direct the large electric IOUs to develop a data reporting template consistent with the steps outlined in Section 10 of this decision, </w:t>
      </w:r>
      <w:r w:rsidRPr="00461C10" w:rsidR="00D548A6">
        <w:t>Bia</w:t>
      </w:r>
      <w:r w:rsidRPr="00461C10">
        <w:t xml:space="preserve">nnual Energization Reporting Requirements, and Appendix B of this decision, Energization Target Reporting Template Requirements. </w:t>
      </w:r>
    </w:p>
    <w:p w:rsidRPr="00461C10" w:rsidR="00BA565B" w:rsidP="006A337B" w:rsidRDefault="008826EE" w14:paraId="242965CC" w14:textId="40D1A79E">
      <w:pPr>
        <w:pStyle w:val="FoF"/>
      </w:pPr>
      <w:r w:rsidRPr="00461C10">
        <w:t xml:space="preserve">Public comments can improve the </w:t>
      </w:r>
      <w:r w:rsidRPr="00461C10" w:rsidR="00F02DBF">
        <w:t>bi</w:t>
      </w:r>
      <w:r w:rsidRPr="00461C10" w:rsidR="001E3E07">
        <w:t xml:space="preserve">annual data reporting template </w:t>
      </w:r>
      <w:r w:rsidRPr="00461C10">
        <w:t>as required in</w:t>
      </w:r>
      <w:r w:rsidRPr="00461C10" w:rsidR="001E3E07">
        <w:t xml:space="preserve"> in Section 10 of this decision, </w:t>
      </w:r>
      <w:r w:rsidRPr="00461C10" w:rsidR="00D548A6">
        <w:t>Bia</w:t>
      </w:r>
      <w:r w:rsidRPr="00461C10" w:rsidR="001E3E07">
        <w:t xml:space="preserve">nnual Energization Reporting Requirements, and Appendix B of this decision, Energization Target Reporting Template Requirements. </w:t>
      </w:r>
      <w:r w:rsidRPr="00461C10">
        <w:t xml:space="preserve">Public comments </w:t>
      </w:r>
      <w:r w:rsidRPr="00461C10" w:rsidR="00815081">
        <w:t xml:space="preserve">may </w:t>
      </w:r>
      <w:r w:rsidRPr="00461C10" w:rsidR="00575DC2">
        <w:t>identify</w:t>
      </w:r>
      <w:r w:rsidRPr="00461C10" w:rsidR="00815081">
        <w:t xml:space="preserve"> potential revisions to the proposed data reporting template before the large electric IOUs’ initial biannual energization reports</w:t>
      </w:r>
      <w:r w:rsidRPr="00461C10" w:rsidR="00575DC2">
        <w:t xml:space="preserve"> are filed.</w:t>
      </w:r>
      <w:r w:rsidRPr="00461C10" w:rsidR="00815081">
        <w:t xml:space="preserve"> </w:t>
      </w:r>
    </w:p>
    <w:p w:rsidRPr="00461C10" w:rsidR="00BA565B" w:rsidP="006A337B" w:rsidRDefault="00F245F0" w14:paraId="72825975" w14:textId="2A895F49">
      <w:pPr>
        <w:pStyle w:val="FoF"/>
      </w:pPr>
      <w:r w:rsidRPr="00461C10">
        <w:t>Pursuant to Pub. Util. Code § 939, t</w:t>
      </w:r>
      <w:r w:rsidRPr="00461C10" w:rsidR="009476A5">
        <w:t xml:space="preserve">he Commission </w:t>
      </w:r>
      <w:r w:rsidRPr="00461C10">
        <w:t>may</w:t>
      </w:r>
      <w:r w:rsidRPr="00461C10" w:rsidR="009476A5">
        <w:t xml:space="preserve"> defer compliance </w:t>
      </w:r>
      <w:r w:rsidRPr="00461C10">
        <w:t xml:space="preserve">with the energization targets adopted in Section 7 of this decision, Electrification Targets, and Section 8 of this decision, Upstream Capacity Upgrade Targets, for </w:t>
      </w:r>
      <w:r w:rsidRPr="00461C10">
        <w:lastRenderedPageBreak/>
        <w:t>e</w:t>
      </w:r>
      <w:r w:rsidRPr="00461C10" w:rsidR="00487D82">
        <w:t xml:space="preserve">lectric corporations operating in California that have fewer than 100,000 service connections. </w:t>
      </w:r>
    </w:p>
    <w:p w:rsidRPr="00461C10" w:rsidR="001E3E07" w:rsidP="006A337B" w:rsidRDefault="00164553" w14:paraId="477775EF" w14:textId="2960D6B5">
      <w:pPr>
        <w:pStyle w:val="FoF"/>
      </w:pPr>
      <w:r w:rsidRPr="00461C10">
        <w:t xml:space="preserve">It is reasonable for </w:t>
      </w:r>
      <w:r w:rsidRPr="00461C10" w:rsidR="001E3E07">
        <w:t xml:space="preserve">BVES, Liberty, and PacifiCorp </w:t>
      </w:r>
      <w:r w:rsidRPr="00461C10">
        <w:t xml:space="preserve">to begin </w:t>
      </w:r>
      <w:r w:rsidRPr="00461C10" w:rsidR="001E3E07">
        <w:t>prepar</w:t>
      </w:r>
      <w:r w:rsidRPr="00461C10">
        <w:t>ing</w:t>
      </w:r>
      <w:r w:rsidRPr="00461C10" w:rsidR="001E3E07">
        <w:t xml:space="preserve"> to align with the energization targets established in this decision in the near future. </w:t>
      </w:r>
    </w:p>
    <w:p w:rsidRPr="00461C10" w:rsidR="001E3E07" w:rsidP="001E3E07" w:rsidRDefault="001E3E07" w14:paraId="507230F4" w14:textId="77777777">
      <w:pPr>
        <w:pStyle w:val="Dummy"/>
      </w:pPr>
      <w:bookmarkStart w:name="_Toc173152594" w:id="87"/>
      <w:bookmarkStart w:name="_Toc177469366" w:id="88"/>
      <w:r w:rsidRPr="00461C10">
        <w:t>Conclusions of Law</w:t>
      </w:r>
      <w:bookmarkEnd w:id="87"/>
      <w:bookmarkEnd w:id="88"/>
    </w:p>
    <w:p w:rsidRPr="00461C10" w:rsidR="001E3E07" w:rsidP="006A337B" w:rsidRDefault="001E3E07" w14:paraId="47CCD3D0" w14:textId="1476E6BA">
      <w:pPr>
        <w:pStyle w:val="CoL"/>
        <w:numPr>
          <w:ilvl w:val="0"/>
          <w:numId w:val="10"/>
        </w:numPr>
      </w:pPr>
      <w:r w:rsidRPr="00461C10">
        <w:t>The statewide energization targets</w:t>
      </w:r>
      <w:r w:rsidRPr="00461C10" w:rsidR="00CA6003">
        <w:t xml:space="preserve"> </w:t>
      </w:r>
      <w:r w:rsidRPr="00461C10">
        <w:t>adopted in</w:t>
      </w:r>
      <w:r w:rsidRPr="00461C10" w:rsidR="00286B9C">
        <w:t xml:space="preserve"> Section 7 of this decision, Energization Targets</w:t>
      </w:r>
      <w:r w:rsidRPr="00461C10" w:rsidR="00C01BB8">
        <w:t>,</w:t>
      </w:r>
      <w:r w:rsidRPr="00461C10">
        <w:t xml:space="preserve"> should improve the Commission’s ability to identify the appropriate acceleration target(s) in Phase 2 of this proceeding</w:t>
      </w:r>
      <w:r w:rsidRPr="00461C10" w:rsidR="0050583A">
        <w:t xml:space="preserve"> because </w:t>
      </w:r>
      <w:r w:rsidRPr="00461C10" w:rsidR="00CA6003">
        <w:t xml:space="preserve">they establish </w:t>
      </w:r>
      <w:r w:rsidRPr="00461C10" w:rsidR="00172B69">
        <w:t xml:space="preserve">targets </w:t>
      </w:r>
      <w:r w:rsidRPr="00461C10" w:rsidR="00405608">
        <w:t xml:space="preserve">for the </w:t>
      </w:r>
      <w:r w:rsidRPr="00461C10" w:rsidR="003025B7">
        <w:t xml:space="preserve">Electric Rule </w:t>
      </w:r>
      <w:r w:rsidRPr="00461C10" w:rsidR="00405608">
        <w:t>tariff-based energization processes</w:t>
      </w:r>
      <w:r w:rsidRPr="00461C10" w:rsidR="001D27D0">
        <w:t xml:space="preserve"> </w:t>
      </w:r>
      <w:r w:rsidRPr="00461C10" w:rsidR="00405608">
        <w:t>identified in this proceeding</w:t>
      </w:r>
      <w:r w:rsidRPr="00461C10">
        <w:t xml:space="preserve">. </w:t>
      </w:r>
    </w:p>
    <w:p w:rsidRPr="00461C10" w:rsidR="37F51BAB" w:rsidP="006A337B" w:rsidRDefault="37F51BAB" w14:paraId="6D750774" w14:textId="63609939">
      <w:pPr>
        <w:pStyle w:val="CoL"/>
        <w:numPr>
          <w:ilvl w:val="0"/>
          <w:numId w:val="10"/>
        </w:numPr>
      </w:pPr>
      <w:r w:rsidRPr="00461C10">
        <w:t>Pub. Util. Code § 453 prohibits the large electric IOUs from engaging in discriminatory practices when providing electric services.</w:t>
      </w:r>
    </w:p>
    <w:p w:rsidRPr="00461C10" w:rsidR="37F51BAB" w:rsidP="006A337B" w:rsidRDefault="37F51BAB" w14:paraId="3C51E593" w14:textId="1C2F4382">
      <w:pPr>
        <w:pStyle w:val="CoL"/>
        <w:numPr>
          <w:ilvl w:val="0"/>
          <w:numId w:val="10"/>
        </w:numPr>
        <w:rPr>
          <w:szCs w:val="26"/>
        </w:rPr>
      </w:pPr>
      <w:r w:rsidRPr="00461C10">
        <w:rPr>
          <w:szCs w:val="26"/>
        </w:rPr>
        <w:t>Given the lack of data provided by the large electric IOUs, it is not reasonable to adopt a specific prioritization method or manner in this decision.</w:t>
      </w:r>
    </w:p>
    <w:p w:rsidRPr="00461C10" w:rsidR="00A164CB" w:rsidP="006A337B" w:rsidRDefault="00A164CB" w14:paraId="716E1CEF" w14:textId="1F5940E9">
      <w:pPr>
        <w:pStyle w:val="CoL"/>
        <w:numPr>
          <w:ilvl w:val="0"/>
          <w:numId w:val="10"/>
        </w:numPr>
      </w:pPr>
      <w:r w:rsidRPr="00461C10">
        <w:t xml:space="preserve">The targets established today meet the requirements of SB 410 and AB 50, set customer expectations for energization timelines, and should be achievable with </w:t>
      </w:r>
      <w:r w:rsidRPr="00461C10" w:rsidR="7AA10C80">
        <w:t>the large electric IOUs’</w:t>
      </w:r>
      <w:r w:rsidRPr="00461C10" w:rsidR="25B59B27">
        <w:t xml:space="preserve"> </w:t>
      </w:r>
      <w:r w:rsidRPr="00461C10">
        <w:t>existing resources.</w:t>
      </w:r>
    </w:p>
    <w:p w:rsidRPr="00461C10" w:rsidR="002324B7" w:rsidP="00960526" w:rsidRDefault="002324B7" w14:paraId="029CA7BC" w14:textId="482EEA6E">
      <w:pPr>
        <w:pStyle w:val="CoL"/>
        <w:numPr>
          <w:ilvl w:val="0"/>
          <w:numId w:val="10"/>
        </w:numPr>
      </w:pPr>
      <w:r w:rsidRPr="00461C10">
        <w:t>Incorporating</w:t>
      </w:r>
      <w:r w:rsidRPr="00461C10" w:rsidR="00335E92">
        <w:t xml:space="preserve"> feedback </w:t>
      </w:r>
      <w:r w:rsidRPr="00461C10" w:rsidR="004938C4">
        <w:t xml:space="preserve">from parties and Energy Division staff </w:t>
      </w:r>
      <w:r w:rsidRPr="00461C10" w:rsidR="00335E92">
        <w:t xml:space="preserve">on the </w:t>
      </w:r>
      <w:r w:rsidRPr="00461C10">
        <w:t xml:space="preserve">energization target reporting </w:t>
      </w:r>
      <w:r w:rsidRPr="00461C10" w:rsidR="00335E92">
        <w:t>template</w:t>
      </w:r>
      <w:r w:rsidRPr="00461C10">
        <w:t xml:space="preserve"> proposed by the large electric IOUs will ensure the template tracks the necessary data.</w:t>
      </w:r>
      <w:r w:rsidRPr="00461C10" w:rsidR="00335E92">
        <w:t xml:space="preserve"> </w:t>
      </w:r>
    </w:p>
    <w:p w:rsidRPr="00461C10" w:rsidR="00A85E1B" w:rsidP="00960526" w:rsidRDefault="002324B7" w14:paraId="5A01D8F0" w14:textId="462A44A7">
      <w:pPr>
        <w:pStyle w:val="CoL"/>
        <w:numPr>
          <w:ilvl w:val="0"/>
          <w:numId w:val="10"/>
        </w:numPr>
      </w:pPr>
      <w:r w:rsidRPr="00461C10">
        <w:t>The energization target reporting template directed in Section 10 of this decision, Biannual Energization Reporting Requirements, can incorporate party feedback before the large electric IOUs file</w:t>
      </w:r>
      <w:r w:rsidRPr="00461C10" w:rsidR="004938C4">
        <w:t xml:space="preserve"> their first biannual energization reports</w:t>
      </w:r>
      <w:r w:rsidRPr="00461C10" w:rsidR="00E40249">
        <w:t>.</w:t>
      </w:r>
    </w:p>
    <w:p w:rsidRPr="00461C10" w:rsidR="001E3E07" w:rsidP="00960526" w:rsidRDefault="001E3E07" w14:paraId="448E1A12" w14:textId="52D6A6E0">
      <w:pPr>
        <w:pStyle w:val="CoL"/>
        <w:numPr>
          <w:ilvl w:val="0"/>
          <w:numId w:val="10"/>
        </w:numPr>
      </w:pPr>
      <w:r w:rsidRPr="00461C10">
        <w:lastRenderedPageBreak/>
        <w:t>To comply with Pub. Util. Code §</w:t>
      </w:r>
      <w:r w:rsidRPr="00461C10" w:rsidR="002819C9">
        <w:t xml:space="preserve"> </w:t>
      </w:r>
      <w:r w:rsidRPr="00461C10">
        <w:t xml:space="preserve">933.5(a)(3), the </w:t>
      </w:r>
      <w:r w:rsidRPr="00461C10" w:rsidR="64C7F71F">
        <w:t>Commission’s Energy Division</w:t>
      </w:r>
      <w:r w:rsidRPr="00461C10" w:rsidR="00A85E1B">
        <w:t xml:space="preserve"> </w:t>
      </w:r>
      <w:r w:rsidRPr="00461C10">
        <w:t xml:space="preserve">should host a public workshop within 90 days of </w:t>
      </w:r>
      <w:r w:rsidRPr="00461C10" w:rsidR="40352F0E">
        <w:t>the submission of the large electric IOUs’</w:t>
      </w:r>
      <w:r w:rsidRPr="00461C10">
        <w:t xml:space="preserve"> initial biannual data</w:t>
      </w:r>
      <w:r w:rsidRPr="00461C10" w:rsidR="00A85E1B">
        <w:t>, due March 31, 2025,</w:t>
      </w:r>
      <w:r w:rsidRPr="00461C10">
        <w:t xml:space="preserve"> to the Commission</w:t>
      </w:r>
      <w:r w:rsidRPr="00461C10" w:rsidR="00035A7A">
        <w:t xml:space="preserve">. </w:t>
      </w:r>
    </w:p>
    <w:p w:rsidRPr="00461C10" w:rsidR="001E3E07" w:rsidP="00960526" w:rsidRDefault="00C01BB8" w14:paraId="42C0EDB0" w14:textId="50E1C200">
      <w:pPr>
        <w:pStyle w:val="OP"/>
        <w:numPr>
          <w:ilvl w:val="0"/>
          <w:numId w:val="10"/>
        </w:numPr>
      </w:pPr>
      <w:r w:rsidRPr="00461C10">
        <w:t>It is reasonable to direct the large electric IOUs t</w:t>
      </w:r>
      <w:r w:rsidRPr="00461C10" w:rsidR="001E3E07">
        <w:t>o</w:t>
      </w:r>
      <w:r w:rsidRPr="00461C10">
        <w:t xml:space="preserve"> use ratepayer funding to</w:t>
      </w:r>
      <w:r w:rsidRPr="00461C10" w:rsidR="001E3E07">
        <w:t xml:space="preserve"> </w:t>
      </w:r>
      <w:r w:rsidRPr="00461C10">
        <w:t>improve</w:t>
      </w:r>
      <w:r w:rsidRPr="00461C10" w:rsidR="001E3E07">
        <w:t xml:space="preserve"> Energy Division’s ability to analyze, collect, track, and report IOU data to the public</w:t>
      </w:r>
      <w:r w:rsidRPr="00461C10" w:rsidR="00870144">
        <w:t>.</w:t>
      </w:r>
    </w:p>
    <w:p w:rsidRPr="00461C10" w:rsidR="00870144" w:rsidP="006A337B" w:rsidRDefault="00501327" w14:paraId="0E13A0DF" w14:textId="4F57F3C4">
      <w:pPr>
        <w:pStyle w:val="CoL"/>
        <w:numPr>
          <w:ilvl w:val="0"/>
          <w:numId w:val="10"/>
        </w:numPr>
      </w:pPr>
      <w:r w:rsidRPr="00461C10">
        <w:t>T</w:t>
      </w:r>
      <w:r w:rsidRPr="00461C10" w:rsidR="00870144">
        <w:t>his decision does not authorize any ratemaking mechanisms</w:t>
      </w:r>
      <w:r w:rsidRPr="00461C10" w:rsidR="00DE57E9">
        <w:t xml:space="preserve"> for the large electric IOUs</w:t>
      </w:r>
      <w:r w:rsidRPr="00461C10" w:rsidR="00870144">
        <w:t>.</w:t>
      </w:r>
    </w:p>
    <w:p w:rsidRPr="00461C10" w:rsidR="00A665B4" w:rsidP="006A337B" w:rsidRDefault="00EA6E6C" w14:paraId="01A91129" w14:textId="0C969794">
      <w:pPr>
        <w:pStyle w:val="CoL"/>
        <w:numPr>
          <w:ilvl w:val="0"/>
          <w:numId w:val="10"/>
        </w:numPr>
      </w:pPr>
      <w:r w:rsidRPr="00461C10">
        <w:t xml:space="preserve">Commission staff should be authorized to modify or update the </w:t>
      </w:r>
      <w:r w:rsidRPr="00461C10" w:rsidR="002324B7">
        <w:t xml:space="preserve">final energization target </w:t>
      </w:r>
      <w:r w:rsidRPr="00461C10" w:rsidR="1C80A02A">
        <w:t xml:space="preserve">data </w:t>
      </w:r>
      <w:r w:rsidRPr="00461C10">
        <w:t xml:space="preserve">reporting </w:t>
      </w:r>
      <w:r w:rsidRPr="00461C10" w:rsidR="00A03E81">
        <w:t xml:space="preserve">template developed </w:t>
      </w:r>
      <w:r w:rsidRPr="00461C10" w:rsidR="002324B7">
        <w:t xml:space="preserve">by </w:t>
      </w:r>
      <w:r w:rsidRPr="00461C10" w:rsidR="00A03E81">
        <w:t xml:space="preserve">the large </w:t>
      </w:r>
      <w:r w:rsidRPr="00461C10" w:rsidR="002324B7">
        <w:t>electric IOUs</w:t>
      </w:r>
      <w:r w:rsidRPr="00461C10" w:rsidR="00A03E81">
        <w:t xml:space="preserve"> if </w:t>
      </w:r>
      <w:r w:rsidRPr="00461C10" w:rsidR="00A665B4">
        <w:t>staff discovers the data reported does not fulfill the statutory requirements</w:t>
      </w:r>
      <w:r w:rsidRPr="00461C10" w:rsidR="000119DB">
        <w:t xml:space="preserve">, </w:t>
      </w:r>
      <w:r w:rsidRPr="00461C10" w:rsidR="00FB0828">
        <w:t xml:space="preserve">but </w:t>
      </w:r>
      <w:r w:rsidRPr="00461C10" w:rsidR="000119DB">
        <w:t xml:space="preserve">no sooner than the first full year of </w:t>
      </w:r>
      <w:r w:rsidRPr="00461C10" w:rsidR="00FB0828">
        <w:t xml:space="preserve">biannual </w:t>
      </w:r>
      <w:r w:rsidRPr="00461C10" w:rsidR="000119DB">
        <w:t>data collection is complete in September 2025</w:t>
      </w:r>
      <w:r w:rsidRPr="00461C10" w:rsidR="00A665B4">
        <w:t>.</w:t>
      </w:r>
    </w:p>
    <w:p w:rsidRPr="00461C10" w:rsidR="00EA6E6C" w:rsidP="006A337B" w:rsidRDefault="00A665B4" w14:paraId="5BA433D8" w14:textId="2841D913">
      <w:pPr>
        <w:pStyle w:val="CoL"/>
        <w:numPr>
          <w:ilvl w:val="0"/>
          <w:numId w:val="10"/>
        </w:numPr>
      </w:pPr>
      <w:r w:rsidRPr="00461C10">
        <w:t xml:space="preserve">Amendments to the required data fields adopted in Appendix B of this decision, Energization Target Reporting Template Requirements, </w:t>
      </w:r>
      <w:r w:rsidRPr="00461C10" w:rsidR="003078DB">
        <w:t xml:space="preserve">shall be proposed </w:t>
      </w:r>
      <w:r w:rsidRPr="00461C10" w:rsidR="009653CB">
        <w:t>through an Energy Division resolution and</w:t>
      </w:r>
      <w:r w:rsidRPr="00461C10">
        <w:t xml:space="preserve"> will require full Commission approval</w:t>
      </w:r>
      <w:r w:rsidRPr="00461C10" w:rsidR="009653CB">
        <w:t xml:space="preserve"> before changes to the template take effect</w:t>
      </w:r>
      <w:r w:rsidRPr="00461C10">
        <w:t xml:space="preserve">. </w:t>
      </w:r>
    </w:p>
    <w:p w:rsidRPr="00461C10" w:rsidR="001E3E07" w:rsidP="00960526" w:rsidRDefault="001E3E07" w14:paraId="7E6B57A5" w14:textId="0FCCBC84">
      <w:pPr>
        <w:pStyle w:val="CoL"/>
        <w:numPr>
          <w:ilvl w:val="0"/>
          <w:numId w:val="10"/>
        </w:numPr>
      </w:pPr>
      <w:r w:rsidRPr="00461C10">
        <w:t xml:space="preserve">To meet requirements established in AB 50 and SB 410, the communication between the </w:t>
      </w:r>
      <w:r w:rsidRPr="00461C10" w:rsidR="0E4118F6">
        <w:t xml:space="preserve">large electric </w:t>
      </w:r>
      <w:r w:rsidRPr="00461C10">
        <w:t>IOUs and the customers seeking new or upgraded service</w:t>
      </w:r>
      <w:r w:rsidRPr="00461C10" w:rsidR="002D4A32">
        <w:t xml:space="preserve"> should</w:t>
      </w:r>
      <w:r w:rsidRPr="00461C10">
        <w:t xml:space="preserve"> meet the requirements established in Section 12 of this decision, Improved Customer Outreach, and Appendix C of this decision Draft Customer </w:t>
      </w:r>
      <w:r w:rsidRPr="00461C10" w:rsidR="002C6C2B">
        <w:t xml:space="preserve">Energization Delay Reporting </w:t>
      </w:r>
      <w:r w:rsidRPr="00461C10">
        <w:t>Form.</w:t>
      </w:r>
    </w:p>
    <w:p w:rsidRPr="00461C10" w:rsidR="009B6AFD" w:rsidP="00960526" w:rsidRDefault="009B6AFD" w14:paraId="41773362" w14:textId="69C6893E">
      <w:pPr>
        <w:pStyle w:val="CoL"/>
        <w:numPr>
          <w:ilvl w:val="0"/>
          <w:numId w:val="10"/>
        </w:numPr>
      </w:pPr>
      <w:r w:rsidRPr="00461C10">
        <w:t xml:space="preserve">The customer engagement and communication plans proposed in the large electric IOUs’ Tier 1 Advice letters, as described in Section 12 of this decision, Customer Outreach, </w:t>
      </w:r>
      <w:r w:rsidRPr="00461C10" w:rsidR="00893605">
        <w:t>should</w:t>
      </w:r>
      <w:r w:rsidRPr="00461C10">
        <w:t xml:space="preserve"> be used to improve customer outreach</w:t>
      </w:r>
      <w:r w:rsidRPr="00461C10" w:rsidR="00523FD5">
        <w:t xml:space="preserve"> </w:t>
      </w:r>
      <w:r w:rsidRPr="00461C10" w:rsidR="00A55C59">
        <w:t>and</w:t>
      </w:r>
      <w:r w:rsidRPr="00461C10" w:rsidR="00523FD5">
        <w:t xml:space="preserve"> </w:t>
      </w:r>
      <w:r w:rsidRPr="00461C10">
        <w:t xml:space="preserve">to inform </w:t>
      </w:r>
      <w:r w:rsidRPr="00461C10" w:rsidR="00523FD5">
        <w:t>the large electric IOUs’</w:t>
      </w:r>
      <w:r w:rsidRPr="00461C10">
        <w:t xml:space="preserve"> recruiting, training, and retaining programs for </w:t>
      </w:r>
      <w:r w:rsidRPr="00461C10">
        <w:lastRenderedPageBreak/>
        <w:t>employees needed to promptly respond to customer energization requests, pursuant to Pub. Util. Code § 932(a)(9).</w:t>
      </w:r>
    </w:p>
    <w:p w:rsidRPr="00461C10" w:rsidR="001E3E07" w:rsidP="00960526" w:rsidRDefault="00BF4D4B" w14:paraId="770E458E" w14:textId="3DF44BDD">
      <w:pPr>
        <w:pStyle w:val="CoL"/>
        <w:numPr>
          <w:ilvl w:val="0"/>
          <w:numId w:val="10"/>
        </w:numPr>
      </w:pPr>
      <w:r w:rsidRPr="00461C10">
        <w:t>The</w:t>
      </w:r>
      <w:r w:rsidRPr="00461C10" w:rsidR="00A41CA7">
        <w:t xml:space="preserve"> ma</w:t>
      </w:r>
      <w:r w:rsidRPr="00461C10" w:rsidR="005F25B7">
        <w:t xml:space="preserve">ximum exceedance limit </w:t>
      </w:r>
      <w:r w:rsidRPr="00461C10">
        <w:t xml:space="preserve">that will </w:t>
      </w:r>
      <w:r w:rsidRPr="00461C10" w:rsidR="00317EB6">
        <w:t xml:space="preserve">ensure </w:t>
      </w:r>
      <w:r w:rsidRPr="00461C10" w:rsidR="005F25B7">
        <w:t xml:space="preserve">no more than five percent of the large electric IOUs’ energization </w:t>
      </w:r>
      <w:r w:rsidRPr="00461C10" w:rsidR="00A41CA7">
        <w:t xml:space="preserve">projects </w:t>
      </w:r>
      <w:r w:rsidRPr="00461C10" w:rsidR="00317EB6">
        <w:t xml:space="preserve">will </w:t>
      </w:r>
      <w:r w:rsidRPr="00461C10" w:rsidR="001E3E07">
        <w:t>exceed the maximum statewide target adopted in Section 7 of this decision, Energization Targets</w:t>
      </w:r>
      <w:r w:rsidRPr="00461C10" w:rsidR="00317EB6">
        <w:t xml:space="preserve"> aligns with</w:t>
      </w:r>
      <w:r w:rsidRPr="00461C10">
        <w:t xml:space="preserve"> the data analyzed in Appendix </w:t>
      </w:r>
      <w:r w:rsidRPr="00461C10" w:rsidR="00317EB6">
        <w:t xml:space="preserve">A of this decision, </w:t>
      </w:r>
      <w:r w:rsidRPr="00461C10" w:rsidR="00395390">
        <w:t>Statewide Energization T</w:t>
      </w:r>
      <w:r w:rsidRPr="00461C10" w:rsidR="00C9220E">
        <w:t xml:space="preserve">imelines Analyses Report. </w:t>
      </w:r>
    </w:p>
    <w:p w:rsidRPr="00461C10" w:rsidR="002819C9" w:rsidP="00960526" w:rsidRDefault="002819C9" w14:paraId="3BFD06DB" w14:textId="5949C605">
      <w:pPr>
        <w:pStyle w:val="CoL"/>
        <w:numPr>
          <w:ilvl w:val="0"/>
          <w:numId w:val="10"/>
        </w:numPr>
      </w:pPr>
      <w:r w:rsidRPr="00461C10">
        <w:t xml:space="preserve">Consistent with Pub. Util. Code § 939, the Commission should </w:t>
      </w:r>
      <w:r w:rsidRPr="00461C10" w:rsidR="00B012AB">
        <w:t xml:space="preserve">not require </w:t>
      </w:r>
      <w:r w:rsidRPr="00461C10" w:rsidR="00FA3D50">
        <w:t>electrical corporations with 100,000 or fewer electric service connections in California to comply with the directives adopted in this decision</w:t>
      </w:r>
      <w:r w:rsidRPr="00461C10" w:rsidR="00AE18E5">
        <w:t xml:space="preserve"> at this time</w:t>
      </w:r>
      <w:r w:rsidRPr="00461C10" w:rsidR="00FA3D50">
        <w:t>.</w:t>
      </w:r>
    </w:p>
    <w:p w:rsidRPr="00461C10" w:rsidR="001E3E07" w:rsidP="001E3E07" w:rsidRDefault="001E3E07" w14:paraId="798F5916" w14:textId="77777777">
      <w:pPr>
        <w:pStyle w:val="Mainex"/>
        <w:keepLines/>
        <w:spacing w:before="180"/>
      </w:pPr>
      <w:bookmarkStart w:name="_Toc177469367" w:id="89"/>
      <w:r w:rsidRPr="00461C10">
        <w:t>ORDER</w:t>
      </w:r>
      <w:bookmarkEnd w:id="89"/>
    </w:p>
    <w:p w:rsidRPr="00461C10" w:rsidR="001E3E07" w:rsidP="001E3E07" w:rsidRDefault="001E3E07" w14:paraId="0B598E9E" w14:textId="7EAEEA6E">
      <w:pPr>
        <w:keepNext/>
        <w:keepLines/>
      </w:pPr>
      <w:r w:rsidRPr="00461C10">
        <w:rPr>
          <w:b/>
        </w:rPr>
        <w:t>IT IS ORDERED</w:t>
      </w:r>
      <w:r w:rsidRPr="00461C10">
        <w:t xml:space="preserve"> that:</w:t>
      </w:r>
    </w:p>
    <w:p w:rsidRPr="00461C10" w:rsidR="00B14DA2" w:rsidP="00CC153D" w:rsidRDefault="001E3E07" w14:paraId="664D83F2" w14:textId="1950C2B5">
      <w:pPr>
        <w:pStyle w:val="OP"/>
        <w:numPr>
          <w:ilvl w:val="0"/>
          <w:numId w:val="31"/>
        </w:numPr>
      </w:pPr>
      <w:r w:rsidRPr="00461C10">
        <w:t xml:space="preserve">The statewide large investor-owned utility </w:t>
      </w:r>
      <w:r w:rsidRPr="00461C10" w:rsidR="00837E50">
        <w:t xml:space="preserve">energization </w:t>
      </w:r>
      <w:r w:rsidRPr="00461C10">
        <w:t>targets established for Pacific Gas and Electric Company</w:t>
      </w:r>
      <w:r w:rsidRPr="00461C10" w:rsidR="005D7682">
        <w:t xml:space="preserve"> (PG&amp;E)</w:t>
      </w:r>
      <w:r w:rsidRPr="00461C10">
        <w:t>, Southern California Edison Company</w:t>
      </w:r>
      <w:r w:rsidRPr="00461C10" w:rsidR="005D7682">
        <w:t xml:space="preserve"> (SCE)</w:t>
      </w:r>
      <w:r w:rsidRPr="00461C10">
        <w:t>, and San Diego Gas &amp; Electric Company</w:t>
      </w:r>
      <w:r w:rsidRPr="00461C10" w:rsidR="005125DD">
        <w:t xml:space="preserve"> </w:t>
      </w:r>
      <w:r w:rsidRPr="00461C10" w:rsidR="005D7682">
        <w:t>(SDG&amp;E)</w:t>
      </w:r>
      <w:r w:rsidRPr="00461C10">
        <w:t xml:space="preserve"> (</w:t>
      </w:r>
      <w:r w:rsidRPr="00461C10" w:rsidR="006D2465">
        <w:t xml:space="preserve">the </w:t>
      </w:r>
      <w:r w:rsidRPr="00461C10">
        <w:t xml:space="preserve">large electric investor-owned utilities (IOUs)) as described in Section 7 of this decision, Energization Targets, are adopted. </w:t>
      </w:r>
    </w:p>
    <w:p w:rsidRPr="00461C10" w:rsidR="001E3E07" w:rsidP="00CC153D" w:rsidRDefault="006B4714" w14:paraId="5550521E" w14:textId="162E5322">
      <w:pPr>
        <w:pStyle w:val="OP"/>
        <w:numPr>
          <w:ilvl w:val="1"/>
          <w:numId w:val="31"/>
        </w:numPr>
        <w:ind w:left="1260" w:right="1440" w:hanging="180"/>
      </w:pPr>
      <w:r w:rsidRPr="00461C10">
        <w:t>T</w:t>
      </w:r>
      <w:r w:rsidRPr="00461C10" w:rsidR="001E3E07">
        <w:t xml:space="preserve">he large </w:t>
      </w:r>
      <w:r w:rsidRPr="00461C10" w:rsidR="00BA08BB">
        <w:t xml:space="preserve">electric </w:t>
      </w:r>
      <w:r w:rsidRPr="00461C10" w:rsidR="001E3E07">
        <w:t xml:space="preserve">IOUs shall provide all customers with written notice of approval or rejection of their application within an average of 10 business days and a maximum of 45 business days. </w:t>
      </w:r>
    </w:p>
    <w:p w:rsidRPr="00461C10" w:rsidR="005D7682" w:rsidP="00CC153D" w:rsidRDefault="005D7682" w14:paraId="748C4482" w14:textId="1972C740">
      <w:pPr>
        <w:pStyle w:val="OP"/>
        <w:numPr>
          <w:ilvl w:val="1"/>
          <w:numId w:val="31"/>
        </w:numPr>
        <w:ind w:left="1260" w:right="1440" w:hanging="180"/>
      </w:pPr>
      <w:r w:rsidRPr="00461C10">
        <w:t>The energization steps each large</w:t>
      </w:r>
      <w:r w:rsidRPr="00461C10" w:rsidR="00BA08BB">
        <w:t xml:space="preserve"> electric</w:t>
      </w:r>
      <w:r w:rsidRPr="00461C10">
        <w:t xml:space="preserve"> IOU must take to complete an Electric Rule 15, Electric Rule 16, combined Electric Rule 15/16, Electric Rule 29 (PG&amp;E and SCE)</w:t>
      </w:r>
      <w:r w:rsidRPr="00461C10" w:rsidR="00A70127">
        <w:t>,</w:t>
      </w:r>
      <w:r w:rsidRPr="00461C10">
        <w:t>Electric Rule 45 (SDG&amp;E)</w:t>
      </w:r>
      <w:r w:rsidRPr="00461C10" w:rsidR="00A70127">
        <w:t xml:space="preserve">, or combined Electric </w:t>
      </w:r>
      <w:r w:rsidRPr="00461C10" w:rsidR="00A70127">
        <w:lastRenderedPageBreak/>
        <w:t>Rule 15 and Electric Rule 29/45</w:t>
      </w:r>
      <w:r w:rsidRPr="00461C10">
        <w:t xml:space="preserve"> energization request shall take no longer than 125 days, on average.</w:t>
      </w:r>
    </w:p>
    <w:p w:rsidRPr="00461C10" w:rsidR="00E4336F" w:rsidP="00CC153D" w:rsidRDefault="005D7682" w14:paraId="7121D5B4" w14:textId="5D275643">
      <w:pPr>
        <w:pStyle w:val="OP"/>
        <w:numPr>
          <w:ilvl w:val="1"/>
          <w:numId w:val="31"/>
        </w:numPr>
        <w:ind w:left="1260" w:right="1440" w:hanging="180"/>
      </w:pPr>
      <w:r w:rsidRPr="00461C10">
        <w:t>No more than five percent of customer requests for new or upgraded electric service that fall</w:t>
      </w:r>
      <w:r w:rsidRPr="00461C10" w:rsidR="006C32B5">
        <w:t>s</w:t>
      </w:r>
      <w:r w:rsidRPr="00461C10">
        <w:t xml:space="preserve"> within the energization steps each large </w:t>
      </w:r>
      <w:r w:rsidRPr="00461C10" w:rsidR="006C32B5">
        <w:t xml:space="preserve">electric </w:t>
      </w:r>
      <w:r w:rsidRPr="00461C10">
        <w:t>IOU must take to complete an Electric Rule 15</w:t>
      </w:r>
      <w:r w:rsidRPr="00461C10" w:rsidR="00D2329F">
        <w:t xml:space="preserve"> energization request</w:t>
      </w:r>
      <w:r w:rsidRPr="00461C10" w:rsidR="00E4336F">
        <w:t xml:space="preserve"> shall exceed</w:t>
      </w:r>
      <w:r w:rsidRPr="00461C10" w:rsidR="00541C32">
        <w:t xml:space="preserve"> </w:t>
      </w:r>
      <w:r w:rsidRPr="00461C10" w:rsidR="00E4336F">
        <w:t>357</w:t>
      </w:r>
      <w:r w:rsidRPr="00461C10" w:rsidR="00E62F70">
        <w:t> </w:t>
      </w:r>
      <w:r w:rsidRPr="00461C10" w:rsidR="00541C32">
        <w:t xml:space="preserve">calendar </w:t>
      </w:r>
      <w:r w:rsidRPr="00461C10" w:rsidR="00E4336F">
        <w:t>days</w:t>
      </w:r>
      <w:r w:rsidRPr="00461C10" w:rsidR="00C91D20">
        <w:t xml:space="preserve"> (325 business days)</w:t>
      </w:r>
      <w:r w:rsidRPr="00461C10" w:rsidR="00E4336F">
        <w:t>.</w:t>
      </w:r>
    </w:p>
    <w:p w:rsidRPr="00461C10" w:rsidR="006C32B5" w:rsidP="00CC153D" w:rsidRDefault="006C32B5" w14:paraId="4CC06EE9" w14:textId="358817BD">
      <w:pPr>
        <w:pStyle w:val="OP"/>
        <w:numPr>
          <w:ilvl w:val="1"/>
          <w:numId w:val="31"/>
        </w:numPr>
        <w:ind w:left="1260" w:right="1440" w:hanging="180"/>
      </w:pPr>
      <w:r w:rsidRPr="00461C10">
        <w:t>No more than five percent of customer requests for new or upgraded electric service that falls within the energization steps each large electric IOU must take to complete an</w:t>
      </w:r>
      <w:r w:rsidRPr="00461C10" w:rsidR="005D7682">
        <w:t xml:space="preserve"> Electric Rule 16</w:t>
      </w:r>
      <w:r w:rsidRPr="00461C10">
        <w:t xml:space="preserve"> energization requests shall exceed 335</w:t>
      </w:r>
      <w:r w:rsidRPr="00461C10" w:rsidR="00E62F70">
        <w:t> </w:t>
      </w:r>
      <w:r w:rsidRPr="00461C10" w:rsidR="00C91D20">
        <w:t xml:space="preserve">calendar </w:t>
      </w:r>
      <w:r w:rsidRPr="00461C10">
        <w:t>days</w:t>
      </w:r>
      <w:r w:rsidRPr="00461C10" w:rsidR="00C91D20">
        <w:t xml:space="preserve"> (</w:t>
      </w:r>
      <w:r w:rsidRPr="00461C10" w:rsidR="00217EC5">
        <w:t>290 business days).</w:t>
      </w:r>
    </w:p>
    <w:p w:rsidRPr="00461C10" w:rsidR="001E1497" w:rsidP="00CC153D" w:rsidRDefault="006C32B5" w14:paraId="79A2EC2F" w14:textId="4DD6FAC8">
      <w:pPr>
        <w:pStyle w:val="OP"/>
        <w:numPr>
          <w:ilvl w:val="1"/>
          <w:numId w:val="31"/>
        </w:numPr>
        <w:ind w:left="1260" w:right="1440" w:hanging="180"/>
      </w:pPr>
      <w:r w:rsidRPr="00461C10">
        <w:t>No more than five percent of customer requests for new or upgraded electric service that falls within the energization steps each large electric IOU must take to complete a</w:t>
      </w:r>
      <w:r w:rsidRPr="00461C10" w:rsidR="00CE2997">
        <w:t xml:space="preserve"> </w:t>
      </w:r>
      <w:r w:rsidRPr="00461C10" w:rsidR="005D7682">
        <w:t>combined Electric Rule 15/16</w:t>
      </w:r>
      <w:r w:rsidRPr="00461C10" w:rsidR="00CE2997">
        <w:t xml:space="preserve"> energization request shall exceed </w:t>
      </w:r>
      <w:r w:rsidRPr="00461C10" w:rsidR="001E1497">
        <w:t xml:space="preserve">306 </w:t>
      </w:r>
      <w:r w:rsidRPr="00461C10" w:rsidR="00217EC5">
        <w:t xml:space="preserve">calendar </w:t>
      </w:r>
      <w:r w:rsidRPr="00461C10" w:rsidR="001E1497">
        <w:t>days</w:t>
      </w:r>
      <w:r w:rsidRPr="00461C10" w:rsidR="004A1597">
        <w:t xml:space="preserve"> (310 business days)</w:t>
      </w:r>
      <w:r w:rsidRPr="00461C10" w:rsidR="001E1497">
        <w:t>.</w:t>
      </w:r>
    </w:p>
    <w:p w:rsidRPr="00461C10" w:rsidR="005D7682" w:rsidP="00CC153D" w:rsidRDefault="001E1497" w14:paraId="3B9C231E" w14:textId="452FBEAD">
      <w:pPr>
        <w:pStyle w:val="OP"/>
        <w:numPr>
          <w:ilvl w:val="1"/>
          <w:numId w:val="31"/>
        </w:numPr>
        <w:ind w:left="1260" w:right="1440" w:hanging="180"/>
      </w:pPr>
      <w:r w:rsidRPr="00461C10">
        <w:t xml:space="preserve">No more than five percent of customer requests for new or upgraded electric service that falls within the </w:t>
      </w:r>
      <w:r w:rsidRPr="00461C10" w:rsidR="008F6809">
        <w:t>energization</w:t>
      </w:r>
      <w:r w:rsidRPr="00461C10">
        <w:t xml:space="preserve"> steps each large electric IOU must take to complete an</w:t>
      </w:r>
      <w:r w:rsidRPr="00461C10" w:rsidR="005D7682">
        <w:t xml:space="preserve"> Electric Rule 29 (PG&amp;E and SCE) or Electric Rule 45 (SDG&amp;E) energization request shall e</w:t>
      </w:r>
      <w:r w:rsidRPr="00461C10">
        <w:t>xceed 335</w:t>
      </w:r>
      <w:r w:rsidR="006A337B">
        <w:t> </w:t>
      </w:r>
      <w:r w:rsidRPr="00461C10" w:rsidR="004C08E4">
        <w:t xml:space="preserve">calendar </w:t>
      </w:r>
      <w:r w:rsidRPr="00461C10">
        <w:t>days</w:t>
      </w:r>
      <w:r w:rsidRPr="00461C10" w:rsidR="004C08E4">
        <w:t xml:space="preserve"> (290 business days)</w:t>
      </w:r>
      <w:r w:rsidRPr="00461C10" w:rsidR="005D7682">
        <w:t>.</w:t>
      </w:r>
    </w:p>
    <w:p w:rsidRPr="00461C10" w:rsidR="001E3E07" w:rsidP="00CC153D" w:rsidRDefault="001E3E07" w14:paraId="7B17B335" w14:textId="483A2C4F">
      <w:pPr>
        <w:pStyle w:val="OP"/>
        <w:numPr>
          <w:ilvl w:val="1"/>
          <w:numId w:val="31"/>
        </w:numPr>
        <w:ind w:left="1260" w:right="1440" w:hanging="180"/>
      </w:pPr>
      <w:r w:rsidRPr="00461C10">
        <w:t xml:space="preserve">If a customer’s application for new or upgraded electric service is denied, the </w:t>
      </w:r>
      <w:r w:rsidRPr="00461C10" w:rsidR="00777E41">
        <w:t xml:space="preserve">large electric </w:t>
      </w:r>
      <w:r w:rsidRPr="00461C10" w:rsidR="00BA08BB">
        <w:t xml:space="preserve">IOU </w:t>
      </w:r>
      <w:r w:rsidRPr="00461C10">
        <w:t xml:space="preserve">must provide the </w:t>
      </w:r>
      <w:r w:rsidRPr="00461C10">
        <w:lastRenderedPageBreak/>
        <w:t xml:space="preserve">customer a list of the reason(s) for the denial, what the customer could do to resolve the issue(s) and provide a list of </w:t>
      </w:r>
      <w:r w:rsidRPr="00461C10" w:rsidR="00C25C14">
        <w:t xml:space="preserve">large </w:t>
      </w:r>
      <w:r w:rsidRPr="00461C10" w:rsidR="00DB7184">
        <w:t xml:space="preserve">electric </w:t>
      </w:r>
      <w:r w:rsidRPr="00461C10" w:rsidR="00C25C14">
        <w:t>IOU</w:t>
      </w:r>
      <w:r w:rsidRPr="00461C10">
        <w:t xml:space="preserve"> resources the customer can utilize to ensure their application is complete prior to refiling. </w:t>
      </w:r>
    </w:p>
    <w:p w:rsidRPr="00461C10" w:rsidR="001E3E07" w:rsidP="001D1428" w:rsidRDefault="001E3E07" w14:paraId="5742EEDD" w14:textId="4271D590">
      <w:pPr>
        <w:pStyle w:val="OP"/>
        <w:numPr>
          <w:ilvl w:val="0"/>
          <w:numId w:val="31"/>
        </w:numPr>
      </w:pPr>
      <w:r w:rsidRPr="00461C10">
        <w:t>Pacific Gas and Electric Company, Southern California Edison Company, and San Diego Gas &amp; Electric Company (</w:t>
      </w:r>
      <w:r w:rsidRPr="00461C10" w:rsidR="001111BC">
        <w:t>the</w:t>
      </w:r>
      <w:r w:rsidRPr="00461C10">
        <w:t xml:space="preserve"> large electric investor-owned utilities (IOU)) shall complete all work </w:t>
      </w:r>
      <w:r w:rsidRPr="00461C10" w:rsidR="56C2F4D5">
        <w:t>within the control of the large electric IOU that is</w:t>
      </w:r>
      <w:r w:rsidRPr="00461C10" w:rsidR="3283BCD6">
        <w:t xml:space="preserve"> </w:t>
      </w:r>
      <w:r w:rsidRPr="00461C10">
        <w:t xml:space="preserve">necessary to implement a main panel upgrade within an average of 30 business days and a maximum of </w:t>
      </w:r>
      <w:r w:rsidRPr="00461C10" w:rsidR="00126095">
        <w:t>45 </w:t>
      </w:r>
      <w:r w:rsidRPr="00461C10">
        <w:t xml:space="preserve">business days. If </w:t>
      </w:r>
      <w:r w:rsidRPr="00461C10" w:rsidR="001111BC">
        <w:t xml:space="preserve">any </w:t>
      </w:r>
      <w:r w:rsidRPr="00461C10">
        <w:t xml:space="preserve">large electric IOU cannot complete the main panel upgrade within the </w:t>
      </w:r>
      <w:r w:rsidRPr="00461C10" w:rsidR="5B3A36C2">
        <w:t>maximum</w:t>
      </w:r>
      <w:r w:rsidRPr="00461C10" w:rsidR="3283BCD6">
        <w:t xml:space="preserve"> of </w:t>
      </w:r>
      <w:r w:rsidRPr="00461C10" w:rsidR="61DC4670">
        <w:t>45</w:t>
      </w:r>
      <w:r w:rsidRPr="00461C10">
        <w:t xml:space="preserve"> business days, it must provide the customer with information about the cause of the delay and any steps a customer </w:t>
      </w:r>
      <w:r w:rsidRPr="00461C10" w:rsidR="006B4714">
        <w:t xml:space="preserve">can </w:t>
      </w:r>
      <w:r w:rsidRPr="00461C10">
        <w:t xml:space="preserve">take to complete its request, based on the </w:t>
      </w:r>
      <w:r w:rsidRPr="00461C10" w:rsidR="002767D0">
        <w:t>Customer Energization Delay Reporting</w:t>
      </w:r>
      <w:r w:rsidRPr="00461C10">
        <w:t xml:space="preserve"> form adopted in Appendix C of this decision.</w:t>
      </w:r>
    </w:p>
    <w:p w:rsidRPr="00461C10" w:rsidR="001E3E07" w:rsidP="001D1428" w:rsidRDefault="001E3E07" w14:paraId="1AFA44A9" w14:textId="33B4FAE7">
      <w:pPr>
        <w:pStyle w:val="OP"/>
        <w:numPr>
          <w:ilvl w:val="0"/>
          <w:numId w:val="31"/>
        </w:numPr>
      </w:pPr>
      <w:r w:rsidRPr="00461C10">
        <w:t xml:space="preserve">Consistent with Section 8, </w:t>
      </w:r>
      <w:r w:rsidRPr="00461C10" w:rsidR="009766C1">
        <w:t>Statewide Maximum Timelines for Upstream Capacity Upgrades</w:t>
      </w:r>
      <w:r w:rsidRPr="00461C10">
        <w:t xml:space="preserve">, of this decision, Pacific Gas and Electric Company, Southern California Edison Company, and San Diego Gas &amp; Electric Company (the large electric investor-owned utilities (IOUs)) shall collect and report  data to reflect the </w:t>
      </w:r>
      <w:r w:rsidRPr="00461C10" w:rsidR="00D93DF9">
        <w:t>number of energization projects for which an upstream</w:t>
      </w:r>
      <w:r w:rsidRPr="00461C10">
        <w:t xml:space="preserve"> capacity upgrade is identified</w:t>
      </w:r>
      <w:r w:rsidRPr="00461C10" w:rsidR="000D2901">
        <w:t>;</w:t>
      </w:r>
      <w:r w:rsidRPr="00461C10">
        <w:t xml:space="preserve"> </w:t>
      </w:r>
      <w:r w:rsidRPr="00461C10" w:rsidR="005B2C5D">
        <w:t>the number of times an energization project is delayed or cancelled due to an identified upstream capacity upgrade</w:t>
      </w:r>
      <w:r w:rsidRPr="00461C10" w:rsidR="000D2901">
        <w:t>;</w:t>
      </w:r>
      <w:r w:rsidRPr="00461C10" w:rsidR="001B12DD">
        <w:t xml:space="preserve"> and the </w:t>
      </w:r>
      <w:r w:rsidRPr="00461C10" w:rsidR="0008705B">
        <w:t>timeline between the</w:t>
      </w:r>
      <w:r w:rsidRPr="00461C10">
        <w:t xml:space="preserve"> date the upstream capacity project is initiated and the date for </w:t>
      </w:r>
      <w:r w:rsidRPr="00461C10" w:rsidR="00485E5B">
        <w:t>energization of the requested project(s)</w:t>
      </w:r>
      <w:r w:rsidRPr="00461C10">
        <w:t xml:space="preserve">. </w:t>
      </w:r>
      <w:r w:rsidRPr="00461C10" w:rsidR="00562A8B">
        <w:t>The</w:t>
      </w:r>
      <w:r w:rsidRPr="00461C10">
        <w:t xml:space="preserve"> large electric IOUs shall apply the proposed upstream distribution capacity project steps </w:t>
      </w:r>
      <w:r w:rsidRPr="00461C10" w:rsidR="0031240A">
        <w:t xml:space="preserve">identified in Section 8 of this decision, </w:t>
      </w:r>
      <w:r w:rsidRPr="00461C10" w:rsidR="003E283A">
        <w:t>Statewide Maximum Timelines for Upstream</w:t>
      </w:r>
      <w:r w:rsidRPr="00461C10" w:rsidR="0031240A">
        <w:t xml:space="preserve">, </w:t>
      </w:r>
      <w:r w:rsidRPr="00461C10">
        <w:t>and record and report the time taken for each step in each project</w:t>
      </w:r>
      <w:r w:rsidRPr="00461C10" w:rsidR="0031240A">
        <w:t xml:space="preserve"> type</w:t>
      </w:r>
      <w:r w:rsidRPr="00461C10">
        <w:t xml:space="preserve">, by providing all data identified in </w:t>
      </w:r>
      <w:r w:rsidRPr="00461C10">
        <w:lastRenderedPageBreak/>
        <w:t xml:space="preserve">Appendix B, Energization Target Reporting Template Requirements, as adopted in this decision. </w:t>
      </w:r>
    </w:p>
    <w:p w:rsidRPr="00461C10" w:rsidR="00826FA6" w:rsidP="001D1428" w:rsidRDefault="00826FA6" w14:paraId="49E41401" w14:textId="63096C01">
      <w:pPr>
        <w:pStyle w:val="OP"/>
        <w:numPr>
          <w:ilvl w:val="0"/>
          <w:numId w:val="31"/>
        </w:numPr>
      </w:pPr>
      <w:bookmarkStart w:name="_Hlk173352397" w:id="90"/>
      <w:r w:rsidRPr="00461C10">
        <w:t xml:space="preserve">Consistent with Section 8, Statewide Maximum Timelines for Upstream Capacity Upgrades, of this decision, Pacific Gas and Electric Company, Southern California Edison Company, and San Diego Gas &amp; Electric Company (the large electric investor-owned utilities (IOUs)), shall pause the energization target timelines adopted in Section 7, Energization Targets, of this decision, once a customer has been notified that its tariff-based energization request triggers and upstream capacity upgrade. </w:t>
      </w:r>
      <w:r w:rsidRPr="00461C10" w:rsidR="007731CF">
        <w:t xml:space="preserve">After the upstream capacity upgrade is complete, the </w:t>
      </w:r>
      <w:r w:rsidRPr="00461C10" w:rsidR="002505E4">
        <w:t>large electric IOUs</w:t>
      </w:r>
      <w:r w:rsidRPr="00461C10" w:rsidR="004859FA">
        <w:t xml:space="preserve"> shall reinstate work to </w:t>
      </w:r>
      <w:r w:rsidRPr="00461C10" w:rsidR="000818F0">
        <w:t>complete the energization request in compliance with Section 7 of this decision, Energization Targets.</w:t>
      </w:r>
    </w:p>
    <w:p w:rsidRPr="00461C10" w:rsidR="001E3E07" w:rsidP="001D1428" w:rsidRDefault="001E3E07" w14:paraId="4FF0EF9A" w14:textId="04123767">
      <w:pPr>
        <w:pStyle w:val="OP"/>
        <w:numPr>
          <w:ilvl w:val="0"/>
          <w:numId w:val="31"/>
        </w:numPr>
      </w:pPr>
      <w:r w:rsidRPr="00461C10">
        <w:t xml:space="preserve">Pacific Gas and Electric Company, Southern California Edison Company, and San Diego Gas &amp; Electric Company </w:t>
      </w:r>
      <w:bookmarkEnd w:id="90"/>
      <w:r w:rsidRPr="00461C10" w:rsidR="00BA08BB">
        <w:t xml:space="preserve">must </w:t>
      </w:r>
      <w:r w:rsidRPr="00461C10">
        <w:t>comply with the data reporting requirements</w:t>
      </w:r>
      <w:r w:rsidRPr="00461C10" w:rsidR="00F61F33">
        <w:t xml:space="preserve"> set forth</w:t>
      </w:r>
      <w:r w:rsidRPr="00461C10">
        <w:t xml:space="preserve"> in Section 10, </w:t>
      </w:r>
      <w:r w:rsidRPr="00461C10" w:rsidR="00D548A6">
        <w:t>Bia</w:t>
      </w:r>
      <w:r w:rsidRPr="00461C10">
        <w:t>nnual Energization Reporting Requirements, and Appendix B, Energization Target Reporting Template Requirements</w:t>
      </w:r>
      <w:r w:rsidRPr="00461C10" w:rsidR="00F61F33">
        <w:t>,</w:t>
      </w:r>
      <w:r w:rsidRPr="00461C10">
        <w:t xml:space="preserve"> as adopted in this decision. </w:t>
      </w:r>
    </w:p>
    <w:p w:rsidRPr="00461C10" w:rsidR="001E3E07" w:rsidP="001D1428" w:rsidRDefault="00BA08BB" w14:paraId="6924CDD2" w14:textId="385C3C6D">
      <w:pPr>
        <w:pStyle w:val="OP"/>
        <w:numPr>
          <w:ilvl w:val="0"/>
          <w:numId w:val="31"/>
        </w:numPr>
      </w:pPr>
      <w:r w:rsidRPr="00461C10">
        <w:t>Pacific Gas and Electric Company, Southern California Edison Company, and San Diego Gas &amp; Electric Company</w:t>
      </w:r>
      <w:r w:rsidRPr="00461C10" w:rsidR="001E3E07">
        <w:t xml:space="preserve"> must submit a Tier 1 Advice Letter no later than 60 days after the issuance of this decision that proposes a consolidated reporting template to track the data requirements listed in Section 10, </w:t>
      </w:r>
      <w:r w:rsidRPr="00461C10" w:rsidR="00D548A6">
        <w:t>Bia</w:t>
      </w:r>
      <w:r w:rsidRPr="00461C10" w:rsidR="001E3E07">
        <w:t>nnual Energization Reporting Requirements, and Appendix B, Energization Target Reporting Template Requirements, as adopted in this decision.</w:t>
      </w:r>
    </w:p>
    <w:p w:rsidRPr="00461C10" w:rsidR="001E3E07" w:rsidP="001D1428" w:rsidRDefault="00FA6DFA" w14:paraId="43F8DA30" w14:textId="5204D10E">
      <w:pPr>
        <w:pStyle w:val="OP"/>
        <w:numPr>
          <w:ilvl w:val="0"/>
          <w:numId w:val="31"/>
        </w:numPr>
      </w:pPr>
      <w:r w:rsidRPr="00461C10">
        <w:t xml:space="preserve">Pacific Gas and Electric Company, Southern California Edison Company, and San Diego Gas &amp; Electric Company </w:t>
      </w:r>
      <w:r w:rsidRPr="00461C10" w:rsidR="001E3E07">
        <w:t xml:space="preserve">must track the time between completion of each </w:t>
      </w:r>
      <w:r w:rsidRPr="00461C10" w:rsidR="00547307">
        <w:t xml:space="preserve">step that is fully with the </w:t>
      </w:r>
      <w:r w:rsidRPr="00461C10" w:rsidR="001E3E07">
        <w:t>large</w:t>
      </w:r>
      <w:r w:rsidRPr="00461C10" w:rsidR="00547307">
        <w:t xml:space="preserve"> electric</w:t>
      </w:r>
      <w:r w:rsidRPr="00461C10" w:rsidR="001E3E07">
        <w:t xml:space="preserve"> </w:t>
      </w:r>
      <w:r w:rsidRPr="00461C10">
        <w:t>investor-owned utility’s (</w:t>
      </w:r>
      <w:r w:rsidRPr="00461C10" w:rsidR="001E3E07">
        <w:t>IOU</w:t>
      </w:r>
      <w:r w:rsidRPr="00461C10" w:rsidR="001B0A61">
        <w:t>’s</w:t>
      </w:r>
      <w:r w:rsidRPr="00461C10">
        <w:t>)</w:t>
      </w:r>
      <w:r w:rsidRPr="00461C10" w:rsidR="001B0A61">
        <w:t xml:space="preserve"> control</w:t>
      </w:r>
      <w:r w:rsidRPr="00461C10" w:rsidR="001E3E07">
        <w:t xml:space="preserve">, how long it takes to complete steps that are not fully within the large </w:t>
      </w:r>
      <w:r w:rsidRPr="00461C10" w:rsidR="001E3E07">
        <w:lastRenderedPageBreak/>
        <w:t xml:space="preserve">IOU’s control, and when the next large electric IOU-controllable step(s) can begin, once the work the IOU </w:t>
      </w:r>
      <w:r w:rsidRPr="00461C10" w:rsidR="001B0A61">
        <w:t>do</w:t>
      </w:r>
      <w:r w:rsidRPr="00461C10">
        <w:t>es</w:t>
      </w:r>
      <w:r w:rsidRPr="00461C10" w:rsidR="001B0A61">
        <w:t xml:space="preserve"> not </w:t>
      </w:r>
      <w:r w:rsidRPr="00461C10" w:rsidR="001E3E07">
        <w:t xml:space="preserve">have </w:t>
      </w:r>
      <w:r w:rsidRPr="00461C10" w:rsidR="001B0A61">
        <w:t xml:space="preserve">full </w:t>
      </w:r>
      <w:r w:rsidRPr="00461C10" w:rsidR="001E3E07">
        <w:t xml:space="preserve">control over is complete. </w:t>
      </w:r>
    </w:p>
    <w:p w:rsidRPr="00461C10" w:rsidR="00E71164" w:rsidP="001D1428" w:rsidRDefault="00351D53" w14:paraId="1A6A49B0" w14:textId="410A31DB">
      <w:pPr>
        <w:pStyle w:val="OP"/>
        <w:numPr>
          <w:ilvl w:val="0"/>
          <w:numId w:val="31"/>
        </w:numPr>
      </w:pPr>
      <w:r w:rsidRPr="00461C10">
        <w:t xml:space="preserve">No later than December 1, 2024, </w:t>
      </w:r>
      <w:r w:rsidRPr="00461C10" w:rsidR="00E71164">
        <w:t xml:space="preserve">Pacific Gas and Electric Company, </w:t>
      </w:r>
      <w:r w:rsidRPr="00461C10" w:rsidR="6694A636">
        <w:t>San Diego Gas &amp; Electric Company, and</w:t>
      </w:r>
      <w:r w:rsidRPr="00461C10" w:rsidR="78E0B9E3">
        <w:t xml:space="preserve"> </w:t>
      </w:r>
      <w:r w:rsidRPr="00461C10" w:rsidR="00E71164">
        <w:t>Southern California Edison Company</w:t>
      </w:r>
      <w:r w:rsidRPr="00461C10">
        <w:t xml:space="preserve"> must file individual reports to the California Public Utilities Commission </w:t>
      </w:r>
      <w:r w:rsidRPr="00461C10" w:rsidR="00E71164">
        <w:t xml:space="preserve">demonstrating that </w:t>
      </w:r>
      <w:r w:rsidRPr="00461C10" w:rsidR="22FE527E">
        <w:t xml:space="preserve">each </w:t>
      </w:r>
      <w:r w:rsidRPr="00461C10">
        <w:t xml:space="preserve">large electric investor-owned utility </w:t>
      </w:r>
      <w:r w:rsidRPr="00461C10" w:rsidR="00E71164">
        <w:t xml:space="preserve">has energized </w:t>
      </w:r>
      <w:r w:rsidRPr="00461C10">
        <w:t xml:space="preserve">at least </w:t>
      </w:r>
      <w:r w:rsidRPr="00461C10" w:rsidR="00E71164">
        <w:t>80 percent of customers with applications deemed complete as of January</w:t>
      </w:r>
      <w:r w:rsidR="006A337B">
        <w:t> </w:t>
      </w:r>
      <w:r w:rsidRPr="00461C10" w:rsidR="00E71164">
        <w:t>31, 2023</w:t>
      </w:r>
      <w:r w:rsidRPr="00461C10" w:rsidR="00F61F33">
        <w:t>, pursuant to Public Utilities Code § 933.5(b)</w:t>
      </w:r>
      <w:r w:rsidRPr="00461C10" w:rsidR="00E71164">
        <w:t>.</w:t>
      </w:r>
    </w:p>
    <w:p w:rsidRPr="00461C10" w:rsidR="00EA6E6C" w:rsidP="001D1428" w:rsidRDefault="00EA6E6C" w14:paraId="7365F8C9" w14:textId="57F02971">
      <w:pPr>
        <w:pStyle w:val="OP"/>
        <w:numPr>
          <w:ilvl w:val="0"/>
          <w:numId w:val="31"/>
        </w:numPr>
      </w:pPr>
      <w:r w:rsidRPr="00461C10">
        <w:t xml:space="preserve">Commission staff </w:t>
      </w:r>
      <w:r w:rsidRPr="00461C10" w:rsidR="00404788">
        <w:t xml:space="preserve">are authorized to </w:t>
      </w:r>
      <w:r w:rsidRPr="00461C10" w:rsidR="00C01BB8">
        <w:t xml:space="preserve">amend the template developed by Pacific Gas and Electric Company, San Diego Gas &amp; Electric Company, and Southern California Electric Company, </w:t>
      </w:r>
      <w:r w:rsidRPr="00461C10" w:rsidR="009653CB">
        <w:t xml:space="preserve">no sooner than September </w:t>
      </w:r>
      <w:r w:rsidRPr="00461C10" w:rsidR="00961DD1">
        <w:t xml:space="preserve">30, 2025, </w:t>
      </w:r>
      <w:r w:rsidRPr="00461C10" w:rsidR="00C01BB8">
        <w:t>if modifications are necessary to improve data collection that would support accelerated energization processes.</w:t>
      </w:r>
      <w:r w:rsidRPr="00461C10" w:rsidR="006B6C07">
        <w:t xml:space="preserve"> </w:t>
      </w:r>
      <w:r w:rsidRPr="00461C10" w:rsidR="00961DD1">
        <w:t>The template amendments shall be provided through an Energy Division Resolution and shall require the full Commission’s approval prior to taking effect.</w:t>
      </w:r>
    </w:p>
    <w:p w:rsidRPr="00461C10" w:rsidR="001E3E07" w:rsidP="001D1428" w:rsidRDefault="001E3E07" w14:paraId="3CD748AB" w14:textId="5FC22A4A">
      <w:pPr>
        <w:pStyle w:val="OP"/>
        <w:numPr>
          <w:ilvl w:val="0"/>
          <w:numId w:val="31"/>
        </w:numPr>
      </w:pPr>
      <w:r w:rsidRPr="00461C10">
        <w:t xml:space="preserve">Pacific Gas and Electric Company, Southern California Edison Company, and San Diego Gas &amp; Electric Company shall ensure the data collection template proposed pursuant to Section 10 of this decision, </w:t>
      </w:r>
      <w:r w:rsidRPr="00461C10" w:rsidR="00D548A6">
        <w:t>Bia</w:t>
      </w:r>
      <w:r w:rsidRPr="00461C10">
        <w:t>nnual Energization Reporting Requirements, and Appendix B of this decision, Energization Target Reporting Template Requirements, aligns with the goals of the Commission’s Environmental and Social Justice Action Plan.</w:t>
      </w:r>
    </w:p>
    <w:p w:rsidRPr="00461C10" w:rsidR="00FC2784" w:rsidP="001D1428" w:rsidRDefault="001E3E07" w14:paraId="025D5D61" w14:textId="77777777">
      <w:pPr>
        <w:pStyle w:val="OP"/>
        <w:numPr>
          <w:ilvl w:val="0"/>
          <w:numId w:val="31"/>
        </w:numPr>
      </w:pPr>
      <w:r w:rsidRPr="00461C10">
        <w:t xml:space="preserve">The proposed data collection template directed in Section 10 of this decision, </w:t>
      </w:r>
      <w:r w:rsidRPr="00461C10" w:rsidR="00D548A6">
        <w:t>Bia</w:t>
      </w:r>
      <w:r w:rsidRPr="00461C10">
        <w:t>nnual Energization Reporting Requirements, and Appendix B of this decision, Energization Target Reporting Requirements, shall provide clear descriptions of</w:t>
      </w:r>
      <w:r w:rsidRPr="00461C10" w:rsidR="00E5058B">
        <w:t xml:space="preserve"> the strategies</w:t>
      </w:r>
      <w:r w:rsidRPr="00461C10">
        <w:t xml:space="preserve"> </w:t>
      </w:r>
      <w:r w:rsidRPr="00461C10" w:rsidR="00E5058B">
        <w:t>Pacific Gas and Electric Company, San Diego Gas &amp; Electric Company, and Southern California Edison Company (</w:t>
      </w:r>
      <w:r w:rsidRPr="00461C10">
        <w:t>the large</w:t>
      </w:r>
      <w:r w:rsidRPr="00461C10" w:rsidR="00133F43">
        <w:t xml:space="preserve"> electric</w:t>
      </w:r>
      <w:r w:rsidRPr="00461C10">
        <w:t xml:space="preserve"> </w:t>
      </w:r>
      <w:r w:rsidRPr="00461C10" w:rsidR="001111BC">
        <w:lastRenderedPageBreak/>
        <w:t>investor-owned utilities</w:t>
      </w:r>
      <w:r w:rsidRPr="00461C10" w:rsidR="004209FC">
        <w:t xml:space="preserve"> (IOU)</w:t>
      </w:r>
      <w:r w:rsidRPr="00461C10" w:rsidR="00E5058B">
        <w:t>)</w:t>
      </w:r>
      <w:r w:rsidRPr="00461C10" w:rsidR="001111BC">
        <w:t xml:space="preserve"> </w:t>
      </w:r>
      <w:r w:rsidRPr="00461C10" w:rsidR="00E5058B">
        <w:t xml:space="preserve">will employ </w:t>
      </w:r>
      <w:r w:rsidRPr="00461C10">
        <w:t>to engage local and tribal governments to ensure their energization processes are clear to all customers.</w:t>
      </w:r>
      <w:r w:rsidRPr="00461C10" w:rsidR="0009147A">
        <w:t xml:space="preserve"> </w:t>
      </w:r>
    </w:p>
    <w:p w:rsidRPr="00461C10" w:rsidR="00E5058B" w:rsidP="001D1428" w:rsidRDefault="00FC2784" w14:paraId="54F10BEE" w14:textId="3F277267">
      <w:pPr>
        <w:pStyle w:val="OP"/>
        <w:numPr>
          <w:ilvl w:val="0"/>
          <w:numId w:val="31"/>
        </w:numPr>
      </w:pPr>
      <w:r w:rsidRPr="00461C10">
        <w:t>Pacific Gas and Electric Company, San Diego Gas &amp; Electric Company, and Southern California Edison Company (the large</w:t>
      </w:r>
      <w:r w:rsidRPr="00461C10" w:rsidR="006B4714">
        <w:t xml:space="preserve"> electric</w:t>
      </w:r>
      <w:r w:rsidRPr="00461C10">
        <w:t xml:space="preserve"> investor-owned utilities (IOU))</w:t>
      </w:r>
      <w:r w:rsidRPr="00461C10" w:rsidR="0009147A">
        <w:t xml:space="preserve"> must</w:t>
      </w:r>
      <w:r w:rsidRPr="00461C10">
        <w:t xml:space="preserve"> jointly</w:t>
      </w:r>
      <w:r w:rsidRPr="00461C10" w:rsidR="0009147A">
        <w:t xml:space="preserve"> </w:t>
      </w:r>
      <w:r w:rsidRPr="00461C10">
        <w:t xml:space="preserve">file and </w:t>
      </w:r>
      <w:r w:rsidRPr="00461C10" w:rsidR="0009147A">
        <w:t>serve the proposed data template</w:t>
      </w:r>
      <w:r w:rsidRPr="00461C10">
        <w:t>, as required in Section 10 of this decision, Biannual Energization Reporting Requirements,</w:t>
      </w:r>
      <w:r w:rsidRPr="00461C10" w:rsidR="0009147A">
        <w:t xml:space="preserve"> via a Tier 1 Advice Letter on the service list for Rulemaking (R.) </w:t>
      </w:r>
      <w:r w:rsidRPr="00461C10" w:rsidR="2A309B99">
        <w:t>24</w:t>
      </w:r>
      <w:r w:rsidR="006A337B">
        <w:noBreakHyphen/>
      </w:r>
      <w:r w:rsidRPr="00461C10" w:rsidR="2A309B99">
        <w:t>01</w:t>
      </w:r>
      <w:r w:rsidR="006A337B">
        <w:noBreakHyphen/>
      </w:r>
      <w:r w:rsidRPr="00461C10" w:rsidR="2A309B99">
        <w:t>018</w:t>
      </w:r>
      <w:r w:rsidRPr="00461C10" w:rsidR="0009147A">
        <w:t xml:space="preserve"> no later than 60</w:t>
      </w:r>
      <w:r w:rsidR="006A337B">
        <w:t> </w:t>
      </w:r>
      <w:r w:rsidRPr="00461C10" w:rsidR="0009147A">
        <w:t>days after the issuance of this decision</w:t>
      </w:r>
      <w:r w:rsidRPr="00461C10">
        <w:t>. The large</w:t>
      </w:r>
      <w:r w:rsidRPr="00461C10" w:rsidR="006B4714">
        <w:t xml:space="preserve"> electric</w:t>
      </w:r>
      <w:r w:rsidRPr="00461C10">
        <w:t xml:space="preserve"> IOUs shall</w:t>
      </w:r>
      <w:r w:rsidRPr="00461C10" w:rsidR="0009147A">
        <w:t xml:space="preserve"> </w:t>
      </w:r>
      <w:r w:rsidRPr="00461C10" w:rsidR="004938C4">
        <w:t>incorporate any comments from</w:t>
      </w:r>
      <w:r w:rsidRPr="00461C10" w:rsidR="0009147A">
        <w:t xml:space="preserve"> the Commission’s Energy Division and </w:t>
      </w:r>
      <w:r w:rsidRPr="00461C10" w:rsidR="004938C4">
        <w:t xml:space="preserve">parties to this proceeding </w:t>
      </w:r>
      <w:r w:rsidRPr="00461C10" w:rsidR="0009147A">
        <w:t>to refine the template as needed</w:t>
      </w:r>
      <w:r w:rsidRPr="00461C10" w:rsidR="001A042A">
        <w:t xml:space="preserve">. </w:t>
      </w:r>
      <w:r w:rsidRPr="00461C10" w:rsidR="0009147A">
        <w:t>The reporting template shall include the full list of data required to be collected as provided in Appendix B, Energization Target Reporting Template Requirements.</w:t>
      </w:r>
      <w:r w:rsidRPr="00461C10" w:rsidR="00E5058B">
        <w:t xml:space="preserve"> The large electric IOUs must </w:t>
      </w:r>
      <w:r w:rsidRPr="00461C10" w:rsidDel="0009147A" w:rsidR="00E5058B">
        <w:t xml:space="preserve">submit the final template with recorded data in their first </w:t>
      </w:r>
      <w:r w:rsidRPr="00461C10" w:rsidR="60506327">
        <w:t>bi</w:t>
      </w:r>
      <w:r w:rsidRPr="00461C10" w:rsidR="2783F91C">
        <w:t>annual</w:t>
      </w:r>
      <w:r w:rsidRPr="00461C10" w:rsidDel="0009147A" w:rsidR="00E5058B">
        <w:t xml:space="preserve"> </w:t>
      </w:r>
      <w:r w:rsidRPr="00461C10" w:rsidR="253E40B9">
        <w:t>energization report</w:t>
      </w:r>
      <w:r w:rsidRPr="00461C10" w:rsidDel="0009147A" w:rsidR="00E5058B">
        <w:t xml:space="preserve"> no later than March 31, 2025. </w:t>
      </w:r>
    </w:p>
    <w:p w:rsidRPr="00461C10" w:rsidR="001E3E07" w:rsidP="001D1428" w:rsidRDefault="001E3E07" w14:paraId="64DD8AEE" w14:textId="7414FAFF">
      <w:pPr>
        <w:pStyle w:val="OP"/>
        <w:numPr>
          <w:ilvl w:val="0"/>
          <w:numId w:val="31"/>
        </w:numPr>
      </w:pPr>
      <w:r w:rsidRPr="00461C10">
        <w:t xml:space="preserve">Pacific Gas and Electric Company, San Diego Gas &amp; Electric Company, and Southern California Edison Company shall </w:t>
      </w:r>
      <w:r w:rsidRPr="00461C10" w:rsidR="00362298">
        <w:t>provide information about energization projects that trigger, are delayed by, or are cancelled due to an identified upstream capacity upgrade in their biannual report</w:t>
      </w:r>
      <w:r w:rsidRPr="00461C10" w:rsidR="000C7E18">
        <w:t xml:space="preserve">s filed pursuant to Section 10 of this decision, Biannual Energization Reporting Requirements. </w:t>
      </w:r>
    </w:p>
    <w:p w:rsidRPr="00461C10" w:rsidR="001E3E07" w:rsidP="001D1428" w:rsidRDefault="001E3E07" w14:paraId="2227C0FA" w14:textId="6CB06AEB">
      <w:pPr>
        <w:pStyle w:val="OP"/>
        <w:numPr>
          <w:ilvl w:val="0"/>
          <w:numId w:val="31"/>
        </w:numPr>
      </w:pPr>
      <w:r w:rsidRPr="00461C10">
        <w:t xml:space="preserve">Within 90 days of </w:t>
      </w:r>
      <w:r w:rsidRPr="00461C10" w:rsidR="6DFD96F1">
        <w:t>receiving the</w:t>
      </w:r>
      <w:r w:rsidRPr="00461C10">
        <w:t xml:space="preserve"> </w:t>
      </w:r>
      <w:r w:rsidRPr="00461C10" w:rsidR="00365DCD">
        <w:t>first bi</w:t>
      </w:r>
      <w:r w:rsidRPr="00461C10">
        <w:t>annual data</w:t>
      </w:r>
      <w:r w:rsidRPr="00461C10" w:rsidR="00365DCD">
        <w:t xml:space="preserve"> reports</w:t>
      </w:r>
      <w:r w:rsidRPr="00461C10">
        <w:t xml:space="preserve"> </w:t>
      </w:r>
      <w:r w:rsidRPr="00461C10" w:rsidR="435E28F9">
        <w:t>from</w:t>
      </w:r>
      <w:r w:rsidRPr="00461C10">
        <w:t xml:space="preserve"> Pacific Gas and Electric Company, Southern California Edison Company, and San Diego Gas &amp; Electric Company (the large electric investor-owned utilities (IOUs</w:t>
      </w:r>
      <w:r w:rsidRPr="00461C10" w:rsidR="3283BCD6">
        <w:t>))</w:t>
      </w:r>
      <w:r w:rsidRPr="00461C10" w:rsidR="28D9AC14">
        <w:t>, the Commission</w:t>
      </w:r>
      <w:r w:rsidRPr="00461C10">
        <w:t xml:space="preserve"> shall host a public workshop to discuss the large electric IOUs’ data </w:t>
      </w:r>
      <w:r w:rsidRPr="00461C10" w:rsidR="7D14FEE2">
        <w:t>submissions</w:t>
      </w:r>
      <w:r w:rsidRPr="00461C10" w:rsidR="3283BCD6">
        <w:t xml:space="preserve"> </w:t>
      </w:r>
      <w:r w:rsidRPr="00461C10">
        <w:t xml:space="preserve">and </w:t>
      </w:r>
      <w:r w:rsidRPr="00461C10" w:rsidR="1239C598">
        <w:t xml:space="preserve">consider parties’ suggestions for </w:t>
      </w:r>
      <w:r w:rsidRPr="00461C10">
        <w:t xml:space="preserve">potential revisions to the adopted energization </w:t>
      </w:r>
      <w:r w:rsidRPr="00461C10" w:rsidR="41F7A7A7">
        <w:t>data reporting requirements</w:t>
      </w:r>
      <w:r w:rsidRPr="00461C10">
        <w:t xml:space="preserve">.   </w:t>
      </w:r>
    </w:p>
    <w:p w:rsidRPr="00461C10" w:rsidR="001E3E07" w:rsidP="001D1428" w:rsidRDefault="001E3E07" w14:paraId="6A22FB9A" w14:textId="47029DDA">
      <w:pPr>
        <w:pStyle w:val="OP"/>
        <w:numPr>
          <w:ilvl w:val="0"/>
          <w:numId w:val="31"/>
        </w:numPr>
      </w:pPr>
      <w:r w:rsidRPr="00461C10">
        <w:lastRenderedPageBreak/>
        <w:t>Within 60 days of the date of issuance of this decision, Pacific Gas and Electric Company, Southern California Edison Company, and San Diego Gas &amp; Electric Company (</w:t>
      </w:r>
      <w:r w:rsidRPr="00461C10" w:rsidR="00300835">
        <w:t xml:space="preserve">the </w:t>
      </w:r>
      <w:r w:rsidRPr="00461C10">
        <w:t xml:space="preserve">large electric investor-owned utilities (IOUs)) shall </w:t>
      </w:r>
      <w:r w:rsidRPr="00461C10" w:rsidR="00A217DD">
        <w:t xml:space="preserve">each </w:t>
      </w:r>
      <w:r w:rsidRPr="00461C10">
        <w:t xml:space="preserve">submit a Tier 1 Advice Letter proposing a customer-engagement and communication plan consistent with the requirements outlined in Section 11, Customer Reporting Procedures, and Appendix C, Draft Customer </w:t>
      </w:r>
      <w:r w:rsidRPr="00461C10" w:rsidR="008D280D">
        <w:t xml:space="preserve">Energization Delay Reporting </w:t>
      </w:r>
      <w:r w:rsidRPr="00461C10">
        <w:t xml:space="preserve">Form, as adopted in this decision. </w:t>
      </w:r>
    </w:p>
    <w:p w:rsidRPr="00461C10" w:rsidR="001E3E07" w:rsidP="001D1428" w:rsidRDefault="001E3E07" w14:paraId="5B1B3968" w14:textId="77777777">
      <w:pPr>
        <w:pStyle w:val="OP"/>
        <w:numPr>
          <w:ilvl w:val="1"/>
          <w:numId w:val="31"/>
        </w:numPr>
        <w:ind w:left="1260" w:right="1440" w:hanging="180"/>
      </w:pPr>
      <w:r w:rsidRPr="00461C10">
        <w:t xml:space="preserve">The large electric IOUs’ plan must describe what existing customer communication systems can be utilized to provide customers that file energization applications with more detailed information about the energization process and the timing of their requests. </w:t>
      </w:r>
    </w:p>
    <w:p w:rsidRPr="00461C10" w:rsidR="00300835" w:rsidP="001D1428" w:rsidRDefault="001E3E07" w14:paraId="2ADAD6DC" w14:textId="77777777">
      <w:pPr>
        <w:pStyle w:val="OP"/>
        <w:numPr>
          <w:ilvl w:val="1"/>
          <w:numId w:val="31"/>
        </w:numPr>
        <w:ind w:left="1260" w:right="1440" w:hanging="180"/>
      </w:pPr>
      <w:r w:rsidRPr="00461C10">
        <w:t xml:space="preserve">The large electric IOUs must ensure all energization-related collateral and customer outreach efforts are developed in multiple languages for the communities within their service territories. </w:t>
      </w:r>
    </w:p>
    <w:p w:rsidRPr="00461C10" w:rsidR="001E3E07" w:rsidP="001D1428" w:rsidRDefault="001E3E07" w14:paraId="40CF0D59" w14:textId="05251B5F">
      <w:pPr>
        <w:pStyle w:val="OP"/>
        <w:numPr>
          <w:ilvl w:val="0"/>
          <w:numId w:val="31"/>
        </w:numPr>
      </w:pPr>
      <w:r w:rsidRPr="00461C10">
        <w:t>Pacific Gas and Electric Company, Southern California Edison Company, and San Diego Gas &amp; Electric Company</w:t>
      </w:r>
      <w:r w:rsidRPr="00461C10" w:rsidR="00C45265">
        <w:t xml:space="preserve"> (the large electric </w:t>
      </w:r>
      <w:r w:rsidRPr="00461C10" w:rsidR="00E241F5">
        <w:t>investor-owned utilities (</w:t>
      </w:r>
      <w:r w:rsidRPr="00461C10" w:rsidR="00C45265">
        <w:t>IOUs</w:t>
      </w:r>
      <w:r w:rsidRPr="00461C10" w:rsidR="00E241F5">
        <w:t>)</w:t>
      </w:r>
      <w:r w:rsidRPr="00461C10" w:rsidR="00C45265">
        <w:t>)</w:t>
      </w:r>
      <w:r w:rsidRPr="00461C10">
        <w:t>,</w:t>
      </w:r>
      <w:r w:rsidRPr="00461C10" w:rsidR="00C45265">
        <w:t xml:space="preserve"> must </w:t>
      </w:r>
      <w:r w:rsidRPr="00461C10" w:rsidR="00E241F5">
        <w:t xml:space="preserve">jointly fund </w:t>
      </w:r>
      <w:r w:rsidRPr="00461C10" w:rsidR="00C45265">
        <w:t>$1 million per year over five years, for a total of $5</w:t>
      </w:r>
      <w:r w:rsidR="006A337B">
        <w:t> </w:t>
      </w:r>
      <w:r w:rsidRPr="00461C10" w:rsidR="00C45265">
        <w:t>million dollars, to support the improvement of the California Public Utilities Commission’s Energy Division’s ability to analyze, collect, track and report the large electric IOUs’ data to the public. The</w:t>
      </w:r>
      <w:r w:rsidRPr="00461C10" w:rsidR="00E241F5">
        <w:t xml:space="preserve"> respective</w:t>
      </w:r>
      <w:r w:rsidRPr="00461C10" w:rsidR="00C45265">
        <w:t xml:space="preserve"> annual </w:t>
      </w:r>
      <w:r w:rsidRPr="00461C10" w:rsidR="00E241F5">
        <w:t>share of</w:t>
      </w:r>
      <w:r w:rsidRPr="00461C10" w:rsidR="00C45265">
        <w:t xml:space="preserve"> this fund from each large electric IOU shall be </w:t>
      </w:r>
      <w:r w:rsidRPr="00461C10">
        <w:t xml:space="preserve">based off </w:t>
      </w:r>
      <w:r w:rsidRPr="00461C10" w:rsidR="00C45265">
        <w:t>its respective</w:t>
      </w:r>
      <w:r w:rsidRPr="00461C10">
        <w:t xml:space="preserve"> </w:t>
      </w:r>
      <w:r w:rsidRPr="00461C10" w:rsidR="00E241F5">
        <w:t xml:space="preserve">percentage </w:t>
      </w:r>
      <w:r w:rsidRPr="00461C10">
        <w:t xml:space="preserve">of California-jurisdictional electric revenues as of the issuance date of this decision. </w:t>
      </w:r>
    </w:p>
    <w:p w:rsidRPr="00461C10" w:rsidR="001E3E07" w:rsidP="001D1428" w:rsidRDefault="001E3E07" w14:paraId="623FE2E0" w14:textId="58B95254">
      <w:pPr>
        <w:pStyle w:val="OP"/>
        <w:numPr>
          <w:ilvl w:val="0"/>
          <w:numId w:val="31"/>
        </w:numPr>
      </w:pPr>
      <w:r w:rsidRPr="00461C10">
        <w:lastRenderedPageBreak/>
        <w:t xml:space="preserve">The California Public Utilities Commission’s Energy Division is authorized to make any necessary updates to the </w:t>
      </w:r>
      <w:r w:rsidRPr="00461C10" w:rsidR="00F61F33">
        <w:t>biannual energization target reporting template upon review of the initial reports from Pacific Gas and Electric Company, San Diego Gas &amp; Electric Company, and Southern California Edison Company</w:t>
      </w:r>
      <w:r w:rsidRPr="00461C10" w:rsidR="14753F65">
        <w:t xml:space="preserve"> (the large electric IOUs)</w:t>
      </w:r>
      <w:r w:rsidRPr="00461C10" w:rsidR="2023C1E8">
        <w:t>,</w:t>
      </w:r>
      <w:r w:rsidRPr="00461C10">
        <w:t xml:space="preserve"> </w:t>
      </w:r>
      <w:r w:rsidRPr="00461C10" w:rsidR="00F61F33">
        <w:t>if</w:t>
      </w:r>
      <w:r w:rsidRPr="00461C10" w:rsidR="682D38AF">
        <w:t>, following the workshop described in Ordering Paragraph 13 and the analysis of two biannual report from the large electric IOUs, Commission</w:t>
      </w:r>
      <w:r w:rsidRPr="00461C10" w:rsidR="00F61F33">
        <w:t xml:space="preserve"> staff determines that changes are necessary to improve data collection prior to the next decision in this proceeding</w:t>
      </w:r>
      <w:r w:rsidRPr="00461C10">
        <w:t>.</w:t>
      </w:r>
      <w:r w:rsidRPr="00461C10" w:rsidR="35908CBD">
        <w:t xml:space="preserve"> The reporting template shall not be updated before September 30, 2025.</w:t>
      </w:r>
    </w:p>
    <w:p w:rsidRPr="00461C10" w:rsidR="00BF7BC9" w:rsidP="001D1428" w:rsidRDefault="001E3E07" w14:paraId="52EF7264" w14:textId="7A48C7E6">
      <w:pPr>
        <w:pStyle w:val="OP"/>
        <w:numPr>
          <w:ilvl w:val="0"/>
          <w:numId w:val="31"/>
        </w:numPr>
      </w:pPr>
      <w:r w:rsidRPr="00461C10">
        <w:t>Pacific Gas and Electric Company, Southern California Edison Company, and San Diego Gas &amp; Electric Company shall</w:t>
      </w:r>
      <w:r w:rsidRPr="00461C10" w:rsidR="001A3898">
        <w:t xml:space="preserve"> each</w:t>
      </w:r>
      <w:r w:rsidRPr="00461C10">
        <w:t xml:space="preserve"> </w:t>
      </w:r>
      <w:r w:rsidRPr="00461C10" w:rsidR="00E241F5">
        <w:t xml:space="preserve">file and serve </w:t>
      </w:r>
      <w:r w:rsidRPr="00461C10" w:rsidR="003B0E1C">
        <w:t xml:space="preserve">biannual energization </w:t>
      </w:r>
      <w:r w:rsidRPr="00461C10">
        <w:t>reports to the California Public Utilities Commission every six months to demonstrate compliance with the statewide targets outlined in Section 7, Energization Targets, of this decision</w:t>
      </w:r>
      <w:r w:rsidRPr="00461C10" w:rsidR="001A3898">
        <w:t>, with the</w:t>
      </w:r>
      <w:r w:rsidRPr="00461C10" w:rsidR="00300835">
        <w:t xml:space="preserve"> </w:t>
      </w:r>
      <w:r w:rsidRPr="00461C10">
        <w:t xml:space="preserve">first </w:t>
      </w:r>
      <w:r w:rsidRPr="00461C10" w:rsidR="00BF7BC9">
        <w:t>biannual energization data</w:t>
      </w:r>
      <w:r w:rsidRPr="00461C10">
        <w:t xml:space="preserve"> report filed</w:t>
      </w:r>
      <w:r w:rsidRPr="00461C10" w:rsidR="00717D87">
        <w:t xml:space="preserve"> and served to the service list of Rulemaking</w:t>
      </w:r>
      <w:r w:rsidR="006A337B">
        <w:t> </w:t>
      </w:r>
      <w:r w:rsidRPr="00461C10" w:rsidR="00717D87">
        <w:t>24</w:t>
      </w:r>
      <w:r w:rsidR="006A337B">
        <w:noBreakHyphen/>
      </w:r>
      <w:r w:rsidRPr="00461C10" w:rsidR="00717D87">
        <w:t>01</w:t>
      </w:r>
      <w:r w:rsidR="006A337B">
        <w:noBreakHyphen/>
      </w:r>
      <w:r w:rsidRPr="00461C10" w:rsidR="00717D87">
        <w:t>018</w:t>
      </w:r>
      <w:r w:rsidRPr="00461C10">
        <w:t xml:space="preserve"> by March 31, 2025, and the second by September 30, 2025. </w:t>
      </w:r>
    </w:p>
    <w:p w:rsidRPr="00461C10" w:rsidR="001E3E07" w:rsidP="001D1428" w:rsidRDefault="00BF7BC9" w14:paraId="3C0BB4A0" w14:textId="0BE49C9F">
      <w:pPr>
        <w:pStyle w:val="OP"/>
        <w:numPr>
          <w:ilvl w:val="0"/>
          <w:numId w:val="31"/>
        </w:numPr>
      </w:pPr>
      <w:r w:rsidRPr="00461C10">
        <w:t xml:space="preserve">The </w:t>
      </w:r>
      <w:r w:rsidRPr="00461C10" w:rsidR="003B0E1C">
        <w:t>biannual energization</w:t>
      </w:r>
      <w:r w:rsidRPr="00461C10" w:rsidR="00E241F5">
        <w:t xml:space="preserve"> reports required in Ordering Paragraph 1</w:t>
      </w:r>
      <w:r w:rsidRPr="00461C10" w:rsidR="003B0E1C">
        <w:t>7</w:t>
      </w:r>
      <w:r w:rsidRPr="00461C10" w:rsidR="00E241F5">
        <w:t xml:space="preserve"> </w:t>
      </w:r>
      <w:r w:rsidRPr="00461C10" w:rsidR="001E3E07">
        <w:t xml:space="preserve">must reflect </w:t>
      </w:r>
      <w:r w:rsidRPr="00461C10">
        <w:t xml:space="preserve">data for all </w:t>
      </w:r>
      <w:r w:rsidRPr="00461C10" w:rsidR="001E3E07">
        <w:t xml:space="preserve">customer energization requests </w:t>
      </w:r>
      <w:r w:rsidRPr="006A337B" w:rsidR="001E3E07">
        <w:t xml:space="preserve">submitted </w:t>
      </w:r>
      <w:r w:rsidRPr="006A337B" w:rsidR="1964EE08">
        <w:rPr>
          <w:rFonts w:eastAsia="Book Antiqua" w:cs="Book Antiqua"/>
          <w:szCs w:val="26"/>
        </w:rPr>
        <w:t>as of January</w:t>
      </w:r>
      <w:r w:rsidR="006A337B">
        <w:rPr>
          <w:rFonts w:eastAsia="Book Antiqua" w:cs="Book Antiqua"/>
          <w:szCs w:val="26"/>
        </w:rPr>
        <w:t> </w:t>
      </w:r>
      <w:r w:rsidRPr="006A337B" w:rsidR="1964EE08">
        <w:rPr>
          <w:rFonts w:eastAsia="Book Antiqua" w:cs="Book Antiqua"/>
          <w:szCs w:val="26"/>
        </w:rPr>
        <w:t xml:space="preserve">31, 2023, to the best of Pacific Gas and Electric Company, San Diego Gas &amp; Electric Company, and Southern California Edison (the large electric </w:t>
      </w:r>
      <w:r w:rsidR="006A337B">
        <w:rPr>
          <w:rFonts w:eastAsia="Book Antiqua" w:cs="Book Antiqua"/>
          <w:szCs w:val="26"/>
        </w:rPr>
        <w:t>investor-owned utilities (</w:t>
      </w:r>
      <w:r w:rsidRPr="006A337B" w:rsidR="1964EE08">
        <w:rPr>
          <w:rFonts w:eastAsia="Book Antiqua" w:cs="Book Antiqua"/>
          <w:szCs w:val="26"/>
        </w:rPr>
        <w:t>IOUs</w:t>
      </w:r>
      <w:r w:rsidR="006A337B">
        <w:rPr>
          <w:rFonts w:eastAsia="Book Antiqua" w:cs="Book Antiqua"/>
          <w:szCs w:val="26"/>
        </w:rPr>
        <w:t>)</w:t>
      </w:r>
      <w:r w:rsidRPr="006A337B" w:rsidR="1964EE08">
        <w:rPr>
          <w:rFonts w:eastAsia="Book Antiqua" w:cs="Book Antiqua"/>
          <w:szCs w:val="26"/>
        </w:rPr>
        <w:t>) abilities, and meet the requirements adopted in Appendix B of this decision, Energization Target Reporting Requirements, for projects that are fully submitted</w:t>
      </w:r>
      <w:r w:rsidRPr="006A337B" w:rsidR="1964EE08">
        <w:t xml:space="preserve"> </w:t>
      </w:r>
      <w:r w:rsidRPr="006A337B" w:rsidR="001E3E07">
        <w:t>after the issuance of this decision</w:t>
      </w:r>
      <w:r w:rsidRPr="006A337B" w:rsidR="16ECE56E">
        <w:t>. The biannual energization reports required</w:t>
      </w:r>
      <w:r w:rsidRPr="00461C10" w:rsidR="16ECE56E">
        <w:t xml:space="preserve"> in Ordering Paragraph</w:t>
      </w:r>
      <w:r w:rsidR="006A337B">
        <w:t> </w:t>
      </w:r>
      <w:r w:rsidRPr="00461C10" w:rsidR="16ECE56E">
        <w:t>17</w:t>
      </w:r>
      <w:r w:rsidRPr="00461C10" w:rsidR="4312BD48">
        <w:t xml:space="preserve"> sha</w:t>
      </w:r>
      <w:r w:rsidRPr="00461C10" w:rsidR="3283BCD6">
        <w:t>ll</w:t>
      </w:r>
      <w:r w:rsidRPr="00461C10" w:rsidR="001E3E07">
        <w:t xml:space="preserve"> be posted on the Commission’s Energization website, for the purposes of improving Commission, customer, and </w:t>
      </w:r>
      <w:r w:rsidRPr="00461C10" w:rsidR="001E3E07">
        <w:lastRenderedPageBreak/>
        <w:t>party insight into energization delays</w:t>
      </w:r>
      <w:r w:rsidRPr="00461C10">
        <w:t xml:space="preserve"> occurring in the large </w:t>
      </w:r>
      <w:r w:rsidR="00397D21">
        <w:t xml:space="preserve">electric </w:t>
      </w:r>
      <w:r w:rsidR="006A337B">
        <w:t xml:space="preserve">IOU </w:t>
      </w:r>
      <w:r w:rsidRPr="00461C10">
        <w:t>service</w:t>
      </w:r>
      <w:r w:rsidR="006A337B">
        <w:t xml:space="preserve"> </w:t>
      </w:r>
      <w:r w:rsidRPr="00461C10">
        <w:t>territories</w:t>
      </w:r>
      <w:r w:rsidRPr="00461C10" w:rsidR="001E3E07">
        <w:t xml:space="preserve">.  </w:t>
      </w:r>
    </w:p>
    <w:p w:rsidRPr="00461C10" w:rsidR="001E3E07" w:rsidP="001D1428" w:rsidRDefault="001E3E07" w14:paraId="281D2E9A" w14:textId="746882A6">
      <w:pPr>
        <w:pStyle w:val="OP"/>
        <w:keepNext/>
        <w:numPr>
          <w:ilvl w:val="0"/>
          <w:numId w:val="31"/>
        </w:numPr>
      </w:pPr>
      <w:r w:rsidRPr="00461C10">
        <w:t>Rulemaking 24-01-018 remains open.</w:t>
      </w:r>
    </w:p>
    <w:p w:rsidRPr="00461C10" w:rsidR="001E3E07" w:rsidP="001D1428" w:rsidRDefault="001E3E07" w14:paraId="02918092" w14:textId="77777777">
      <w:pPr>
        <w:pStyle w:val="Standard"/>
        <w:keepNext/>
      </w:pPr>
      <w:r w:rsidRPr="00461C10">
        <w:t>This order is effective today.</w:t>
      </w:r>
    </w:p>
    <w:p w:rsidR="001E3E07" w:rsidP="001D1428" w:rsidRDefault="001E3E07" w14:paraId="22FE247A" w14:textId="3F17A206">
      <w:pPr>
        <w:pStyle w:val="Standard"/>
        <w:keepNext/>
      </w:pPr>
      <w:r w:rsidRPr="00461C10">
        <w:t xml:space="preserve">Dated </w:t>
      </w:r>
      <w:r w:rsidR="00E73849">
        <w:t>September 12, 2024</w:t>
      </w:r>
      <w:r w:rsidRPr="00461C10">
        <w:t>, at Sa</w:t>
      </w:r>
      <w:r w:rsidRPr="00461C10" w:rsidR="006A1731">
        <w:t>cramento</w:t>
      </w:r>
      <w:r w:rsidRPr="00461C10">
        <w:t>, California</w:t>
      </w:r>
      <w:r w:rsidRPr="00461C10" w:rsidR="00B14DA2">
        <w:t>.</w:t>
      </w:r>
    </w:p>
    <w:p w:rsidRPr="00E73849" w:rsidR="00E73849" w:rsidP="001D1428" w:rsidRDefault="00E73849" w14:paraId="51A67B27" w14:textId="77777777">
      <w:pPr>
        <w:pStyle w:val="Standard"/>
        <w:keepNext/>
        <w:rPr>
          <w:szCs w:val="26"/>
        </w:rPr>
      </w:pPr>
    </w:p>
    <w:p w:rsidRPr="00E73849" w:rsidR="00E73849" w:rsidP="00E73849" w:rsidRDefault="00E73849" w14:paraId="0F39E297" w14:textId="77777777">
      <w:pPr>
        <w:keepNext/>
        <w:autoSpaceDE w:val="0"/>
        <w:autoSpaceDN w:val="0"/>
        <w:adjustRightInd w:val="0"/>
        <w:spacing w:line="240" w:lineRule="auto"/>
        <w:ind w:left="5040" w:firstLine="0"/>
        <w:jc w:val="both"/>
        <w:rPr>
          <w:rFonts w:eastAsia="Times New Roman" w:cs="Times New Roman"/>
          <w:szCs w:val="26"/>
        </w:rPr>
      </w:pPr>
      <w:bookmarkStart w:name="_Hlk17215919" w:id="91"/>
      <w:r w:rsidRPr="00E73849">
        <w:rPr>
          <w:rFonts w:eastAsia="Times New Roman" w:cs="Times New Roman"/>
          <w:szCs w:val="26"/>
        </w:rPr>
        <w:t>ALICE REYNOLDS</w:t>
      </w:r>
    </w:p>
    <w:p w:rsidRPr="00E73849" w:rsidR="00E73849" w:rsidP="00E73849" w:rsidRDefault="00E73849" w14:paraId="3AB664BE" w14:textId="77777777">
      <w:pPr>
        <w:keepNext/>
        <w:autoSpaceDE w:val="0"/>
        <w:autoSpaceDN w:val="0"/>
        <w:adjustRightInd w:val="0"/>
        <w:spacing w:line="240" w:lineRule="auto"/>
        <w:ind w:left="6390" w:hanging="90"/>
        <w:jc w:val="both"/>
        <w:rPr>
          <w:rFonts w:eastAsia="Times New Roman" w:cs="Times New Roman"/>
          <w:szCs w:val="26"/>
        </w:rPr>
      </w:pPr>
      <w:r w:rsidRPr="00E73849">
        <w:rPr>
          <w:rFonts w:eastAsia="Times New Roman" w:cs="Times New Roman"/>
          <w:szCs w:val="26"/>
        </w:rPr>
        <w:t>President</w:t>
      </w:r>
    </w:p>
    <w:p w:rsidRPr="00E73849" w:rsidR="00E73849" w:rsidP="00E73849" w:rsidRDefault="00E73849" w14:paraId="0243951C" w14:textId="77777777">
      <w:pPr>
        <w:keepNext/>
        <w:autoSpaceDE w:val="0"/>
        <w:autoSpaceDN w:val="0"/>
        <w:adjustRightInd w:val="0"/>
        <w:spacing w:line="240" w:lineRule="auto"/>
        <w:ind w:left="5040" w:firstLine="0"/>
        <w:jc w:val="both"/>
        <w:rPr>
          <w:rFonts w:eastAsia="Times New Roman" w:cs="Times New Roman"/>
          <w:szCs w:val="26"/>
        </w:rPr>
      </w:pPr>
      <w:r w:rsidRPr="00E73849">
        <w:rPr>
          <w:rFonts w:eastAsia="Times New Roman" w:cs="Times New Roman"/>
          <w:szCs w:val="26"/>
        </w:rPr>
        <w:t>DARCIE L. HOUCK</w:t>
      </w:r>
    </w:p>
    <w:p w:rsidRPr="00E73849" w:rsidR="00E73849" w:rsidP="00E73849" w:rsidRDefault="00E73849" w14:paraId="75BBFC9B" w14:textId="77777777">
      <w:pPr>
        <w:keepNext/>
        <w:autoSpaceDE w:val="0"/>
        <w:autoSpaceDN w:val="0"/>
        <w:adjustRightInd w:val="0"/>
        <w:spacing w:line="240" w:lineRule="auto"/>
        <w:ind w:left="5040" w:firstLine="0"/>
        <w:jc w:val="both"/>
        <w:rPr>
          <w:rFonts w:eastAsia="Times New Roman" w:cs="Times New Roman"/>
          <w:szCs w:val="26"/>
        </w:rPr>
      </w:pPr>
      <w:r w:rsidRPr="00E73849">
        <w:rPr>
          <w:rFonts w:eastAsia="Times New Roman" w:cs="Times New Roman"/>
          <w:szCs w:val="26"/>
        </w:rPr>
        <w:t>JOHN REYNOLDS</w:t>
      </w:r>
    </w:p>
    <w:p w:rsidRPr="00E73849" w:rsidR="00E73849" w:rsidP="00E73849" w:rsidRDefault="00E73849" w14:paraId="47D6B14F" w14:textId="77777777">
      <w:pPr>
        <w:keepNext/>
        <w:autoSpaceDE w:val="0"/>
        <w:autoSpaceDN w:val="0"/>
        <w:adjustRightInd w:val="0"/>
        <w:spacing w:line="240" w:lineRule="auto"/>
        <w:ind w:left="5040" w:firstLine="0"/>
        <w:jc w:val="both"/>
        <w:rPr>
          <w:rFonts w:eastAsia="Times New Roman" w:cs="Times New Roman"/>
          <w:szCs w:val="26"/>
        </w:rPr>
      </w:pPr>
      <w:r w:rsidRPr="00E73849">
        <w:rPr>
          <w:rFonts w:eastAsia="Times New Roman" w:cs="Times New Roman"/>
          <w:szCs w:val="26"/>
        </w:rPr>
        <w:t>KAREN DOUGLAS</w:t>
      </w:r>
    </w:p>
    <w:p w:rsidRPr="00E73849" w:rsidR="00E73849" w:rsidP="00E73849" w:rsidRDefault="00E73849" w14:paraId="125CFCF1" w14:textId="77777777">
      <w:pPr>
        <w:keepNext/>
        <w:autoSpaceDE w:val="0"/>
        <w:autoSpaceDN w:val="0"/>
        <w:adjustRightInd w:val="0"/>
        <w:spacing w:line="240" w:lineRule="auto"/>
        <w:ind w:left="6300" w:firstLine="0"/>
        <w:jc w:val="both"/>
        <w:rPr>
          <w:rFonts w:eastAsia="Times New Roman" w:cs="Times New Roman"/>
          <w:szCs w:val="26"/>
        </w:rPr>
      </w:pPr>
      <w:r w:rsidRPr="00E73849">
        <w:rPr>
          <w:rFonts w:eastAsia="Times New Roman" w:cs="Times New Roman"/>
          <w:szCs w:val="26"/>
        </w:rPr>
        <w:t>Commissioners</w:t>
      </w:r>
    </w:p>
    <w:bookmarkEnd w:id="91"/>
    <w:p w:rsidRPr="00E73849" w:rsidR="00E73849" w:rsidP="00E73849" w:rsidRDefault="00E73849" w14:paraId="75694C42" w14:textId="77777777">
      <w:pPr>
        <w:keepNext/>
        <w:tabs>
          <w:tab w:val="left" w:pos="3510"/>
        </w:tabs>
        <w:spacing w:line="240" w:lineRule="auto"/>
        <w:ind w:left="4320" w:firstLine="0"/>
        <w:rPr>
          <w:rFonts w:eastAsia="Times New Roman" w:cs="Times New Roman"/>
          <w:szCs w:val="26"/>
        </w:rPr>
      </w:pPr>
    </w:p>
    <w:p w:rsidRPr="00E73849" w:rsidR="00E73849" w:rsidP="00E73849" w:rsidRDefault="00E73849" w14:paraId="51C93119" w14:textId="77777777">
      <w:pPr>
        <w:keepNext/>
        <w:spacing w:line="240" w:lineRule="auto"/>
        <w:ind w:left="5040" w:firstLine="0"/>
        <w:rPr>
          <w:rFonts w:eastAsia="Times New Roman" w:cs="Times New Roman"/>
          <w:szCs w:val="26"/>
        </w:rPr>
      </w:pPr>
      <w:r w:rsidRPr="00E73849">
        <w:rPr>
          <w:rFonts w:eastAsia="Times New Roman" w:cs="Times New Roman"/>
          <w:szCs w:val="26"/>
        </w:rPr>
        <w:t>Commissioner Matthew Baker recused himself from this agenda item and was not part of the quorum in its consideration.</w:t>
      </w:r>
    </w:p>
    <w:bookmarkEnd w:id="84"/>
    <w:bookmarkEnd w:id="85"/>
    <w:p w:rsidR="008C4F5C" w:rsidP="001D1428" w:rsidRDefault="008C4F5C" w14:paraId="03A67CAD" w14:textId="77777777">
      <w:pPr>
        <w:pStyle w:val="Standard"/>
        <w:keepNext/>
      </w:pPr>
    </w:p>
    <w:p w:rsidRPr="00461C10" w:rsidR="00E73849" w:rsidP="001D1428" w:rsidRDefault="00E73849" w14:paraId="0ADA11DC" w14:textId="77777777">
      <w:pPr>
        <w:pStyle w:val="Standard"/>
        <w:keepNext/>
      </w:pPr>
    </w:p>
    <w:p w:rsidRPr="00461C10" w:rsidR="008C4F5C" w:rsidP="008C4F5C" w:rsidRDefault="008C4F5C" w14:paraId="63F32451" w14:textId="77777777">
      <w:pPr>
        <w:pStyle w:val="Standard"/>
        <w:keepNext/>
        <w:sectPr w:rsidRPr="00461C10" w:rsidR="008C4F5C" w:rsidSect="00C65DDF">
          <w:headerReference w:type="default" r:id="rId17"/>
          <w:footerReference w:type="default" r:id="rId18"/>
          <w:pgSz w:w="12240" w:h="15840"/>
          <w:pgMar w:top="1728" w:right="1440" w:bottom="1440" w:left="1440" w:header="720" w:footer="720" w:gutter="0"/>
          <w:pgNumType w:start="2"/>
          <w:cols w:space="720"/>
          <w:docGrid w:linePitch="360"/>
        </w:sectPr>
      </w:pPr>
    </w:p>
    <w:p w:rsidRPr="00461C10" w:rsidR="008C4F5C" w:rsidP="008C4F5C" w:rsidRDefault="008C4F5C" w14:paraId="4F317474" w14:textId="77777777">
      <w:pPr>
        <w:pStyle w:val="Standard"/>
        <w:keepNext/>
        <w:spacing w:line="240" w:lineRule="auto"/>
        <w:ind w:firstLine="0"/>
        <w:jc w:val="center"/>
        <w:rPr>
          <w:sz w:val="48"/>
          <w:szCs w:val="48"/>
        </w:rPr>
      </w:pPr>
      <w:bookmarkStart w:name="_Hlk176794654" w:id="93"/>
    </w:p>
    <w:p w:rsidRPr="00461C10" w:rsidR="008C4F5C" w:rsidP="008C4F5C" w:rsidRDefault="008C4F5C" w14:paraId="3216C770" w14:textId="77777777">
      <w:pPr>
        <w:pStyle w:val="Standard"/>
        <w:keepNext/>
        <w:spacing w:line="240" w:lineRule="auto"/>
        <w:ind w:firstLine="0"/>
        <w:jc w:val="center"/>
        <w:rPr>
          <w:sz w:val="48"/>
          <w:szCs w:val="48"/>
        </w:rPr>
      </w:pPr>
    </w:p>
    <w:p w:rsidRPr="00461C10" w:rsidR="008C4F5C" w:rsidP="008C4F5C" w:rsidRDefault="008C4F5C" w14:paraId="1D19DDC4" w14:textId="77777777">
      <w:pPr>
        <w:pStyle w:val="Standard"/>
        <w:keepNext/>
        <w:spacing w:line="240" w:lineRule="auto"/>
        <w:ind w:firstLine="0"/>
        <w:jc w:val="center"/>
        <w:rPr>
          <w:sz w:val="48"/>
          <w:szCs w:val="48"/>
        </w:rPr>
      </w:pPr>
    </w:p>
    <w:p w:rsidRPr="00461C10" w:rsidR="008C4F5C" w:rsidP="008C4F5C" w:rsidRDefault="008C4F5C" w14:paraId="574FF74A" w14:textId="77777777">
      <w:pPr>
        <w:pStyle w:val="Standard"/>
        <w:keepNext/>
        <w:spacing w:line="240" w:lineRule="auto"/>
        <w:ind w:firstLine="0"/>
        <w:jc w:val="center"/>
        <w:rPr>
          <w:sz w:val="48"/>
          <w:szCs w:val="48"/>
        </w:rPr>
      </w:pPr>
    </w:p>
    <w:p w:rsidRPr="00461C10" w:rsidR="008C4F5C" w:rsidP="008C4F5C" w:rsidRDefault="008C4F5C" w14:paraId="26FAA0AB" w14:textId="77777777">
      <w:pPr>
        <w:pStyle w:val="Standard"/>
        <w:keepNext/>
        <w:spacing w:line="240" w:lineRule="auto"/>
        <w:ind w:firstLine="0"/>
        <w:jc w:val="center"/>
        <w:rPr>
          <w:sz w:val="48"/>
          <w:szCs w:val="48"/>
        </w:rPr>
      </w:pPr>
    </w:p>
    <w:p w:rsidRPr="00461C10" w:rsidR="008C4F5C" w:rsidP="008C4F5C" w:rsidRDefault="008C4F5C" w14:paraId="4B13DA45" w14:textId="77777777">
      <w:pPr>
        <w:pStyle w:val="Standard"/>
        <w:keepNext/>
        <w:spacing w:line="240" w:lineRule="auto"/>
        <w:ind w:firstLine="0"/>
        <w:jc w:val="center"/>
        <w:rPr>
          <w:sz w:val="48"/>
          <w:szCs w:val="48"/>
        </w:rPr>
      </w:pPr>
    </w:p>
    <w:p w:rsidRPr="00461C10" w:rsidR="008C4F5C" w:rsidP="008C4F5C" w:rsidRDefault="008C4F5C" w14:paraId="0EC65A8A" w14:textId="77777777">
      <w:pPr>
        <w:pStyle w:val="Standard"/>
        <w:keepNext/>
        <w:spacing w:line="240" w:lineRule="auto"/>
        <w:ind w:firstLine="0"/>
        <w:jc w:val="center"/>
        <w:rPr>
          <w:sz w:val="48"/>
          <w:szCs w:val="48"/>
        </w:rPr>
      </w:pPr>
    </w:p>
    <w:p w:rsidRPr="00461C10" w:rsidR="008C4F5C" w:rsidP="008C4F5C" w:rsidRDefault="008C4F5C" w14:paraId="1022566E" w14:textId="77777777">
      <w:pPr>
        <w:pStyle w:val="Standard"/>
        <w:keepNext/>
        <w:spacing w:line="240" w:lineRule="auto"/>
        <w:ind w:firstLine="0"/>
        <w:jc w:val="center"/>
        <w:rPr>
          <w:sz w:val="48"/>
          <w:szCs w:val="48"/>
        </w:rPr>
      </w:pPr>
    </w:p>
    <w:p w:rsidRPr="00461C10" w:rsidR="008C4F5C" w:rsidP="008C4F5C" w:rsidRDefault="008C4F5C" w14:paraId="4364D14D" w14:textId="045D6A5E">
      <w:pPr>
        <w:pStyle w:val="Standard"/>
        <w:keepNext/>
        <w:spacing w:line="240" w:lineRule="auto"/>
        <w:ind w:firstLine="0"/>
        <w:jc w:val="center"/>
        <w:rPr>
          <w:sz w:val="48"/>
          <w:szCs w:val="48"/>
        </w:rPr>
      </w:pPr>
      <w:r w:rsidRPr="00461C10">
        <w:rPr>
          <w:sz w:val="48"/>
          <w:szCs w:val="48"/>
        </w:rPr>
        <w:t>APPENDIX A</w:t>
      </w:r>
    </w:p>
    <w:p w:rsidRPr="00461C10" w:rsidR="008C4F5C" w:rsidP="008C4F5C" w:rsidRDefault="008C4F5C" w14:paraId="141E5618" w14:textId="5D47B6C6">
      <w:pPr>
        <w:pStyle w:val="Standard"/>
        <w:keepNext/>
        <w:spacing w:line="240" w:lineRule="auto"/>
        <w:ind w:firstLine="0"/>
        <w:jc w:val="center"/>
        <w:rPr>
          <w:sz w:val="36"/>
          <w:szCs w:val="36"/>
        </w:rPr>
        <w:sectPr w:rsidRPr="00461C10" w:rsidR="008C4F5C" w:rsidSect="00C65DDF">
          <w:footerReference w:type="default" r:id="rId19"/>
          <w:pgSz w:w="12240" w:h="15840"/>
          <w:pgMar w:top="1728" w:right="1440" w:bottom="1440" w:left="1440" w:header="720" w:footer="720" w:gutter="0"/>
          <w:pgNumType w:start="2"/>
          <w:cols w:space="720"/>
          <w:docGrid w:linePitch="360"/>
        </w:sectPr>
      </w:pPr>
      <w:r w:rsidRPr="00461C10">
        <w:rPr>
          <w:sz w:val="36"/>
          <w:szCs w:val="36"/>
        </w:rPr>
        <w:t>Statewide Energization Timelines</w:t>
      </w:r>
      <w:r w:rsidRPr="00461C10">
        <w:rPr>
          <w:sz w:val="36"/>
          <w:szCs w:val="36"/>
        </w:rPr>
        <w:br/>
        <w:t>Analyses Report</w:t>
      </w:r>
    </w:p>
    <w:bookmarkEnd w:id="93"/>
    <w:p w:rsidRPr="00461C10" w:rsidR="008C4F5C" w:rsidP="008C4F5C" w:rsidRDefault="008C4F5C" w14:paraId="3081BD01" w14:textId="77777777">
      <w:pPr>
        <w:pStyle w:val="Standard"/>
        <w:keepNext/>
        <w:spacing w:line="240" w:lineRule="auto"/>
        <w:ind w:firstLine="0"/>
        <w:jc w:val="center"/>
        <w:rPr>
          <w:sz w:val="48"/>
          <w:szCs w:val="48"/>
        </w:rPr>
      </w:pPr>
    </w:p>
    <w:p w:rsidRPr="00461C10" w:rsidR="008C4F5C" w:rsidP="008C4F5C" w:rsidRDefault="008C4F5C" w14:paraId="3E8FFD6D" w14:textId="77777777">
      <w:pPr>
        <w:pStyle w:val="Standard"/>
        <w:keepNext/>
        <w:spacing w:line="240" w:lineRule="auto"/>
        <w:ind w:firstLine="0"/>
        <w:jc w:val="center"/>
        <w:rPr>
          <w:sz w:val="48"/>
          <w:szCs w:val="48"/>
        </w:rPr>
      </w:pPr>
    </w:p>
    <w:p w:rsidRPr="00461C10" w:rsidR="008C4F5C" w:rsidP="008C4F5C" w:rsidRDefault="008C4F5C" w14:paraId="76F8EFD8" w14:textId="77777777">
      <w:pPr>
        <w:pStyle w:val="Standard"/>
        <w:keepNext/>
        <w:spacing w:line="240" w:lineRule="auto"/>
        <w:ind w:firstLine="0"/>
        <w:jc w:val="center"/>
        <w:rPr>
          <w:sz w:val="48"/>
          <w:szCs w:val="48"/>
        </w:rPr>
      </w:pPr>
    </w:p>
    <w:p w:rsidRPr="00461C10" w:rsidR="008C4F5C" w:rsidP="008C4F5C" w:rsidRDefault="008C4F5C" w14:paraId="367FC7A2" w14:textId="77777777">
      <w:pPr>
        <w:pStyle w:val="Standard"/>
        <w:keepNext/>
        <w:spacing w:line="240" w:lineRule="auto"/>
        <w:ind w:firstLine="0"/>
        <w:jc w:val="center"/>
        <w:rPr>
          <w:sz w:val="48"/>
          <w:szCs w:val="48"/>
        </w:rPr>
      </w:pPr>
    </w:p>
    <w:p w:rsidRPr="00461C10" w:rsidR="008C4F5C" w:rsidP="008C4F5C" w:rsidRDefault="008C4F5C" w14:paraId="45B475A8" w14:textId="77777777">
      <w:pPr>
        <w:pStyle w:val="Standard"/>
        <w:keepNext/>
        <w:spacing w:line="240" w:lineRule="auto"/>
        <w:ind w:firstLine="0"/>
        <w:jc w:val="center"/>
        <w:rPr>
          <w:sz w:val="48"/>
          <w:szCs w:val="48"/>
        </w:rPr>
      </w:pPr>
    </w:p>
    <w:p w:rsidRPr="00461C10" w:rsidR="008C4F5C" w:rsidP="008C4F5C" w:rsidRDefault="008C4F5C" w14:paraId="42F243A2" w14:textId="77777777">
      <w:pPr>
        <w:pStyle w:val="Standard"/>
        <w:keepNext/>
        <w:spacing w:line="240" w:lineRule="auto"/>
        <w:ind w:firstLine="0"/>
        <w:jc w:val="center"/>
        <w:rPr>
          <w:sz w:val="48"/>
          <w:szCs w:val="48"/>
        </w:rPr>
      </w:pPr>
    </w:p>
    <w:p w:rsidRPr="00461C10" w:rsidR="008C4F5C" w:rsidP="008C4F5C" w:rsidRDefault="008C4F5C" w14:paraId="16D12500" w14:textId="77777777">
      <w:pPr>
        <w:pStyle w:val="Standard"/>
        <w:keepNext/>
        <w:spacing w:line="240" w:lineRule="auto"/>
        <w:ind w:firstLine="0"/>
        <w:jc w:val="center"/>
        <w:rPr>
          <w:sz w:val="48"/>
          <w:szCs w:val="48"/>
        </w:rPr>
      </w:pPr>
    </w:p>
    <w:p w:rsidRPr="00461C10" w:rsidR="008C4F5C" w:rsidP="008C4F5C" w:rsidRDefault="008C4F5C" w14:paraId="42DA3FB2" w14:textId="77777777">
      <w:pPr>
        <w:pStyle w:val="Standard"/>
        <w:keepNext/>
        <w:spacing w:line="240" w:lineRule="auto"/>
        <w:ind w:firstLine="0"/>
        <w:jc w:val="center"/>
        <w:rPr>
          <w:sz w:val="48"/>
          <w:szCs w:val="48"/>
        </w:rPr>
      </w:pPr>
    </w:p>
    <w:p w:rsidRPr="00461C10" w:rsidR="008C4F5C" w:rsidP="008C4F5C" w:rsidRDefault="008C4F5C" w14:paraId="6DE4605F" w14:textId="728C6A92">
      <w:pPr>
        <w:pStyle w:val="Standard"/>
        <w:keepNext/>
        <w:spacing w:line="240" w:lineRule="auto"/>
        <w:ind w:firstLine="0"/>
        <w:jc w:val="center"/>
        <w:rPr>
          <w:sz w:val="48"/>
          <w:szCs w:val="48"/>
        </w:rPr>
      </w:pPr>
      <w:bookmarkStart w:name="_Hlk176855869" w:id="94"/>
      <w:r w:rsidRPr="00461C10">
        <w:rPr>
          <w:sz w:val="48"/>
          <w:szCs w:val="48"/>
        </w:rPr>
        <w:t>APPENDIX B</w:t>
      </w:r>
    </w:p>
    <w:p w:rsidR="008C4F5C" w:rsidP="008C4F5C" w:rsidRDefault="008C4F5C" w14:paraId="1E4F390E" w14:textId="77777777">
      <w:pPr>
        <w:pStyle w:val="Standard"/>
        <w:keepNext/>
        <w:spacing w:line="240" w:lineRule="auto"/>
        <w:ind w:firstLine="0"/>
        <w:jc w:val="center"/>
        <w:rPr>
          <w:sz w:val="36"/>
          <w:szCs w:val="36"/>
        </w:rPr>
      </w:pPr>
      <w:bookmarkStart w:name="_Hlk176855864" w:id="95"/>
      <w:r w:rsidRPr="00461C10">
        <w:rPr>
          <w:sz w:val="36"/>
          <w:szCs w:val="36"/>
        </w:rPr>
        <w:t>Energization Target Reporting</w:t>
      </w:r>
      <w:r w:rsidRPr="00461C10">
        <w:rPr>
          <w:sz w:val="36"/>
          <w:szCs w:val="36"/>
        </w:rPr>
        <w:br/>
        <w:t>Template Requirements</w:t>
      </w:r>
    </w:p>
    <w:bookmarkEnd w:id="94"/>
    <w:bookmarkEnd w:id="95"/>
    <w:p w:rsidR="0089322C" w:rsidP="008C4F5C" w:rsidRDefault="0089322C" w14:paraId="731292D6" w14:textId="77777777">
      <w:pPr>
        <w:pStyle w:val="Standard"/>
        <w:keepNext/>
        <w:spacing w:line="240" w:lineRule="auto"/>
        <w:ind w:firstLine="0"/>
        <w:jc w:val="center"/>
        <w:rPr>
          <w:sz w:val="36"/>
          <w:szCs w:val="36"/>
        </w:rPr>
      </w:pPr>
    </w:p>
    <w:p w:rsidRPr="00461C10" w:rsidR="0089322C" w:rsidP="008C4F5C" w:rsidRDefault="0089322C" w14:paraId="22499F05" w14:textId="37313EB6">
      <w:pPr>
        <w:pStyle w:val="Standard"/>
        <w:keepNext/>
        <w:spacing w:line="240" w:lineRule="auto"/>
        <w:ind w:firstLine="0"/>
        <w:jc w:val="center"/>
        <w:rPr>
          <w:sz w:val="36"/>
          <w:szCs w:val="36"/>
        </w:rPr>
        <w:sectPr w:rsidRPr="00461C10" w:rsidR="0089322C" w:rsidSect="008C4F5C">
          <w:footerReference w:type="default" r:id="rId20"/>
          <w:pgSz w:w="12240" w:h="15840"/>
          <w:pgMar w:top="1728" w:right="1440" w:bottom="1440" w:left="1440" w:header="720" w:footer="720" w:gutter="0"/>
          <w:pgNumType w:start="2"/>
          <w:cols w:space="720"/>
          <w:docGrid w:linePitch="360"/>
        </w:sectPr>
      </w:pPr>
    </w:p>
    <w:p w:rsidRPr="00461C10" w:rsidR="008C4F5C" w:rsidP="008C4F5C" w:rsidRDefault="008C4F5C" w14:paraId="5A0BF9F0" w14:textId="77777777">
      <w:pPr>
        <w:pStyle w:val="Standard"/>
        <w:keepNext/>
        <w:spacing w:line="240" w:lineRule="auto"/>
        <w:ind w:firstLine="0"/>
        <w:jc w:val="center"/>
        <w:rPr>
          <w:sz w:val="48"/>
          <w:szCs w:val="48"/>
        </w:rPr>
      </w:pPr>
    </w:p>
    <w:p w:rsidRPr="00461C10" w:rsidR="008C4F5C" w:rsidP="008C4F5C" w:rsidRDefault="008C4F5C" w14:paraId="188040C9" w14:textId="77777777">
      <w:pPr>
        <w:pStyle w:val="Standard"/>
        <w:keepNext/>
        <w:spacing w:line="240" w:lineRule="auto"/>
        <w:ind w:firstLine="0"/>
        <w:jc w:val="center"/>
        <w:rPr>
          <w:sz w:val="48"/>
          <w:szCs w:val="48"/>
        </w:rPr>
      </w:pPr>
    </w:p>
    <w:p w:rsidRPr="00461C10" w:rsidR="008C4F5C" w:rsidP="008C4F5C" w:rsidRDefault="008C4F5C" w14:paraId="0B421545" w14:textId="77777777">
      <w:pPr>
        <w:pStyle w:val="Standard"/>
        <w:keepNext/>
        <w:spacing w:line="240" w:lineRule="auto"/>
        <w:ind w:firstLine="0"/>
        <w:jc w:val="center"/>
        <w:rPr>
          <w:sz w:val="48"/>
          <w:szCs w:val="48"/>
        </w:rPr>
      </w:pPr>
    </w:p>
    <w:p w:rsidRPr="00461C10" w:rsidR="008C4F5C" w:rsidP="008C4F5C" w:rsidRDefault="008C4F5C" w14:paraId="0136BF07" w14:textId="77777777">
      <w:pPr>
        <w:pStyle w:val="Standard"/>
        <w:keepNext/>
        <w:spacing w:line="240" w:lineRule="auto"/>
        <w:ind w:firstLine="0"/>
        <w:jc w:val="center"/>
        <w:rPr>
          <w:sz w:val="48"/>
          <w:szCs w:val="48"/>
        </w:rPr>
      </w:pPr>
    </w:p>
    <w:p w:rsidRPr="00461C10" w:rsidR="008C4F5C" w:rsidP="008C4F5C" w:rsidRDefault="008C4F5C" w14:paraId="2C4B238B" w14:textId="77777777">
      <w:pPr>
        <w:pStyle w:val="Standard"/>
        <w:keepNext/>
        <w:spacing w:line="240" w:lineRule="auto"/>
        <w:ind w:firstLine="0"/>
        <w:jc w:val="center"/>
        <w:rPr>
          <w:sz w:val="48"/>
          <w:szCs w:val="48"/>
        </w:rPr>
      </w:pPr>
    </w:p>
    <w:p w:rsidRPr="00461C10" w:rsidR="008C4F5C" w:rsidP="008C4F5C" w:rsidRDefault="008C4F5C" w14:paraId="5355AD89" w14:textId="77777777">
      <w:pPr>
        <w:pStyle w:val="Standard"/>
        <w:keepNext/>
        <w:spacing w:line="240" w:lineRule="auto"/>
        <w:ind w:firstLine="0"/>
        <w:jc w:val="center"/>
        <w:rPr>
          <w:sz w:val="48"/>
          <w:szCs w:val="48"/>
        </w:rPr>
      </w:pPr>
    </w:p>
    <w:p w:rsidRPr="00461C10" w:rsidR="008C4F5C" w:rsidP="008C4F5C" w:rsidRDefault="008C4F5C" w14:paraId="18EF403B" w14:textId="77777777">
      <w:pPr>
        <w:pStyle w:val="Standard"/>
        <w:keepNext/>
        <w:spacing w:line="240" w:lineRule="auto"/>
        <w:ind w:firstLine="0"/>
        <w:jc w:val="center"/>
        <w:rPr>
          <w:sz w:val="48"/>
          <w:szCs w:val="48"/>
        </w:rPr>
      </w:pPr>
    </w:p>
    <w:p w:rsidRPr="00461C10" w:rsidR="008C4F5C" w:rsidP="008C4F5C" w:rsidRDefault="008C4F5C" w14:paraId="2D7FDAA5" w14:textId="77777777">
      <w:pPr>
        <w:pStyle w:val="Standard"/>
        <w:keepNext/>
        <w:spacing w:line="240" w:lineRule="auto"/>
        <w:ind w:firstLine="0"/>
        <w:jc w:val="center"/>
        <w:rPr>
          <w:sz w:val="48"/>
          <w:szCs w:val="48"/>
        </w:rPr>
      </w:pPr>
    </w:p>
    <w:p w:rsidRPr="00461C10" w:rsidR="008C4F5C" w:rsidP="008C4F5C" w:rsidRDefault="008C4F5C" w14:paraId="1CF3C329" w14:textId="0040A94F">
      <w:pPr>
        <w:pStyle w:val="Standard"/>
        <w:keepNext/>
        <w:spacing w:line="240" w:lineRule="auto"/>
        <w:ind w:firstLine="0"/>
        <w:jc w:val="center"/>
        <w:rPr>
          <w:sz w:val="48"/>
          <w:szCs w:val="48"/>
        </w:rPr>
      </w:pPr>
      <w:r w:rsidRPr="00461C10">
        <w:rPr>
          <w:sz w:val="48"/>
          <w:szCs w:val="48"/>
        </w:rPr>
        <w:t>APPENDIX C</w:t>
      </w:r>
    </w:p>
    <w:p w:rsidRPr="00461C10" w:rsidR="008C4F5C" w:rsidP="008C4F5C" w:rsidRDefault="008C4F5C" w14:paraId="5749D1A1" w14:textId="64ECFE62">
      <w:pPr>
        <w:pStyle w:val="Standard"/>
        <w:keepNext/>
        <w:spacing w:line="240" w:lineRule="auto"/>
        <w:ind w:firstLine="0"/>
        <w:jc w:val="center"/>
        <w:rPr>
          <w:sz w:val="36"/>
          <w:szCs w:val="36"/>
        </w:rPr>
        <w:sectPr w:rsidRPr="00461C10" w:rsidR="008C4F5C" w:rsidSect="008C4F5C">
          <w:footerReference w:type="default" r:id="rId21"/>
          <w:pgSz w:w="12240" w:h="15840"/>
          <w:pgMar w:top="1728" w:right="1440" w:bottom="1440" w:left="1440" w:header="720" w:footer="720" w:gutter="0"/>
          <w:pgNumType w:start="2"/>
          <w:cols w:space="720"/>
          <w:docGrid w:linePitch="360"/>
        </w:sectPr>
      </w:pPr>
      <w:r w:rsidRPr="00461C10">
        <w:rPr>
          <w:sz w:val="36"/>
          <w:szCs w:val="36"/>
        </w:rPr>
        <w:t xml:space="preserve">Customer </w:t>
      </w:r>
      <w:r w:rsidRPr="00461C10" w:rsidR="00287F11">
        <w:rPr>
          <w:sz w:val="36"/>
          <w:szCs w:val="36"/>
        </w:rPr>
        <w:t xml:space="preserve">Energization Delay Reporting </w:t>
      </w:r>
      <w:r w:rsidRPr="00461C10">
        <w:rPr>
          <w:sz w:val="36"/>
          <w:szCs w:val="36"/>
        </w:rPr>
        <w:t>Form</w:t>
      </w:r>
    </w:p>
    <w:p w:rsidRPr="00461C10" w:rsidR="008C4F5C" w:rsidP="008C4F5C" w:rsidRDefault="008C4F5C" w14:paraId="60516E92" w14:textId="77777777">
      <w:pPr>
        <w:pStyle w:val="Standard"/>
        <w:keepNext/>
        <w:spacing w:line="240" w:lineRule="auto"/>
        <w:ind w:firstLine="0"/>
        <w:jc w:val="center"/>
        <w:rPr>
          <w:sz w:val="48"/>
          <w:szCs w:val="48"/>
        </w:rPr>
      </w:pPr>
    </w:p>
    <w:p w:rsidRPr="00461C10" w:rsidR="008C4F5C" w:rsidP="008C4F5C" w:rsidRDefault="008C4F5C" w14:paraId="2F0BC051" w14:textId="77777777">
      <w:pPr>
        <w:pStyle w:val="Standard"/>
        <w:keepNext/>
        <w:spacing w:line="240" w:lineRule="auto"/>
        <w:ind w:firstLine="0"/>
        <w:jc w:val="center"/>
        <w:rPr>
          <w:sz w:val="48"/>
          <w:szCs w:val="48"/>
        </w:rPr>
      </w:pPr>
    </w:p>
    <w:p w:rsidRPr="00461C10" w:rsidR="008C4F5C" w:rsidP="008C4F5C" w:rsidRDefault="008C4F5C" w14:paraId="70DD9EC4" w14:textId="77777777">
      <w:pPr>
        <w:pStyle w:val="Standard"/>
        <w:keepNext/>
        <w:spacing w:line="240" w:lineRule="auto"/>
        <w:ind w:firstLine="0"/>
        <w:jc w:val="center"/>
        <w:rPr>
          <w:sz w:val="48"/>
          <w:szCs w:val="48"/>
        </w:rPr>
      </w:pPr>
    </w:p>
    <w:p w:rsidRPr="00461C10" w:rsidR="008C4F5C" w:rsidP="008C4F5C" w:rsidRDefault="008C4F5C" w14:paraId="0120C004" w14:textId="77777777">
      <w:pPr>
        <w:pStyle w:val="Standard"/>
        <w:keepNext/>
        <w:spacing w:line="240" w:lineRule="auto"/>
        <w:ind w:firstLine="0"/>
        <w:jc w:val="center"/>
        <w:rPr>
          <w:sz w:val="48"/>
          <w:szCs w:val="48"/>
        </w:rPr>
      </w:pPr>
    </w:p>
    <w:p w:rsidRPr="00461C10" w:rsidR="008C4F5C" w:rsidP="008C4F5C" w:rsidRDefault="008C4F5C" w14:paraId="371A6B46" w14:textId="77777777">
      <w:pPr>
        <w:pStyle w:val="Standard"/>
        <w:keepNext/>
        <w:spacing w:line="240" w:lineRule="auto"/>
        <w:ind w:firstLine="0"/>
        <w:jc w:val="center"/>
        <w:rPr>
          <w:sz w:val="48"/>
          <w:szCs w:val="48"/>
        </w:rPr>
      </w:pPr>
    </w:p>
    <w:p w:rsidR="008C4F5C" w:rsidP="008C4F5C" w:rsidRDefault="008C4F5C" w14:paraId="0B923D64" w14:textId="77777777">
      <w:pPr>
        <w:pStyle w:val="Standard"/>
        <w:keepNext/>
        <w:spacing w:line="240" w:lineRule="auto"/>
        <w:ind w:firstLine="0"/>
        <w:jc w:val="center"/>
        <w:rPr>
          <w:sz w:val="48"/>
          <w:szCs w:val="48"/>
        </w:rPr>
      </w:pPr>
    </w:p>
    <w:p w:rsidRPr="00461C10" w:rsidR="00E73849" w:rsidP="008C4F5C" w:rsidRDefault="00E73849" w14:paraId="486D8044" w14:textId="77777777">
      <w:pPr>
        <w:pStyle w:val="Standard"/>
        <w:keepNext/>
        <w:spacing w:line="240" w:lineRule="auto"/>
        <w:ind w:firstLine="0"/>
        <w:jc w:val="center"/>
        <w:rPr>
          <w:sz w:val="48"/>
          <w:szCs w:val="48"/>
        </w:rPr>
      </w:pPr>
    </w:p>
    <w:p w:rsidRPr="00461C10" w:rsidR="008C4F5C" w:rsidP="008C4F5C" w:rsidRDefault="008C4F5C" w14:paraId="0449DA75" w14:textId="77777777">
      <w:pPr>
        <w:pStyle w:val="Standard"/>
        <w:keepNext/>
        <w:spacing w:line="240" w:lineRule="auto"/>
        <w:ind w:firstLine="0"/>
        <w:jc w:val="center"/>
        <w:rPr>
          <w:sz w:val="48"/>
          <w:szCs w:val="48"/>
        </w:rPr>
      </w:pPr>
    </w:p>
    <w:p w:rsidRPr="00461C10" w:rsidR="008C4F5C" w:rsidP="008C4F5C" w:rsidRDefault="008C4F5C" w14:paraId="204E65AA" w14:textId="77777777">
      <w:pPr>
        <w:pStyle w:val="Standard"/>
        <w:keepNext/>
        <w:spacing w:line="240" w:lineRule="auto"/>
        <w:ind w:firstLine="0"/>
        <w:jc w:val="center"/>
        <w:rPr>
          <w:sz w:val="48"/>
          <w:szCs w:val="48"/>
        </w:rPr>
      </w:pPr>
    </w:p>
    <w:p w:rsidRPr="00461C10" w:rsidR="008C4F5C" w:rsidP="008C4F5C" w:rsidRDefault="008C4F5C" w14:paraId="7A9EF635" w14:textId="7C38036C">
      <w:pPr>
        <w:pStyle w:val="Standard"/>
        <w:keepNext/>
        <w:spacing w:line="240" w:lineRule="auto"/>
        <w:ind w:firstLine="0"/>
        <w:jc w:val="center"/>
        <w:rPr>
          <w:sz w:val="48"/>
          <w:szCs w:val="48"/>
        </w:rPr>
      </w:pPr>
      <w:bookmarkStart w:name="_Hlk176794872" w:id="96"/>
      <w:r w:rsidRPr="00461C10">
        <w:rPr>
          <w:sz w:val="48"/>
          <w:szCs w:val="48"/>
        </w:rPr>
        <w:t>APPENDIX D</w:t>
      </w:r>
    </w:p>
    <w:p w:rsidRPr="00461C10" w:rsidR="008C4F5C" w:rsidP="007534F8" w:rsidRDefault="007534F8" w14:paraId="69C23E4F" w14:textId="6BFC4436">
      <w:pPr>
        <w:pStyle w:val="Standard"/>
        <w:keepNext/>
        <w:spacing w:line="240" w:lineRule="auto"/>
        <w:ind w:firstLine="0"/>
        <w:jc w:val="center"/>
        <w:rPr>
          <w:sz w:val="36"/>
          <w:szCs w:val="36"/>
        </w:rPr>
      </w:pPr>
      <w:r w:rsidRPr="00461C10">
        <w:rPr>
          <w:sz w:val="36"/>
          <w:szCs w:val="36"/>
        </w:rPr>
        <w:t>List of Acronyms</w:t>
      </w:r>
      <w:bookmarkEnd w:id="4"/>
      <w:bookmarkEnd w:id="96"/>
    </w:p>
    <w:sectPr w:rsidRPr="00461C10" w:rsidR="008C4F5C" w:rsidSect="008C4F5C">
      <w:footerReference w:type="default" r:id="rId22"/>
      <w:pgSz w:w="12240" w:h="15840"/>
      <w:pgMar w:top="1728" w:right="1440" w:bottom="1440" w:left="1440" w:header="720" w:footer="720" w:gutter="0"/>
      <w:pgNumType w:start="2"/>
      <w:cols w:space="720"/>
      <w:docGrid w:linePitch="360"/>
    </w:sectPr>
    <w:p>
      <w:r>
        <w:t xml:space="preserve"/>
      </w:r>
    </w:p>
    <w:p>
      <w:r>
        <w:t xml:space="preserve">Attachment 1: </w:t>
      </w:r>
    </w:p>
    <w:p>
      <w:hyperlink w:history="true" r:id="R2e729b473ace4c62">
        <w:r w:rsidRPr="00CB1292">
          <w:rPr>
            <w:rStyle w:val="Hyperlink"/>
            <w:color w:val="2E74B5" w:themeColor="accent1" w:themeShade="BF"/>
            <w:u w:val="single"/>
          </w:rPr>
          <w:t>D2409020 Appendix A - Statewide Energization Timelines Analyses Rpt</w:t>
        </w:r>
      </w:hyperlink>
    </w:p>
    <w:p>
      <w:r>
        <w:t xml:space="preserve"/>
      </w:r>
    </w:p>
    <w:p>
      <w:r>
        <w:t xml:space="preserve">Attachment 2: </w:t>
      </w:r>
    </w:p>
    <w:p>
      <w:hyperlink w:history="true" r:id="Rc1047b1743a6441a">
        <w:r w:rsidRPr="00CB1292">
          <w:rPr>
            <w:rStyle w:val="Hyperlink"/>
            <w:color w:val="2E74B5" w:themeColor="accent1" w:themeShade="BF"/>
            <w:u w:val="single"/>
          </w:rPr>
          <w:t>D2409020 Appendix B - Energization Target Reporting Template Rqrmnts</w:t>
        </w:r>
      </w:hyperlink>
    </w:p>
    <w:p>
      <w:r>
        <w:t xml:space="preserve"/>
      </w:r>
    </w:p>
    <w:p>
      <w:r>
        <w:t xml:space="preserve">Attachment 3: </w:t>
      </w:r>
    </w:p>
    <w:p>
      <w:hyperlink w:history="true" r:id="R06945182f2e64878">
        <w:r w:rsidRPr="00CB1292">
          <w:rPr>
            <w:rStyle w:val="Hyperlink"/>
            <w:color w:val="2E74B5" w:themeColor="accent1" w:themeShade="BF"/>
            <w:u w:val="single"/>
          </w:rPr>
          <w:t>D2409020 Appendix C - Customer Energization Delay Reporting Form</w:t>
        </w:r>
      </w:hyperlink>
    </w:p>
    <w:p>
      <w:r>
        <w:t xml:space="preserve"/>
      </w:r>
    </w:p>
    <w:p>
      <w:r>
        <w:t xml:space="preserve">Attachment 4: </w:t>
      </w:r>
    </w:p>
    <w:p>
      <w:hyperlink w:history="true" r:id="R02625c4e9c2c4744">
        <w:r w:rsidRPr="00CB1292">
          <w:rPr>
            <w:rStyle w:val="Hyperlink"/>
            <w:color w:val="2E74B5" w:themeColor="accent1" w:themeShade="BF"/>
            <w:u w:val="single"/>
          </w:rPr>
          <w:t>D2409020 Appendix D - Acronym List</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E2375" w14:textId="77777777" w:rsidR="00345AAA" w:rsidRDefault="00345AAA" w:rsidP="0098138E">
      <w:pPr>
        <w:spacing w:line="240" w:lineRule="auto"/>
      </w:pPr>
      <w:r>
        <w:separator/>
      </w:r>
    </w:p>
  </w:endnote>
  <w:endnote w:type="continuationSeparator" w:id="0">
    <w:p w14:paraId="01D56469" w14:textId="77777777" w:rsidR="00345AAA" w:rsidRDefault="00345AAA" w:rsidP="0098138E">
      <w:pPr>
        <w:spacing w:line="240" w:lineRule="auto"/>
      </w:pPr>
      <w:r>
        <w:continuationSeparator/>
      </w:r>
    </w:p>
  </w:endnote>
  <w:endnote w:type="continuationNotice" w:id="1">
    <w:p w14:paraId="4369A6E9" w14:textId="77777777" w:rsidR="00345AAA" w:rsidRDefault="00345A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91DF" w14:textId="1C469B7C" w:rsidR="00C65DDF" w:rsidRPr="00C65DDF" w:rsidRDefault="00652B15" w:rsidP="00C65DDF">
    <w:pPr>
      <w:tabs>
        <w:tab w:val="center" w:pos="4680"/>
      </w:tabs>
      <w:spacing w:line="240" w:lineRule="auto"/>
      <w:ind w:firstLine="0"/>
      <w:rPr>
        <w:noProof/>
      </w:rPr>
    </w:pPr>
    <w:r w:rsidRPr="00652B15">
      <w:rPr>
        <w:sz w:val="16"/>
        <w:szCs w:val="16"/>
      </w:rPr>
      <w:t>540806654</w:t>
    </w:r>
    <w:sdt>
      <w:sdtPr>
        <w:id w:val="-1335987934"/>
        <w:docPartObj>
          <w:docPartGallery w:val="Page Numbers (Bottom of Page)"/>
          <w:docPartUnique/>
        </w:docPartObj>
      </w:sdtPr>
      <w:sdtEndPr>
        <w:rPr>
          <w:noProof/>
        </w:rPr>
      </w:sdtEndPr>
      <w:sdtContent>
        <w:r w:rsidR="00C65DDF" w:rsidRPr="00C65DDF">
          <w:rPr>
            <w:rFonts w:ascii="Arial" w:hAnsi="Arial" w:cs="Arial"/>
            <w:sz w:val="16"/>
            <w:szCs w:val="16"/>
          </w:rPr>
          <w:tab/>
        </w:r>
        <w:r w:rsidR="00C65DDF" w:rsidRPr="00C65DDF">
          <w:t xml:space="preserve">- </w:t>
        </w:r>
        <w:r w:rsidR="00C65DDF" w:rsidRPr="00496EA2">
          <w:fldChar w:fldCharType="begin"/>
        </w:r>
        <w:r w:rsidR="00C65DDF" w:rsidRPr="00496EA2">
          <w:instrText xml:space="preserve"> PAGE   \* MERGEFORMAT </w:instrText>
        </w:r>
        <w:r w:rsidR="00C65DDF" w:rsidRPr="00496EA2">
          <w:fldChar w:fldCharType="separate"/>
        </w:r>
        <w:r w:rsidR="00C65DDF" w:rsidRPr="00496EA2">
          <w:rPr>
            <w:noProof/>
          </w:rPr>
          <w:t>2</w:t>
        </w:r>
        <w:r w:rsidR="00C65DDF" w:rsidRPr="00496EA2">
          <w:rPr>
            <w:noProof/>
          </w:rPr>
          <w:fldChar w:fldCharType="end"/>
        </w:r>
      </w:sdtContent>
    </w:sdt>
    <w:r w:rsidR="00C65DDF" w:rsidRPr="00496EA2">
      <w:rPr>
        <w:noProof/>
      </w:rPr>
      <w:t xml:space="preserve"> </w:t>
    </w:r>
    <w:r w:rsidR="00C65DDF" w:rsidRPr="00C65DDF">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240E" w14:textId="74005FD8" w:rsidR="00E23CBB" w:rsidRPr="00C65DDF" w:rsidRDefault="00C5771F" w:rsidP="00C65DDF">
    <w:pPr>
      <w:spacing w:line="240" w:lineRule="auto"/>
      <w:ind w:firstLine="0"/>
      <w:jc w:val="center"/>
    </w:pPr>
    <w:r w:rsidRPr="00C65DDF">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r w:rsidRPr="00C65DDF">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C009" w14:textId="2B161A8E" w:rsidR="00E23CBB" w:rsidRPr="00C5771F" w:rsidRDefault="00ED542F" w:rsidP="00E73849">
    <w:pPr>
      <w:spacing w:line="240" w:lineRule="auto"/>
      <w:ind w:firstLine="0"/>
      <w:jc w:val="center"/>
      <w:rPr>
        <w:noProof/>
      </w:rPr>
    </w:pPr>
    <w:sdt>
      <w:sdtPr>
        <w:id w:val="407510742"/>
        <w:docPartObj>
          <w:docPartGallery w:val="Page Numbers (Bottom of Page)"/>
          <w:docPartUnique/>
        </w:docPartObj>
      </w:sdtPr>
      <w:sdtEndPr>
        <w:rPr>
          <w:noProof/>
        </w:rPr>
      </w:sdtEndPr>
      <w:sdtContent>
        <w:r w:rsidR="00C5771F" w:rsidRPr="00C65DDF">
          <w:t xml:space="preserve">- </w:t>
        </w:r>
        <w:r w:rsidR="00C5771F" w:rsidRPr="00496EA2">
          <w:fldChar w:fldCharType="begin"/>
        </w:r>
        <w:r w:rsidR="00C5771F" w:rsidRPr="00496EA2">
          <w:instrText xml:space="preserve"> PAGE   \* MERGEFORMAT </w:instrText>
        </w:r>
        <w:r w:rsidR="00C5771F" w:rsidRPr="00496EA2">
          <w:fldChar w:fldCharType="separate"/>
        </w:r>
        <w:r w:rsidR="00C5771F">
          <w:t>1</w:t>
        </w:r>
        <w:r w:rsidR="00C5771F" w:rsidRPr="00496EA2">
          <w:rPr>
            <w:noProof/>
          </w:rPr>
          <w:fldChar w:fldCharType="end"/>
        </w:r>
      </w:sdtContent>
    </w:sdt>
    <w:r w:rsidR="00C5771F" w:rsidRPr="00496EA2">
      <w:rPr>
        <w:noProof/>
      </w:rPr>
      <w:t xml:space="preserve"> </w:t>
    </w:r>
    <w:r w:rsidR="00C5771F" w:rsidRPr="00C65DDF">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B8E0" w14:textId="644A3C05" w:rsidR="008C4F5C" w:rsidRPr="008C4F5C" w:rsidRDefault="008C4F5C" w:rsidP="008C4F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6EDD" w14:textId="77777777" w:rsidR="008C4F5C" w:rsidRPr="008C4F5C" w:rsidRDefault="008C4F5C" w:rsidP="008C4F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04BB" w14:textId="77777777" w:rsidR="008C4F5C" w:rsidRPr="008C4F5C" w:rsidRDefault="008C4F5C" w:rsidP="008C4F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B325" w14:textId="77777777" w:rsidR="008C4F5C" w:rsidRPr="008C4F5C" w:rsidRDefault="008C4F5C" w:rsidP="008C4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F7A75" w14:textId="77777777" w:rsidR="00345AAA" w:rsidRDefault="00345AAA" w:rsidP="002B193C">
      <w:pPr>
        <w:spacing w:line="240" w:lineRule="auto"/>
        <w:ind w:firstLine="0"/>
      </w:pPr>
      <w:r>
        <w:separator/>
      </w:r>
    </w:p>
  </w:footnote>
  <w:footnote w:type="continuationSeparator" w:id="0">
    <w:p w14:paraId="00EEAC2B" w14:textId="77777777" w:rsidR="00345AAA" w:rsidRDefault="00345AAA" w:rsidP="00DF58E7">
      <w:pPr>
        <w:spacing w:line="240" w:lineRule="auto"/>
        <w:ind w:firstLine="0"/>
      </w:pPr>
      <w:r>
        <w:continuationSeparator/>
      </w:r>
    </w:p>
  </w:footnote>
  <w:footnote w:type="continuationNotice" w:id="1">
    <w:p w14:paraId="0BE71924" w14:textId="77777777" w:rsidR="00345AAA" w:rsidRPr="00DF58E7" w:rsidRDefault="00345AAA" w:rsidP="00DF58E7">
      <w:pPr>
        <w:spacing w:line="240" w:lineRule="auto"/>
        <w:ind w:firstLine="0"/>
        <w:jc w:val="right"/>
        <w:rPr>
          <w:i/>
          <w:sz w:val="22"/>
        </w:rPr>
      </w:pPr>
      <w:r w:rsidRPr="00DF58E7">
        <w:rPr>
          <w:i/>
          <w:sz w:val="22"/>
        </w:rPr>
        <w:t>Footnote continued on next page.</w:t>
      </w:r>
    </w:p>
  </w:footnote>
  <w:footnote w:id="2">
    <w:p w14:paraId="54924000" w14:textId="5D261DD3" w:rsidR="00D42ED0" w:rsidRPr="00BA565B" w:rsidRDefault="00D42ED0" w:rsidP="00BA565B">
      <w:pPr>
        <w:pStyle w:val="FootnoteText"/>
        <w:rPr>
          <w:szCs w:val="22"/>
        </w:rPr>
      </w:pPr>
      <w:r w:rsidRPr="00BA565B">
        <w:rPr>
          <w:rStyle w:val="FootnoteReference"/>
          <w:szCs w:val="22"/>
        </w:rPr>
        <w:footnoteRef/>
      </w:r>
      <w:r w:rsidRPr="00BA565B">
        <w:rPr>
          <w:szCs w:val="22"/>
        </w:rPr>
        <w:t xml:space="preserve"> </w:t>
      </w:r>
      <w:r w:rsidR="00BA565B">
        <w:rPr>
          <w:szCs w:val="22"/>
        </w:rPr>
        <w:t xml:space="preserve"> </w:t>
      </w:r>
      <w:r w:rsidRPr="00BA565B">
        <w:rPr>
          <w:szCs w:val="22"/>
        </w:rPr>
        <w:t xml:space="preserve">SB 410 (Becker) was codified as the Statutes of 2023, Ch. 394; AB </w:t>
      </w:r>
      <w:r w:rsidR="003377AF" w:rsidRPr="00BA565B">
        <w:rPr>
          <w:szCs w:val="22"/>
        </w:rPr>
        <w:t>50 (Wood) was codified as the Statutes of 2023, Ch. 317.</w:t>
      </w:r>
    </w:p>
  </w:footnote>
  <w:footnote w:id="3">
    <w:p w14:paraId="16D60FF7" w14:textId="1A5304CA" w:rsidR="000A09CA" w:rsidRPr="00BA565B" w:rsidRDefault="000A09CA" w:rsidP="00BA565B">
      <w:pPr>
        <w:pStyle w:val="FootnoteText"/>
        <w:rPr>
          <w:szCs w:val="22"/>
        </w:rPr>
      </w:pPr>
      <w:r w:rsidRPr="00BA565B">
        <w:rPr>
          <w:rStyle w:val="FootnoteReference"/>
          <w:szCs w:val="22"/>
        </w:rPr>
        <w:footnoteRef/>
      </w:r>
      <w:r w:rsidRPr="00BA565B">
        <w:rPr>
          <w:szCs w:val="22"/>
        </w:rPr>
        <w:t xml:space="preserve"> </w:t>
      </w:r>
      <w:r w:rsidR="00BA565B">
        <w:rPr>
          <w:szCs w:val="22"/>
        </w:rPr>
        <w:t xml:space="preserve"> </w:t>
      </w:r>
      <w:r w:rsidR="0013575C" w:rsidRPr="00BA565B">
        <w:rPr>
          <w:szCs w:val="22"/>
        </w:rPr>
        <w:t xml:space="preserve">We note that </w:t>
      </w:r>
      <w:r w:rsidR="00954A27" w:rsidRPr="00BA565B">
        <w:rPr>
          <w:szCs w:val="22"/>
        </w:rPr>
        <w:t xml:space="preserve">Resolution E-5247 establishes an interim 125-business day average service energization timeline for projects taking service under </w:t>
      </w:r>
      <w:r w:rsidR="00F266F9" w:rsidRPr="00BA565B">
        <w:rPr>
          <w:szCs w:val="22"/>
        </w:rPr>
        <w:t>Electric Rules 29 (PG&amp;E and SCE) and Electric Rule 45 (SDG&amp;E), which were</w:t>
      </w:r>
      <w:r w:rsidR="00954A27" w:rsidRPr="00BA565B">
        <w:rPr>
          <w:szCs w:val="22"/>
        </w:rPr>
        <w:t xml:space="preserve"> adopted </w:t>
      </w:r>
      <w:r w:rsidR="00F266F9" w:rsidRPr="00BA565B">
        <w:rPr>
          <w:szCs w:val="22"/>
        </w:rPr>
        <w:t>pursuant</w:t>
      </w:r>
      <w:r w:rsidR="00954A27" w:rsidRPr="00BA565B">
        <w:rPr>
          <w:szCs w:val="22"/>
        </w:rPr>
        <w:t xml:space="preserve"> Resolution </w:t>
      </w:r>
      <w:r w:rsidR="0013575C" w:rsidRPr="00BA565B">
        <w:rPr>
          <w:szCs w:val="22"/>
        </w:rPr>
        <w:t>E-5167 for the large electric IOUs</w:t>
      </w:r>
      <w:r w:rsidR="00F266F9" w:rsidRPr="00BA565B">
        <w:rPr>
          <w:szCs w:val="22"/>
        </w:rPr>
        <w:t>. Similar service energization timelines have not been established for Electric Rules 15 or 16</w:t>
      </w:r>
      <w:r w:rsidR="00353CC2" w:rsidRPr="00BA565B">
        <w:rPr>
          <w:szCs w:val="22"/>
        </w:rPr>
        <w:t xml:space="preserve"> prior to being addressed in this decision</w:t>
      </w:r>
      <w:r w:rsidR="00F266F9" w:rsidRPr="00BA565B">
        <w:rPr>
          <w:szCs w:val="22"/>
        </w:rPr>
        <w:t xml:space="preserve">. </w:t>
      </w:r>
    </w:p>
  </w:footnote>
  <w:footnote w:id="4">
    <w:p w14:paraId="38A5CBDD" w14:textId="11352DEE" w:rsidR="002811C6" w:rsidRPr="00BA565B" w:rsidRDefault="002811C6" w:rsidP="00BA565B">
      <w:pPr>
        <w:pStyle w:val="FootnoteText"/>
        <w:rPr>
          <w:szCs w:val="22"/>
        </w:rPr>
      </w:pPr>
      <w:r w:rsidRPr="00BA565B">
        <w:rPr>
          <w:rStyle w:val="FootnoteReference"/>
          <w:szCs w:val="22"/>
        </w:rPr>
        <w:footnoteRef/>
      </w:r>
      <w:r w:rsidRPr="00BA565B">
        <w:rPr>
          <w:szCs w:val="22"/>
        </w:rPr>
        <w:t xml:space="preserve"> </w:t>
      </w:r>
      <w:r w:rsidR="00912D64" w:rsidRPr="00BA565B">
        <w:rPr>
          <w:szCs w:val="22"/>
        </w:rPr>
        <w:t xml:space="preserve"> </w:t>
      </w:r>
      <w:r w:rsidRPr="00BA565B">
        <w:rPr>
          <w:szCs w:val="22"/>
        </w:rPr>
        <w:t>Pub</w:t>
      </w:r>
      <w:r w:rsidR="00B23945" w:rsidRPr="00BA565B">
        <w:rPr>
          <w:szCs w:val="22"/>
        </w:rPr>
        <w:t>lic</w:t>
      </w:r>
      <w:r w:rsidRPr="00BA565B">
        <w:rPr>
          <w:szCs w:val="22"/>
        </w:rPr>
        <w:t xml:space="preserve"> Util</w:t>
      </w:r>
      <w:r w:rsidR="00B23945" w:rsidRPr="00BA565B">
        <w:rPr>
          <w:szCs w:val="22"/>
        </w:rPr>
        <w:t>ities</w:t>
      </w:r>
      <w:r w:rsidRPr="00BA565B">
        <w:rPr>
          <w:szCs w:val="22"/>
        </w:rPr>
        <w:t xml:space="preserve"> </w:t>
      </w:r>
      <w:r w:rsidR="00B23945" w:rsidRPr="00BA565B">
        <w:rPr>
          <w:szCs w:val="22"/>
        </w:rPr>
        <w:t xml:space="preserve">(Pub. Util.) </w:t>
      </w:r>
      <w:r w:rsidRPr="00BA565B">
        <w:rPr>
          <w:szCs w:val="22"/>
        </w:rPr>
        <w:t xml:space="preserve">Code §§ </w:t>
      </w:r>
      <w:r w:rsidR="00CD6F3A" w:rsidRPr="00BA565B">
        <w:rPr>
          <w:szCs w:val="22"/>
        </w:rPr>
        <w:t>932</w:t>
      </w:r>
      <w:r w:rsidR="00FC520D" w:rsidRPr="00BA565B">
        <w:rPr>
          <w:szCs w:val="22"/>
        </w:rPr>
        <w:t>-939</w:t>
      </w:r>
      <w:r w:rsidRPr="00BA565B">
        <w:rPr>
          <w:szCs w:val="22"/>
        </w:rPr>
        <w:t>.</w:t>
      </w:r>
      <w:r w:rsidR="00B40BBF" w:rsidRPr="00BA565B">
        <w:rPr>
          <w:szCs w:val="22"/>
        </w:rPr>
        <w:t xml:space="preserve"> Pub. Util. Code § 931 defines “electrification,” “energization,” and “energization time period” for the purposes of implementing SB 410.</w:t>
      </w:r>
      <w:r w:rsidR="00AA6EF6" w:rsidRPr="00BA565B">
        <w:rPr>
          <w:szCs w:val="22"/>
        </w:rPr>
        <w:t xml:space="preserve"> Pub. Util. Code § 933.5 </w:t>
      </w:r>
      <w:r w:rsidR="00CA1DC6" w:rsidRPr="00BA565B">
        <w:rPr>
          <w:szCs w:val="22"/>
        </w:rPr>
        <w:t xml:space="preserve">(g) </w:t>
      </w:r>
      <w:r w:rsidR="00AA6EF6" w:rsidRPr="00BA565B">
        <w:rPr>
          <w:szCs w:val="22"/>
        </w:rPr>
        <w:t xml:space="preserve">defines </w:t>
      </w:r>
      <w:r w:rsidR="00CA1DC6" w:rsidRPr="00BA565B">
        <w:rPr>
          <w:szCs w:val="22"/>
        </w:rPr>
        <w:t>“energization” and “energize” for the purposes of implementing AB 50.</w:t>
      </w:r>
    </w:p>
  </w:footnote>
  <w:footnote w:id="5">
    <w:p w14:paraId="67B4F10A" w14:textId="66EE7C0E" w:rsidR="00422453" w:rsidRPr="00BA565B" w:rsidRDefault="00422453" w:rsidP="00BA565B">
      <w:pPr>
        <w:pStyle w:val="FootnoteText"/>
        <w:rPr>
          <w:szCs w:val="22"/>
        </w:rPr>
      </w:pPr>
      <w:r w:rsidRPr="00BA565B">
        <w:rPr>
          <w:rStyle w:val="FootnoteReference"/>
          <w:szCs w:val="22"/>
        </w:rPr>
        <w:footnoteRef/>
      </w:r>
      <w:r w:rsidRPr="00BA565B">
        <w:rPr>
          <w:szCs w:val="22"/>
        </w:rPr>
        <w:t xml:space="preserve"> </w:t>
      </w:r>
      <w:r w:rsidR="00912D64" w:rsidRPr="00BA565B">
        <w:rPr>
          <w:szCs w:val="22"/>
        </w:rPr>
        <w:t xml:space="preserve"> </w:t>
      </w:r>
      <w:r w:rsidR="009317FF" w:rsidRPr="00BA565B">
        <w:rPr>
          <w:szCs w:val="22"/>
        </w:rPr>
        <w:t>Pub. Util. Code §</w:t>
      </w:r>
      <w:r w:rsidR="004D6C4F" w:rsidRPr="00BA565B">
        <w:rPr>
          <w:szCs w:val="22"/>
        </w:rPr>
        <w:t xml:space="preserve"> </w:t>
      </w:r>
      <w:r w:rsidR="009317FF" w:rsidRPr="00BA565B">
        <w:rPr>
          <w:szCs w:val="22"/>
        </w:rPr>
        <w:t>931 (a)</w:t>
      </w:r>
      <w:r w:rsidR="003E40D4" w:rsidRPr="00BA565B">
        <w:rPr>
          <w:szCs w:val="22"/>
        </w:rPr>
        <w:t xml:space="preserve"> and (b).</w:t>
      </w:r>
      <w:r w:rsidR="00FE711B" w:rsidRPr="00BA565B">
        <w:rPr>
          <w:szCs w:val="22"/>
        </w:rPr>
        <w:t xml:space="preserve"> According to the Senate Bill Analysis dated September</w:t>
      </w:r>
      <w:r w:rsidR="00BA565B">
        <w:rPr>
          <w:szCs w:val="22"/>
        </w:rPr>
        <w:t> </w:t>
      </w:r>
      <w:r w:rsidR="008405B6" w:rsidRPr="00BA565B">
        <w:rPr>
          <w:szCs w:val="22"/>
        </w:rPr>
        <w:t>14, 2023, the legislative inten</w:t>
      </w:r>
      <w:r w:rsidR="00A0427E" w:rsidRPr="00BA565B">
        <w:rPr>
          <w:szCs w:val="22"/>
        </w:rPr>
        <w:t>t</w:t>
      </w:r>
      <w:r w:rsidR="008405B6" w:rsidRPr="00BA565B">
        <w:rPr>
          <w:szCs w:val="22"/>
        </w:rPr>
        <w:t xml:space="preserve"> for requiring the </w:t>
      </w:r>
      <w:r w:rsidR="002F0E2A" w:rsidRPr="00BA565B">
        <w:rPr>
          <w:szCs w:val="22"/>
        </w:rPr>
        <w:t xml:space="preserve">Commission to establish targets for energization </w:t>
      </w:r>
      <w:r w:rsidR="008405B6" w:rsidRPr="00BA565B">
        <w:rPr>
          <w:szCs w:val="22"/>
        </w:rPr>
        <w:t xml:space="preserve">time periods and related reporting by the </w:t>
      </w:r>
      <w:r w:rsidR="002F0E2A" w:rsidRPr="00BA565B">
        <w:rPr>
          <w:szCs w:val="22"/>
        </w:rPr>
        <w:t xml:space="preserve">large </w:t>
      </w:r>
      <w:r w:rsidR="008405B6" w:rsidRPr="00BA565B">
        <w:rPr>
          <w:szCs w:val="22"/>
        </w:rPr>
        <w:t xml:space="preserve">electric IOUs, </w:t>
      </w:r>
      <w:r w:rsidR="002F0E2A" w:rsidRPr="00BA565B">
        <w:rPr>
          <w:szCs w:val="22"/>
        </w:rPr>
        <w:t>SB 410 is intended</w:t>
      </w:r>
      <w:r w:rsidR="008405B6" w:rsidRPr="00BA565B">
        <w:rPr>
          <w:szCs w:val="22"/>
        </w:rPr>
        <w:t xml:space="preserve"> to provide more accountability of the pace of </w:t>
      </w:r>
      <w:r w:rsidR="004A4157" w:rsidRPr="00BA565B">
        <w:rPr>
          <w:szCs w:val="22"/>
        </w:rPr>
        <w:t>energization</w:t>
      </w:r>
      <w:r w:rsidR="008405B6" w:rsidRPr="00BA565B">
        <w:rPr>
          <w:szCs w:val="22"/>
        </w:rPr>
        <w:t xml:space="preserve"> projects in the hopes of preventing future delays and backlogs.</w:t>
      </w:r>
    </w:p>
  </w:footnote>
  <w:footnote w:id="6">
    <w:p w14:paraId="5317BACB" w14:textId="42532F8A" w:rsidR="00E761B9" w:rsidRPr="00BA565B" w:rsidRDefault="00E761B9" w:rsidP="00BA565B">
      <w:pPr>
        <w:pStyle w:val="FootnoteText"/>
        <w:rPr>
          <w:szCs w:val="22"/>
          <w:lang w:val="es-MX"/>
        </w:rPr>
      </w:pPr>
      <w:r w:rsidRPr="00BA565B">
        <w:rPr>
          <w:rStyle w:val="FootnoteReference"/>
          <w:szCs w:val="22"/>
        </w:rPr>
        <w:footnoteRef/>
      </w:r>
      <w:r w:rsidRPr="00BA565B">
        <w:rPr>
          <w:szCs w:val="22"/>
          <w:lang w:val="es-MX"/>
        </w:rPr>
        <w:t xml:space="preserve"> </w:t>
      </w:r>
      <w:r w:rsidR="00912D64" w:rsidRPr="00BA565B">
        <w:rPr>
          <w:szCs w:val="22"/>
          <w:lang w:val="es-MX"/>
        </w:rPr>
        <w:t xml:space="preserve"> </w:t>
      </w:r>
      <w:r w:rsidRPr="00BA565B">
        <w:rPr>
          <w:szCs w:val="22"/>
          <w:lang w:val="es-MX"/>
        </w:rPr>
        <w:t>Pub. Util. Code §</w:t>
      </w:r>
      <w:r w:rsidR="00D8754E" w:rsidRPr="00BA565B">
        <w:rPr>
          <w:szCs w:val="22"/>
          <w:lang w:val="es-MX"/>
        </w:rPr>
        <w:t xml:space="preserve"> </w:t>
      </w:r>
      <w:r w:rsidRPr="00BA565B">
        <w:rPr>
          <w:szCs w:val="22"/>
          <w:lang w:val="es-MX"/>
        </w:rPr>
        <w:t>934</w:t>
      </w:r>
      <w:r w:rsidR="00686425" w:rsidRPr="00BA565B">
        <w:rPr>
          <w:szCs w:val="22"/>
          <w:lang w:val="es-MX"/>
        </w:rPr>
        <w:t>.</w:t>
      </w:r>
      <w:r w:rsidR="004D6C4F" w:rsidRPr="00BA565B">
        <w:rPr>
          <w:szCs w:val="22"/>
          <w:lang w:val="es-MX"/>
        </w:rPr>
        <w:t xml:space="preserve"> This decision applies to the largest utilities providing electric service in California: Pacific Gas and Electric Company, San Diego Gas &amp; Electric Company, and Southern California Edison Company. </w:t>
      </w:r>
    </w:p>
  </w:footnote>
  <w:footnote w:id="7">
    <w:p w14:paraId="3DCB86C3" w14:textId="661A1CAB" w:rsidR="00611B2E" w:rsidRPr="00BA565B" w:rsidRDefault="00611B2E" w:rsidP="00BA565B">
      <w:pPr>
        <w:pStyle w:val="FootnoteText"/>
        <w:rPr>
          <w:szCs w:val="22"/>
        </w:rPr>
      </w:pPr>
      <w:r w:rsidRPr="00BA565B">
        <w:rPr>
          <w:rStyle w:val="FootnoteReference"/>
          <w:szCs w:val="22"/>
        </w:rPr>
        <w:footnoteRef/>
      </w:r>
      <w:r w:rsidRPr="00BA565B">
        <w:rPr>
          <w:szCs w:val="22"/>
        </w:rPr>
        <w:t xml:space="preserve"> </w:t>
      </w:r>
      <w:r w:rsidR="00BA565B">
        <w:rPr>
          <w:szCs w:val="22"/>
        </w:rPr>
        <w:t xml:space="preserve"> </w:t>
      </w:r>
      <w:r w:rsidRPr="00BA565B">
        <w:rPr>
          <w:szCs w:val="22"/>
        </w:rPr>
        <w:t>Pub. Util. Code §</w:t>
      </w:r>
      <w:r w:rsidR="0085381E" w:rsidRPr="00BA565B">
        <w:rPr>
          <w:szCs w:val="22"/>
        </w:rPr>
        <w:t xml:space="preserve"> </w:t>
      </w:r>
      <w:r w:rsidRPr="00BA565B">
        <w:rPr>
          <w:szCs w:val="22"/>
        </w:rPr>
        <w:t>932 (a) (2)</w:t>
      </w:r>
      <w:r w:rsidR="00BA565B">
        <w:rPr>
          <w:szCs w:val="22"/>
        </w:rPr>
        <w:t>.</w:t>
      </w:r>
    </w:p>
  </w:footnote>
  <w:footnote w:id="8">
    <w:p w14:paraId="10FB9FEB" w14:textId="4F83B518" w:rsidR="00410C8D" w:rsidRPr="00BA565B" w:rsidRDefault="00410C8D" w:rsidP="00BA565B">
      <w:pPr>
        <w:pStyle w:val="FootnoteText"/>
        <w:rPr>
          <w:szCs w:val="22"/>
          <w:lang w:val="es-MX"/>
        </w:rPr>
      </w:pPr>
      <w:r w:rsidRPr="00BA565B">
        <w:rPr>
          <w:rStyle w:val="FootnoteReference"/>
          <w:szCs w:val="22"/>
        </w:rPr>
        <w:footnoteRef/>
      </w:r>
      <w:r w:rsidRPr="00BA565B">
        <w:rPr>
          <w:szCs w:val="22"/>
          <w:lang w:val="es-MX"/>
        </w:rPr>
        <w:t xml:space="preserve"> </w:t>
      </w:r>
      <w:r w:rsidR="00912D64" w:rsidRPr="00BA565B">
        <w:rPr>
          <w:szCs w:val="22"/>
          <w:lang w:val="es-MX"/>
        </w:rPr>
        <w:t xml:space="preserve"> </w:t>
      </w:r>
      <w:r w:rsidR="00B77441" w:rsidRPr="00BA565B">
        <w:rPr>
          <w:szCs w:val="22"/>
          <w:lang w:val="es-MX"/>
        </w:rPr>
        <w:t>Pub. Util</w:t>
      </w:r>
      <w:r w:rsidR="00A03624" w:rsidRPr="00BA565B">
        <w:rPr>
          <w:szCs w:val="22"/>
          <w:lang w:val="es-MX"/>
        </w:rPr>
        <w:t xml:space="preserve">. Code </w:t>
      </w:r>
      <w:r w:rsidR="002927FD" w:rsidRPr="00BA565B">
        <w:rPr>
          <w:szCs w:val="22"/>
          <w:lang w:val="es-MX"/>
        </w:rPr>
        <w:t>§</w:t>
      </w:r>
      <w:r w:rsidR="00D8754E" w:rsidRPr="00BA565B">
        <w:rPr>
          <w:szCs w:val="22"/>
          <w:lang w:val="es-MX"/>
        </w:rPr>
        <w:t xml:space="preserve"> </w:t>
      </w:r>
      <w:r w:rsidR="002927FD" w:rsidRPr="00BA565B">
        <w:rPr>
          <w:szCs w:val="22"/>
          <w:lang w:val="es-MX"/>
        </w:rPr>
        <w:t>936-937.</w:t>
      </w:r>
    </w:p>
  </w:footnote>
  <w:footnote w:id="9">
    <w:p w14:paraId="4A1B5672" w14:textId="12CAC86E" w:rsidR="00B76B9E" w:rsidRPr="00BA565B" w:rsidRDefault="00B76B9E" w:rsidP="00BA565B">
      <w:pPr>
        <w:pStyle w:val="FootnoteText"/>
        <w:rPr>
          <w:szCs w:val="22"/>
          <w:lang w:val="es-MX"/>
        </w:rPr>
      </w:pPr>
      <w:r w:rsidRPr="00BA565B">
        <w:rPr>
          <w:rStyle w:val="FootnoteReference"/>
          <w:szCs w:val="22"/>
        </w:rPr>
        <w:footnoteRef/>
      </w:r>
      <w:r w:rsidRPr="00BA565B">
        <w:rPr>
          <w:szCs w:val="22"/>
          <w:lang w:val="es-MX"/>
        </w:rPr>
        <w:t xml:space="preserve"> </w:t>
      </w:r>
      <w:r w:rsidR="00912D64" w:rsidRPr="00BA565B">
        <w:rPr>
          <w:szCs w:val="22"/>
          <w:lang w:val="es-MX"/>
        </w:rPr>
        <w:t xml:space="preserve"> </w:t>
      </w:r>
      <w:r w:rsidR="0029647D" w:rsidRPr="00BA565B">
        <w:rPr>
          <w:szCs w:val="22"/>
          <w:lang w:val="es-MX"/>
        </w:rPr>
        <w:t xml:space="preserve">Pub. Util. Code </w:t>
      </w:r>
      <w:r w:rsidRPr="00BA565B">
        <w:rPr>
          <w:szCs w:val="22"/>
          <w:lang w:val="es-MX"/>
        </w:rPr>
        <w:t>§</w:t>
      </w:r>
      <w:r w:rsidR="00D8754E" w:rsidRPr="00BA565B">
        <w:rPr>
          <w:szCs w:val="22"/>
          <w:lang w:val="es-MX"/>
        </w:rPr>
        <w:t xml:space="preserve"> </w:t>
      </w:r>
      <w:r w:rsidR="0029647D" w:rsidRPr="00BA565B">
        <w:rPr>
          <w:szCs w:val="22"/>
          <w:lang w:val="es-MX"/>
        </w:rPr>
        <w:t>936</w:t>
      </w:r>
      <w:r w:rsidR="00BA565B">
        <w:rPr>
          <w:szCs w:val="22"/>
          <w:lang w:val="es-MX"/>
        </w:rPr>
        <w:t>.</w:t>
      </w:r>
    </w:p>
  </w:footnote>
  <w:footnote w:id="10">
    <w:p w14:paraId="78685F32" w14:textId="493F803B" w:rsidR="00A900AF" w:rsidRPr="00BA565B" w:rsidRDefault="00A900AF" w:rsidP="00BA565B">
      <w:pPr>
        <w:pStyle w:val="FootnoteText"/>
        <w:rPr>
          <w:szCs w:val="22"/>
        </w:rPr>
      </w:pPr>
      <w:r w:rsidRPr="00BA565B">
        <w:rPr>
          <w:rStyle w:val="FootnoteReference"/>
          <w:szCs w:val="22"/>
        </w:rPr>
        <w:footnoteRef/>
      </w:r>
      <w:r w:rsidRPr="00BA565B">
        <w:rPr>
          <w:szCs w:val="22"/>
        </w:rPr>
        <w:t xml:space="preserve"> </w:t>
      </w:r>
      <w:r w:rsidR="00AF09EE">
        <w:rPr>
          <w:szCs w:val="22"/>
        </w:rPr>
        <w:t xml:space="preserve"> </w:t>
      </w:r>
      <w:r w:rsidRPr="00BA565B">
        <w:rPr>
          <w:szCs w:val="22"/>
          <w:lang w:val="es-MX"/>
        </w:rPr>
        <w:t>Pub. Util. Code §</w:t>
      </w:r>
      <w:r w:rsidR="002C48CB" w:rsidRPr="00BA565B">
        <w:rPr>
          <w:szCs w:val="22"/>
          <w:lang w:val="es-MX"/>
        </w:rPr>
        <w:t xml:space="preserve"> </w:t>
      </w:r>
      <w:r w:rsidRPr="00BA565B">
        <w:rPr>
          <w:szCs w:val="22"/>
          <w:lang w:val="es-MX"/>
        </w:rPr>
        <w:t>937</w:t>
      </w:r>
      <w:r w:rsidR="00BA565B">
        <w:rPr>
          <w:szCs w:val="22"/>
          <w:lang w:val="es-MX"/>
        </w:rPr>
        <w:t>.</w:t>
      </w:r>
    </w:p>
  </w:footnote>
  <w:footnote w:id="11">
    <w:p w14:paraId="571906E9" w14:textId="60B608B2" w:rsidR="00A900AF" w:rsidRPr="00BA565B" w:rsidRDefault="00A900AF" w:rsidP="00BA565B">
      <w:pPr>
        <w:pStyle w:val="FootnoteText"/>
        <w:rPr>
          <w:szCs w:val="22"/>
          <w:lang w:val="es-MX"/>
        </w:rPr>
      </w:pPr>
      <w:r w:rsidRPr="00BA565B">
        <w:rPr>
          <w:rStyle w:val="FootnoteReference"/>
          <w:szCs w:val="22"/>
        </w:rPr>
        <w:footnoteRef/>
      </w:r>
      <w:r w:rsidRPr="00BA565B">
        <w:rPr>
          <w:szCs w:val="22"/>
          <w:lang w:val="es-MX"/>
        </w:rPr>
        <w:t xml:space="preserve"> Pub. Util. Code §</w:t>
      </w:r>
      <w:r w:rsidR="002C48CB" w:rsidRPr="00BA565B">
        <w:rPr>
          <w:szCs w:val="22"/>
          <w:lang w:val="es-MX"/>
        </w:rPr>
        <w:t xml:space="preserve">§ </w:t>
      </w:r>
      <w:r w:rsidRPr="00BA565B">
        <w:rPr>
          <w:szCs w:val="22"/>
          <w:lang w:val="es-MX"/>
        </w:rPr>
        <w:t>936-937.</w:t>
      </w:r>
    </w:p>
  </w:footnote>
  <w:footnote w:id="12">
    <w:p w14:paraId="05007D2E" w14:textId="03F520CD" w:rsidR="001C231D" w:rsidRPr="00BA565B" w:rsidRDefault="001C231D" w:rsidP="00BA565B">
      <w:pPr>
        <w:pStyle w:val="FootnoteText"/>
        <w:rPr>
          <w:szCs w:val="22"/>
        </w:rPr>
      </w:pPr>
      <w:r w:rsidRPr="00BA565B">
        <w:rPr>
          <w:rStyle w:val="FootnoteReference"/>
          <w:szCs w:val="22"/>
        </w:rPr>
        <w:footnoteRef/>
      </w:r>
      <w:r w:rsidRPr="00BA565B">
        <w:rPr>
          <w:szCs w:val="22"/>
          <w:lang w:val="es-MX"/>
        </w:rPr>
        <w:t xml:space="preserve"> </w:t>
      </w:r>
      <w:r w:rsidR="00C67E18" w:rsidRPr="00BA565B">
        <w:rPr>
          <w:szCs w:val="22"/>
          <w:lang w:val="es-MX"/>
        </w:rPr>
        <w:t xml:space="preserve">Pursuant to </w:t>
      </w:r>
      <w:r w:rsidRPr="00BA565B">
        <w:rPr>
          <w:szCs w:val="22"/>
          <w:lang w:val="es-MX"/>
        </w:rPr>
        <w:t xml:space="preserve">Pub. Util. </w:t>
      </w:r>
      <w:r w:rsidRPr="00BA565B">
        <w:rPr>
          <w:szCs w:val="22"/>
        </w:rPr>
        <w:t>Code §</w:t>
      </w:r>
      <w:r w:rsidR="00D8754E" w:rsidRPr="00BA565B">
        <w:rPr>
          <w:szCs w:val="22"/>
        </w:rPr>
        <w:t xml:space="preserve"> </w:t>
      </w:r>
      <w:r w:rsidRPr="00BA565B">
        <w:rPr>
          <w:szCs w:val="22"/>
        </w:rPr>
        <w:t>938</w:t>
      </w:r>
      <w:r w:rsidR="00C67E18" w:rsidRPr="00BA565B">
        <w:rPr>
          <w:szCs w:val="22"/>
        </w:rPr>
        <w:t>, t</w:t>
      </w:r>
      <w:r w:rsidRPr="00BA565B">
        <w:rPr>
          <w:szCs w:val="22"/>
        </w:rPr>
        <w:t xml:space="preserve">he third-party auditor shall review (1) the electrical corporation’s customer energization requests over the previous three years; (2) The electrical corporation’s projections of customer demand growth included in the electrical corporation’s distribution plan, including growth in new customers and growth in demand from existing customers; (3) </w:t>
      </w:r>
      <w:r w:rsidR="00397D21">
        <w:rPr>
          <w:szCs w:val="22"/>
        </w:rPr>
        <w:t>t</w:t>
      </w:r>
      <w:r w:rsidRPr="00BA565B">
        <w:rPr>
          <w:szCs w:val="22"/>
        </w:rPr>
        <w:t>he electrical corporation’s qualified staffing levels and future anticipated staffing needs to meet projections for customer demand growth, including the ability of the electrical corporation to sufficiently build its workforce; (4) funding requested by the electrical corporation to support energization requests for the previous three years in the general rate case or any other proceeding, and the efficacy of those previous requests in meeting customer demand; (5) Commission authorized funding for the electrical corporation to support energization for the previous three years, future authorized funding, and authorized changes to the electrical corporation’s business practices or structures to improve its ability to respond to changing customer demand; (6) The electrical corporation’s performance in meeting energization time periods established by the commission pursuant to this article; (7) The electrical corporation’s performance in meeting its internally established energization time periods over the prior 10</w:t>
      </w:r>
      <w:r w:rsidR="00643DB2" w:rsidRPr="00BA565B">
        <w:rPr>
          <w:szCs w:val="22"/>
        </w:rPr>
        <w:t> </w:t>
      </w:r>
      <w:r w:rsidRPr="00BA565B">
        <w:rPr>
          <w:szCs w:val="22"/>
        </w:rPr>
        <w:t>years or longer, as necessary; and (8) any other metrics deemed relevant by the commission or third-party auditor to support a thorough evaluation of the electrical corporation’s energization performance, including to identify and correct past flaws and to identify future best practices.</w:t>
      </w:r>
    </w:p>
  </w:footnote>
  <w:footnote w:id="13">
    <w:p w14:paraId="0B60A593" w14:textId="30714314" w:rsidR="00791981" w:rsidRPr="00BA565B" w:rsidRDefault="00791981" w:rsidP="00BA565B">
      <w:pPr>
        <w:pStyle w:val="FootnoteText"/>
        <w:rPr>
          <w:szCs w:val="22"/>
          <w:lang w:val="es-MX"/>
        </w:rPr>
      </w:pPr>
      <w:r w:rsidRPr="00BA565B">
        <w:rPr>
          <w:rStyle w:val="FootnoteReference"/>
          <w:szCs w:val="22"/>
        </w:rPr>
        <w:footnoteRef/>
      </w:r>
      <w:r w:rsidRPr="00BA565B">
        <w:rPr>
          <w:szCs w:val="22"/>
          <w:lang w:val="es-MX"/>
        </w:rPr>
        <w:t xml:space="preserve"> </w:t>
      </w:r>
      <w:r w:rsidR="00605A1B" w:rsidRPr="00BA565B">
        <w:rPr>
          <w:szCs w:val="22"/>
          <w:lang w:val="es-MX"/>
        </w:rPr>
        <w:t>Pub. Util. Code §</w:t>
      </w:r>
      <w:r w:rsidR="00AF09EE">
        <w:rPr>
          <w:szCs w:val="22"/>
          <w:lang w:val="es-MX"/>
        </w:rPr>
        <w:t> </w:t>
      </w:r>
      <w:r w:rsidR="00605A1B" w:rsidRPr="00BA565B">
        <w:rPr>
          <w:szCs w:val="22"/>
          <w:lang w:val="es-MX"/>
        </w:rPr>
        <w:t>938(a)(2)</w:t>
      </w:r>
      <w:r w:rsidR="00912D64" w:rsidRPr="00BA565B">
        <w:rPr>
          <w:szCs w:val="22"/>
          <w:lang w:val="es-MX"/>
        </w:rPr>
        <w:t>.</w:t>
      </w:r>
    </w:p>
  </w:footnote>
  <w:footnote w:id="14">
    <w:p w14:paraId="17110E04" w14:textId="0E3628DD" w:rsidR="4F44601F" w:rsidRPr="00BA565B" w:rsidRDefault="4F44601F" w:rsidP="00BA565B">
      <w:pPr>
        <w:pStyle w:val="FootnoteText"/>
        <w:rPr>
          <w:szCs w:val="22"/>
        </w:rPr>
      </w:pPr>
      <w:r w:rsidRPr="00BA565B">
        <w:rPr>
          <w:rStyle w:val="FootnoteReference"/>
          <w:szCs w:val="22"/>
        </w:rPr>
        <w:footnoteRef/>
      </w:r>
      <w:r w:rsidR="6D787977" w:rsidRPr="00BA565B">
        <w:rPr>
          <w:szCs w:val="22"/>
        </w:rPr>
        <w:t xml:space="preserve"> Pub. Util. Code </w:t>
      </w:r>
      <w:r w:rsidR="003D2369" w:rsidRPr="00BA565B">
        <w:rPr>
          <w:szCs w:val="22"/>
        </w:rPr>
        <w:t>§</w:t>
      </w:r>
      <w:r w:rsidR="00AF09EE">
        <w:rPr>
          <w:szCs w:val="22"/>
        </w:rPr>
        <w:t> </w:t>
      </w:r>
      <w:r w:rsidR="6D787977" w:rsidRPr="00BA565B">
        <w:rPr>
          <w:szCs w:val="22"/>
        </w:rPr>
        <w:t xml:space="preserve">933.5(a). </w:t>
      </w:r>
    </w:p>
  </w:footnote>
  <w:footnote w:id="15">
    <w:p w14:paraId="5BDB7419" w14:textId="6163D395" w:rsidR="284DD217" w:rsidRPr="00BA565B" w:rsidRDefault="284DD217" w:rsidP="00BA565B">
      <w:pPr>
        <w:pStyle w:val="FootnoteText"/>
        <w:rPr>
          <w:szCs w:val="22"/>
        </w:rPr>
      </w:pPr>
      <w:r w:rsidRPr="00BA565B">
        <w:rPr>
          <w:rStyle w:val="FootnoteReference"/>
          <w:szCs w:val="22"/>
        </w:rPr>
        <w:footnoteRef/>
      </w:r>
      <w:r w:rsidRPr="00BA565B">
        <w:rPr>
          <w:szCs w:val="22"/>
        </w:rPr>
        <w:t xml:space="preserve"> Pub. Util</w:t>
      </w:r>
      <w:r w:rsidR="6E7C4737" w:rsidRPr="00BA565B">
        <w:rPr>
          <w:szCs w:val="22"/>
        </w:rPr>
        <w:t>. Code</w:t>
      </w:r>
      <w:r w:rsidR="003D2369" w:rsidRPr="00BA565B">
        <w:rPr>
          <w:szCs w:val="22"/>
        </w:rPr>
        <w:t xml:space="preserve"> §</w:t>
      </w:r>
      <w:r w:rsidR="00AF09EE">
        <w:rPr>
          <w:szCs w:val="22"/>
        </w:rPr>
        <w:t> </w:t>
      </w:r>
      <w:r w:rsidR="6E7C4737" w:rsidRPr="00BA565B">
        <w:rPr>
          <w:szCs w:val="22"/>
        </w:rPr>
        <w:t>933.5</w:t>
      </w:r>
      <w:r w:rsidR="3A337FC7" w:rsidRPr="00BA565B">
        <w:rPr>
          <w:szCs w:val="22"/>
        </w:rPr>
        <w:t>(c)(1</w:t>
      </w:r>
      <w:r w:rsidR="23611EDA" w:rsidRPr="00BA565B">
        <w:rPr>
          <w:szCs w:val="22"/>
        </w:rPr>
        <w:t>)(2).</w:t>
      </w:r>
    </w:p>
  </w:footnote>
  <w:footnote w:id="16">
    <w:p w14:paraId="53873D64" w14:textId="646784EC" w:rsidR="00B17593" w:rsidRPr="00BA565B" w:rsidRDefault="00B17593" w:rsidP="00BA565B">
      <w:pPr>
        <w:pStyle w:val="FootnoteText"/>
        <w:rPr>
          <w:szCs w:val="22"/>
        </w:rPr>
      </w:pPr>
      <w:r w:rsidRPr="00BA565B">
        <w:rPr>
          <w:rStyle w:val="FootnoteReference"/>
          <w:szCs w:val="22"/>
        </w:rPr>
        <w:footnoteRef/>
      </w:r>
      <w:r w:rsidRPr="00BA565B">
        <w:rPr>
          <w:szCs w:val="22"/>
        </w:rPr>
        <w:t xml:space="preserve"> Pursuant to Pub. Util. Code §</w:t>
      </w:r>
      <w:r w:rsidR="00453269" w:rsidRPr="00BA565B">
        <w:rPr>
          <w:szCs w:val="22"/>
        </w:rPr>
        <w:t xml:space="preserve"> </w:t>
      </w:r>
      <w:r w:rsidRPr="00BA565B">
        <w:rPr>
          <w:szCs w:val="22"/>
        </w:rPr>
        <w:t xml:space="preserve">931, (a)“Electrification” means any new, expanded, or change in use of electricity related to the policies described in Section 933, including, but not limited to, in the industrial, commercial, agricultural, housing, or transportation sectors; (b) “Energization” and “energize” mean connecting customers to the electrical distribution grid and establishing adequate electrical distribution capacity or upgrading electrical distribution or transmission capacity to provide electrical service for a new customer, or to provide upgraded electrical service to an existing customer. The determination of adequate electrical distribution capacity includes consideration of future load. </w:t>
      </w:r>
      <w:r w:rsidR="007436C4" w:rsidRPr="00BA565B">
        <w:rPr>
          <w:szCs w:val="22"/>
        </w:rPr>
        <w:t xml:space="preserve">The terms </w:t>
      </w:r>
      <w:r w:rsidRPr="00BA565B">
        <w:rPr>
          <w:szCs w:val="22"/>
        </w:rPr>
        <w:t>“</w:t>
      </w:r>
      <w:r w:rsidR="007436C4" w:rsidRPr="00BA565B">
        <w:rPr>
          <w:szCs w:val="22"/>
        </w:rPr>
        <w:t>e</w:t>
      </w:r>
      <w:r w:rsidRPr="00BA565B">
        <w:rPr>
          <w:szCs w:val="22"/>
        </w:rPr>
        <w:t>nergization” and “energize</w:t>
      </w:r>
      <w:r w:rsidR="00323448" w:rsidRPr="00BA565B">
        <w:rPr>
          <w:szCs w:val="22"/>
        </w:rPr>
        <w:t>,</w:t>
      </w:r>
      <w:r w:rsidRPr="00BA565B">
        <w:rPr>
          <w:szCs w:val="22"/>
        </w:rPr>
        <w:t xml:space="preserve">” </w:t>
      </w:r>
      <w:r w:rsidR="00323448" w:rsidRPr="00BA565B">
        <w:rPr>
          <w:szCs w:val="22"/>
        </w:rPr>
        <w:t>as defined in Pub. Util. Code § 933.5</w:t>
      </w:r>
      <w:r w:rsidR="007436C4" w:rsidRPr="00BA565B">
        <w:rPr>
          <w:szCs w:val="22"/>
        </w:rPr>
        <w:t xml:space="preserve">, </w:t>
      </w:r>
      <w:r w:rsidRPr="00BA565B">
        <w:rPr>
          <w:szCs w:val="22"/>
        </w:rPr>
        <w:t>do not include activities related to connecting electrical supply resources; and (c) “Energization time period” means the elapsed time beginning when the electrical corporation receives a substantially complete energization project application and ending when the electric service is installed and energized.</w:t>
      </w:r>
    </w:p>
  </w:footnote>
  <w:footnote w:id="17">
    <w:p w14:paraId="4179D8F3" w14:textId="214524D9" w:rsidR="009A718C" w:rsidRPr="00BA565B" w:rsidRDefault="009A718C" w:rsidP="00BA565B">
      <w:pPr>
        <w:pStyle w:val="FootnoteText"/>
        <w:rPr>
          <w:szCs w:val="22"/>
        </w:rPr>
      </w:pPr>
      <w:r w:rsidRPr="00BA565B">
        <w:rPr>
          <w:rStyle w:val="FootnoteReference"/>
          <w:szCs w:val="22"/>
        </w:rPr>
        <w:footnoteRef/>
      </w:r>
      <w:r w:rsidRPr="00BA565B">
        <w:rPr>
          <w:szCs w:val="22"/>
        </w:rPr>
        <w:t xml:space="preserve"> Rule</w:t>
      </w:r>
      <w:r w:rsidR="00AF09EE">
        <w:rPr>
          <w:szCs w:val="22"/>
        </w:rPr>
        <w:t> </w:t>
      </w:r>
      <w:r w:rsidRPr="00BA565B">
        <w:rPr>
          <w:szCs w:val="22"/>
        </w:rPr>
        <w:t>7.2(b).</w:t>
      </w:r>
    </w:p>
  </w:footnote>
  <w:footnote w:id="18">
    <w:p w14:paraId="72DDC2B4" w14:textId="3E2E9BE7" w:rsidR="00D56BB8" w:rsidRPr="00BA565B" w:rsidRDefault="00D56BB8" w:rsidP="00BA565B">
      <w:pPr>
        <w:pStyle w:val="FootnoteText"/>
        <w:rPr>
          <w:szCs w:val="22"/>
        </w:rPr>
      </w:pPr>
      <w:r w:rsidRPr="00BA565B">
        <w:rPr>
          <w:rStyle w:val="FootnoteReference"/>
          <w:szCs w:val="22"/>
        </w:rPr>
        <w:footnoteRef/>
      </w:r>
      <w:r w:rsidRPr="00BA565B">
        <w:rPr>
          <w:szCs w:val="22"/>
        </w:rPr>
        <w:t xml:space="preserve"> </w:t>
      </w:r>
      <w:r w:rsidR="00DB6E84" w:rsidRPr="00BA565B">
        <w:rPr>
          <w:szCs w:val="22"/>
        </w:rPr>
        <w:t xml:space="preserve">Opening Comments </w:t>
      </w:r>
      <w:r w:rsidR="00EF4163" w:rsidRPr="00BA565B">
        <w:rPr>
          <w:szCs w:val="22"/>
        </w:rPr>
        <w:t>on the June</w:t>
      </w:r>
      <w:r w:rsidR="002932C0">
        <w:rPr>
          <w:szCs w:val="22"/>
        </w:rPr>
        <w:t> </w:t>
      </w:r>
      <w:r w:rsidR="00EF4163" w:rsidRPr="00BA565B">
        <w:rPr>
          <w:szCs w:val="22"/>
        </w:rPr>
        <w:t>6, 2024</w:t>
      </w:r>
      <w:r w:rsidR="00FD5ABB" w:rsidRPr="00BA565B">
        <w:rPr>
          <w:szCs w:val="22"/>
        </w:rPr>
        <w:t>,</w:t>
      </w:r>
      <w:r w:rsidR="002932C0">
        <w:rPr>
          <w:szCs w:val="22"/>
        </w:rPr>
        <w:t> </w:t>
      </w:r>
      <w:r w:rsidR="00EF4163" w:rsidRPr="00BA565B">
        <w:rPr>
          <w:szCs w:val="22"/>
        </w:rPr>
        <w:t xml:space="preserve">ALJ Ruling </w:t>
      </w:r>
      <w:r w:rsidR="00DB6E84" w:rsidRPr="00BA565B">
        <w:rPr>
          <w:szCs w:val="22"/>
        </w:rPr>
        <w:t xml:space="preserve">were filed by </w:t>
      </w:r>
      <w:r w:rsidR="00806BF9" w:rsidRPr="00BA565B">
        <w:rPr>
          <w:szCs w:val="22"/>
        </w:rPr>
        <w:t>A</w:t>
      </w:r>
      <w:r w:rsidR="00F4463D" w:rsidRPr="00BA565B">
        <w:rPr>
          <w:szCs w:val="22"/>
        </w:rPr>
        <w:t>EU</w:t>
      </w:r>
      <w:r w:rsidR="00806BF9" w:rsidRPr="00BA565B">
        <w:rPr>
          <w:szCs w:val="22"/>
        </w:rPr>
        <w:t xml:space="preserve">, Alliance for Automotive Innovation, </w:t>
      </w:r>
      <w:r w:rsidR="001D69D9" w:rsidRPr="00BA565B">
        <w:rPr>
          <w:szCs w:val="22"/>
        </w:rPr>
        <w:t xml:space="preserve">CalCCA, Cal.net, </w:t>
      </w:r>
      <w:r w:rsidR="00594C9F" w:rsidRPr="00BA565B">
        <w:rPr>
          <w:szCs w:val="22"/>
        </w:rPr>
        <w:t xml:space="preserve">CalSSA, </w:t>
      </w:r>
      <w:r w:rsidR="00806BF9" w:rsidRPr="00BA565B">
        <w:rPr>
          <w:szCs w:val="22"/>
        </w:rPr>
        <w:t xml:space="preserve">CALSTART, </w:t>
      </w:r>
      <w:r w:rsidR="001D69D9" w:rsidRPr="00BA565B">
        <w:rPr>
          <w:szCs w:val="22"/>
        </w:rPr>
        <w:t xml:space="preserve">Clean Energy, CMTA, </w:t>
      </w:r>
      <w:r w:rsidR="00806BF9" w:rsidRPr="00BA565B">
        <w:rPr>
          <w:szCs w:val="22"/>
        </w:rPr>
        <w:t>Crown Castle, CTIA,</w:t>
      </w:r>
      <w:r w:rsidR="00594C9F" w:rsidRPr="00BA565B">
        <w:rPr>
          <w:szCs w:val="22"/>
        </w:rPr>
        <w:t xml:space="preserve"> Extenet, </w:t>
      </w:r>
      <w:r w:rsidR="00F4463D" w:rsidRPr="00BA565B">
        <w:rPr>
          <w:szCs w:val="22"/>
        </w:rPr>
        <w:t xml:space="preserve">Industry Coalition, </w:t>
      </w:r>
      <w:r w:rsidR="009A26ED" w:rsidRPr="00BA565B">
        <w:rPr>
          <w:szCs w:val="22"/>
        </w:rPr>
        <w:t>IREC</w:t>
      </w:r>
      <w:r w:rsidR="00F4463D" w:rsidRPr="00BA565B">
        <w:rPr>
          <w:szCs w:val="22"/>
        </w:rPr>
        <w:t xml:space="preserve">, </w:t>
      </w:r>
      <w:r w:rsidR="00594C9F" w:rsidRPr="00BA565B">
        <w:rPr>
          <w:szCs w:val="22"/>
        </w:rPr>
        <w:t xml:space="preserve">NRDC, PACT, </w:t>
      </w:r>
      <w:r w:rsidR="009A26ED" w:rsidRPr="00BA565B">
        <w:rPr>
          <w:szCs w:val="22"/>
        </w:rPr>
        <w:t>SPUR, Tesla, VGIC, and Walmart</w:t>
      </w:r>
      <w:r w:rsidR="00F4463D" w:rsidRPr="00BA565B">
        <w:rPr>
          <w:szCs w:val="22"/>
        </w:rPr>
        <w:t>. Replies were filed by AEU</w:t>
      </w:r>
      <w:r w:rsidR="009E4DD2" w:rsidRPr="00BA565B">
        <w:rPr>
          <w:szCs w:val="22"/>
        </w:rPr>
        <w:t>, CalBroadband, Clean Coalition, Clean Energy, CALSTART, Crown Castle, PG&amp;E, SCE, SDG&amp;E, and Voltera.</w:t>
      </w:r>
    </w:p>
  </w:footnote>
  <w:footnote w:id="19">
    <w:p w14:paraId="400F8F86" w14:textId="550F47E5" w:rsidR="007F664C" w:rsidRPr="00BA565B" w:rsidRDefault="007F664C" w:rsidP="00BA565B">
      <w:pPr>
        <w:pStyle w:val="FootnoteText"/>
        <w:rPr>
          <w:szCs w:val="22"/>
        </w:rPr>
      </w:pPr>
      <w:r w:rsidRPr="00BA565B">
        <w:rPr>
          <w:rStyle w:val="FootnoteReference"/>
          <w:szCs w:val="22"/>
        </w:rPr>
        <w:footnoteRef/>
      </w:r>
      <w:r w:rsidRPr="00BA565B">
        <w:rPr>
          <w:szCs w:val="22"/>
        </w:rPr>
        <w:t xml:space="preserve"> In this proceeding, a “step” is defined incrementally, such as a customer acquiring property or expanding their electrical needs, filing an application with a utility, receiving confirmation from a utility that the application is accepted, permitting process, the utility’s initiation of work, and final energization.</w:t>
      </w:r>
    </w:p>
  </w:footnote>
  <w:footnote w:id="20">
    <w:p w14:paraId="4E586432" w14:textId="1B3C292E" w:rsidR="002B7714" w:rsidRPr="00BA565B" w:rsidRDefault="002B7714" w:rsidP="00BA565B">
      <w:pPr>
        <w:pStyle w:val="FootnoteText"/>
        <w:rPr>
          <w:szCs w:val="22"/>
        </w:rPr>
      </w:pPr>
      <w:r w:rsidRPr="00BA565B">
        <w:rPr>
          <w:rStyle w:val="FootnoteReference"/>
          <w:szCs w:val="22"/>
        </w:rPr>
        <w:footnoteRef/>
      </w:r>
      <w:r w:rsidRPr="00BA565B">
        <w:rPr>
          <w:szCs w:val="22"/>
        </w:rPr>
        <w:t xml:space="preserve"> For this </w:t>
      </w:r>
      <w:r w:rsidR="002B4B52" w:rsidRPr="00BA565B">
        <w:rPr>
          <w:szCs w:val="22"/>
        </w:rPr>
        <w:t>decision</w:t>
      </w:r>
      <w:r w:rsidRPr="00BA565B">
        <w:rPr>
          <w:szCs w:val="22"/>
        </w:rPr>
        <w:t>, “project types” are defined as customer requests for energization for different types of end-use project requests, such as upgrades to support electric vehicle infrastructure, residential subdivision construction, or other building</w:t>
      </w:r>
      <w:r w:rsidR="00E55019" w:rsidRPr="00BA565B">
        <w:rPr>
          <w:szCs w:val="22"/>
        </w:rPr>
        <w:t>-electrification projects.</w:t>
      </w:r>
    </w:p>
  </w:footnote>
  <w:footnote w:id="21">
    <w:p w14:paraId="156FD2B0" w14:textId="11DD906B" w:rsidR="001E3E7B" w:rsidRPr="00BA565B" w:rsidRDefault="001E3E7B" w:rsidP="00BA565B">
      <w:pPr>
        <w:pStyle w:val="FootnoteText"/>
        <w:rPr>
          <w:szCs w:val="22"/>
        </w:rPr>
      </w:pPr>
      <w:r w:rsidRPr="00BA565B">
        <w:rPr>
          <w:rStyle w:val="FootnoteReference"/>
          <w:szCs w:val="22"/>
        </w:rPr>
        <w:footnoteRef/>
      </w:r>
      <w:r w:rsidRPr="00BA565B">
        <w:rPr>
          <w:szCs w:val="22"/>
        </w:rPr>
        <w:t xml:space="preserve"> Infrastructure projects here refer to different types of upstream capacity projects such as: new bank replacement, new feeder installation, new substation, etc.</w:t>
      </w:r>
    </w:p>
  </w:footnote>
  <w:footnote w:id="22">
    <w:p w14:paraId="5E834684" w14:textId="16FD8A34" w:rsidR="006F5C07" w:rsidRPr="00BA565B" w:rsidRDefault="006F5C07" w:rsidP="00BA565B">
      <w:pPr>
        <w:pStyle w:val="FootnoteText"/>
        <w:rPr>
          <w:szCs w:val="22"/>
        </w:rPr>
      </w:pPr>
      <w:r w:rsidRPr="00BA565B">
        <w:rPr>
          <w:rStyle w:val="FootnoteReference"/>
          <w:szCs w:val="22"/>
        </w:rPr>
        <w:footnoteRef/>
      </w:r>
      <w:r w:rsidRPr="00BA565B">
        <w:rPr>
          <w:szCs w:val="22"/>
        </w:rPr>
        <w:t xml:space="preserve"> Pub. Util. Code §</w:t>
      </w:r>
      <w:r w:rsidR="00AF09EE">
        <w:rPr>
          <w:szCs w:val="22"/>
        </w:rPr>
        <w:t> </w:t>
      </w:r>
      <w:r w:rsidR="008B311B" w:rsidRPr="00BA565B">
        <w:rPr>
          <w:szCs w:val="22"/>
        </w:rPr>
        <w:t>933.5</w:t>
      </w:r>
      <w:r w:rsidR="009314E4" w:rsidRPr="00BA565B">
        <w:rPr>
          <w:szCs w:val="22"/>
        </w:rPr>
        <w:t>(a)</w:t>
      </w:r>
      <w:r w:rsidRPr="00BA565B">
        <w:rPr>
          <w:szCs w:val="22"/>
        </w:rPr>
        <w:t>.</w:t>
      </w:r>
    </w:p>
  </w:footnote>
  <w:footnote w:id="23">
    <w:p w14:paraId="6D350C1E" w14:textId="1794210A" w:rsidR="005C7B17" w:rsidRPr="00BA565B" w:rsidRDefault="005C7B17" w:rsidP="00BA565B">
      <w:pPr>
        <w:pStyle w:val="FootnoteText"/>
        <w:rPr>
          <w:szCs w:val="22"/>
        </w:rPr>
      </w:pPr>
      <w:r w:rsidRPr="00BA565B">
        <w:rPr>
          <w:rStyle w:val="FootnoteReference"/>
          <w:szCs w:val="22"/>
        </w:rPr>
        <w:footnoteRef/>
      </w:r>
      <w:r w:rsidRPr="00BA565B">
        <w:rPr>
          <w:szCs w:val="22"/>
        </w:rPr>
        <w:t xml:space="preserve"> </w:t>
      </w:r>
      <w:r w:rsidR="00386923" w:rsidRPr="00BA565B">
        <w:rPr>
          <w:szCs w:val="22"/>
        </w:rPr>
        <w:t>An outlier adjustment was performed on the data received in the Joint Utility Response to March</w:t>
      </w:r>
      <w:r w:rsidR="002932C0">
        <w:rPr>
          <w:szCs w:val="22"/>
        </w:rPr>
        <w:t> </w:t>
      </w:r>
      <w:r w:rsidR="00386923" w:rsidRPr="00BA565B">
        <w:rPr>
          <w:szCs w:val="22"/>
        </w:rPr>
        <w:t>21, 2024</w:t>
      </w:r>
      <w:r w:rsidR="002932C0">
        <w:rPr>
          <w:szCs w:val="22"/>
        </w:rPr>
        <w:t>, </w:t>
      </w:r>
      <w:r w:rsidR="00386923" w:rsidRPr="00BA565B">
        <w:rPr>
          <w:szCs w:val="22"/>
        </w:rPr>
        <w:t xml:space="preserve">Ruling. The adjusted data </w:t>
      </w:r>
      <w:r w:rsidR="004D6B95" w:rsidRPr="00BA565B">
        <w:rPr>
          <w:szCs w:val="22"/>
        </w:rPr>
        <w:t xml:space="preserve">was </w:t>
      </w:r>
      <w:r w:rsidRPr="00BA565B">
        <w:rPr>
          <w:szCs w:val="22"/>
        </w:rPr>
        <w:t xml:space="preserve">used </w:t>
      </w:r>
      <w:r w:rsidR="00386923" w:rsidRPr="00BA565B">
        <w:rPr>
          <w:szCs w:val="22"/>
        </w:rPr>
        <w:t>to calculate</w:t>
      </w:r>
      <w:r w:rsidR="004D6B95" w:rsidRPr="00BA565B">
        <w:rPr>
          <w:szCs w:val="22"/>
        </w:rPr>
        <w:t xml:space="preserve"> </w:t>
      </w:r>
      <w:r w:rsidRPr="00BA565B">
        <w:rPr>
          <w:szCs w:val="22"/>
        </w:rPr>
        <w:t xml:space="preserve">the average </w:t>
      </w:r>
      <w:r w:rsidR="004D6B95" w:rsidRPr="00BA565B">
        <w:rPr>
          <w:szCs w:val="22"/>
        </w:rPr>
        <w:t xml:space="preserve">and maximum </w:t>
      </w:r>
      <w:r w:rsidRPr="00BA565B">
        <w:rPr>
          <w:szCs w:val="22"/>
        </w:rPr>
        <w:t xml:space="preserve">energization </w:t>
      </w:r>
      <w:r w:rsidR="00577BA7" w:rsidRPr="00BA565B">
        <w:rPr>
          <w:szCs w:val="22"/>
        </w:rPr>
        <w:t>target</w:t>
      </w:r>
      <w:r w:rsidR="004D6B95" w:rsidRPr="00BA565B">
        <w:rPr>
          <w:szCs w:val="22"/>
        </w:rPr>
        <w:t>s</w:t>
      </w:r>
      <w:r w:rsidR="00B04A70" w:rsidRPr="00BA565B">
        <w:rPr>
          <w:szCs w:val="22"/>
        </w:rPr>
        <w:t xml:space="preserve"> adopted in Section 7 of this decision, Energization targets</w:t>
      </w:r>
      <w:r w:rsidR="004D6B95" w:rsidRPr="00BA565B">
        <w:rPr>
          <w:szCs w:val="22"/>
        </w:rPr>
        <w:t xml:space="preserve">. </w:t>
      </w:r>
      <w:r w:rsidR="00D5098F" w:rsidRPr="00BA565B">
        <w:rPr>
          <w:szCs w:val="22"/>
        </w:rPr>
        <w:t>O</w:t>
      </w:r>
      <w:r w:rsidR="00B675E1" w:rsidRPr="00BA565B">
        <w:rPr>
          <w:szCs w:val="22"/>
        </w:rPr>
        <w:t>utliers</w:t>
      </w:r>
      <w:r w:rsidR="00D5098F" w:rsidRPr="00BA565B">
        <w:rPr>
          <w:szCs w:val="22"/>
        </w:rPr>
        <w:t xml:space="preserve"> were identified</w:t>
      </w:r>
      <w:r w:rsidR="00B675E1" w:rsidRPr="00BA565B">
        <w:rPr>
          <w:szCs w:val="22"/>
        </w:rPr>
        <w:t xml:space="preserve"> for each combination of IOU, tariff type, and energization step independently as each has unique characteristics. </w:t>
      </w:r>
      <w:r w:rsidR="006135D9" w:rsidRPr="00BA565B">
        <w:rPr>
          <w:szCs w:val="22"/>
        </w:rPr>
        <w:t xml:space="preserve">Outliers </w:t>
      </w:r>
      <w:r w:rsidR="00E205E7" w:rsidRPr="00BA565B">
        <w:rPr>
          <w:szCs w:val="22"/>
        </w:rPr>
        <w:t>were</w:t>
      </w:r>
      <w:r w:rsidR="006135D9" w:rsidRPr="00BA565B">
        <w:rPr>
          <w:szCs w:val="22"/>
        </w:rPr>
        <w:t xml:space="preserve"> defined as datapoints that were either negative (as no energization step could take negative days) or </w:t>
      </w:r>
      <w:r w:rsidR="005C7635" w:rsidRPr="00BA565B">
        <w:rPr>
          <w:szCs w:val="22"/>
        </w:rPr>
        <w:t>two </w:t>
      </w:r>
      <w:r w:rsidR="006135D9" w:rsidRPr="00BA565B">
        <w:rPr>
          <w:szCs w:val="22"/>
        </w:rPr>
        <w:t>standard deviations above the average</w:t>
      </w:r>
      <w:r w:rsidR="00C07AF7" w:rsidRPr="00BA565B">
        <w:rPr>
          <w:szCs w:val="22"/>
        </w:rPr>
        <w:t xml:space="preserve"> for that step, tariff type, and IOU</w:t>
      </w:r>
      <w:r w:rsidR="006135D9" w:rsidRPr="00BA565B">
        <w:rPr>
          <w:szCs w:val="22"/>
        </w:rPr>
        <w:t xml:space="preserve">. </w:t>
      </w:r>
    </w:p>
  </w:footnote>
  <w:footnote w:id="24">
    <w:p w14:paraId="773035F0" w14:textId="01FC6069" w:rsidR="00854153" w:rsidRPr="00BA565B" w:rsidRDefault="00854153" w:rsidP="00854153">
      <w:pPr>
        <w:pStyle w:val="FootnoteText"/>
        <w:rPr>
          <w:szCs w:val="22"/>
        </w:rPr>
      </w:pPr>
      <w:r w:rsidRPr="00BA565B">
        <w:rPr>
          <w:rStyle w:val="FootnoteReference"/>
          <w:szCs w:val="22"/>
        </w:rPr>
        <w:footnoteRef/>
      </w:r>
      <w:r w:rsidRPr="00BA565B">
        <w:rPr>
          <w:szCs w:val="22"/>
        </w:rPr>
        <w:t xml:space="preserve"> Like the outlier adjustment described for the average energization target, above, the maximum energization target used the data received in the Joint Utility Response to March</w:t>
      </w:r>
      <w:r w:rsidR="002932C0">
        <w:rPr>
          <w:szCs w:val="22"/>
        </w:rPr>
        <w:t> </w:t>
      </w:r>
      <w:r w:rsidRPr="00BA565B">
        <w:rPr>
          <w:szCs w:val="22"/>
        </w:rPr>
        <w:t>21, 2024</w:t>
      </w:r>
      <w:r w:rsidR="002932C0">
        <w:rPr>
          <w:szCs w:val="22"/>
        </w:rPr>
        <w:t>, </w:t>
      </w:r>
      <w:r w:rsidRPr="00BA565B">
        <w:rPr>
          <w:szCs w:val="22"/>
        </w:rPr>
        <w:t>Ruling. Outlier adjustments were made for each combination of large electric IOU, tariff type, and energization step independently as each has unique characteristics. Outliers defined for the maximum energization targets included datapoints that were either negative (as no energization step could take negative days) or 2 standard deviations above the average for that step, tariff type, and large electric IOU.</w:t>
      </w:r>
    </w:p>
  </w:footnote>
  <w:footnote w:id="25">
    <w:p w14:paraId="4B887BF7" w14:textId="6720E2B4" w:rsidR="6A2E0B61" w:rsidRPr="00BA565B" w:rsidRDefault="6A2E0B61" w:rsidP="00BA565B">
      <w:pPr>
        <w:pStyle w:val="FootnoteText"/>
        <w:rPr>
          <w:szCs w:val="22"/>
        </w:rPr>
      </w:pPr>
      <w:r w:rsidRPr="00BA565B">
        <w:rPr>
          <w:rStyle w:val="FootnoteReference"/>
          <w:szCs w:val="22"/>
        </w:rPr>
        <w:footnoteRef/>
      </w:r>
      <w:r w:rsidRPr="00BA565B">
        <w:rPr>
          <w:szCs w:val="22"/>
        </w:rPr>
        <w:t xml:space="preserve"> </w:t>
      </w:r>
      <w:r w:rsidR="00F10733" w:rsidRPr="00BA565B">
        <w:rPr>
          <w:szCs w:val="22"/>
        </w:rPr>
        <w:t xml:space="preserve">Phase 2 issues as defined in R.24-01-018 were not discussed during the May 21, 2024, Status Conference. </w:t>
      </w:r>
    </w:p>
  </w:footnote>
  <w:footnote w:id="26">
    <w:p w14:paraId="29C362EE" w14:textId="470C395F" w:rsidR="00240515" w:rsidRPr="00BA565B" w:rsidRDefault="00240515" w:rsidP="00BA565B">
      <w:pPr>
        <w:pStyle w:val="FootnoteText"/>
        <w:rPr>
          <w:szCs w:val="22"/>
        </w:rPr>
      </w:pPr>
      <w:r w:rsidRPr="00BA565B">
        <w:rPr>
          <w:rStyle w:val="FootnoteReference"/>
          <w:szCs w:val="22"/>
        </w:rPr>
        <w:footnoteRef/>
      </w:r>
      <w:r w:rsidRPr="00BA565B">
        <w:rPr>
          <w:szCs w:val="22"/>
        </w:rPr>
        <w:t xml:space="preserve"> </w:t>
      </w:r>
      <w:r w:rsidR="00372B42" w:rsidRPr="00BA565B">
        <w:rPr>
          <w:szCs w:val="22"/>
        </w:rPr>
        <w:t>Party responses to the June</w:t>
      </w:r>
      <w:r w:rsidR="002932C0">
        <w:rPr>
          <w:szCs w:val="22"/>
        </w:rPr>
        <w:t> </w:t>
      </w:r>
      <w:r w:rsidR="00372B42" w:rsidRPr="00BA565B">
        <w:rPr>
          <w:szCs w:val="22"/>
        </w:rPr>
        <w:t xml:space="preserve">6, </w:t>
      </w:r>
      <w:r w:rsidR="00C678ED">
        <w:rPr>
          <w:szCs w:val="22"/>
        </w:rPr>
        <w:t xml:space="preserve">2024, ALJ Ruling </w:t>
      </w:r>
      <w:r w:rsidR="00372B42" w:rsidRPr="00BA565B">
        <w:rPr>
          <w:szCs w:val="22"/>
        </w:rPr>
        <w:t>were filed by AEU,</w:t>
      </w:r>
      <w:r w:rsidR="002A7B8E" w:rsidRPr="00BA565B">
        <w:rPr>
          <w:szCs w:val="22"/>
        </w:rPr>
        <w:t xml:space="preserve"> Auto Innovators, CalBroadband</w:t>
      </w:r>
      <w:r w:rsidR="00B76A60" w:rsidRPr="00BA565B">
        <w:rPr>
          <w:szCs w:val="22"/>
        </w:rPr>
        <w:t xml:space="preserve">, CalNet, </w:t>
      </w:r>
      <w:r w:rsidR="001811AF" w:rsidRPr="00BA565B">
        <w:rPr>
          <w:szCs w:val="22"/>
        </w:rPr>
        <w:t>CALSSA, CALSTART, Clean Energy, CMTA, Crown Castle, CTIA, Extenet</w:t>
      </w:r>
      <w:r w:rsidR="00ED21B7" w:rsidRPr="00BA565B">
        <w:rPr>
          <w:szCs w:val="22"/>
        </w:rPr>
        <w:t xml:space="preserve"> Systems, LLC, Industry Coalition, IREC, LGSEC, NRDC, PACT, SEIA, SPUR, VGIC, Voltera, and Walmart. </w:t>
      </w:r>
      <w:r w:rsidR="00492097" w:rsidRPr="00BA565B">
        <w:rPr>
          <w:szCs w:val="22"/>
        </w:rPr>
        <w:t>Replies were filed by AEU,</w:t>
      </w:r>
      <w:r w:rsidR="00A61401" w:rsidRPr="00BA565B">
        <w:rPr>
          <w:szCs w:val="22"/>
        </w:rPr>
        <w:t xml:space="preserve"> CalBroadband, CALSTART, Clean Coalition, Clean Energy, Crown Castle, </w:t>
      </w:r>
      <w:r w:rsidR="00231B98" w:rsidRPr="00BA565B">
        <w:rPr>
          <w:szCs w:val="22"/>
        </w:rPr>
        <w:t>PG&amp;E, SCE, SDG&amp;E, and Voltera.</w:t>
      </w:r>
    </w:p>
  </w:footnote>
  <w:footnote w:id="27">
    <w:p w14:paraId="6F5AD0B3" w14:textId="3057DE34" w:rsidR="00BA0F36" w:rsidRPr="00BA565B" w:rsidRDefault="00BA0F36" w:rsidP="00BA565B">
      <w:pPr>
        <w:pStyle w:val="FootnoteText"/>
        <w:rPr>
          <w:szCs w:val="22"/>
        </w:rPr>
      </w:pPr>
      <w:r w:rsidRPr="00BA565B">
        <w:rPr>
          <w:rStyle w:val="FootnoteReference"/>
          <w:szCs w:val="22"/>
        </w:rPr>
        <w:footnoteRef/>
      </w:r>
      <w:r w:rsidRPr="00BA565B">
        <w:rPr>
          <w:szCs w:val="22"/>
        </w:rPr>
        <w:t xml:space="preserve"> </w:t>
      </w:r>
      <w:r w:rsidR="005D37DF" w:rsidRPr="00BA565B">
        <w:rPr>
          <w:szCs w:val="22"/>
        </w:rPr>
        <w:t>Cal</w:t>
      </w:r>
      <w:r w:rsidR="00FD5B44" w:rsidRPr="00BA565B">
        <w:rPr>
          <w:szCs w:val="22"/>
        </w:rPr>
        <w:t xml:space="preserve">Broadband </w:t>
      </w:r>
      <w:r w:rsidR="00596990" w:rsidRPr="00BA565B">
        <w:rPr>
          <w:szCs w:val="22"/>
        </w:rPr>
        <w:t>Reply</w:t>
      </w:r>
      <w:r w:rsidR="00FD5B44" w:rsidRPr="00BA565B">
        <w:rPr>
          <w:szCs w:val="22"/>
        </w:rPr>
        <w:t xml:space="preserve"> Comments on</w:t>
      </w:r>
      <w:r w:rsidR="00F265AC" w:rsidRPr="00BA565B">
        <w:rPr>
          <w:szCs w:val="22"/>
        </w:rPr>
        <w:t xml:space="preserve"> the</w:t>
      </w:r>
      <w:r w:rsidR="00FD5B44" w:rsidRPr="00BA565B">
        <w:rPr>
          <w:szCs w:val="22"/>
        </w:rPr>
        <w:t xml:space="preserve"> OIR at </w:t>
      </w:r>
      <w:r w:rsidR="00926D69" w:rsidRPr="00BA565B">
        <w:rPr>
          <w:szCs w:val="22"/>
        </w:rPr>
        <w:t>1</w:t>
      </w:r>
      <w:r w:rsidR="00596990" w:rsidRPr="00BA565B">
        <w:rPr>
          <w:szCs w:val="22"/>
        </w:rPr>
        <w:t xml:space="preserve">; Crown Castle Reply Comments on </w:t>
      </w:r>
      <w:r w:rsidR="00F265AC" w:rsidRPr="00BA565B">
        <w:rPr>
          <w:szCs w:val="22"/>
        </w:rPr>
        <w:t xml:space="preserve">the </w:t>
      </w:r>
      <w:r w:rsidR="00596990" w:rsidRPr="00BA565B">
        <w:rPr>
          <w:szCs w:val="22"/>
        </w:rPr>
        <w:t xml:space="preserve">OIR at 7; EDF/NRDC Opening Comments on </w:t>
      </w:r>
      <w:r w:rsidR="00F265AC" w:rsidRPr="00BA565B">
        <w:rPr>
          <w:szCs w:val="22"/>
        </w:rPr>
        <w:t>the OIR</w:t>
      </w:r>
      <w:r w:rsidR="00596990" w:rsidRPr="00BA565B">
        <w:rPr>
          <w:szCs w:val="22"/>
        </w:rPr>
        <w:t xml:space="preserve"> at </w:t>
      </w:r>
      <w:r w:rsidR="00F265AC" w:rsidRPr="00BA565B">
        <w:rPr>
          <w:szCs w:val="22"/>
        </w:rPr>
        <w:t xml:space="preserve">7; SBUA Opening Comments on the OIR at </w:t>
      </w:r>
      <w:r w:rsidR="00B93766" w:rsidRPr="00BA565B">
        <w:rPr>
          <w:szCs w:val="22"/>
        </w:rPr>
        <w:t xml:space="preserve">5; SEIA Opening Comments on the OIR at </w:t>
      </w:r>
      <w:r w:rsidR="00F86449" w:rsidRPr="00BA565B">
        <w:rPr>
          <w:szCs w:val="22"/>
        </w:rPr>
        <w:t>10-11; SVCE Opening Comments on the OIR at 7</w:t>
      </w:r>
      <w:r w:rsidR="00912D64" w:rsidRPr="00BA565B">
        <w:rPr>
          <w:szCs w:val="22"/>
        </w:rPr>
        <w:t>.</w:t>
      </w:r>
    </w:p>
  </w:footnote>
  <w:footnote w:id="28">
    <w:p w14:paraId="34396403" w14:textId="35F438BF" w:rsidR="00F40519" w:rsidRPr="00BA565B" w:rsidRDefault="00F40519" w:rsidP="00BA565B">
      <w:pPr>
        <w:pStyle w:val="FootnoteText"/>
        <w:rPr>
          <w:szCs w:val="22"/>
        </w:rPr>
      </w:pPr>
      <w:r w:rsidRPr="00BA565B">
        <w:rPr>
          <w:rStyle w:val="FootnoteReference"/>
          <w:szCs w:val="22"/>
        </w:rPr>
        <w:footnoteRef/>
      </w:r>
      <w:r w:rsidRPr="00BA565B">
        <w:rPr>
          <w:szCs w:val="22"/>
        </w:rPr>
        <w:t xml:space="preserve"> EDF/NRDC Opening Comments on the OIR at 7</w:t>
      </w:r>
      <w:r w:rsidR="00912D64" w:rsidRPr="00BA565B">
        <w:rPr>
          <w:szCs w:val="22"/>
        </w:rPr>
        <w:t>.</w:t>
      </w:r>
    </w:p>
  </w:footnote>
  <w:footnote w:id="29">
    <w:p w14:paraId="3E284C9D" w14:textId="7CEF85AD" w:rsidR="00FB215E" w:rsidRPr="00BA565B" w:rsidRDefault="00FB215E" w:rsidP="00BA565B">
      <w:pPr>
        <w:pStyle w:val="FootnoteText"/>
        <w:rPr>
          <w:szCs w:val="22"/>
        </w:rPr>
      </w:pPr>
      <w:r w:rsidRPr="00BA565B">
        <w:rPr>
          <w:rStyle w:val="FootnoteReference"/>
          <w:szCs w:val="22"/>
        </w:rPr>
        <w:footnoteRef/>
      </w:r>
      <w:r w:rsidRPr="00BA565B">
        <w:rPr>
          <w:szCs w:val="22"/>
        </w:rPr>
        <w:t xml:space="preserve"> PG&amp;E Opening Comments on the OIR at </w:t>
      </w:r>
      <w:r w:rsidR="00163AD4" w:rsidRPr="00BA565B">
        <w:rPr>
          <w:szCs w:val="22"/>
        </w:rPr>
        <w:t xml:space="preserve">9; SDG&amp;E Opening Comments on the OIR at </w:t>
      </w:r>
      <w:r w:rsidR="00405108" w:rsidRPr="00BA565B">
        <w:rPr>
          <w:szCs w:val="22"/>
        </w:rPr>
        <w:t>12</w:t>
      </w:r>
      <w:r w:rsidR="00912D64" w:rsidRPr="00BA565B">
        <w:rPr>
          <w:szCs w:val="22"/>
        </w:rPr>
        <w:t>.</w:t>
      </w:r>
    </w:p>
  </w:footnote>
  <w:footnote w:id="30">
    <w:p w14:paraId="24992A63" w14:textId="03E8CC11" w:rsidR="211BEE9E" w:rsidRPr="00BA565B" w:rsidRDefault="211BEE9E" w:rsidP="00BA565B">
      <w:pPr>
        <w:pStyle w:val="FootnoteText"/>
        <w:rPr>
          <w:szCs w:val="22"/>
        </w:rPr>
      </w:pPr>
      <w:r w:rsidRPr="00BA565B">
        <w:rPr>
          <w:rStyle w:val="FootnoteReference"/>
          <w:szCs w:val="22"/>
        </w:rPr>
        <w:footnoteRef/>
      </w:r>
      <w:r w:rsidRPr="00BA565B">
        <w:rPr>
          <w:szCs w:val="22"/>
        </w:rPr>
        <w:t xml:space="preserve"> EDF/NRDC Opening Comments on the Scoping Memo at 3-4.</w:t>
      </w:r>
    </w:p>
  </w:footnote>
  <w:footnote w:id="31">
    <w:p w14:paraId="1A9F03A2" w14:textId="00612C6F" w:rsidR="211BEE9E" w:rsidRPr="00BA565B" w:rsidRDefault="211BEE9E" w:rsidP="00BA565B">
      <w:pPr>
        <w:pStyle w:val="FootnoteText"/>
        <w:rPr>
          <w:szCs w:val="22"/>
        </w:rPr>
      </w:pPr>
      <w:r w:rsidRPr="00BA565B">
        <w:rPr>
          <w:rStyle w:val="FootnoteReference"/>
          <w:szCs w:val="22"/>
        </w:rPr>
        <w:footnoteRef/>
      </w:r>
      <w:r w:rsidRPr="00BA565B">
        <w:rPr>
          <w:szCs w:val="22"/>
        </w:rPr>
        <w:t xml:space="preserve"> SDG&amp;E Opening Comments on the Scoping Memo at 11-12.</w:t>
      </w:r>
    </w:p>
  </w:footnote>
  <w:footnote w:id="32">
    <w:p w14:paraId="39F3AA2D" w14:textId="19D4801C" w:rsidR="00D450FA" w:rsidRPr="00BA565B" w:rsidRDefault="00D450FA" w:rsidP="00BA565B">
      <w:pPr>
        <w:pStyle w:val="FootnoteText"/>
        <w:rPr>
          <w:szCs w:val="22"/>
        </w:rPr>
      </w:pPr>
      <w:r w:rsidRPr="00BA565B">
        <w:rPr>
          <w:rStyle w:val="FootnoteReference"/>
          <w:szCs w:val="22"/>
        </w:rPr>
        <w:footnoteRef/>
      </w:r>
      <w:r w:rsidRPr="00BA565B">
        <w:rPr>
          <w:szCs w:val="22"/>
        </w:rPr>
        <w:t xml:space="preserve"> </w:t>
      </w:r>
      <w:r w:rsidRPr="00BA565B">
        <w:rPr>
          <w:i/>
          <w:iCs/>
          <w:szCs w:val="22"/>
        </w:rPr>
        <w:t xml:space="preserve">See, </w:t>
      </w:r>
      <w:r w:rsidRPr="00BA565B">
        <w:rPr>
          <w:szCs w:val="22"/>
        </w:rPr>
        <w:t xml:space="preserve">generally, the definition of Dependencies in Section 5, Definition of Technical </w:t>
      </w:r>
      <w:r w:rsidR="00FB67CC">
        <w:rPr>
          <w:szCs w:val="22"/>
        </w:rPr>
        <w:t>Terms</w:t>
      </w:r>
      <w:r w:rsidRPr="00BA565B">
        <w:rPr>
          <w:szCs w:val="22"/>
        </w:rPr>
        <w:t>, above.</w:t>
      </w:r>
    </w:p>
  </w:footnote>
  <w:footnote w:id="33">
    <w:p w14:paraId="48ECC0AE" w14:textId="128C6453" w:rsidR="00A31E1D" w:rsidRPr="00BA565B" w:rsidRDefault="00A31E1D" w:rsidP="00BA565B">
      <w:pPr>
        <w:pStyle w:val="FootnoteText"/>
        <w:rPr>
          <w:szCs w:val="22"/>
        </w:rPr>
      </w:pPr>
      <w:r w:rsidRPr="00BA565B">
        <w:rPr>
          <w:rStyle w:val="FootnoteReference"/>
          <w:szCs w:val="22"/>
        </w:rPr>
        <w:footnoteRef/>
      </w:r>
      <w:r w:rsidRPr="00BA565B">
        <w:rPr>
          <w:szCs w:val="22"/>
        </w:rPr>
        <w:t xml:space="preserve"> Joint Utility Response </w:t>
      </w:r>
      <w:r w:rsidR="00A630FD" w:rsidRPr="00BA565B">
        <w:rPr>
          <w:szCs w:val="22"/>
        </w:rPr>
        <w:t>to March 21, 2024</w:t>
      </w:r>
      <w:r w:rsidR="00B50C61" w:rsidRPr="00BA565B">
        <w:rPr>
          <w:szCs w:val="22"/>
        </w:rPr>
        <w:t>,</w:t>
      </w:r>
      <w:r w:rsidR="00A630FD" w:rsidRPr="00BA565B">
        <w:rPr>
          <w:szCs w:val="22"/>
        </w:rPr>
        <w:t xml:space="preserve"> Ruling at 4</w:t>
      </w:r>
      <w:r w:rsidR="00BA565B">
        <w:rPr>
          <w:szCs w:val="22"/>
        </w:rPr>
        <w:t>.</w:t>
      </w:r>
    </w:p>
  </w:footnote>
  <w:footnote w:id="34">
    <w:p w14:paraId="5DEB8F02" w14:textId="5520928C" w:rsidR="00AA512E" w:rsidRPr="00BA565B" w:rsidRDefault="00AA512E" w:rsidP="00BA565B">
      <w:pPr>
        <w:pStyle w:val="FootnoteText"/>
        <w:rPr>
          <w:szCs w:val="22"/>
        </w:rPr>
      </w:pPr>
      <w:r w:rsidRPr="00BA565B">
        <w:rPr>
          <w:rStyle w:val="FootnoteReference"/>
          <w:szCs w:val="22"/>
        </w:rPr>
        <w:footnoteRef/>
      </w:r>
      <w:r w:rsidRPr="00BA565B">
        <w:rPr>
          <w:szCs w:val="22"/>
        </w:rPr>
        <w:t xml:space="preserve"> </w:t>
      </w:r>
      <w:r w:rsidR="000D07FF" w:rsidRPr="00BA565B">
        <w:rPr>
          <w:szCs w:val="22"/>
        </w:rPr>
        <w:t xml:space="preserve">ATE Opening Comments on the Scoping Memo at </w:t>
      </w:r>
      <w:r w:rsidR="006347F0" w:rsidRPr="00BA565B">
        <w:rPr>
          <w:szCs w:val="22"/>
        </w:rPr>
        <w:t xml:space="preserve">7; </w:t>
      </w:r>
      <w:r w:rsidRPr="00BA565B">
        <w:rPr>
          <w:szCs w:val="22"/>
        </w:rPr>
        <w:t xml:space="preserve">CMTA </w:t>
      </w:r>
      <w:r w:rsidR="0022778F" w:rsidRPr="00BA565B">
        <w:rPr>
          <w:szCs w:val="22"/>
        </w:rPr>
        <w:t>Opening</w:t>
      </w:r>
      <w:r w:rsidRPr="00BA565B">
        <w:rPr>
          <w:szCs w:val="22"/>
        </w:rPr>
        <w:t xml:space="preserve"> Comments on the Scoping Memo at </w:t>
      </w:r>
      <w:r w:rsidR="00E65683" w:rsidRPr="00BA565B">
        <w:rPr>
          <w:szCs w:val="22"/>
        </w:rPr>
        <w:t>2</w:t>
      </w:r>
      <w:r w:rsidR="00E32324" w:rsidRPr="00BA565B">
        <w:rPr>
          <w:szCs w:val="22"/>
        </w:rPr>
        <w:t>;</w:t>
      </w:r>
      <w:r w:rsidR="00A35D6F" w:rsidRPr="00BA565B">
        <w:rPr>
          <w:szCs w:val="22"/>
        </w:rPr>
        <w:t xml:space="preserve"> EDF/NRDC Opening Comments on the Scoping Memo at </w:t>
      </w:r>
      <w:r w:rsidR="00EF11B5" w:rsidRPr="00BA565B">
        <w:rPr>
          <w:szCs w:val="22"/>
        </w:rPr>
        <w:t xml:space="preserve">3; </w:t>
      </w:r>
      <w:r w:rsidR="00E65683" w:rsidRPr="00BA565B">
        <w:rPr>
          <w:szCs w:val="22"/>
        </w:rPr>
        <w:t xml:space="preserve">Walmart </w:t>
      </w:r>
      <w:r w:rsidR="00646BB2" w:rsidRPr="00BA565B">
        <w:rPr>
          <w:szCs w:val="22"/>
        </w:rPr>
        <w:t xml:space="preserve">Opening Comments on the Scoping Memo at </w:t>
      </w:r>
      <w:r w:rsidR="006C5CE4" w:rsidRPr="00BA565B">
        <w:rPr>
          <w:szCs w:val="22"/>
        </w:rPr>
        <w:t>5-6</w:t>
      </w:r>
      <w:r w:rsidR="00912D64" w:rsidRPr="00BA565B">
        <w:rPr>
          <w:szCs w:val="22"/>
        </w:rPr>
        <w:t>.</w:t>
      </w:r>
    </w:p>
  </w:footnote>
  <w:footnote w:id="35">
    <w:p w14:paraId="1FA71D1D" w14:textId="3CC2C75D" w:rsidR="00A90BA2" w:rsidRPr="00BA565B" w:rsidRDefault="00A90BA2" w:rsidP="00BA565B">
      <w:pPr>
        <w:pStyle w:val="FootnoteText"/>
        <w:rPr>
          <w:szCs w:val="22"/>
        </w:rPr>
      </w:pPr>
      <w:r w:rsidRPr="00BA565B">
        <w:rPr>
          <w:rStyle w:val="FootnoteReference"/>
          <w:szCs w:val="22"/>
        </w:rPr>
        <w:footnoteRef/>
      </w:r>
      <w:r w:rsidRPr="00BA565B">
        <w:rPr>
          <w:szCs w:val="22"/>
        </w:rPr>
        <w:t xml:space="preserve"> </w:t>
      </w:r>
      <w:r w:rsidR="001F1A0E" w:rsidRPr="00BA565B">
        <w:rPr>
          <w:szCs w:val="22"/>
        </w:rPr>
        <w:t>CALSTART</w:t>
      </w:r>
      <w:r w:rsidR="0004422B" w:rsidRPr="00BA565B">
        <w:rPr>
          <w:szCs w:val="22"/>
        </w:rPr>
        <w:t xml:space="preserve"> Opening Comments on the Scoping Memo at </w:t>
      </w:r>
      <w:r w:rsidR="003C4845" w:rsidRPr="00BA565B">
        <w:rPr>
          <w:szCs w:val="22"/>
        </w:rPr>
        <w:t xml:space="preserve">6-7; </w:t>
      </w:r>
      <w:r w:rsidR="00412C02" w:rsidRPr="00BA565B">
        <w:rPr>
          <w:szCs w:val="22"/>
        </w:rPr>
        <w:t xml:space="preserve">CALSSA Opening Comments on the Scoping Memo at </w:t>
      </w:r>
      <w:r w:rsidR="00D05D9D" w:rsidRPr="00BA565B">
        <w:rPr>
          <w:szCs w:val="22"/>
        </w:rPr>
        <w:t>2</w:t>
      </w:r>
      <w:r w:rsidR="00290500" w:rsidRPr="00BA565B">
        <w:rPr>
          <w:szCs w:val="22"/>
        </w:rPr>
        <w:t xml:space="preserve">; </w:t>
      </w:r>
      <w:r w:rsidRPr="00BA565B">
        <w:rPr>
          <w:szCs w:val="22"/>
        </w:rPr>
        <w:t xml:space="preserve">Crown Castle Opening Comments on the Scoping Memo at </w:t>
      </w:r>
      <w:r w:rsidR="0004422B" w:rsidRPr="00BA565B">
        <w:rPr>
          <w:szCs w:val="22"/>
        </w:rPr>
        <w:t>4</w:t>
      </w:r>
      <w:r w:rsidR="00B40B68" w:rsidRPr="00BA565B">
        <w:rPr>
          <w:szCs w:val="22"/>
        </w:rPr>
        <w:t xml:space="preserve">; </w:t>
      </w:r>
      <w:r w:rsidR="00012428" w:rsidRPr="00BA565B">
        <w:rPr>
          <w:szCs w:val="22"/>
        </w:rPr>
        <w:t xml:space="preserve">PACT Opening Comments on the Scoping Memo at </w:t>
      </w:r>
      <w:r w:rsidR="00F40E21" w:rsidRPr="00BA565B">
        <w:rPr>
          <w:szCs w:val="22"/>
        </w:rPr>
        <w:t xml:space="preserve">9; </w:t>
      </w:r>
      <w:r w:rsidR="00EA3DB0" w:rsidRPr="00BA565B">
        <w:rPr>
          <w:szCs w:val="22"/>
        </w:rPr>
        <w:t xml:space="preserve">SEIA Opening Comments on the Scoping Memo at </w:t>
      </w:r>
      <w:r w:rsidR="00B40B68" w:rsidRPr="00BA565B">
        <w:rPr>
          <w:szCs w:val="22"/>
        </w:rPr>
        <w:t>3-4</w:t>
      </w:r>
      <w:r w:rsidR="00912D64" w:rsidRPr="00BA565B">
        <w:rPr>
          <w:szCs w:val="22"/>
        </w:rPr>
        <w:t>.</w:t>
      </w:r>
    </w:p>
  </w:footnote>
  <w:footnote w:id="36">
    <w:p w14:paraId="7E36F85B" w14:textId="333C4876" w:rsidR="009D79CB" w:rsidRPr="00BA565B" w:rsidRDefault="009D79CB" w:rsidP="00BA565B">
      <w:pPr>
        <w:pStyle w:val="FootnoteText"/>
        <w:rPr>
          <w:szCs w:val="22"/>
        </w:rPr>
      </w:pPr>
      <w:r w:rsidRPr="00BA565B">
        <w:rPr>
          <w:rStyle w:val="FootnoteReference"/>
          <w:szCs w:val="22"/>
        </w:rPr>
        <w:footnoteRef/>
      </w:r>
      <w:r w:rsidRPr="00BA565B">
        <w:rPr>
          <w:szCs w:val="22"/>
        </w:rPr>
        <w:t xml:space="preserve"> CALSTART Opening Comments on the Scoping Memo at 3.</w:t>
      </w:r>
    </w:p>
  </w:footnote>
  <w:footnote w:id="37">
    <w:p w14:paraId="625B7A6A" w14:textId="7078E351" w:rsidR="009D79CB" w:rsidRPr="00BA565B" w:rsidRDefault="009D79CB" w:rsidP="00BA565B">
      <w:pPr>
        <w:pStyle w:val="FootnoteText"/>
        <w:rPr>
          <w:szCs w:val="22"/>
        </w:rPr>
      </w:pPr>
      <w:r w:rsidRPr="00BA565B">
        <w:rPr>
          <w:rStyle w:val="FootnoteReference"/>
          <w:szCs w:val="22"/>
        </w:rPr>
        <w:footnoteRef/>
      </w:r>
      <w:r w:rsidRPr="00BA565B">
        <w:rPr>
          <w:szCs w:val="22"/>
        </w:rPr>
        <w:t xml:space="preserve"> Crown Castle Opening Comments on the Scoping Memo at 3.</w:t>
      </w:r>
    </w:p>
  </w:footnote>
  <w:footnote w:id="38">
    <w:p w14:paraId="66786D2B" w14:textId="7BDE6453" w:rsidR="00E007DA" w:rsidRPr="00BA565B" w:rsidRDefault="00E007DA" w:rsidP="00BA565B">
      <w:pPr>
        <w:pStyle w:val="FootnoteText"/>
        <w:rPr>
          <w:szCs w:val="22"/>
        </w:rPr>
      </w:pPr>
      <w:r w:rsidRPr="00BA565B">
        <w:rPr>
          <w:rStyle w:val="FootnoteReference"/>
          <w:szCs w:val="22"/>
        </w:rPr>
        <w:footnoteRef/>
      </w:r>
      <w:r w:rsidRPr="00BA565B">
        <w:rPr>
          <w:szCs w:val="22"/>
        </w:rPr>
        <w:t xml:space="preserve"> CalSSA Reply Comments on the Scoping Memo at 1-3.</w:t>
      </w:r>
    </w:p>
  </w:footnote>
  <w:footnote w:id="39">
    <w:p w14:paraId="4B12D842" w14:textId="0F403315" w:rsidR="00B50C61" w:rsidRPr="00BA565B" w:rsidRDefault="00B50C61" w:rsidP="00BA565B">
      <w:pPr>
        <w:pStyle w:val="FootnoteText"/>
        <w:rPr>
          <w:szCs w:val="22"/>
        </w:rPr>
      </w:pPr>
      <w:r w:rsidRPr="00BA565B">
        <w:rPr>
          <w:rStyle w:val="FootnoteReference"/>
          <w:szCs w:val="22"/>
        </w:rPr>
        <w:footnoteRef/>
      </w:r>
      <w:r w:rsidRPr="00BA565B">
        <w:rPr>
          <w:szCs w:val="22"/>
        </w:rPr>
        <w:t xml:space="preserve"> SDG&amp;E did not provide data related to the dependencies that could impact the timing of its completion of energization requests related to </w:t>
      </w:r>
      <w:r w:rsidR="0086711F" w:rsidRPr="00BA565B">
        <w:rPr>
          <w:szCs w:val="22"/>
        </w:rPr>
        <w:t xml:space="preserve">Electric </w:t>
      </w:r>
      <w:r w:rsidRPr="00BA565B">
        <w:rPr>
          <w:szCs w:val="22"/>
        </w:rPr>
        <w:t xml:space="preserve">Rules 15, 16, 15/16, and/or </w:t>
      </w:r>
      <w:r w:rsidR="0086711F" w:rsidRPr="00BA565B">
        <w:rPr>
          <w:szCs w:val="22"/>
        </w:rPr>
        <w:t xml:space="preserve">Electric </w:t>
      </w:r>
      <w:r w:rsidRPr="00BA565B">
        <w:rPr>
          <w:szCs w:val="22"/>
        </w:rPr>
        <w:t>Rule</w:t>
      </w:r>
      <w:r w:rsidR="005D0FB0">
        <w:rPr>
          <w:szCs w:val="22"/>
        </w:rPr>
        <w:t> </w:t>
      </w:r>
      <w:r w:rsidRPr="00BA565B">
        <w:rPr>
          <w:szCs w:val="22"/>
        </w:rPr>
        <w:t xml:space="preserve">45. The target established in this decision, as it relates to the dependencies step, is based on data provided by PG&amp;E and </w:t>
      </w:r>
      <w:r w:rsidR="00256407" w:rsidRPr="00BA565B">
        <w:rPr>
          <w:szCs w:val="22"/>
        </w:rPr>
        <w:t>SCE and</w:t>
      </w:r>
      <w:r w:rsidRPr="00BA565B">
        <w:rPr>
          <w:szCs w:val="22"/>
        </w:rPr>
        <w:t xml:space="preserve"> does not reflect any information (null value or otherwise) related to SDG&amp;E’s current </w:t>
      </w:r>
      <w:r w:rsidR="005A0E35" w:rsidRPr="00BA565B">
        <w:rPr>
          <w:szCs w:val="22"/>
        </w:rPr>
        <w:t>dependencies within their energization timeline(s)</w:t>
      </w:r>
      <w:r w:rsidRPr="00BA565B">
        <w:rPr>
          <w:szCs w:val="22"/>
        </w:rPr>
        <w:t>.</w:t>
      </w:r>
    </w:p>
  </w:footnote>
  <w:footnote w:id="40">
    <w:p w14:paraId="5301A901" w14:textId="45E70099" w:rsidR="00191940" w:rsidRPr="00BA565B" w:rsidRDefault="00191940" w:rsidP="00BA565B">
      <w:pPr>
        <w:pStyle w:val="FootnoteText"/>
        <w:rPr>
          <w:szCs w:val="22"/>
        </w:rPr>
      </w:pPr>
      <w:r w:rsidRPr="00BA565B">
        <w:rPr>
          <w:rStyle w:val="FootnoteReference"/>
          <w:szCs w:val="22"/>
        </w:rPr>
        <w:footnoteRef/>
      </w:r>
      <w:r w:rsidRPr="00BA565B">
        <w:rPr>
          <w:szCs w:val="22"/>
        </w:rPr>
        <w:t xml:space="preserve"> These targets apply only to the portions of the energization process(es) that are fully under the control of the </w:t>
      </w:r>
      <w:r w:rsidR="007E04DC">
        <w:rPr>
          <w:szCs w:val="22"/>
        </w:rPr>
        <w:t>large electric IOUs</w:t>
      </w:r>
      <w:r w:rsidRPr="00BA565B">
        <w:rPr>
          <w:szCs w:val="22"/>
        </w:rPr>
        <w:t>.</w:t>
      </w:r>
      <w:r w:rsidR="007E04DC">
        <w:rPr>
          <w:szCs w:val="22"/>
        </w:rPr>
        <w:t xml:space="preserve"> </w:t>
      </w:r>
      <w:r w:rsidR="007E04DC">
        <w:t>The data received from the large electric IOUs was converted between calendar days and business days as necessary according to the formula Business Day = [(4.8/7)*Calendar Day].</w:t>
      </w:r>
    </w:p>
  </w:footnote>
  <w:footnote w:id="41">
    <w:p w14:paraId="12B51F10" w14:textId="1F1932F5" w:rsidR="006819B5" w:rsidRPr="00BA565B" w:rsidRDefault="006819B5" w:rsidP="00BA565B">
      <w:pPr>
        <w:pStyle w:val="FootnoteText"/>
        <w:rPr>
          <w:szCs w:val="22"/>
        </w:rPr>
      </w:pPr>
      <w:r w:rsidRPr="00BA565B">
        <w:rPr>
          <w:rStyle w:val="FootnoteReference"/>
          <w:szCs w:val="22"/>
        </w:rPr>
        <w:footnoteRef/>
      </w:r>
      <w:r w:rsidRPr="00BA565B">
        <w:rPr>
          <w:szCs w:val="22"/>
        </w:rPr>
        <w:t xml:space="preserve"> PG&amp;E and SCE’s EV infrastructure tariffs are </w:t>
      </w:r>
      <w:r w:rsidR="00A819FC" w:rsidRPr="00BA565B">
        <w:rPr>
          <w:szCs w:val="22"/>
        </w:rPr>
        <w:t>identified as Electric Rule 29 for each large electric IOU. SDG&amp;E’s EV infrastructure tariff is identified as its Electric Rule 45.</w:t>
      </w:r>
    </w:p>
  </w:footnote>
  <w:footnote w:id="42">
    <w:p w14:paraId="242FFCA1" w14:textId="34D3504E" w:rsidR="69AD9DA9" w:rsidRDefault="69AD9DA9" w:rsidP="69AD9DA9">
      <w:pPr>
        <w:pStyle w:val="FootnoteText"/>
      </w:pPr>
      <w:r w:rsidRPr="69AD9DA9">
        <w:rPr>
          <w:rStyle w:val="FootnoteReference"/>
        </w:rPr>
        <w:footnoteRef/>
      </w:r>
      <w:r>
        <w:t xml:space="preserve"> The Energization Timing Target adopted in Resolution E-5247 only applied to projects receiving service through Electric Rule 29/45, and excluded projects that required an Electric Rule 15 upgrade, exceeding 2MW of new load, and projects that triggered upstream capacity upgrades. This decision removes the exemptions, thus all Electric Rule 29/45 projects must meet the targets adopted in this decision.</w:t>
      </w:r>
    </w:p>
  </w:footnote>
  <w:footnote w:id="43">
    <w:p w14:paraId="76D74344" w14:textId="77777777" w:rsidR="0028216A" w:rsidRPr="00BA565B" w:rsidRDefault="0028216A" w:rsidP="00BA565B">
      <w:pPr>
        <w:pStyle w:val="FootnoteText"/>
        <w:rPr>
          <w:szCs w:val="22"/>
        </w:rPr>
      </w:pPr>
      <w:r w:rsidRPr="00BA565B">
        <w:rPr>
          <w:rStyle w:val="FootnoteReference"/>
          <w:szCs w:val="22"/>
        </w:rPr>
        <w:footnoteRef/>
      </w:r>
      <w:r w:rsidRPr="00BA565B">
        <w:rPr>
          <w:szCs w:val="22"/>
        </w:rPr>
        <w:t xml:space="preserve"> For example, if an Electric Rule 15 distribution upgrade is identified as a result of an Electric Rule 16 service upgrade request in the Engineering and Design phase, those projects can be considered separate and have timelines running independently starting at the time of tariff identification.</w:t>
      </w:r>
    </w:p>
  </w:footnote>
  <w:footnote w:id="44">
    <w:p w14:paraId="028CC7CC" w14:textId="48B013A4" w:rsidR="00191940" w:rsidRPr="00BA565B" w:rsidRDefault="00191940" w:rsidP="00BA565B">
      <w:pPr>
        <w:pStyle w:val="FootnoteText"/>
        <w:rPr>
          <w:szCs w:val="22"/>
        </w:rPr>
      </w:pPr>
      <w:r w:rsidRPr="00BA565B">
        <w:rPr>
          <w:rStyle w:val="FootnoteReference"/>
          <w:szCs w:val="22"/>
        </w:rPr>
        <w:footnoteRef/>
      </w:r>
      <w:r w:rsidRPr="00BA565B">
        <w:rPr>
          <w:szCs w:val="22"/>
        </w:rPr>
        <w:t xml:space="preserve"> These </w:t>
      </w:r>
      <w:r w:rsidR="00D574D3" w:rsidRPr="00BA565B">
        <w:rPr>
          <w:szCs w:val="22"/>
        </w:rPr>
        <w:t xml:space="preserve">maximum </w:t>
      </w:r>
      <w:r w:rsidRPr="00BA565B">
        <w:rPr>
          <w:szCs w:val="22"/>
        </w:rPr>
        <w:t xml:space="preserve">targets apply only to the portions of the energization process(es) that are fully under the control of the </w:t>
      </w:r>
      <w:r w:rsidR="00215EBF" w:rsidRPr="00BA565B">
        <w:rPr>
          <w:szCs w:val="22"/>
        </w:rPr>
        <w:t>large electric IOUs</w:t>
      </w:r>
      <w:r w:rsidRPr="00BA565B">
        <w:rPr>
          <w:szCs w:val="22"/>
        </w:rPr>
        <w:t>.</w:t>
      </w:r>
    </w:p>
  </w:footnote>
  <w:footnote w:id="45">
    <w:p w14:paraId="23F89565" w14:textId="6655BE38" w:rsidR="006D4787" w:rsidRPr="00912D64" w:rsidRDefault="006D4787" w:rsidP="006D4787">
      <w:pPr>
        <w:pStyle w:val="FootnoteText"/>
        <w:rPr>
          <w:szCs w:val="22"/>
        </w:rPr>
      </w:pPr>
      <w:r w:rsidRPr="00912D64">
        <w:rPr>
          <w:rStyle w:val="FootnoteReference"/>
          <w:szCs w:val="22"/>
        </w:rPr>
        <w:footnoteRef/>
      </w:r>
      <w:r w:rsidRPr="00912D64">
        <w:rPr>
          <w:szCs w:val="22"/>
        </w:rPr>
        <w:t xml:space="preserve"> Note: a negative rate of acceleration reflects that the utility is currently energizing customers at a faster rate than the target. The utility(ies) shall not slow down current processes if they currently process energization requests faster than the mandated target.</w:t>
      </w:r>
    </w:p>
  </w:footnote>
  <w:footnote w:id="46">
    <w:p w14:paraId="12881883" w14:textId="77777777" w:rsidR="006D4787" w:rsidRPr="00912D64" w:rsidRDefault="006D4787" w:rsidP="006D4787">
      <w:pPr>
        <w:pStyle w:val="FootnoteText"/>
        <w:rPr>
          <w:szCs w:val="22"/>
        </w:rPr>
      </w:pPr>
      <w:r w:rsidRPr="00912D64">
        <w:rPr>
          <w:rStyle w:val="FootnoteReference"/>
          <w:szCs w:val="22"/>
        </w:rPr>
        <w:footnoteRef/>
      </w:r>
      <w:r w:rsidRPr="00912D64">
        <w:rPr>
          <w:szCs w:val="22"/>
        </w:rPr>
        <w:t xml:space="preserve"> SDG&amp;E did not provide data for Step 3: Dependencies; therefore, the rates of acceleration are likely not entirely reflective of the change required to meet the timeline targets. Information on this and other assumptions used in interpreting the IOUs’ data can be found in </w:t>
      </w:r>
      <w:r w:rsidRPr="00405AC9">
        <w:rPr>
          <w:szCs w:val="22"/>
        </w:rPr>
        <w:t>Appendix A</w:t>
      </w:r>
      <w:r w:rsidRPr="001E072B">
        <w:rPr>
          <w:szCs w:val="22"/>
        </w:rPr>
        <w:t>.</w:t>
      </w:r>
      <w:r w:rsidRPr="00912D64">
        <w:rPr>
          <w:szCs w:val="22"/>
        </w:rPr>
        <w:t xml:space="preserve"> </w:t>
      </w:r>
    </w:p>
  </w:footnote>
  <w:footnote w:id="47">
    <w:p w14:paraId="1FFD7B3E" w14:textId="2B71FC45" w:rsidR="0016776E" w:rsidRDefault="0016776E" w:rsidP="0016776E">
      <w:pPr>
        <w:pStyle w:val="FootnoteText"/>
      </w:pPr>
      <w:r>
        <w:rPr>
          <w:rStyle w:val="FootnoteReference"/>
        </w:rPr>
        <w:footnoteRef/>
      </w:r>
      <w:r>
        <w:t xml:space="preserve"> Each </w:t>
      </w:r>
      <w:r w:rsidR="00AD1683">
        <w:t xml:space="preserve">large electric </w:t>
      </w:r>
      <w:r>
        <w:t xml:space="preserve">IOU’s current timelines for energization processes can be found in </w:t>
      </w:r>
      <w:r w:rsidRPr="00065C6E">
        <w:t xml:space="preserve">Appendix </w:t>
      </w:r>
      <w:r w:rsidR="00AD1683" w:rsidRPr="00065C6E">
        <w:t>A, Statewide Energization Timelines Analyses Report</w:t>
      </w:r>
      <w:r w:rsidRPr="00B27980">
        <w:t>.</w:t>
      </w:r>
      <w:r>
        <w:t xml:space="preserve"> </w:t>
      </w:r>
    </w:p>
  </w:footnote>
  <w:footnote w:id="48">
    <w:p w14:paraId="294812B3" w14:textId="77777777" w:rsidR="00502E08" w:rsidRDefault="00502E08" w:rsidP="00502E08">
      <w:pPr>
        <w:pStyle w:val="FootnoteText"/>
      </w:pPr>
      <w:r>
        <w:rPr>
          <w:rStyle w:val="FootnoteReference"/>
        </w:rPr>
        <w:footnoteRef/>
      </w:r>
      <w:r>
        <w:t xml:space="preserve"> CTIA Opening Comments on R.24-01-018 at 4; Joint EV Industry Parties Opening Comments on R.24-01-018 at 9; EDF/NRDC Opening Comments on R.24-01-018 at 9; PACT Opening Comments on R.24-01-018 at 7; CBD Opening Comments on R.24-01-018 at 5; CUE Opening Comments on R.24-01-018 at 4; SBUA Opening Comments on R.24-01-018 at 3.</w:t>
      </w:r>
    </w:p>
  </w:footnote>
  <w:footnote w:id="49">
    <w:p w14:paraId="1EE8D159" w14:textId="77777777" w:rsidR="00AD1683" w:rsidRPr="00BA565B" w:rsidRDefault="00AD1683" w:rsidP="00AD1683">
      <w:pPr>
        <w:pStyle w:val="FootnoteText"/>
        <w:rPr>
          <w:szCs w:val="22"/>
        </w:rPr>
      </w:pPr>
      <w:r w:rsidRPr="00BA565B">
        <w:rPr>
          <w:rStyle w:val="FootnoteReference"/>
          <w:szCs w:val="22"/>
        </w:rPr>
        <w:footnoteRef/>
      </w:r>
      <w:r w:rsidRPr="00BA565B">
        <w:rPr>
          <w:szCs w:val="22"/>
        </w:rPr>
        <w:t xml:space="preserve"> CTIA Opening Comments on R.24-01-018 at 4; Joint EV Industry Parties Opening Comments on R.24-01-018 at 9; EDF/NRDC Opening Comments on R.24-01-018 at 9; PACT Opening Comments on R.24-01-018 at 7; CBD Opening Comments on R.24-01-018 at 5; CUE Opening Comments on R.24-01-018 at 4; SBUA Opening Comments on R.24-01-018 at 3.</w:t>
      </w:r>
    </w:p>
  </w:footnote>
  <w:footnote w:id="50">
    <w:p w14:paraId="101394A8" w14:textId="126A43BE" w:rsidR="00DA3EC7" w:rsidRPr="00BA565B" w:rsidRDefault="00DA3EC7" w:rsidP="00BA565B">
      <w:pPr>
        <w:pStyle w:val="FootnoteText"/>
        <w:rPr>
          <w:szCs w:val="22"/>
        </w:rPr>
      </w:pPr>
      <w:r w:rsidRPr="00BA565B">
        <w:rPr>
          <w:rStyle w:val="FootnoteReference"/>
          <w:szCs w:val="22"/>
        </w:rPr>
        <w:footnoteRef/>
      </w:r>
      <w:r w:rsidRPr="00BA565B">
        <w:rPr>
          <w:szCs w:val="22"/>
        </w:rPr>
        <w:t xml:space="preserve"> </w:t>
      </w:r>
      <w:r w:rsidR="009F7890" w:rsidRPr="00BA565B">
        <w:rPr>
          <w:szCs w:val="22"/>
        </w:rPr>
        <w:t xml:space="preserve">SCE Reply Comments on the Scoping Memo </w:t>
      </w:r>
      <w:r w:rsidR="008B6A35" w:rsidRPr="00BA565B">
        <w:rPr>
          <w:szCs w:val="22"/>
        </w:rPr>
        <w:t xml:space="preserve">at 5; </w:t>
      </w:r>
      <w:r w:rsidR="00A40719" w:rsidRPr="00BA565B">
        <w:rPr>
          <w:szCs w:val="22"/>
        </w:rPr>
        <w:t>SDG&amp;E Reply Comments on the Scoping Memo at 4-6.</w:t>
      </w:r>
    </w:p>
  </w:footnote>
  <w:footnote w:id="51">
    <w:p w14:paraId="15F01BF2" w14:textId="52D51955" w:rsidR="1A249E9A" w:rsidRDefault="1A249E9A" w:rsidP="001D1428">
      <w:pPr>
        <w:pStyle w:val="FootnoteText"/>
      </w:pPr>
      <w:r w:rsidRPr="1A249E9A">
        <w:rPr>
          <w:rStyle w:val="FootnoteReference"/>
        </w:rPr>
        <w:footnoteRef/>
      </w:r>
      <w:r w:rsidRPr="1A249E9A">
        <w:rPr>
          <w:rStyle w:val="FootnoteReference"/>
        </w:rPr>
        <w:t xml:space="preserve"> </w:t>
      </w:r>
      <w:r>
        <w:t>These regulations focus on the electrification of medium- and heavy-duty vehicle fleets to reduce transportation-related emissions.</w:t>
      </w:r>
    </w:p>
  </w:footnote>
  <w:footnote w:id="52">
    <w:p w14:paraId="7A78B3F1" w14:textId="77777777" w:rsidR="000C41B3" w:rsidRDefault="000C41B3" w:rsidP="000C41B3">
      <w:pPr>
        <w:pStyle w:val="FootnoteText"/>
      </w:pPr>
      <w:r>
        <w:rPr>
          <w:rStyle w:val="FootnoteReference"/>
        </w:rPr>
        <w:footnoteRef/>
      </w:r>
      <w:r>
        <w:t xml:space="preserve"> IREC’s Opening Comments on the PD at 14.</w:t>
      </w:r>
    </w:p>
  </w:footnote>
  <w:footnote w:id="53">
    <w:p w14:paraId="7A70E274" w14:textId="23E1801B" w:rsidR="000E42E6" w:rsidRPr="00BA565B" w:rsidRDefault="000E42E6" w:rsidP="00BA565B">
      <w:pPr>
        <w:pStyle w:val="FootnoteText"/>
        <w:rPr>
          <w:szCs w:val="22"/>
        </w:rPr>
      </w:pPr>
      <w:r w:rsidRPr="00BA565B">
        <w:rPr>
          <w:rStyle w:val="FootnoteReference"/>
          <w:szCs w:val="22"/>
        </w:rPr>
        <w:footnoteRef/>
      </w:r>
      <w:r w:rsidR="0E15660C" w:rsidRPr="00BA565B">
        <w:rPr>
          <w:szCs w:val="22"/>
        </w:rPr>
        <w:t xml:space="preserve"> </w:t>
      </w:r>
      <w:r w:rsidR="005934AE" w:rsidRPr="00BA565B">
        <w:rPr>
          <w:szCs w:val="22"/>
        </w:rPr>
        <w:t>These projects would include, for example,</w:t>
      </w:r>
      <w:r w:rsidR="0E15660C" w:rsidRPr="00BA565B">
        <w:rPr>
          <w:szCs w:val="22"/>
        </w:rPr>
        <w:t xml:space="preserve"> a main panel upgrade that does not require any front-of-the-meter upgrades or upgrades to a service line. </w:t>
      </w:r>
      <w:r w:rsidR="1FFC4757" w:rsidRPr="00BA565B">
        <w:rPr>
          <w:szCs w:val="22"/>
        </w:rPr>
        <w:t xml:space="preserve">All upgrades that </w:t>
      </w:r>
      <w:r w:rsidR="2B650DB5" w:rsidRPr="00BA565B">
        <w:rPr>
          <w:szCs w:val="22"/>
        </w:rPr>
        <w:t xml:space="preserve">increase the amperage </w:t>
      </w:r>
      <w:r w:rsidR="3D86F39B" w:rsidRPr="00BA565B">
        <w:rPr>
          <w:szCs w:val="22"/>
        </w:rPr>
        <w:t xml:space="preserve">capacity from the pole to </w:t>
      </w:r>
      <w:r w:rsidR="6FD0FB07" w:rsidRPr="00BA565B">
        <w:rPr>
          <w:szCs w:val="22"/>
        </w:rPr>
        <w:t>the residential meter</w:t>
      </w:r>
      <w:r w:rsidR="50E2634C" w:rsidRPr="00BA565B">
        <w:rPr>
          <w:szCs w:val="22"/>
        </w:rPr>
        <w:t xml:space="preserve"> require a </w:t>
      </w:r>
      <w:r w:rsidR="0CB21937" w:rsidRPr="00BA565B">
        <w:rPr>
          <w:szCs w:val="22"/>
        </w:rPr>
        <w:t xml:space="preserve">main </w:t>
      </w:r>
      <w:r w:rsidR="395BB605" w:rsidRPr="00BA565B">
        <w:rPr>
          <w:szCs w:val="22"/>
        </w:rPr>
        <w:t xml:space="preserve">panel </w:t>
      </w:r>
      <w:r w:rsidR="20A22119" w:rsidRPr="00BA565B">
        <w:rPr>
          <w:szCs w:val="22"/>
        </w:rPr>
        <w:t xml:space="preserve">upgrade. </w:t>
      </w:r>
      <w:r w:rsidR="5DD75E0F" w:rsidRPr="00BA565B">
        <w:rPr>
          <w:i/>
          <w:iCs/>
          <w:szCs w:val="22"/>
        </w:rPr>
        <w:t xml:space="preserve">See </w:t>
      </w:r>
      <w:r w:rsidR="5DD75E0F" w:rsidRPr="00BA565B">
        <w:rPr>
          <w:szCs w:val="22"/>
        </w:rPr>
        <w:t xml:space="preserve">SEIA </w:t>
      </w:r>
      <w:r w:rsidR="00EF6647" w:rsidRPr="00BA565B">
        <w:rPr>
          <w:szCs w:val="22"/>
        </w:rPr>
        <w:t>Opening Comment</w:t>
      </w:r>
      <w:r w:rsidR="269BA656" w:rsidRPr="00BA565B">
        <w:rPr>
          <w:szCs w:val="22"/>
        </w:rPr>
        <w:t>s on R.24</w:t>
      </w:r>
      <w:r w:rsidR="13D8A462" w:rsidRPr="00BA565B">
        <w:rPr>
          <w:szCs w:val="22"/>
        </w:rPr>
        <w:t xml:space="preserve">-01-018 </w:t>
      </w:r>
      <w:r w:rsidR="44F91AAA" w:rsidRPr="00BA565B">
        <w:rPr>
          <w:szCs w:val="22"/>
        </w:rPr>
        <w:t xml:space="preserve">at 2, </w:t>
      </w:r>
      <w:r w:rsidR="4535E385" w:rsidRPr="00BA565B">
        <w:rPr>
          <w:szCs w:val="22"/>
        </w:rPr>
        <w:t xml:space="preserve">footnote </w:t>
      </w:r>
      <w:r w:rsidR="46CC7F89" w:rsidRPr="00BA565B">
        <w:rPr>
          <w:szCs w:val="22"/>
        </w:rPr>
        <w:t xml:space="preserve">3, and SEIA </w:t>
      </w:r>
      <w:r w:rsidR="3C3D126D" w:rsidRPr="00BA565B">
        <w:rPr>
          <w:szCs w:val="22"/>
        </w:rPr>
        <w:t>opening comments on</w:t>
      </w:r>
      <w:r w:rsidR="51535CB0" w:rsidRPr="00BA565B">
        <w:rPr>
          <w:szCs w:val="22"/>
        </w:rPr>
        <w:t xml:space="preserve"> the Scoping </w:t>
      </w:r>
      <w:r w:rsidR="7FF60790" w:rsidRPr="00BA565B">
        <w:rPr>
          <w:szCs w:val="22"/>
        </w:rPr>
        <w:t>Memo</w:t>
      </w:r>
      <w:r w:rsidR="116D8C1E" w:rsidRPr="00BA565B">
        <w:rPr>
          <w:szCs w:val="22"/>
        </w:rPr>
        <w:t xml:space="preserve"> </w:t>
      </w:r>
      <w:r w:rsidR="71AB602A" w:rsidRPr="00BA565B">
        <w:rPr>
          <w:szCs w:val="22"/>
        </w:rPr>
        <w:t>at</w:t>
      </w:r>
      <w:r w:rsidR="553C0E4E" w:rsidRPr="00BA565B">
        <w:rPr>
          <w:szCs w:val="22"/>
        </w:rPr>
        <w:t xml:space="preserve"> </w:t>
      </w:r>
      <w:r w:rsidR="400102DE" w:rsidRPr="00BA565B">
        <w:rPr>
          <w:szCs w:val="22"/>
        </w:rPr>
        <w:t xml:space="preserve">2, footnote </w:t>
      </w:r>
      <w:r w:rsidR="233C6CBC" w:rsidRPr="00BA565B">
        <w:rPr>
          <w:szCs w:val="22"/>
        </w:rPr>
        <w:t>6</w:t>
      </w:r>
      <w:r w:rsidR="0028163A" w:rsidRPr="00BA565B">
        <w:rPr>
          <w:szCs w:val="22"/>
        </w:rPr>
        <w:t>, and Crown Castle</w:t>
      </w:r>
      <w:r w:rsidR="00410444" w:rsidRPr="00BA565B">
        <w:rPr>
          <w:szCs w:val="22"/>
        </w:rPr>
        <w:t xml:space="preserve"> </w:t>
      </w:r>
      <w:r w:rsidR="00EF6647" w:rsidRPr="00BA565B">
        <w:rPr>
          <w:szCs w:val="22"/>
        </w:rPr>
        <w:t>Opening Comment</w:t>
      </w:r>
      <w:r w:rsidR="00410444" w:rsidRPr="00BA565B">
        <w:rPr>
          <w:szCs w:val="22"/>
        </w:rPr>
        <w:t>s on the Scoping Memo at 2.</w:t>
      </w:r>
    </w:p>
  </w:footnote>
  <w:footnote w:id="54">
    <w:p w14:paraId="309C6A21" w14:textId="14931F81" w:rsidR="3CB01139" w:rsidRPr="00BA565B" w:rsidRDefault="3CB01139" w:rsidP="00BA565B">
      <w:pPr>
        <w:pStyle w:val="FootnoteText"/>
        <w:rPr>
          <w:szCs w:val="22"/>
        </w:rPr>
      </w:pPr>
      <w:r w:rsidRPr="00BA565B">
        <w:rPr>
          <w:rStyle w:val="FootnoteReference"/>
          <w:szCs w:val="22"/>
        </w:rPr>
        <w:footnoteRef/>
      </w:r>
      <w:r w:rsidRPr="00BA565B">
        <w:rPr>
          <w:szCs w:val="22"/>
        </w:rPr>
        <w:t xml:space="preserve"> SEIA </w:t>
      </w:r>
      <w:r w:rsidR="00EF6647" w:rsidRPr="00BA565B">
        <w:rPr>
          <w:szCs w:val="22"/>
        </w:rPr>
        <w:t>Opening Comment</w:t>
      </w:r>
      <w:r w:rsidRPr="00BA565B">
        <w:rPr>
          <w:szCs w:val="22"/>
        </w:rPr>
        <w:t>s on R.24-01-018 at 2-5.</w:t>
      </w:r>
    </w:p>
  </w:footnote>
  <w:footnote w:id="55">
    <w:p w14:paraId="4E7BCC16" w14:textId="1ED448F3" w:rsidR="382CE135" w:rsidRPr="00BA565B" w:rsidRDefault="382CE135" w:rsidP="00BA565B">
      <w:pPr>
        <w:pStyle w:val="FootnoteText"/>
        <w:rPr>
          <w:szCs w:val="22"/>
        </w:rPr>
      </w:pPr>
      <w:r w:rsidRPr="00BA565B">
        <w:rPr>
          <w:rStyle w:val="FootnoteReference"/>
          <w:szCs w:val="22"/>
        </w:rPr>
        <w:footnoteRef/>
      </w:r>
      <w:r w:rsidR="38C0D94F" w:rsidRPr="00BA565B">
        <w:rPr>
          <w:szCs w:val="22"/>
        </w:rPr>
        <w:t xml:space="preserve"> CalBroadband </w:t>
      </w:r>
      <w:r w:rsidR="00EF6647" w:rsidRPr="00BA565B">
        <w:rPr>
          <w:szCs w:val="22"/>
        </w:rPr>
        <w:t>Opening Comment</w:t>
      </w:r>
      <w:r w:rsidR="18F3A803" w:rsidRPr="00BA565B">
        <w:rPr>
          <w:szCs w:val="22"/>
        </w:rPr>
        <w:t>s on R</w:t>
      </w:r>
      <w:r w:rsidR="7B6A6BC3" w:rsidRPr="00BA565B">
        <w:rPr>
          <w:szCs w:val="22"/>
        </w:rPr>
        <w:t>.24-01</w:t>
      </w:r>
      <w:r w:rsidR="10C022EF" w:rsidRPr="00BA565B">
        <w:rPr>
          <w:szCs w:val="22"/>
        </w:rPr>
        <w:t xml:space="preserve">-018 </w:t>
      </w:r>
      <w:r w:rsidR="2F84F563" w:rsidRPr="00BA565B">
        <w:rPr>
          <w:szCs w:val="22"/>
        </w:rPr>
        <w:t>at</w:t>
      </w:r>
      <w:r w:rsidR="034F3990" w:rsidRPr="00BA565B">
        <w:rPr>
          <w:szCs w:val="22"/>
        </w:rPr>
        <w:t xml:space="preserve"> </w:t>
      </w:r>
      <w:r w:rsidR="3BED2B60" w:rsidRPr="00BA565B">
        <w:rPr>
          <w:szCs w:val="22"/>
        </w:rPr>
        <w:t>1</w:t>
      </w:r>
      <w:r w:rsidR="7BA3693F" w:rsidRPr="00BA565B">
        <w:rPr>
          <w:szCs w:val="22"/>
        </w:rPr>
        <w:t>-3.</w:t>
      </w:r>
    </w:p>
  </w:footnote>
  <w:footnote w:id="56">
    <w:p w14:paraId="7539BE68" w14:textId="6F8DA778" w:rsidR="454D0297" w:rsidRPr="00BA565B" w:rsidRDefault="454D0297" w:rsidP="00BA565B">
      <w:pPr>
        <w:pStyle w:val="FootnoteText"/>
        <w:rPr>
          <w:szCs w:val="22"/>
        </w:rPr>
      </w:pPr>
      <w:r w:rsidRPr="00BA565B">
        <w:rPr>
          <w:rStyle w:val="FootnoteReference"/>
          <w:szCs w:val="22"/>
        </w:rPr>
        <w:footnoteRef/>
      </w:r>
      <w:r w:rsidR="3ECCDD8E" w:rsidRPr="00BA565B">
        <w:rPr>
          <w:szCs w:val="22"/>
        </w:rPr>
        <w:t xml:space="preserve"> CalBroadband </w:t>
      </w:r>
      <w:r w:rsidR="00EF6647" w:rsidRPr="00BA565B">
        <w:rPr>
          <w:szCs w:val="22"/>
        </w:rPr>
        <w:t>Opening Comment</w:t>
      </w:r>
      <w:r w:rsidR="01333E80" w:rsidRPr="00BA565B">
        <w:rPr>
          <w:szCs w:val="22"/>
        </w:rPr>
        <w:t>s on the</w:t>
      </w:r>
      <w:r w:rsidR="0CBF72A2" w:rsidRPr="00BA565B">
        <w:rPr>
          <w:szCs w:val="22"/>
        </w:rPr>
        <w:t xml:space="preserve"> Scoping Memo at</w:t>
      </w:r>
      <w:r w:rsidR="3DBAF938" w:rsidRPr="00BA565B">
        <w:rPr>
          <w:szCs w:val="22"/>
        </w:rPr>
        <w:t xml:space="preserve"> </w:t>
      </w:r>
      <w:r w:rsidR="7888089F" w:rsidRPr="00BA565B">
        <w:rPr>
          <w:szCs w:val="22"/>
        </w:rPr>
        <w:t>4-5</w:t>
      </w:r>
      <w:r w:rsidR="22811962" w:rsidRPr="00BA565B">
        <w:rPr>
          <w:szCs w:val="22"/>
        </w:rPr>
        <w:t>.</w:t>
      </w:r>
    </w:p>
  </w:footnote>
  <w:footnote w:id="57">
    <w:p w14:paraId="43BB0A22" w14:textId="77777777" w:rsidR="00202D72" w:rsidRPr="00BA565B" w:rsidRDefault="00202D72" w:rsidP="00BA565B">
      <w:pPr>
        <w:pStyle w:val="FootnoteText"/>
        <w:rPr>
          <w:szCs w:val="22"/>
        </w:rPr>
      </w:pPr>
      <w:r w:rsidRPr="00BA565B">
        <w:rPr>
          <w:rStyle w:val="FootnoteReference"/>
          <w:szCs w:val="22"/>
        </w:rPr>
        <w:footnoteRef/>
      </w:r>
      <w:r w:rsidRPr="00BA565B">
        <w:rPr>
          <w:szCs w:val="22"/>
        </w:rPr>
        <w:t xml:space="preserve"> SEIA Opening Comments on R.24-01-018 at 10-11.</w:t>
      </w:r>
    </w:p>
  </w:footnote>
  <w:footnote w:id="58">
    <w:p w14:paraId="45D30007" w14:textId="4E5A9E16" w:rsidR="005D03B7" w:rsidRPr="00BA565B" w:rsidRDefault="005D03B7" w:rsidP="00BA565B">
      <w:pPr>
        <w:pStyle w:val="FootnoteText"/>
        <w:rPr>
          <w:szCs w:val="22"/>
        </w:rPr>
      </w:pPr>
      <w:r w:rsidRPr="00BA565B">
        <w:rPr>
          <w:rStyle w:val="FootnoteReference"/>
          <w:szCs w:val="22"/>
        </w:rPr>
        <w:footnoteRef/>
      </w:r>
      <w:r w:rsidRPr="00BA565B">
        <w:rPr>
          <w:szCs w:val="22"/>
        </w:rPr>
        <w:t xml:space="preserve"> SEIA </w:t>
      </w:r>
      <w:r w:rsidR="00EF6647" w:rsidRPr="00BA565B">
        <w:rPr>
          <w:szCs w:val="22"/>
        </w:rPr>
        <w:t>Opening Comment</w:t>
      </w:r>
      <w:r w:rsidRPr="00BA565B">
        <w:rPr>
          <w:szCs w:val="22"/>
        </w:rPr>
        <w:t>s on R.24-01-018 at 10.</w:t>
      </w:r>
    </w:p>
  </w:footnote>
  <w:footnote w:id="59">
    <w:p w14:paraId="0E6F7AE2" w14:textId="358B3B50" w:rsidR="009B6FBA" w:rsidRDefault="009B6FBA" w:rsidP="009B6FBA">
      <w:pPr>
        <w:pStyle w:val="FootnoteText"/>
      </w:pPr>
      <w:r>
        <w:rPr>
          <w:rStyle w:val="FootnoteReference"/>
        </w:rPr>
        <w:footnoteRef/>
      </w:r>
      <w:r>
        <w:t xml:space="preserve"> IREC Opening Comments on the PD at 5</w:t>
      </w:r>
      <w:r w:rsidR="00AF09EE">
        <w:t>.</w:t>
      </w:r>
    </w:p>
  </w:footnote>
  <w:footnote w:id="60">
    <w:p w14:paraId="1EC10048" w14:textId="2E73D42A" w:rsidR="00BC76E4" w:rsidRDefault="00BC76E4">
      <w:pPr>
        <w:pStyle w:val="FootnoteText"/>
      </w:pPr>
      <w:r>
        <w:rPr>
          <w:rStyle w:val="FootnoteReference"/>
        </w:rPr>
        <w:footnoteRef/>
      </w:r>
      <w:r>
        <w:t xml:space="preserve"> </w:t>
      </w:r>
      <w:r w:rsidR="007A3F7E">
        <w:t>Joint EV</w:t>
      </w:r>
      <w:r w:rsidR="00F77FEC">
        <w:t xml:space="preserve"> Industry Opening Comments</w:t>
      </w:r>
      <w:r w:rsidR="007A3F7E">
        <w:t xml:space="preserve"> </w:t>
      </w:r>
      <w:r w:rsidR="00541A50">
        <w:t xml:space="preserve">on the PD </w:t>
      </w:r>
      <w:r w:rsidR="007A3F7E">
        <w:t xml:space="preserve">at </w:t>
      </w:r>
      <w:r w:rsidR="00F77FEC">
        <w:t>9</w:t>
      </w:r>
    </w:p>
  </w:footnote>
  <w:footnote w:id="61">
    <w:p w14:paraId="62916E07" w14:textId="1531F314" w:rsidR="00526EBA" w:rsidRDefault="00526EBA" w:rsidP="00526EBA">
      <w:pPr>
        <w:pStyle w:val="FootnoteText"/>
      </w:pPr>
      <w:r>
        <w:rPr>
          <w:rStyle w:val="FootnoteReference"/>
        </w:rPr>
        <w:footnoteRef/>
      </w:r>
      <w:r>
        <w:t xml:space="preserve"> SDG&amp;E’s Opening Comments on the PD at 12</w:t>
      </w:r>
      <w:r w:rsidR="00AF09EE">
        <w:t>.</w:t>
      </w:r>
    </w:p>
  </w:footnote>
  <w:footnote w:id="62">
    <w:p w14:paraId="51D39D16" w14:textId="77777777" w:rsidR="00526EBA" w:rsidRDefault="00526EBA" w:rsidP="00526EBA">
      <w:pPr>
        <w:pStyle w:val="FootnoteText"/>
      </w:pPr>
      <w:r>
        <w:rPr>
          <w:rStyle w:val="FootnoteReference"/>
        </w:rPr>
        <w:footnoteRef/>
      </w:r>
      <w:r>
        <w:t xml:space="preserve"> SCE’s Opening Comments on the PD at 6.</w:t>
      </w:r>
    </w:p>
  </w:footnote>
  <w:footnote w:id="63">
    <w:p w14:paraId="381BC529" w14:textId="54ED9AE4" w:rsidR="000F556E" w:rsidRDefault="000F556E" w:rsidP="000F556E">
      <w:pPr>
        <w:pStyle w:val="FootnoteText"/>
      </w:pPr>
      <w:r>
        <w:rPr>
          <w:rStyle w:val="FootnoteReference"/>
        </w:rPr>
        <w:footnoteRef/>
      </w:r>
      <w:r>
        <w:t xml:space="preserve"> PG&amp;E’s Opening Comments at 6</w:t>
      </w:r>
      <w:r w:rsidR="00AF09EE">
        <w:t>.</w:t>
      </w:r>
    </w:p>
  </w:footnote>
  <w:footnote w:id="64">
    <w:p w14:paraId="00EEE932" w14:textId="0ADC3AF8" w:rsidR="003B4A34" w:rsidRDefault="003B4A34">
      <w:pPr>
        <w:pStyle w:val="FootnoteText"/>
      </w:pPr>
      <w:r>
        <w:rPr>
          <w:rStyle w:val="FootnoteReference"/>
        </w:rPr>
        <w:footnoteRef/>
      </w:r>
      <w:r>
        <w:t xml:space="preserve"> </w:t>
      </w:r>
      <w:r w:rsidR="00D24775">
        <w:t>SB 410</w:t>
      </w:r>
      <w:r w:rsidR="00841836">
        <w:t xml:space="preserve"> 93</w:t>
      </w:r>
      <w:r w:rsidR="00BF3C9A">
        <w:t>2(a)(</w:t>
      </w:r>
      <w:r w:rsidR="00F74076">
        <w:t>5)</w:t>
      </w:r>
      <w:r w:rsidR="00AF09EE">
        <w:t>.</w:t>
      </w:r>
    </w:p>
  </w:footnote>
  <w:footnote w:id="65">
    <w:p w14:paraId="752311B3" w14:textId="54D59E97" w:rsidR="00E61AF4" w:rsidRPr="00BA565B" w:rsidRDefault="00E61AF4" w:rsidP="00BA565B">
      <w:pPr>
        <w:pStyle w:val="FootnoteText"/>
        <w:rPr>
          <w:szCs w:val="22"/>
        </w:rPr>
      </w:pPr>
      <w:r w:rsidRPr="00BA565B">
        <w:rPr>
          <w:rStyle w:val="FootnoteReference"/>
          <w:szCs w:val="22"/>
        </w:rPr>
        <w:footnoteRef/>
      </w:r>
      <w:r w:rsidRPr="00BA565B">
        <w:rPr>
          <w:szCs w:val="22"/>
        </w:rPr>
        <w:t xml:space="preserve"> </w:t>
      </w:r>
      <w:r w:rsidR="003F09CC" w:rsidRPr="00BA565B">
        <w:rPr>
          <w:i/>
          <w:iCs/>
          <w:szCs w:val="22"/>
        </w:rPr>
        <w:t xml:space="preserve">See </w:t>
      </w:r>
      <w:r w:rsidR="00485B7C" w:rsidRPr="00BA565B">
        <w:rPr>
          <w:szCs w:val="22"/>
        </w:rPr>
        <w:t xml:space="preserve">EDF/NRDC Opening Comments on the Scoping Memo at 10, VGIC Opening Comments on the Scoping Memo at </w:t>
      </w:r>
      <w:r w:rsidR="00D970EF" w:rsidRPr="00BA565B">
        <w:rPr>
          <w:szCs w:val="22"/>
        </w:rPr>
        <w:t>5, and SCE Opening Comments on the Scoping Memo at 8-9.</w:t>
      </w:r>
    </w:p>
  </w:footnote>
  <w:footnote w:id="66">
    <w:p w14:paraId="3ABFD227" w14:textId="35B2B229" w:rsidR="003135A0" w:rsidRPr="00BA565B" w:rsidRDefault="003135A0" w:rsidP="00BA565B">
      <w:pPr>
        <w:pStyle w:val="FootnoteText"/>
        <w:rPr>
          <w:szCs w:val="22"/>
        </w:rPr>
      </w:pPr>
      <w:r w:rsidRPr="00BA565B">
        <w:rPr>
          <w:rStyle w:val="FootnoteReference"/>
          <w:szCs w:val="22"/>
        </w:rPr>
        <w:footnoteRef/>
      </w:r>
      <w:r w:rsidRPr="00BA565B">
        <w:rPr>
          <w:szCs w:val="22"/>
        </w:rPr>
        <w:t xml:space="preserve"> Constructing a new circuit can include any of the following: install a new 12 kilovolt (kV) circuit, install new 16 kV circuit, install a new 33 kV circuit, install a new or upgraded kilovolt ampere-reactive (kVAR) capacitor, install a new switch/sectionalizing, construct civil projects, and/or install a new circuit breaker. A single project could be as simple as installing a new 12</w:t>
      </w:r>
      <w:r w:rsidR="00DC331F">
        <w:rPr>
          <w:szCs w:val="22"/>
        </w:rPr>
        <w:t> </w:t>
      </w:r>
      <w:r w:rsidRPr="00BA565B">
        <w:rPr>
          <w:szCs w:val="22"/>
        </w:rPr>
        <w:t>kV circuit or require all of the steps listed above. When considering the variability of project complexity, data shows that the timeline for circuit upgrades that require many individual components is similar, on average, to the timeline to build a new circuit. Therefore, it is appropriate to combine the circuit upgrades and new circuits into a single category.</w:t>
      </w:r>
    </w:p>
  </w:footnote>
  <w:footnote w:id="67">
    <w:p w14:paraId="6BEE0512" w14:textId="77777777" w:rsidR="003135A0" w:rsidRPr="00BA565B" w:rsidRDefault="003135A0" w:rsidP="00BA565B">
      <w:pPr>
        <w:pStyle w:val="FootnoteText"/>
        <w:rPr>
          <w:szCs w:val="22"/>
        </w:rPr>
      </w:pPr>
      <w:r w:rsidRPr="00BA565B">
        <w:rPr>
          <w:rStyle w:val="FootnoteReference"/>
          <w:szCs w:val="22"/>
        </w:rPr>
        <w:footnoteRef/>
      </w:r>
      <w:r w:rsidRPr="00BA565B">
        <w:rPr>
          <w:szCs w:val="22"/>
        </w:rPr>
        <w:t xml:space="preserve"> Substation upgrades include any project within the substation fence of a preexisting substation. This includes but is not limited to projects to increase substation capacity, upgrade substation transformer, replace substation banks, and install new substation banks. Individual projects that include both substation upgrade work and new or upgraded circuit work shall fall into the substation upgrade category.</w:t>
      </w:r>
    </w:p>
  </w:footnote>
  <w:footnote w:id="68">
    <w:p w14:paraId="25457AC0" w14:textId="77777777" w:rsidR="003135A0" w:rsidRPr="00BA565B" w:rsidRDefault="003135A0" w:rsidP="00BA565B">
      <w:pPr>
        <w:pStyle w:val="FootnoteText"/>
        <w:rPr>
          <w:szCs w:val="22"/>
        </w:rPr>
      </w:pPr>
      <w:r w:rsidRPr="00BA565B">
        <w:rPr>
          <w:rStyle w:val="FootnoteReference"/>
          <w:szCs w:val="22"/>
        </w:rPr>
        <w:footnoteRef/>
      </w:r>
      <w:r w:rsidRPr="00BA565B">
        <w:rPr>
          <w:szCs w:val="22"/>
        </w:rPr>
        <w:t xml:space="preserve"> New substations include all projects in which a substation is built where one did not previously exist.</w:t>
      </w:r>
    </w:p>
  </w:footnote>
  <w:footnote w:id="69">
    <w:p w14:paraId="771A2507" w14:textId="77777777" w:rsidR="007C2D88" w:rsidRPr="00BA565B" w:rsidRDefault="007C2D88" w:rsidP="007C2D88">
      <w:pPr>
        <w:pStyle w:val="FootnoteText"/>
        <w:rPr>
          <w:szCs w:val="22"/>
        </w:rPr>
      </w:pPr>
      <w:r w:rsidRPr="00BA565B">
        <w:rPr>
          <w:rStyle w:val="FootnoteReference"/>
          <w:szCs w:val="22"/>
        </w:rPr>
        <w:footnoteRef/>
      </w:r>
      <w:r w:rsidRPr="00BA565B">
        <w:rPr>
          <w:szCs w:val="22"/>
        </w:rPr>
        <w:t xml:space="preserve"> </w:t>
      </w:r>
      <w:r w:rsidRPr="00BA565B">
        <w:rPr>
          <w:i/>
          <w:iCs/>
          <w:szCs w:val="22"/>
        </w:rPr>
        <w:t>See</w:t>
      </w:r>
      <w:r w:rsidRPr="00BA565B">
        <w:rPr>
          <w:szCs w:val="22"/>
        </w:rPr>
        <w:t xml:space="preserve"> CALSTART Opening Comments on the Scoping Memo at 4-5, PG&amp;E Opening Comments on the Scoping Memo at 10, SCE Opening Comments on the Scoping Memo at 10, EDF/NRDC Opening Comments on the Scoping Memo at 9.</w:t>
      </w:r>
    </w:p>
  </w:footnote>
  <w:footnote w:id="70">
    <w:p w14:paraId="2844B163" w14:textId="39F02E84" w:rsidR="000C05B9" w:rsidRDefault="000C05B9">
      <w:pPr>
        <w:pStyle w:val="FootnoteText"/>
      </w:pPr>
      <w:r>
        <w:rPr>
          <w:rStyle w:val="FootnoteReference"/>
        </w:rPr>
        <w:footnoteRef/>
      </w:r>
      <w:r>
        <w:t xml:space="preserve"> </w:t>
      </w:r>
      <w:r w:rsidR="00D7089D">
        <w:t>PG&amp;E Opening Comments</w:t>
      </w:r>
      <w:r w:rsidR="00502231">
        <w:t xml:space="preserve"> on the P</w:t>
      </w:r>
      <w:r w:rsidR="00397D21">
        <w:t xml:space="preserve">roposed </w:t>
      </w:r>
      <w:r w:rsidR="00502231">
        <w:t>D</w:t>
      </w:r>
      <w:r w:rsidR="00397D21">
        <w:t>ecision</w:t>
      </w:r>
      <w:r w:rsidR="00D7089D">
        <w:t xml:space="preserve"> at 7.</w:t>
      </w:r>
    </w:p>
  </w:footnote>
  <w:footnote w:id="71">
    <w:p w14:paraId="7A7EE09C" w14:textId="328078F0" w:rsidR="00725D4C" w:rsidRDefault="00725D4C" w:rsidP="00725D4C">
      <w:pPr>
        <w:pStyle w:val="FootnoteText"/>
      </w:pPr>
      <w:r>
        <w:rPr>
          <w:rStyle w:val="FootnoteReference"/>
        </w:rPr>
        <w:footnoteRef/>
      </w:r>
      <w:r>
        <w:t xml:space="preserve"> PG&amp;E Opening Comments on the P</w:t>
      </w:r>
      <w:r w:rsidR="00AF09EE">
        <w:t xml:space="preserve">roposed </w:t>
      </w:r>
      <w:r>
        <w:t>D</w:t>
      </w:r>
      <w:r w:rsidR="00AF09EE">
        <w:t>ecision</w:t>
      </w:r>
      <w:r>
        <w:t xml:space="preserve"> at 8.</w:t>
      </w:r>
    </w:p>
  </w:footnote>
  <w:footnote w:id="72">
    <w:p w14:paraId="72D3DADE" w14:textId="4F123708" w:rsidR="00720F4E" w:rsidRDefault="00720F4E">
      <w:pPr>
        <w:pStyle w:val="FootnoteText"/>
      </w:pPr>
      <w:r>
        <w:rPr>
          <w:rStyle w:val="FootnoteReference"/>
        </w:rPr>
        <w:footnoteRef/>
      </w:r>
      <w:r>
        <w:t xml:space="preserve"> </w:t>
      </w:r>
      <w:r w:rsidR="00015A42">
        <w:t>Joint EV Industry Opening Comments on P</w:t>
      </w:r>
      <w:r w:rsidR="00AF09EE">
        <w:t xml:space="preserve">roposed </w:t>
      </w:r>
      <w:r w:rsidR="00015A42">
        <w:t>D</w:t>
      </w:r>
      <w:r w:rsidR="00AF09EE">
        <w:t>ecision</w:t>
      </w:r>
      <w:r w:rsidR="00015A42">
        <w:t xml:space="preserve"> at 2.</w:t>
      </w:r>
    </w:p>
  </w:footnote>
  <w:footnote w:id="73">
    <w:p w14:paraId="373441A6" w14:textId="5548D743" w:rsidR="00536780" w:rsidRPr="00BA565B" w:rsidRDefault="00536780" w:rsidP="00BA565B">
      <w:pPr>
        <w:pStyle w:val="FootnoteText"/>
        <w:rPr>
          <w:szCs w:val="22"/>
        </w:rPr>
      </w:pPr>
      <w:r w:rsidRPr="00BA565B">
        <w:rPr>
          <w:rStyle w:val="FootnoteReference"/>
          <w:szCs w:val="22"/>
        </w:rPr>
        <w:footnoteRef/>
      </w:r>
      <w:r w:rsidRPr="00BA565B">
        <w:rPr>
          <w:szCs w:val="22"/>
        </w:rPr>
        <w:t xml:space="preserve"> EDF/NRDC </w:t>
      </w:r>
      <w:r w:rsidRPr="00BA565B">
        <w:rPr>
          <w:rFonts w:eastAsia="Calibri" w:cs="Calibri"/>
          <w:color w:val="000000" w:themeColor="text1"/>
          <w:szCs w:val="22"/>
        </w:rPr>
        <w:t>Open Comment at 9</w:t>
      </w:r>
      <w:r w:rsidR="007534F8" w:rsidRPr="00BA565B">
        <w:rPr>
          <w:rFonts w:eastAsia="Calibri" w:cs="Calibri"/>
          <w:color w:val="000000" w:themeColor="text1"/>
          <w:szCs w:val="22"/>
        </w:rPr>
        <w:t>.</w:t>
      </w:r>
    </w:p>
  </w:footnote>
  <w:footnote w:id="74">
    <w:p w14:paraId="4A6C010F" w14:textId="48766CCE" w:rsidR="00446BEE" w:rsidRPr="00BA565B" w:rsidRDefault="00446BEE" w:rsidP="00BA565B">
      <w:pPr>
        <w:pStyle w:val="FootnoteText"/>
        <w:rPr>
          <w:szCs w:val="22"/>
        </w:rPr>
      </w:pPr>
      <w:r w:rsidRPr="00BA565B">
        <w:rPr>
          <w:rStyle w:val="FootnoteReference"/>
          <w:szCs w:val="22"/>
        </w:rPr>
        <w:footnoteRef/>
      </w:r>
      <w:r w:rsidR="0058130C" w:rsidRPr="00BA565B">
        <w:rPr>
          <w:szCs w:val="22"/>
        </w:rPr>
        <w:t xml:space="preserve"> PG&amp;E did not provide data related to new substation projects. SDG&amp;E did not provide data related to substation upgrade or new substation projects. The timelines in Table 5 therefore reflect the fastest available timeline for the three upstream capacity project types that were provided by the large electric IOUs in the record of this proceeding.</w:t>
      </w:r>
    </w:p>
  </w:footnote>
  <w:footnote w:id="75">
    <w:p w14:paraId="05F0F6CA" w14:textId="433D2F4A" w:rsidR="00FE0C5D" w:rsidRDefault="00FE0C5D">
      <w:pPr>
        <w:pStyle w:val="FootnoteText"/>
      </w:pPr>
      <w:r>
        <w:rPr>
          <w:rStyle w:val="FootnoteReference"/>
        </w:rPr>
        <w:footnoteRef/>
      </w:r>
      <w:r>
        <w:t xml:space="preserve"> PG&amp;E Opening Comments on </w:t>
      </w:r>
      <w:r w:rsidR="00AD68CC">
        <w:t>the Proposed Decision</w:t>
      </w:r>
      <w:r>
        <w:t xml:space="preserve"> at 4.</w:t>
      </w:r>
    </w:p>
  </w:footnote>
  <w:footnote w:id="76">
    <w:p w14:paraId="2B619ABB" w14:textId="6C2E686C" w:rsidR="00B7443D" w:rsidRDefault="00B7443D">
      <w:pPr>
        <w:pStyle w:val="FootnoteText"/>
      </w:pPr>
      <w:r>
        <w:rPr>
          <w:rStyle w:val="FootnoteReference"/>
        </w:rPr>
        <w:footnoteRef/>
      </w:r>
      <w:r>
        <w:t xml:space="preserve"> PG&amp;E Opening Comments </w:t>
      </w:r>
      <w:r w:rsidR="00502231">
        <w:t>on the P</w:t>
      </w:r>
      <w:r w:rsidR="00AF09EE">
        <w:t xml:space="preserve">roposed </w:t>
      </w:r>
      <w:r w:rsidR="00502231">
        <w:t>D</w:t>
      </w:r>
      <w:r w:rsidR="00AF09EE">
        <w:t>ecision</w:t>
      </w:r>
      <w:r w:rsidR="00502231">
        <w:t xml:space="preserve"> </w:t>
      </w:r>
      <w:r>
        <w:t xml:space="preserve">at </w:t>
      </w:r>
      <w:r w:rsidR="00502231">
        <w:t>9.</w:t>
      </w:r>
    </w:p>
  </w:footnote>
  <w:footnote w:id="77">
    <w:p w14:paraId="52802A8C" w14:textId="5F2A1A54" w:rsidR="0086362E" w:rsidRPr="00BA565B" w:rsidRDefault="0086362E" w:rsidP="00BA565B">
      <w:pPr>
        <w:pStyle w:val="FootnoteText"/>
        <w:rPr>
          <w:szCs w:val="22"/>
        </w:rPr>
      </w:pPr>
      <w:r w:rsidRPr="00BA565B">
        <w:rPr>
          <w:rStyle w:val="FootnoteReference"/>
          <w:szCs w:val="22"/>
        </w:rPr>
        <w:footnoteRef/>
      </w:r>
      <w:r w:rsidRPr="00BA565B">
        <w:rPr>
          <w:szCs w:val="22"/>
        </w:rPr>
        <w:t xml:space="preserve"> </w:t>
      </w:r>
      <w:r w:rsidRPr="00BA565B">
        <w:rPr>
          <w:i/>
          <w:iCs/>
          <w:szCs w:val="22"/>
        </w:rPr>
        <w:t>See</w:t>
      </w:r>
      <w:r w:rsidR="00FC6444" w:rsidRPr="00BA565B">
        <w:rPr>
          <w:i/>
          <w:iCs/>
          <w:szCs w:val="22"/>
        </w:rPr>
        <w:t xml:space="preserve"> </w:t>
      </w:r>
      <w:r w:rsidR="00FC6444" w:rsidRPr="00BA565B">
        <w:rPr>
          <w:szCs w:val="22"/>
        </w:rPr>
        <w:t>The California Public Utilities Commission ESJ Action Plan, Version 2.0,</w:t>
      </w:r>
      <w:r w:rsidRPr="00BA565B">
        <w:rPr>
          <w:i/>
          <w:iCs/>
          <w:szCs w:val="22"/>
        </w:rPr>
        <w:t xml:space="preserve"> </w:t>
      </w:r>
      <w:r w:rsidRPr="00BA565B">
        <w:rPr>
          <w:szCs w:val="22"/>
        </w:rPr>
        <w:t xml:space="preserve">at 2. </w:t>
      </w:r>
    </w:p>
  </w:footnote>
  <w:footnote w:id="78">
    <w:p w14:paraId="1DB58B87" w14:textId="38D94DBF" w:rsidR="00CE12CB" w:rsidRPr="00BA565B" w:rsidRDefault="00CE12CB" w:rsidP="00BA565B">
      <w:pPr>
        <w:pStyle w:val="FootnoteText"/>
        <w:rPr>
          <w:szCs w:val="22"/>
        </w:rPr>
      </w:pPr>
      <w:r w:rsidRPr="00BA565B">
        <w:rPr>
          <w:rStyle w:val="FootnoteReference"/>
          <w:szCs w:val="22"/>
        </w:rPr>
        <w:footnoteRef/>
      </w:r>
      <w:r w:rsidRPr="00BA565B">
        <w:rPr>
          <w:szCs w:val="22"/>
        </w:rPr>
        <w:t xml:space="preserve"> </w:t>
      </w:r>
      <w:r w:rsidRPr="00BA565B">
        <w:rPr>
          <w:i/>
          <w:iCs/>
          <w:szCs w:val="22"/>
        </w:rPr>
        <w:t xml:space="preserve">See </w:t>
      </w:r>
      <w:r w:rsidRPr="00BA565B">
        <w:rPr>
          <w:szCs w:val="22"/>
        </w:rPr>
        <w:t>The California Public Utilities Commission ESJ Action Plan, Version 2.0,</w:t>
      </w:r>
      <w:r w:rsidRPr="00BA565B">
        <w:rPr>
          <w:i/>
          <w:iCs/>
          <w:szCs w:val="22"/>
        </w:rPr>
        <w:t xml:space="preserve"> </w:t>
      </w:r>
      <w:r w:rsidRPr="00BA565B">
        <w:rPr>
          <w:szCs w:val="22"/>
        </w:rPr>
        <w:t>at 24 and 35; EDF/NRDC Opening Comments on Scoping Memo at 10.</w:t>
      </w:r>
    </w:p>
  </w:footnote>
  <w:footnote w:id="79">
    <w:p w14:paraId="729B7152" w14:textId="1C09CD92" w:rsidR="19AF5387" w:rsidRPr="00BA565B" w:rsidRDefault="19AF5387" w:rsidP="00BA565B">
      <w:pPr>
        <w:pStyle w:val="FootnoteText"/>
        <w:rPr>
          <w:szCs w:val="22"/>
        </w:rPr>
      </w:pPr>
      <w:r w:rsidRPr="00BA565B">
        <w:rPr>
          <w:rStyle w:val="FootnoteReference"/>
          <w:szCs w:val="22"/>
        </w:rPr>
        <w:footnoteRef/>
      </w:r>
      <w:r w:rsidR="41E337B4" w:rsidRPr="00BA565B">
        <w:rPr>
          <w:szCs w:val="22"/>
        </w:rPr>
        <w:t xml:space="preserve"> Auto </w:t>
      </w:r>
      <w:r w:rsidR="2000BB35" w:rsidRPr="00BA565B">
        <w:rPr>
          <w:szCs w:val="22"/>
        </w:rPr>
        <w:t>Innovators</w:t>
      </w:r>
      <w:r w:rsidR="41E337B4" w:rsidRPr="00BA565B">
        <w:rPr>
          <w:szCs w:val="22"/>
        </w:rPr>
        <w:t xml:space="preserve"> Opening </w:t>
      </w:r>
      <w:r w:rsidR="6E0D79EE" w:rsidRPr="00BA565B">
        <w:rPr>
          <w:szCs w:val="22"/>
        </w:rPr>
        <w:t xml:space="preserve">Comments on Scoping </w:t>
      </w:r>
      <w:r w:rsidR="009532A0" w:rsidRPr="00BA565B">
        <w:rPr>
          <w:szCs w:val="22"/>
        </w:rPr>
        <w:t>Memo</w:t>
      </w:r>
      <w:r w:rsidR="6E0D79EE" w:rsidRPr="00BA565B">
        <w:rPr>
          <w:szCs w:val="22"/>
        </w:rPr>
        <w:t xml:space="preserve"> at</w:t>
      </w:r>
      <w:r w:rsidR="41E337B4" w:rsidRPr="00BA565B">
        <w:rPr>
          <w:szCs w:val="22"/>
        </w:rPr>
        <w:t xml:space="preserve"> 13</w:t>
      </w:r>
      <w:r w:rsidR="0E0854DB" w:rsidRPr="00BA565B">
        <w:rPr>
          <w:szCs w:val="22"/>
        </w:rPr>
        <w:t>.</w:t>
      </w:r>
    </w:p>
  </w:footnote>
  <w:footnote w:id="80">
    <w:p w14:paraId="10BE9734" w14:textId="18F6FDE2" w:rsidR="6B062E5D" w:rsidRPr="00BA565B" w:rsidRDefault="6B062E5D" w:rsidP="00BA565B">
      <w:pPr>
        <w:pStyle w:val="FootnoteText"/>
        <w:rPr>
          <w:szCs w:val="22"/>
        </w:rPr>
      </w:pPr>
      <w:r w:rsidRPr="00BA565B">
        <w:rPr>
          <w:rStyle w:val="FootnoteReference"/>
          <w:szCs w:val="22"/>
        </w:rPr>
        <w:footnoteRef/>
      </w:r>
      <w:r w:rsidR="2FE4F87F" w:rsidRPr="00BA565B">
        <w:rPr>
          <w:szCs w:val="22"/>
        </w:rPr>
        <w:t xml:space="preserve"> Crown Castle Opening Comments on Scoping </w:t>
      </w:r>
      <w:r w:rsidR="009532A0" w:rsidRPr="00BA565B">
        <w:rPr>
          <w:szCs w:val="22"/>
        </w:rPr>
        <w:t>Memo</w:t>
      </w:r>
      <w:r w:rsidR="4F7BC3D9" w:rsidRPr="00BA565B">
        <w:rPr>
          <w:szCs w:val="22"/>
        </w:rPr>
        <w:t xml:space="preserve"> at</w:t>
      </w:r>
      <w:r w:rsidR="6A61AAB5" w:rsidRPr="00BA565B">
        <w:rPr>
          <w:szCs w:val="22"/>
        </w:rPr>
        <w:t xml:space="preserve"> 11. </w:t>
      </w:r>
    </w:p>
  </w:footnote>
  <w:footnote w:id="81">
    <w:p w14:paraId="44164BFD" w14:textId="02381B62" w:rsidR="2C1E79D7" w:rsidRPr="00BA565B" w:rsidRDefault="2C1E79D7" w:rsidP="00BA565B">
      <w:pPr>
        <w:pStyle w:val="FootnoteText"/>
        <w:rPr>
          <w:szCs w:val="22"/>
        </w:rPr>
      </w:pPr>
      <w:r w:rsidRPr="00BA565B">
        <w:rPr>
          <w:rStyle w:val="FootnoteReference"/>
          <w:szCs w:val="22"/>
        </w:rPr>
        <w:footnoteRef/>
      </w:r>
      <w:r w:rsidRPr="00BA565B">
        <w:rPr>
          <w:szCs w:val="22"/>
        </w:rPr>
        <w:t xml:space="preserve"> EDF/NRDC Opening Comments on Scoping </w:t>
      </w:r>
      <w:r w:rsidR="009532A0" w:rsidRPr="00BA565B">
        <w:rPr>
          <w:szCs w:val="22"/>
        </w:rPr>
        <w:t>Memo</w:t>
      </w:r>
      <w:r w:rsidRPr="00BA565B">
        <w:rPr>
          <w:szCs w:val="22"/>
        </w:rPr>
        <w:t xml:space="preserve"> at 10. </w:t>
      </w:r>
    </w:p>
  </w:footnote>
  <w:footnote w:id="82">
    <w:p w14:paraId="5DC60C2D" w14:textId="76D5ABB1" w:rsidR="2C1E79D7" w:rsidRPr="00BA565B" w:rsidRDefault="2C1E79D7" w:rsidP="00BA565B">
      <w:pPr>
        <w:pStyle w:val="FootnoteText"/>
        <w:rPr>
          <w:szCs w:val="22"/>
        </w:rPr>
      </w:pPr>
      <w:r w:rsidRPr="00BA565B">
        <w:rPr>
          <w:rStyle w:val="FootnoteReference"/>
          <w:szCs w:val="22"/>
        </w:rPr>
        <w:footnoteRef/>
      </w:r>
      <w:r w:rsidRPr="00BA565B">
        <w:rPr>
          <w:szCs w:val="22"/>
        </w:rPr>
        <w:t xml:space="preserve"> EDF/NRDC Opening Comments on Scoping </w:t>
      </w:r>
      <w:r w:rsidR="009532A0" w:rsidRPr="00BA565B">
        <w:rPr>
          <w:szCs w:val="22"/>
        </w:rPr>
        <w:t>Memo</w:t>
      </w:r>
      <w:r w:rsidRPr="00BA565B">
        <w:rPr>
          <w:szCs w:val="22"/>
        </w:rPr>
        <w:t xml:space="preserve"> at 10. </w:t>
      </w:r>
    </w:p>
  </w:footnote>
  <w:footnote w:id="83">
    <w:p w14:paraId="452183E1" w14:textId="21A58209" w:rsidR="40571940" w:rsidRPr="00BA565B" w:rsidRDefault="40571940" w:rsidP="00BA565B">
      <w:pPr>
        <w:pStyle w:val="FootnoteText"/>
        <w:rPr>
          <w:szCs w:val="22"/>
        </w:rPr>
      </w:pPr>
      <w:r w:rsidRPr="00BA565B">
        <w:rPr>
          <w:rStyle w:val="FootnoteReference"/>
          <w:szCs w:val="22"/>
        </w:rPr>
        <w:footnoteRef/>
      </w:r>
      <w:r w:rsidRPr="00BA565B">
        <w:rPr>
          <w:szCs w:val="22"/>
        </w:rPr>
        <w:t xml:space="preserve"> CALSTART Opening Comments on Scoping Memo at 13. </w:t>
      </w:r>
    </w:p>
  </w:footnote>
  <w:footnote w:id="84">
    <w:p w14:paraId="25DAF7DE" w14:textId="0F32419F" w:rsidR="00F17DE6" w:rsidRPr="00BA565B" w:rsidRDefault="00F17DE6" w:rsidP="00BA565B">
      <w:pPr>
        <w:pStyle w:val="FootnoteText"/>
        <w:rPr>
          <w:szCs w:val="22"/>
        </w:rPr>
      </w:pPr>
      <w:r w:rsidRPr="00BA565B">
        <w:rPr>
          <w:rStyle w:val="FootnoteReference"/>
          <w:szCs w:val="22"/>
        </w:rPr>
        <w:footnoteRef/>
      </w:r>
      <w:r w:rsidRPr="00BA565B">
        <w:rPr>
          <w:szCs w:val="22"/>
        </w:rPr>
        <w:t xml:space="preserve"> </w:t>
      </w:r>
      <w:r w:rsidR="004437FB" w:rsidRPr="00BA565B">
        <w:rPr>
          <w:szCs w:val="22"/>
        </w:rPr>
        <w:t xml:space="preserve">PG&amp;E Opening Comments on Scoping Memo at 12, SCE Opening Comments on Scoping Memo at 11, </w:t>
      </w:r>
      <w:r w:rsidR="0060518B" w:rsidRPr="00BA565B">
        <w:rPr>
          <w:szCs w:val="22"/>
        </w:rPr>
        <w:t xml:space="preserve">and </w:t>
      </w:r>
      <w:r w:rsidR="004437FB" w:rsidRPr="00BA565B">
        <w:rPr>
          <w:szCs w:val="22"/>
        </w:rPr>
        <w:t>SDG&amp;E Opening Comments on Scoping Memo at 12.</w:t>
      </w:r>
    </w:p>
  </w:footnote>
  <w:footnote w:id="85">
    <w:p w14:paraId="4DFDA83A" w14:textId="20C8F0D2" w:rsidR="40571940" w:rsidRPr="00BA565B" w:rsidRDefault="40571940" w:rsidP="00BA565B">
      <w:pPr>
        <w:pStyle w:val="FootnoteText"/>
        <w:rPr>
          <w:szCs w:val="22"/>
        </w:rPr>
      </w:pPr>
      <w:r w:rsidRPr="00BA565B">
        <w:rPr>
          <w:rStyle w:val="FootnoteReference"/>
          <w:szCs w:val="22"/>
        </w:rPr>
        <w:footnoteRef/>
      </w:r>
      <w:r w:rsidRPr="00BA565B">
        <w:rPr>
          <w:szCs w:val="22"/>
        </w:rPr>
        <w:t xml:space="preserve"> SDG&amp;E Opening Comments on Scoping Memo at 12. </w:t>
      </w:r>
    </w:p>
  </w:footnote>
  <w:footnote w:id="86">
    <w:p w14:paraId="27514364" w14:textId="726B1AB2" w:rsidR="00346C07" w:rsidRPr="00BA565B" w:rsidRDefault="00346C07" w:rsidP="00BA565B">
      <w:pPr>
        <w:pStyle w:val="FootnoteText"/>
        <w:rPr>
          <w:szCs w:val="22"/>
        </w:rPr>
      </w:pPr>
      <w:r w:rsidRPr="00BA565B">
        <w:rPr>
          <w:rStyle w:val="FootnoteReference"/>
          <w:szCs w:val="22"/>
        </w:rPr>
        <w:footnoteRef/>
      </w:r>
      <w:r w:rsidRPr="00BA565B">
        <w:rPr>
          <w:szCs w:val="22"/>
        </w:rPr>
        <w:t xml:space="preserve"> </w:t>
      </w:r>
      <w:r w:rsidR="00CD377D" w:rsidRPr="00BA565B">
        <w:rPr>
          <w:szCs w:val="22"/>
        </w:rPr>
        <w:t xml:space="preserve">The California </w:t>
      </w:r>
      <w:r w:rsidR="00F351F4" w:rsidRPr="00BA565B">
        <w:rPr>
          <w:szCs w:val="22"/>
        </w:rPr>
        <w:t xml:space="preserve">Office of Environmental Health Hazard Assessment </w:t>
      </w:r>
      <w:r w:rsidR="000D3E11" w:rsidRPr="00BA565B">
        <w:rPr>
          <w:szCs w:val="22"/>
        </w:rPr>
        <w:t xml:space="preserve">oversees and updates CalEnviroScreen, which is a mapping tool that helps identify </w:t>
      </w:r>
      <w:r w:rsidR="00BB7C71" w:rsidRPr="00BA565B">
        <w:rPr>
          <w:szCs w:val="22"/>
        </w:rPr>
        <w:t xml:space="preserve">California communities most affected by pollution. </w:t>
      </w:r>
      <w:r w:rsidR="00852676" w:rsidRPr="00BA565B">
        <w:rPr>
          <w:szCs w:val="22"/>
        </w:rPr>
        <w:t xml:space="preserve">It provides a way to compare </w:t>
      </w:r>
      <w:r w:rsidR="00162BEE" w:rsidRPr="00BA565B">
        <w:rPr>
          <w:szCs w:val="22"/>
        </w:rPr>
        <w:t>how pollutants affect different communities and population centers.</w:t>
      </w:r>
      <w:r w:rsidR="00C74451" w:rsidRPr="00BA565B">
        <w:rPr>
          <w:szCs w:val="22"/>
        </w:rPr>
        <w:t xml:space="preserve"> </w:t>
      </w:r>
      <w:r w:rsidR="000572D4" w:rsidRPr="00BA565B">
        <w:rPr>
          <w:szCs w:val="22"/>
        </w:rPr>
        <w:t>D.22-08-023 implemented affordability metrics to be used across the Commission’s proceedings that consider the cost of essential utility service across all utilities and geographic areas of California.</w:t>
      </w:r>
    </w:p>
  </w:footnote>
  <w:footnote w:id="87">
    <w:p w14:paraId="1E91AC76" w14:textId="044A9069" w:rsidR="2A8C9D50" w:rsidRPr="00BA565B" w:rsidRDefault="2A8C9D50" w:rsidP="00BA565B">
      <w:pPr>
        <w:pStyle w:val="FootnoteText"/>
        <w:rPr>
          <w:szCs w:val="22"/>
        </w:rPr>
      </w:pPr>
      <w:r w:rsidRPr="00BA565B">
        <w:rPr>
          <w:rStyle w:val="FootnoteReference"/>
          <w:szCs w:val="22"/>
        </w:rPr>
        <w:footnoteRef/>
      </w:r>
      <w:r w:rsidRPr="00BA565B">
        <w:rPr>
          <w:szCs w:val="22"/>
        </w:rPr>
        <w:t xml:space="preserve"> CA Hydrogen Opening Comments on Scoping Memo at 11. </w:t>
      </w:r>
    </w:p>
  </w:footnote>
  <w:footnote w:id="88">
    <w:p w14:paraId="1EC53BD2" w14:textId="3FCBB8C9" w:rsidR="33040DC1" w:rsidRPr="00BA565B" w:rsidRDefault="33040DC1" w:rsidP="00BA565B">
      <w:pPr>
        <w:pStyle w:val="FootnoteText"/>
        <w:rPr>
          <w:szCs w:val="22"/>
        </w:rPr>
      </w:pPr>
      <w:r w:rsidRPr="00BA565B">
        <w:rPr>
          <w:rStyle w:val="FootnoteReference"/>
          <w:szCs w:val="22"/>
        </w:rPr>
        <w:footnoteRef/>
      </w:r>
      <w:r w:rsidR="2BC0AB7B" w:rsidRPr="00BA565B">
        <w:rPr>
          <w:szCs w:val="22"/>
        </w:rPr>
        <w:t xml:space="preserve"> Pub. Util. </w:t>
      </w:r>
      <w:r w:rsidR="6B75EC94" w:rsidRPr="00BA565B">
        <w:rPr>
          <w:szCs w:val="22"/>
        </w:rPr>
        <w:t xml:space="preserve">Code </w:t>
      </w:r>
      <w:r w:rsidR="001E072B" w:rsidRPr="00BA565B">
        <w:rPr>
          <w:szCs w:val="22"/>
        </w:rPr>
        <w:t>§</w:t>
      </w:r>
      <w:r w:rsidR="00376A95" w:rsidRPr="00BA565B">
        <w:rPr>
          <w:szCs w:val="22"/>
        </w:rPr>
        <w:t xml:space="preserve"> </w:t>
      </w:r>
      <w:r w:rsidR="6B75EC94" w:rsidRPr="00BA565B">
        <w:rPr>
          <w:szCs w:val="22"/>
        </w:rPr>
        <w:t>933.</w:t>
      </w:r>
      <w:r w:rsidR="18393E23" w:rsidRPr="00BA565B">
        <w:rPr>
          <w:szCs w:val="22"/>
        </w:rPr>
        <w:t>5(2</w:t>
      </w:r>
      <w:r w:rsidR="053B994F" w:rsidRPr="00BA565B">
        <w:rPr>
          <w:szCs w:val="22"/>
        </w:rPr>
        <w:t>)(</w:t>
      </w:r>
      <w:r w:rsidR="18393E23" w:rsidRPr="00BA565B">
        <w:rPr>
          <w:szCs w:val="22"/>
        </w:rPr>
        <w:t>B</w:t>
      </w:r>
      <w:r w:rsidR="3436CC44" w:rsidRPr="00BA565B">
        <w:rPr>
          <w:szCs w:val="22"/>
        </w:rPr>
        <w:t>)(i-iv</w:t>
      </w:r>
      <w:r w:rsidR="0C28C4AF" w:rsidRPr="00BA565B">
        <w:rPr>
          <w:szCs w:val="22"/>
        </w:rPr>
        <w:t xml:space="preserve">). </w:t>
      </w:r>
    </w:p>
  </w:footnote>
  <w:footnote w:id="89">
    <w:p w14:paraId="6F20EA02" w14:textId="43D52678" w:rsidR="009C0A23" w:rsidRPr="00BA565B" w:rsidRDefault="009C0A23" w:rsidP="00BA565B">
      <w:pPr>
        <w:pStyle w:val="FootnoteText"/>
        <w:rPr>
          <w:szCs w:val="22"/>
        </w:rPr>
      </w:pPr>
      <w:r w:rsidRPr="00BA565B">
        <w:rPr>
          <w:rStyle w:val="FootnoteReference"/>
          <w:szCs w:val="22"/>
        </w:rPr>
        <w:footnoteRef/>
      </w:r>
      <w:r w:rsidRPr="00BA565B">
        <w:rPr>
          <w:szCs w:val="22"/>
        </w:rPr>
        <w:t xml:space="preserve"> CalBroadband </w:t>
      </w:r>
      <w:r w:rsidR="008A380E" w:rsidRPr="00BA565B">
        <w:rPr>
          <w:szCs w:val="22"/>
        </w:rPr>
        <w:t xml:space="preserve">Opening Comments on </w:t>
      </w:r>
      <w:r w:rsidR="00473953" w:rsidRPr="00BA565B">
        <w:rPr>
          <w:szCs w:val="22"/>
        </w:rPr>
        <w:t xml:space="preserve">the </w:t>
      </w:r>
      <w:r w:rsidR="008A380E" w:rsidRPr="00BA565B">
        <w:rPr>
          <w:szCs w:val="22"/>
        </w:rPr>
        <w:t xml:space="preserve">Scoping Memo </w:t>
      </w:r>
      <w:r w:rsidRPr="00BA565B">
        <w:rPr>
          <w:szCs w:val="22"/>
        </w:rPr>
        <w:t xml:space="preserve">at 10-11; SCE </w:t>
      </w:r>
      <w:r w:rsidR="008A380E" w:rsidRPr="00BA565B">
        <w:rPr>
          <w:szCs w:val="22"/>
        </w:rPr>
        <w:t xml:space="preserve">Opening Comments on </w:t>
      </w:r>
      <w:r w:rsidR="00473953" w:rsidRPr="00BA565B">
        <w:rPr>
          <w:szCs w:val="22"/>
        </w:rPr>
        <w:t>the</w:t>
      </w:r>
      <w:r w:rsidR="008A380E" w:rsidRPr="00BA565B">
        <w:rPr>
          <w:szCs w:val="22"/>
        </w:rPr>
        <w:t xml:space="preserve"> Scoping Memo </w:t>
      </w:r>
      <w:r w:rsidRPr="00BA565B">
        <w:rPr>
          <w:szCs w:val="22"/>
        </w:rPr>
        <w:t>at 8-9</w:t>
      </w:r>
      <w:r w:rsidR="007D56F3" w:rsidRPr="00BA565B">
        <w:rPr>
          <w:szCs w:val="22"/>
        </w:rPr>
        <w:t xml:space="preserve">; </w:t>
      </w:r>
      <w:r w:rsidR="001F08BE" w:rsidRPr="00BA565B">
        <w:rPr>
          <w:szCs w:val="22"/>
        </w:rPr>
        <w:t xml:space="preserve">AEU </w:t>
      </w:r>
      <w:r w:rsidR="008A380E" w:rsidRPr="00BA565B">
        <w:rPr>
          <w:szCs w:val="22"/>
        </w:rPr>
        <w:t xml:space="preserve">Opening Comments on </w:t>
      </w:r>
      <w:r w:rsidR="00473953" w:rsidRPr="00BA565B">
        <w:rPr>
          <w:szCs w:val="22"/>
        </w:rPr>
        <w:t xml:space="preserve">the </w:t>
      </w:r>
      <w:r w:rsidR="008A380E" w:rsidRPr="00BA565B">
        <w:rPr>
          <w:szCs w:val="22"/>
        </w:rPr>
        <w:t xml:space="preserve">Scoping Memo </w:t>
      </w:r>
      <w:r w:rsidR="001F08BE" w:rsidRPr="00BA565B">
        <w:rPr>
          <w:szCs w:val="22"/>
        </w:rPr>
        <w:t>at 13-14</w:t>
      </w:r>
      <w:r w:rsidR="0068154C" w:rsidRPr="00BA565B">
        <w:rPr>
          <w:szCs w:val="22"/>
        </w:rPr>
        <w:t xml:space="preserve">; Cal.net OIR </w:t>
      </w:r>
      <w:r w:rsidR="008A380E" w:rsidRPr="00BA565B">
        <w:rPr>
          <w:szCs w:val="22"/>
        </w:rPr>
        <w:t>Opening</w:t>
      </w:r>
      <w:r w:rsidR="0068154C" w:rsidRPr="00BA565B">
        <w:rPr>
          <w:szCs w:val="22"/>
        </w:rPr>
        <w:t xml:space="preserve"> Comments at 3; Crown Castle OIR Reply Comments at </w:t>
      </w:r>
      <w:r w:rsidR="0038698F" w:rsidRPr="00BA565B">
        <w:rPr>
          <w:szCs w:val="22"/>
        </w:rPr>
        <w:t xml:space="preserve">6; Auto Innovators </w:t>
      </w:r>
      <w:r w:rsidR="004D384D" w:rsidRPr="00BA565B">
        <w:rPr>
          <w:szCs w:val="22"/>
        </w:rPr>
        <w:t xml:space="preserve">Opening Comments on </w:t>
      </w:r>
      <w:r w:rsidR="00473953" w:rsidRPr="00BA565B">
        <w:rPr>
          <w:szCs w:val="22"/>
        </w:rPr>
        <w:t xml:space="preserve">the </w:t>
      </w:r>
      <w:r w:rsidR="004D384D" w:rsidRPr="00BA565B">
        <w:rPr>
          <w:szCs w:val="22"/>
        </w:rPr>
        <w:t>Scoping Memo</w:t>
      </w:r>
      <w:r w:rsidR="0038698F" w:rsidRPr="00BA565B">
        <w:rPr>
          <w:szCs w:val="22"/>
        </w:rPr>
        <w:t xml:space="preserve"> at 13; </w:t>
      </w:r>
      <w:r w:rsidR="006360F2" w:rsidRPr="00BA565B">
        <w:rPr>
          <w:szCs w:val="22"/>
        </w:rPr>
        <w:t xml:space="preserve">CALSTART </w:t>
      </w:r>
      <w:r w:rsidR="004D384D" w:rsidRPr="00BA565B">
        <w:rPr>
          <w:szCs w:val="22"/>
        </w:rPr>
        <w:t xml:space="preserve">Opening Comments on </w:t>
      </w:r>
      <w:r w:rsidR="00473953" w:rsidRPr="00BA565B">
        <w:rPr>
          <w:szCs w:val="22"/>
        </w:rPr>
        <w:t xml:space="preserve">the </w:t>
      </w:r>
      <w:r w:rsidR="004D384D" w:rsidRPr="00BA565B">
        <w:rPr>
          <w:szCs w:val="22"/>
        </w:rPr>
        <w:t xml:space="preserve">Scoping Memo </w:t>
      </w:r>
      <w:r w:rsidR="006360F2" w:rsidRPr="00BA565B">
        <w:rPr>
          <w:szCs w:val="22"/>
        </w:rPr>
        <w:t xml:space="preserve">at 11-13; EDF/NRDC </w:t>
      </w:r>
      <w:r w:rsidR="00AE323B" w:rsidRPr="00BA565B">
        <w:rPr>
          <w:szCs w:val="22"/>
        </w:rPr>
        <w:t xml:space="preserve">Opening Comments on </w:t>
      </w:r>
      <w:r w:rsidR="00473953" w:rsidRPr="00BA565B">
        <w:rPr>
          <w:szCs w:val="22"/>
        </w:rPr>
        <w:t xml:space="preserve">the </w:t>
      </w:r>
      <w:r w:rsidR="00AE323B" w:rsidRPr="00BA565B">
        <w:rPr>
          <w:szCs w:val="22"/>
        </w:rPr>
        <w:t xml:space="preserve">Scoping Memo </w:t>
      </w:r>
      <w:r w:rsidR="006360F2" w:rsidRPr="00BA565B">
        <w:rPr>
          <w:szCs w:val="22"/>
        </w:rPr>
        <w:t>at 9-10;</w:t>
      </w:r>
      <w:r w:rsidR="0060518B" w:rsidRPr="00BA565B">
        <w:rPr>
          <w:szCs w:val="22"/>
        </w:rPr>
        <w:t xml:space="preserve"> and</w:t>
      </w:r>
      <w:r w:rsidR="006360F2" w:rsidRPr="00BA565B">
        <w:rPr>
          <w:szCs w:val="22"/>
        </w:rPr>
        <w:t xml:space="preserve"> Joint EV Industry </w:t>
      </w:r>
      <w:r w:rsidR="00AE323B" w:rsidRPr="00BA565B">
        <w:rPr>
          <w:szCs w:val="22"/>
        </w:rPr>
        <w:t xml:space="preserve">Opening Comments on </w:t>
      </w:r>
      <w:r w:rsidR="00473953" w:rsidRPr="00BA565B">
        <w:rPr>
          <w:szCs w:val="22"/>
        </w:rPr>
        <w:t xml:space="preserve">the </w:t>
      </w:r>
      <w:r w:rsidR="00AE323B" w:rsidRPr="00BA565B">
        <w:rPr>
          <w:szCs w:val="22"/>
        </w:rPr>
        <w:t xml:space="preserve">Scoping Memo </w:t>
      </w:r>
      <w:r w:rsidR="006360F2" w:rsidRPr="00BA565B">
        <w:rPr>
          <w:szCs w:val="22"/>
        </w:rPr>
        <w:t>at 8-9</w:t>
      </w:r>
      <w:r w:rsidR="00E27924" w:rsidRPr="00BA565B">
        <w:rPr>
          <w:szCs w:val="22"/>
        </w:rPr>
        <w:t>.</w:t>
      </w:r>
    </w:p>
  </w:footnote>
  <w:footnote w:id="90">
    <w:p w14:paraId="11F46ADB" w14:textId="6A9D3C8B" w:rsidR="36B71D21" w:rsidRPr="00BA565B" w:rsidRDefault="36B71D21" w:rsidP="00BA565B">
      <w:pPr>
        <w:pStyle w:val="FootnoteText"/>
        <w:rPr>
          <w:szCs w:val="22"/>
        </w:rPr>
      </w:pPr>
      <w:r w:rsidRPr="00BA565B">
        <w:rPr>
          <w:rStyle w:val="FootnoteReference"/>
          <w:szCs w:val="22"/>
        </w:rPr>
        <w:footnoteRef/>
      </w:r>
      <w:r w:rsidRPr="00BA565B">
        <w:rPr>
          <w:szCs w:val="22"/>
        </w:rPr>
        <w:t xml:space="preserve"> PACT Opening Comments on </w:t>
      </w:r>
      <w:r w:rsidR="00473953" w:rsidRPr="00BA565B">
        <w:rPr>
          <w:szCs w:val="22"/>
        </w:rPr>
        <w:t xml:space="preserve">the </w:t>
      </w:r>
      <w:r w:rsidRPr="00BA565B">
        <w:rPr>
          <w:szCs w:val="22"/>
        </w:rPr>
        <w:t xml:space="preserve">Scoping </w:t>
      </w:r>
      <w:r w:rsidR="009532A0" w:rsidRPr="00BA565B">
        <w:rPr>
          <w:szCs w:val="22"/>
        </w:rPr>
        <w:t>Memo</w:t>
      </w:r>
      <w:r w:rsidRPr="00BA565B">
        <w:rPr>
          <w:szCs w:val="22"/>
        </w:rPr>
        <w:t xml:space="preserve"> at 14.</w:t>
      </w:r>
    </w:p>
  </w:footnote>
  <w:footnote w:id="91">
    <w:p w14:paraId="49D9439C" w14:textId="4A04AC27" w:rsidR="36B71D21" w:rsidRPr="00BA565B" w:rsidRDefault="36B71D21" w:rsidP="00BA565B">
      <w:pPr>
        <w:pStyle w:val="FootnoteText"/>
        <w:rPr>
          <w:szCs w:val="22"/>
        </w:rPr>
      </w:pPr>
      <w:r w:rsidRPr="00BA565B">
        <w:rPr>
          <w:rStyle w:val="FootnoteReference"/>
          <w:szCs w:val="22"/>
        </w:rPr>
        <w:footnoteRef/>
      </w:r>
      <w:r w:rsidRPr="00BA565B">
        <w:rPr>
          <w:szCs w:val="22"/>
        </w:rPr>
        <w:t xml:space="preserve"> SPUR Opening Comments </w:t>
      </w:r>
      <w:r w:rsidR="006307C7" w:rsidRPr="00BA565B">
        <w:rPr>
          <w:szCs w:val="22"/>
        </w:rPr>
        <w:t>on the OIR</w:t>
      </w:r>
      <w:r w:rsidR="4C633030" w:rsidRPr="00BA565B">
        <w:rPr>
          <w:szCs w:val="22"/>
        </w:rPr>
        <w:t xml:space="preserve"> </w:t>
      </w:r>
      <w:r w:rsidR="733AE05B" w:rsidRPr="00BA565B">
        <w:rPr>
          <w:szCs w:val="22"/>
        </w:rPr>
        <w:t>at 3</w:t>
      </w:r>
      <w:r w:rsidRPr="00BA565B">
        <w:rPr>
          <w:szCs w:val="22"/>
        </w:rPr>
        <w:t xml:space="preserve"> to 4; CalCCA Opening Comments </w:t>
      </w:r>
      <w:r w:rsidR="006307C7" w:rsidRPr="00BA565B">
        <w:rPr>
          <w:szCs w:val="22"/>
        </w:rPr>
        <w:t xml:space="preserve">on the OIR </w:t>
      </w:r>
      <w:r w:rsidRPr="00BA565B">
        <w:rPr>
          <w:szCs w:val="22"/>
        </w:rPr>
        <w:t xml:space="preserve">at 6; CALSTART Reply Comments on OIR at 3; CALSSA Opening Comments </w:t>
      </w:r>
      <w:r w:rsidR="006307C7" w:rsidRPr="00BA565B">
        <w:rPr>
          <w:szCs w:val="22"/>
        </w:rPr>
        <w:t>on the OIR</w:t>
      </w:r>
      <w:r w:rsidR="3ACCB220" w:rsidRPr="00BA565B">
        <w:rPr>
          <w:szCs w:val="22"/>
        </w:rPr>
        <w:t xml:space="preserve"> </w:t>
      </w:r>
      <w:r w:rsidRPr="00BA565B">
        <w:rPr>
          <w:szCs w:val="22"/>
        </w:rPr>
        <w:t xml:space="preserve">at 6; ExteNet Opening </w:t>
      </w:r>
      <w:r w:rsidR="008A380E" w:rsidRPr="00BA565B">
        <w:rPr>
          <w:szCs w:val="22"/>
        </w:rPr>
        <w:t>Comments</w:t>
      </w:r>
      <w:r w:rsidR="006307C7" w:rsidRPr="00BA565B">
        <w:rPr>
          <w:szCs w:val="22"/>
        </w:rPr>
        <w:t xml:space="preserve"> on </w:t>
      </w:r>
      <w:r w:rsidR="00473953" w:rsidRPr="00BA565B">
        <w:rPr>
          <w:szCs w:val="22"/>
        </w:rPr>
        <w:t xml:space="preserve">the </w:t>
      </w:r>
      <w:r w:rsidR="004D384D" w:rsidRPr="00BA565B">
        <w:rPr>
          <w:szCs w:val="22"/>
        </w:rPr>
        <w:t xml:space="preserve">Scoping Memo </w:t>
      </w:r>
      <w:r w:rsidR="620A2DFD" w:rsidRPr="00BA565B">
        <w:rPr>
          <w:szCs w:val="22"/>
        </w:rPr>
        <w:t xml:space="preserve">at </w:t>
      </w:r>
      <w:r w:rsidRPr="00BA565B">
        <w:rPr>
          <w:szCs w:val="22"/>
        </w:rPr>
        <w:t xml:space="preserve">7; HAC Opening Comments on </w:t>
      </w:r>
      <w:r w:rsidR="00473953" w:rsidRPr="00BA565B">
        <w:rPr>
          <w:szCs w:val="22"/>
        </w:rPr>
        <w:t xml:space="preserve">the </w:t>
      </w:r>
      <w:r w:rsidRPr="00BA565B">
        <w:rPr>
          <w:szCs w:val="22"/>
        </w:rPr>
        <w:t xml:space="preserve">Scoping </w:t>
      </w:r>
      <w:r w:rsidR="009532A0" w:rsidRPr="00BA565B">
        <w:rPr>
          <w:szCs w:val="22"/>
        </w:rPr>
        <w:t>Memo</w:t>
      </w:r>
      <w:r w:rsidRPr="00BA565B">
        <w:rPr>
          <w:szCs w:val="22"/>
        </w:rPr>
        <w:t xml:space="preserve"> at 5; </w:t>
      </w:r>
      <w:r w:rsidR="0060518B" w:rsidRPr="00BA565B">
        <w:rPr>
          <w:szCs w:val="22"/>
        </w:rPr>
        <w:t xml:space="preserve">and </w:t>
      </w:r>
      <w:r w:rsidRPr="00BA565B">
        <w:rPr>
          <w:szCs w:val="22"/>
        </w:rPr>
        <w:t xml:space="preserve">IREC Opening Comments on </w:t>
      </w:r>
      <w:r w:rsidR="00473953" w:rsidRPr="00BA565B">
        <w:rPr>
          <w:szCs w:val="22"/>
        </w:rPr>
        <w:t xml:space="preserve">the </w:t>
      </w:r>
      <w:r w:rsidRPr="00BA565B">
        <w:rPr>
          <w:szCs w:val="22"/>
        </w:rPr>
        <w:t xml:space="preserve">Scoping </w:t>
      </w:r>
      <w:r w:rsidR="009532A0" w:rsidRPr="00BA565B">
        <w:rPr>
          <w:szCs w:val="22"/>
        </w:rPr>
        <w:t>Memo</w:t>
      </w:r>
      <w:r w:rsidRPr="00BA565B">
        <w:rPr>
          <w:szCs w:val="22"/>
        </w:rPr>
        <w:t xml:space="preserve"> at 12. </w:t>
      </w:r>
    </w:p>
  </w:footnote>
  <w:footnote w:id="92">
    <w:p w14:paraId="2779B552" w14:textId="67726D3C" w:rsidR="36B71D21" w:rsidRPr="00BA565B" w:rsidRDefault="36B71D21" w:rsidP="00BA565B">
      <w:pPr>
        <w:pStyle w:val="FootnoteText"/>
        <w:rPr>
          <w:szCs w:val="22"/>
        </w:rPr>
      </w:pPr>
      <w:r w:rsidRPr="00BA565B">
        <w:rPr>
          <w:rStyle w:val="FootnoteReference"/>
          <w:szCs w:val="22"/>
        </w:rPr>
        <w:footnoteRef/>
      </w:r>
      <w:r w:rsidRPr="00BA565B">
        <w:rPr>
          <w:szCs w:val="22"/>
        </w:rPr>
        <w:t xml:space="preserve"> Terawatt Opening Comments on </w:t>
      </w:r>
      <w:r w:rsidR="00473953" w:rsidRPr="00BA565B">
        <w:rPr>
          <w:szCs w:val="22"/>
        </w:rPr>
        <w:t xml:space="preserve">the </w:t>
      </w:r>
      <w:r w:rsidRPr="00BA565B">
        <w:rPr>
          <w:szCs w:val="22"/>
        </w:rPr>
        <w:t xml:space="preserve">Scoping </w:t>
      </w:r>
      <w:r w:rsidR="009532A0" w:rsidRPr="00BA565B">
        <w:rPr>
          <w:szCs w:val="22"/>
        </w:rPr>
        <w:t>Memo</w:t>
      </w:r>
      <w:r w:rsidRPr="00BA565B">
        <w:rPr>
          <w:szCs w:val="22"/>
        </w:rPr>
        <w:t xml:space="preserve"> at 8</w:t>
      </w:r>
      <w:r w:rsidR="008A380E" w:rsidRPr="00BA565B">
        <w:rPr>
          <w:szCs w:val="22"/>
        </w:rPr>
        <w:t>; VGIC</w:t>
      </w:r>
      <w:r w:rsidR="00E80BE7" w:rsidRPr="00BA565B">
        <w:rPr>
          <w:szCs w:val="22"/>
        </w:rPr>
        <w:t xml:space="preserve"> Opening Comments on </w:t>
      </w:r>
      <w:r w:rsidR="00473953" w:rsidRPr="00BA565B">
        <w:rPr>
          <w:szCs w:val="22"/>
        </w:rPr>
        <w:t xml:space="preserve">the </w:t>
      </w:r>
      <w:r w:rsidR="00E80BE7" w:rsidRPr="00BA565B">
        <w:rPr>
          <w:szCs w:val="22"/>
        </w:rPr>
        <w:t>Scoping Memo at</w:t>
      </w:r>
      <w:r w:rsidRPr="00BA565B">
        <w:rPr>
          <w:szCs w:val="22"/>
        </w:rPr>
        <w:t xml:space="preserve"> </w:t>
      </w:r>
      <w:r w:rsidR="00473953" w:rsidRPr="00BA565B">
        <w:rPr>
          <w:szCs w:val="22"/>
        </w:rPr>
        <w:t>9;</w:t>
      </w:r>
      <w:r w:rsidR="0060518B" w:rsidRPr="00BA565B">
        <w:rPr>
          <w:szCs w:val="22"/>
        </w:rPr>
        <w:t xml:space="preserve"> and</w:t>
      </w:r>
      <w:r w:rsidR="00473953" w:rsidRPr="00BA565B">
        <w:rPr>
          <w:szCs w:val="22"/>
        </w:rPr>
        <w:t xml:space="preserve"> Voltera Opening Comments on the Scoping Memo at 12.</w:t>
      </w:r>
    </w:p>
  </w:footnote>
  <w:footnote w:id="93">
    <w:p w14:paraId="66E0E665" w14:textId="4F726BBE" w:rsidR="3ED5BD86" w:rsidRPr="00BA565B" w:rsidRDefault="3ED5BD86" w:rsidP="00BA565B">
      <w:pPr>
        <w:pStyle w:val="FootnoteText"/>
        <w:rPr>
          <w:szCs w:val="22"/>
        </w:rPr>
      </w:pPr>
      <w:r w:rsidRPr="00BA565B">
        <w:rPr>
          <w:rStyle w:val="FootnoteReference"/>
          <w:szCs w:val="22"/>
        </w:rPr>
        <w:footnoteRef/>
      </w:r>
      <w:r w:rsidRPr="00BA565B">
        <w:rPr>
          <w:szCs w:val="22"/>
        </w:rPr>
        <w:t xml:space="preserve"> Alliance for Transportation Opening Comments on the Scoping Memo at 4; CMTA Opening on the Scoping Memo at 2;</w:t>
      </w:r>
      <w:r w:rsidR="0060518B" w:rsidRPr="00BA565B">
        <w:rPr>
          <w:szCs w:val="22"/>
        </w:rPr>
        <w:t xml:space="preserve"> and</w:t>
      </w:r>
      <w:r w:rsidRPr="00BA565B">
        <w:rPr>
          <w:szCs w:val="22"/>
        </w:rPr>
        <w:t xml:space="preserve"> PG&amp;E Opening Comments on the Scoping Memo at 1</w:t>
      </w:r>
      <w:r w:rsidR="00896628" w:rsidRPr="00BA565B">
        <w:rPr>
          <w:szCs w:val="22"/>
        </w:rPr>
        <w:t>.</w:t>
      </w:r>
      <w:r w:rsidRPr="00BA565B">
        <w:rPr>
          <w:szCs w:val="22"/>
        </w:rPr>
        <w:t xml:space="preserve"> </w:t>
      </w:r>
    </w:p>
  </w:footnote>
  <w:footnote w:id="94">
    <w:p w14:paraId="4CA5BFB9" w14:textId="77777777" w:rsidR="008053B8" w:rsidRPr="00BA565B" w:rsidRDefault="008053B8" w:rsidP="00BA565B">
      <w:pPr>
        <w:pStyle w:val="FootnoteText"/>
        <w:rPr>
          <w:szCs w:val="22"/>
        </w:rPr>
      </w:pPr>
      <w:r w:rsidRPr="00BA565B">
        <w:rPr>
          <w:rStyle w:val="FootnoteReference"/>
          <w:szCs w:val="22"/>
        </w:rPr>
        <w:footnoteRef/>
      </w:r>
      <w:r w:rsidRPr="00BA565B">
        <w:rPr>
          <w:szCs w:val="22"/>
        </w:rPr>
        <w:t xml:space="preserve"> AHJs can include local permitting authorities and/or local and tribal governments, and third parties could include homeowner associations and other parties that may affect the timing of site energization.</w:t>
      </w:r>
    </w:p>
  </w:footnote>
  <w:footnote w:id="95">
    <w:p w14:paraId="4BB7324D" w14:textId="77777777" w:rsidR="3ED5BD86" w:rsidRPr="00BA565B" w:rsidRDefault="3ED5BD86" w:rsidP="00BA565B">
      <w:pPr>
        <w:pStyle w:val="FootnoteText"/>
        <w:rPr>
          <w:szCs w:val="22"/>
        </w:rPr>
      </w:pPr>
      <w:r w:rsidRPr="00BA565B">
        <w:rPr>
          <w:rStyle w:val="FootnoteReference"/>
          <w:szCs w:val="22"/>
        </w:rPr>
        <w:footnoteRef/>
      </w:r>
      <w:r w:rsidRPr="00BA565B">
        <w:rPr>
          <w:szCs w:val="22"/>
        </w:rPr>
        <w:t xml:space="preserve"> SCE Opening Comments on the Scoping Memo at 1-3, SCE Reply Comments on the Scoping Memo at 3-4.</w:t>
      </w:r>
    </w:p>
  </w:footnote>
  <w:footnote w:id="96">
    <w:p w14:paraId="41CD19D5" w14:textId="773627F4" w:rsidR="00AD49A3" w:rsidRPr="00BA565B" w:rsidRDefault="00AD49A3" w:rsidP="00BA565B">
      <w:pPr>
        <w:pStyle w:val="FootnoteText"/>
        <w:rPr>
          <w:szCs w:val="22"/>
        </w:rPr>
      </w:pPr>
      <w:r w:rsidRPr="00BA565B">
        <w:rPr>
          <w:rStyle w:val="FootnoteReference"/>
          <w:szCs w:val="22"/>
        </w:rPr>
        <w:footnoteRef/>
      </w:r>
      <w:r w:rsidRPr="00BA565B">
        <w:rPr>
          <w:szCs w:val="22"/>
        </w:rPr>
        <w:t xml:space="preserve"> The template and directives adopted in this decision are no</w:t>
      </w:r>
      <w:r w:rsidR="005A1547" w:rsidRPr="00BA565B">
        <w:rPr>
          <w:szCs w:val="22"/>
        </w:rPr>
        <w:t xml:space="preserve">t intended to require any information technology or billing system upgrades; the utilities should instead use the systems already available to track the information sought in Appendix </w:t>
      </w:r>
      <w:r w:rsidR="005A0AF5" w:rsidRPr="00BA565B">
        <w:rPr>
          <w:szCs w:val="22"/>
        </w:rPr>
        <w:t xml:space="preserve">C </w:t>
      </w:r>
      <w:r w:rsidR="005A1547" w:rsidRPr="00BA565B">
        <w:rPr>
          <w:szCs w:val="22"/>
        </w:rPr>
        <w:t xml:space="preserve">and </w:t>
      </w:r>
      <w:r w:rsidR="00C1223A" w:rsidRPr="00BA565B">
        <w:rPr>
          <w:szCs w:val="22"/>
        </w:rPr>
        <w:t>provide a narrative explanation</w:t>
      </w:r>
      <w:r w:rsidR="008E683F" w:rsidRPr="00BA565B">
        <w:rPr>
          <w:szCs w:val="22"/>
        </w:rPr>
        <w:t xml:space="preserve"> </w:t>
      </w:r>
      <w:r w:rsidR="00675C9E" w:rsidRPr="00BA565B">
        <w:rPr>
          <w:szCs w:val="22"/>
        </w:rPr>
        <w:t xml:space="preserve">if the information collected does not meet the targets adopted in this decision. More discussion </w:t>
      </w:r>
      <w:r w:rsidR="00EB665D" w:rsidRPr="00BA565B">
        <w:rPr>
          <w:szCs w:val="22"/>
        </w:rPr>
        <w:t>on improving data collection efforts may be discussed in Phase 2 of this proceeding.</w:t>
      </w:r>
    </w:p>
  </w:footnote>
  <w:footnote w:id="97">
    <w:p w14:paraId="7EBE40DF" w14:textId="44BBFD4D" w:rsidR="003D7422" w:rsidRPr="00BA565B" w:rsidRDefault="003D7422" w:rsidP="00BA565B">
      <w:pPr>
        <w:pStyle w:val="FootnoteText"/>
        <w:rPr>
          <w:szCs w:val="22"/>
        </w:rPr>
      </w:pPr>
      <w:r w:rsidRPr="00BA565B">
        <w:rPr>
          <w:rStyle w:val="FootnoteReference"/>
          <w:szCs w:val="22"/>
        </w:rPr>
        <w:footnoteRef/>
      </w:r>
      <w:r w:rsidRPr="00BA565B">
        <w:rPr>
          <w:szCs w:val="22"/>
        </w:rPr>
        <w:t xml:space="preserve"> </w:t>
      </w:r>
      <w:r w:rsidR="00FE344A" w:rsidRPr="00BA565B">
        <w:rPr>
          <w:szCs w:val="22"/>
        </w:rPr>
        <w:t xml:space="preserve">AB 107 (Stats. 2024, Ch. 22, as amended by SB 108 (Stats. 2024 Ch. 35) </w:t>
      </w:r>
      <w:r w:rsidRPr="00BA565B">
        <w:rPr>
          <w:szCs w:val="22"/>
        </w:rPr>
        <w:t>, Item</w:t>
      </w:r>
      <w:r w:rsidR="00BA565B">
        <w:rPr>
          <w:szCs w:val="22"/>
        </w:rPr>
        <w:t> </w:t>
      </w:r>
      <w:r w:rsidRPr="00BA565B">
        <w:rPr>
          <w:szCs w:val="22"/>
        </w:rPr>
        <w:t>8660</w:t>
      </w:r>
      <w:r w:rsidR="00BA565B">
        <w:rPr>
          <w:szCs w:val="22"/>
        </w:rPr>
        <w:noBreakHyphen/>
      </w:r>
      <w:r w:rsidRPr="00BA565B">
        <w:rPr>
          <w:szCs w:val="22"/>
        </w:rPr>
        <w:t>001</w:t>
      </w:r>
      <w:r w:rsidR="00BA565B">
        <w:rPr>
          <w:szCs w:val="22"/>
        </w:rPr>
        <w:noBreakHyphen/>
      </w:r>
      <w:r w:rsidRPr="00BA565B">
        <w:rPr>
          <w:szCs w:val="22"/>
        </w:rPr>
        <w:t>0462(6).</w:t>
      </w:r>
    </w:p>
  </w:footnote>
  <w:footnote w:id="98">
    <w:p w14:paraId="1EC2C1DB" w14:textId="5FD73BA4" w:rsidR="7AD1EBB1" w:rsidRPr="00BA565B" w:rsidRDefault="7AD1EBB1" w:rsidP="00BA565B">
      <w:pPr>
        <w:pStyle w:val="FootnoteText"/>
        <w:rPr>
          <w:szCs w:val="22"/>
        </w:rPr>
      </w:pPr>
      <w:r w:rsidRPr="00BA565B">
        <w:rPr>
          <w:rStyle w:val="FootnoteReference"/>
          <w:szCs w:val="22"/>
        </w:rPr>
        <w:footnoteRef/>
      </w:r>
      <w:r w:rsidRPr="00BA565B">
        <w:rPr>
          <w:szCs w:val="22"/>
        </w:rPr>
        <w:t xml:space="preserve"> SCE Opening Comments on Scoping Memo at 7. </w:t>
      </w:r>
    </w:p>
  </w:footnote>
  <w:footnote w:id="99">
    <w:p w14:paraId="26608A16" w14:textId="2F3030F2" w:rsidR="7AD1EBB1" w:rsidRPr="00BA565B" w:rsidRDefault="7AD1EBB1" w:rsidP="00BA565B">
      <w:pPr>
        <w:pStyle w:val="FootnoteText"/>
        <w:rPr>
          <w:szCs w:val="22"/>
        </w:rPr>
      </w:pPr>
      <w:r w:rsidRPr="00BA565B">
        <w:rPr>
          <w:rStyle w:val="FootnoteReference"/>
          <w:szCs w:val="22"/>
        </w:rPr>
        <w:footnoteRef/>
      </w:r>
      <w:r w:rsidRPr="00BA565B">
        <w:rPr>
          <w:szCs w:val="22"/>
        </w:rPr>
        <w:t xml:space="preserve"> Walmart Opening Comments on Scoping Memo at 10. </w:t>
      </w:r>
    </w:p>
  </w:footnote>
  <w:footnote w:id="100">
    <w:p w14:paraId="662467D3" w14:textId="4EE160B4" w:rsidR="7AD1EBB1" w:rsidRPr="00BA565B" w:rsidRDefault="7AD1EBB1" w:rsidP="00BA565B">
      <w:pPr>
        <w:pStyle w:val="FootnoteText"/>
        <w:rPr>
          <w:szCs w:val="22"/>
        </w:rPr>
      </w:pPr>
      <w:r w:rsidRPr="00BA565B">
        <w:rPr>
          <w:rStyle w:val="FootnoteReference"/>
          <w:szCs w:val="22"/>
        </w:rPr>
        <w:footnoteRef/>
      </w:r>
      <w:r w:rsidRPr="00BA565B">
        <w:rPr>
          <w:szCs w:val="22"/>
        </w:rPr>
        <w:t xml:space="preserve"> Terawatt Opening Comments on Scoping Ruling at 7 to 8. </w:t>
      </w:r>
    </w:p>
  </w:footnote>
  <w:footnote w:id="101">
    <w:p w14:paraId="4CD774FE" w14:textId="3AF60E45" w:rsidR="7AD1EBB1" w:rsidRPr="00BA565B" w:rsidRDefault="7AD1EBB1" w:rsidP="00BA565B">
      <w:pPr>
        <w:pStyle w:val="FootnoteText"/>
        <w:rPr>
          <w:szCs w:val="22"/>
        </w:rPr>
      </w:pPr>
      <w:r w:rsidRPr="00BA565B">
        <w:rPr>
          <w:rStyle w:val="FootnoteReference"/>
          <w:szCs w:val="22"/>
        </w:rPr>
        <w:footnoteRef/>
      </w:r>
      <w:r w:rsidRPr="00BA565B">
        <w:rPr>
          <w:szCs w:val="22"/>
        </w:rPr>
        <w:t xml:space="preserve"> SDG&amp;E Opening Comments on Scoping Memo at 9.</w:t>
      </w:r>
    </w:p>
  </w:footnote>
  <w:footnote w:id="102">
    <w:p w14:paraId="1379E134" w14:textId="2D089C3F" w:rsidR="7AD1EBB1" w:rsidRPr="00BA565B" w:rsidRDefault="7AD1EBB1" w:rsidP="00BA565B">
      <w:pPr>
        <w:pStyle w:val="FootnoteText"/>
        <w:rPr>
          <w:szCs w:val="22"/>
        </w:rPr>
      </w:pPr>
      <w:r w:rsidRPr="00BA565B">
        <w:rPr>
          <w:rStyle w:val="FootnoteReference"/>
          <w:szCs w:val="22"/>
        </w:rPr>
        <w:footnoteRef/>
      </w:r>
      <w:r w:rsidRPr="00BA565B">
        <w:rPr>
          <w:szCs w:val="22"/>
        </w:rPr>
        <w:t xml:space="preserve"> PG&amp;E Opening Comments on Scoping Memo at 8.</w:t>
      </w:r>
    </w:p>
  </w:footnote>
  <w:footnote w:id="103">
    <w:p w14:paraId="1C315169" w14:textId="74D293DB" w:rsidR="7AD1EBB1" w:rsidRPr="00BA565B" w:rsidRDefault="7AD1EBB1" w:rsidP="00BA565B">
      <w:pPr>
        <w:pStyle w:val="FootnoteText"/>
        <w:rPr>
          <w:szCs w:val="22"/>
        </w:rPr>
      </w:pPr>
      <w:r w:rsidRPr="00BA565B">
        <w:rPr>
          <w:rStyle w:val="FootnoteReference"/>
          <w:szCs w:val="22"/>
        </w:rPr>
        <w:footnoteRef/>
      </w:r>
      <w:r w:rsidRPr="00BA565B">
        <w:rPr>
          <w:szCs w:val="22"/>
        </w:rPr>
        <w:t xml:space="preserve"> Crown Castle Opening Comments on Scoping Memo at 8.</w:t>
      </w:r>
    </w:p>
  </w:footnote>
  <w:footnote w:id="104">
    <w:p w14:paraId="4BC0622A" w14:textId="711F12E6" w:rsidR="00EB32DD" w:rsidRPr="00BA565B" w:rsidRDefault="00EB32DD" w:rsidP="00BA565B">
      <w:pPr>
        <w:pStyle w:val="FootnoteText"/>
        <w:rPr>
          <w:szCs w:val="22"/>
        </w:rPr>
      </w:pPr>
      <w:r w:rsidRPr="00BA565B">
        <w:rPr>
          <w:rStyle w:val="FootnoteReference"/>
          <w:szCs w:val="22"/>
        </w:rPr>
        <w:footnoteRef/>
      </w:r>
      <w:r w:rsidRPr="00BA565B">
        <w:rPr>
          <w:szCs w:val="22"/>
        </w:rPr>
        <w:t xml:space="preserve"> PG&amp;E Opening Comments </w:t>
      </w:r>
      <w:r w:rsidR="000C1F28" w:rsidRPr="00BA565B">
        <w:rPr>
          <w:szCs w:val="22"/>
        </w:rPr>
        <w:t xml:space="preserve">on the Scoping Memo </w:t>
      </w:r>
      <w:r w:rsidRPr="00BA565B">
        <w:rPr>
          <w:szCs w:val="22"/>
        </w:rPr>
        <w:t xml:space="preserve">at </w:t>
      </w:r>
      <w:r w:rsidR="00FA47FC" w:rsidRPr="00BA565B">
        <w:rPr>
          <w:szCs w:val="22"/>
        </w:rPr>
        <w:t>15, SCE Opening Comments</w:t>
      </w:r>
      <w:r w:rsidR="000C1F28" w:rsidRPr="00BA565B">
        <w:rPr>
          <w:szCs w:val="22"/>
        </w:rPr>
        <w:t xml:space="preserve"> on the Scoping Memo</w:t>
      </w:r>
      <w:r w:rsidR="00FA47FC" w:rsidRPr="00BA565B">
        <w:rPr>
          <w:szCs w:val="22"/>
        </w:rPr>
        <w:t xml:space="preserve"> at 14</w:t>
      </w:r>
      <w:r w:rsidR="007534F8" w:rsidRPr="00BA565B">
        <w:rPr>
          <w:szCs w:val="22"/>
        </w:rPr>
        <w:t>.</w:t>
      </w:r>
    </w:p>
  </w:footnote>
  <w:footnote w:id="105">
    <w:p w14:paraId="5BA96866" w14:textId="7E7ED549" w:rsidR="00E62B85" w:rsidRPr="00BA565B" w:rsidRDefault="00E62B85" w:rsidP="00BA565B">
      <w:pPr>
        <w:pStyle w:val="FootnoteText"/>
        <w:rPr>
          <w:szCs w:val="22"/>
        </w:rPr>
      </w:pPr>
      <w:r w:rsidRPr="00BA565B">
        <w:rPr>
          <w:rStyle w:val="FootnoteReference"/>
          <w:szCs w:val="22"/>
        </w:rPr>
        <w:footnoteRef/>
      </w:r>
      <w:r w:rsidRPr="00BA565B">
        <w:rPr>
          <w:szCs w:val="22"/>
        </w:rPr>
        <w:t xml:space="preserve"> Joint EV Industry Opening Comments </w:t>
      </w:r>
      <w:r w:rsidR="000C1F28" w:rsidRPr="00BA565B">
        <w:rPr>
          <w:szCs w:val="22"/>
        </w:rPr>
        <w:t xml:space="preserve">on the Scoping Memo </w:t>
      </w:r>
      <w:r w:rsidRPr="00BA565B">
        <w:rPr>
          <w:szCs w:val="22"/>
        </w:rPr>
        <w:t>at 6-7</w:t>
      </w:r>
      <w:r w:rsidR="007534F8" w:rsidRPr="00BA565B">
        <w:rPr>
          <w:szCs w:val="22"/>
        </w:rPr>
        <w:t>.</w:t>
      </w:r>
    </w:p>
  </w:footnote>
  <w:footnote w:id="106">
    <w:p w14:paraId="31403B23" w14:textId="41EF605F" w:rsidR="00F15113" w:rsidRPr="00BA565B" w:rsidRDefault="00F15113" w:rsidP="00BA565B">
      <w:pPr>
        <w:pStyle w:val="FootnoteText"/>
        <w:rPr>
          <w:szCs w:val="22"/>
        </w:rPr>
      </w:pPr>
      <w:r w:rsidRPr="00BA565B">
        <w:rPr>
          <w:rStyle w:val="FootnoteReference"/>
          <w:szCs w:val="22"/>
        </w:rPr>
        <w:footnoteRef/>
      </w:r>
      <w:r w:rsidRPr="00BA565B">
        <w:rPr>
          <w:szCs w:val="22"/>
        </w:rPr>
        <w:t xml:space="preserve"> PACT Opening Comments on the Scoping Memo at </w:t>
      </w:r>
      <w:r w:rsidR="00E16FD6" w:rsidRPr="00BA565B">
        <w:rPr>
          <w:szCs w:val="22"/>
        </w:rPr>
        <w:t>12</w:t>
      </w:r>
      <w:r w:rsidR="007534F8" w:rsidRPr="00BA565B">
        <w:rPr>
          <w:szCs w:val="22"/>
        </w:rPr>
        <w:t>.</w:t>
      </w:r>
    </w:p>
  </w:footnote>
  <w:footnote w:id="107">
    <w:p w14:paraId="72C18E28" w14:textId="39C2C6DD" w:rsidR="00426573" w:rsidRPr="00BA565B" w:rsidRDefault="00426573" w:rsidP="00BA565B">
      <w:pPr>
        <w:pStyle w:val="FootnoteText"/>
        <w:rPr>
          <w:szCs w:val="22"/>
        </w:rPr>
      </w:pPr>
      <w:r w:rsidRPr="00BA565B">
        <w:rPr>
          <w:rStyle w:val="FootnoteReference"/>
          <w:szCs w:val="22"/>
        </w:rPr>
        <w:footnoteRef/>
      </w:r>
      <w:r w:rsidRPr="00BA565B">
        <w:rPr>
          <w:szCs w:val="22"/>
        </w:rPr>
        <w:t xml:space="preserve"> CALSSA Opening Comments on the Scoping Memo at </w:t>
      </w:r>
      <w:r w:rsidR="005067C8" w:rsidRPr="00BA565B">
        <w:rPr>
          <w:szCs w:val="22"/>
        </w:rPr>
        <w:t>10</w:t>
      </w:r>
      <w:r w:rsidR="000C1F28" w:rsidRPr="00BA565B">
        <w:rPr>
          <w:szCs w:val="22"/>
        </w:rPr>
        <w:t xml:space="preserve">; Crown Castle Opening Comments on the Scoping Memo at 8; Terawatt Opening Comments on the Scoping Memo at 7; Voltera Opening Comments on the Scoping Memo at 9; </w:t>
      </w:r>
      <w:r w:rsidR="00E5050C" w:rsidRPr="00BA565B">
        <w:rPr>
          <w:szCs w:val="22"/>
        </w:rPr>
        <w:t xml:space="preserve">and </w:t>
      </w:r>
      <w:r w:rsidR="000C1F28" w:rsidRPr="00BA565B">
        <w:rPr>
          <w:szCs w:val="22"/>
        </w:rPr>
        <w:t>Walmart Opening Comments on the Scoping Memo at 10</w:t>
      </w:r>
      <w:r w:rsidR="00E5050C" w:rsidRPr="00BA565B">
        <w:rPr>
          <w:szCs w:val="22"/>
        </w:rPr>
        <w:t xml:space="preserve"> (all filed and served on May 3, 2024).</w:t>
      </w:r>
      <w:r w:rsidR="000C1F28" w:rsidRPr="00BA565B">
        <w:rPr>
          <w:szCs w:val="22"/>
        </w:rPr>
        <w:t xml:space="preserve"> </w:t>
      </w:r>
    </w:p>
  </w:footnote>
  <w:footnote w:id="108">
    <w:p w14:paraId="7AF07037" w14:textId="54B2072E" w:rsidR="006600A8" w:rsidRPr="00BA565B" w:rsidRDefault="006600A8" w:rsidP="00BA565B">
      <w:pPr>
        <w:pStyle w:val="FootnoteText"/>
        <w:rPr>
          <w:szCs w:val="22"/>
        </w:rPr>
      </w:pPr>
      <w:r w:rsidRPr="00BA565B">
        <w:rPr>
          <w:rStyle w:val="FootnoteReference"/>
          <w:szCs w:val="22"/>
        </w:rPr>
        <w:footnoteRef/>
      </w:r>
      <w:r w:rsidRPr="00BA565B">
        <w:rPr>
          <w:szCs w:val="22"/>
        </w:rPr>
        <w:t xml:space="preserve"> </w:t>
      </w:r>
      <w:r w:rsidR="005213B0" w:rsidRPr="00BA565B">
        <w:rPr>
          <w:szCs w:val="22"/>
        </w:rPr>
        <w:t>AEU</w:t>
      </w:r>
      <w:r w:rsidR="00852622" w:rsidRPr="00BA565B">
        <w:rPr>
          <w:szCs w:val="22"/>
        </w:rPr>
        <w:t xml:space="preserve"> Opening Comments on Scoping Memo at 14.</w:t>
      </w:r>
    </w:p>
  </w:footnote>
  <w:footnote w:id="109">
    <w:p w14:paraId="753AE5E0" w14:textId="0BD7AA76" w:rsidR="005213B0" w:rsidRPr="00BA565B" w:rsidRDefault="005213B0" w:rsidP="00BA565B">
      <w:pPr>
        <w:pStyle w:val="FootnoteText"/>
        <w:rPr>
          <w:szCs w:val="22"/>
        </w:rPr>
      </w:pPr>
      <w:r w:rsidRPr="00BA565B">
        <w:rPr>
          <w:rStyle w:val="FootnoteReference"/>
          <w:szCs w:val="22"/>
        </w:rPr>
        <w:footnoteRef/>
      </w:r>
      <w:r w:rsidRPr="00BA565B">
        <w:rPr>
          <w:szCs w:val="22"/>
        </w:rPr>
        <w:t xml:space="preserve"> SCE Opening Comments on Scoping Memo at 12.</w:t>
      </w:r>
    </w:p>
  </w:footnote>
  <w:footnote w:id="110">
    <w:p w14:paraId="0C010473" w14:textId="626D184E" w:rsidR="00CD5575" w:rsidRPr="00BA565B" w:rsidRDefault="00CD5575" w:rsidP="00BA565B">
      <w:pPr>
        <w:pStyle w:val="FootnoteText"/>
        <w:rPr>
          <w:szCs w:val="22"/>
        </w:rPr>
      </w:pPr>
      <w:r w:rsidRPr="00BA565B">
        <w:rPr>
          <w:rStyle w:val="FootnoteReference"/>
          <w:szCs w:val="22"/>
        </w:rPr>
        <w:footnoteRef/>
      </w:r>
      <w:r w:rsidRPr="00BA565B">
        <w:rPr>
          <w:szCs w:val="22"/>
        </w:rPr>
        <w:t xml:space="preserve"> Terawatt </w:t>
      </w:r>
      <w:r w:rsidR="00ED0BFE" w:rsidRPr="00BA565B">
        <w:rPr>
          <w:szCs w:val="22"/>
        </w:rPr>
        <w:t xml:space="preserve">Opening Comments on Scoping Memo at 9. </w:t>
      </w:r>
    </w:p>
  </w:footnote>
  <w:footnote w:id="111">
    <w:p w14:paraId="6E100161" w14:textId="6B2C095E" w:rsidR="00632651" w:rsidRPr="00BA565B" w:rsidRDefault="00632651" w:rsidP="00BA565B">
      <w:pPr>
        <w:pStyle w:val="FootnoteText"/>
        <w:rPr>
          <w:szCs w:val="22"/>
        </w:rPr>
      </w:pPr>
      <w:r w:rsidRPr="00BA565B">
        <w:rPr>
          <w:rStyle w:val="FootnoteReference"/>
          <w:szCs w:val="22"/>
        </w:rPr>
        <w:footnoteRef/>
      </w:r>
      <w:r w:rsidRPr="00BA565B">
        <w:rPr>
          <w:szCs w:val="22"/>
        </w:rPr>
        <w:t xml:space="preserve"> SDG&amp;E Opening Comments on Scoping Memo at 13. </w:t>
      </w:r>
    </w:p>
  </w:footnote>
  <w:footnote w:id="112">
    <w:p w14:paraId="7B449E42" w14:textId="5F8872F5" w:rsidR="00B24CB6" w:rsidRPr="00BA565B" w:rsidRDefault="00B24CB6" w:rsidP="00BA565B">
      <w:pPr>
        <w:pStyle w:val="FootnoteText"/>
        <w:rPr>
          <w:szCs w:val="22"/>
        </w:rPr>
      </w:pPr>
      <w:r w:rsidRPr="00BA565B">
        <w:rPr>
          <w:rStyle w:val="FootnoteReference"/>
          <w:szCs w:val="22"/>
        </w:rPr>
        <w:footnoteRef/>
      </w:r>
      <w:r w:rsidRPr="00BA565B">
        <w:rPr>
          <w:szCs w:val="22"/>
        </w:rPr>
        <w:t xml:space="preserve"> </w:t>
      </w:r>
      <w:r w:rsidR="0028574D" w:rsidRPr="00BA565B">
        <w:rPr>
          <w:szCs w:val="22"/>
        </w:rPr>
        <w:t xml:space="preserve">Auto Innovators Opening Comments on Scoping Memo at 13. </w:t>
      </w:r>
    </w:p>
  </w:footnote>
  <w:footnote w:id="113">
    <w:p w14:paraId="6D1C9561" w14:textId="14769DDB" w:rsidR="003A4C3A" w:rsidRPr="00BA565B" w:rsidRDefault="003A4C3A" w:rsidP="00BA565B">
      <w:pPr>
        <w:pStyle w:val="FootnoteText"/>
        <w:rPr>
          <w:szCs w:val="22"/>
        </w:rPr>
      </w:pPr>
      <w:r w:rsidRPr="00BA565B">
        <w:rPr>
          <w:rStyle w:val="FootnoteReference"/>
          <w:szCs w:val="22"/>
        </w:rPr>
        <w:footnoteRef/>
      </w:r>
      <w:r w:rsidRPr="00BA565B">
        <w:rPr>
          <w:szCs w:val="22"/>
        </w:rPr>
        <w:t xml:space="preserve"> CMTA Opening Comments on Scoping Memo at 7. </w:t>
      </w:r>
    </w:p>
  </w:footnote>
  <w:footnote w:id="114">
    <w:p w14:paraId="1441ADF0" w14:textId="6727F226" w:rsidR="007711CE" w:rsidRPr="00BA565B" w:rsidRDefault="007711CE" w:rsidP="00BA565B">
      <w:pPr>
        <w:pStyle w:val="FootnoteText"/>
        <w:rPr>
          <w:szCs w:val="22"/>
        </w:rPr>
      </w:pPr>
      <w:r w:rsidRPr="00BA565B">
        <w:rPr>
          <w:rStyle w:val="FootnoteReference"/>
          <w:szCs w:val="22"/>
        </w:rPr>
        <w:footnoteRef/>
      </w:r>
      <w:r w:rsidRPr="00BA565B">
        <w:rPr>
          <w:szCs w:val="22"/>
        </w:rPr>
        <w:t xml:space="preserve"> EDF/NRDC Opening Comments on Scoping Memo at 12.</w:t>
      </w:r>
    </w:p>
  </w:footnote>
  <w:footnote w:id="115">
    <w:p w14:paraId="431285CF" w14:textId="67907ADE" w:rsidR="00DB0011" w:rsidRPr="00BA565B" w:rsidRDefault="00DB0011" w:rsidP="00BA565B">
      <w:pPr>
        <w:pStyle w:val="FootnoteText"/>
        <w:rPr>
          <w:szCs w:val="22"/>
        </w:rPr>
      </w:pPr>
      <w:r w:rsidRPr="00BA565B">
        <w:rPr>
          <w:rStyle w:val="FootnoteReference"/>
          <w:szCs w:val="22"/>
        </w:rPr>
        <w:footnoteRef/>
      </w:r>
      <w:r w:rsidRPr="00BA565B">
        <w:rPr>
          <w:szCs w:val="22"/>
        </w:rPr>
        <w:t xml:space="preserve"> </w:t>
      </w:r>
      <w:r w:rsidR="0033569E" w:rsidRPr="00BA565B">
        <w:rPr>
          <w:szCs w:val="22"/>
        </w:rPr>
        <w:t xml:space="preserve">Joint EV Industry Opening Comments on Scoping Memo at 9; CALSTART Opening Comments on Scoping Memo at </w:t>
      </w:r>
      <w:r w:rsidR="00777984" w:rsidRPr="00BA565B">
        <w:rPr>
          <w:szCs w:val="22"/>
        </w:rPr>
        <w:t>9.</w:t>
      </w:r>
    </w:p>
  </w:footnote>
  <w:footnote w:id="116">
    <w:p w14:paraId="33E12F35" w14:textId="5C6981E5" w:rsidR="00D66DCF" w:rsidRPr="00BA565B" w:rsidRDefault="00D66DCF" w:rsidP="00BA565B">
      <w:pPr>
        <w:pStyle w:val="FootnoteText"/>
        <w:rPr>
          <w:szCs w:val="22"/>
        </w:rPr>
      </w:pPr>
      <w:r w:rsidRPr="00BA565B">
        <w:rPr>
          <w:rStyle w:val="FootnoteReference"/>
          <w:szCs w:val="22"/>
        </w:rPr>
        <w:footnoteRef/>
      </w:r>
      <w:r w:rsidRPr="00BA565B">
        <w:rPr>
          <w:szCs w:val="22"/>
        </w:rPr>
        <w:t xml:space="preserve"> </w:t>
      </w:r>
      <w:r w:rsidR="00326CE5" w:rsidRPr="00BA565B">
        <w:rPr>
          <w:szCs w:val="22"/>
        </w:rPr>
        <w:t xml:space="preserve">PG&amp;E Opening Comments on Scoping Memo at 12 to 13. </w:t>
      </w:r>
    </w:p>
  </w:footnote>
  <w:footnote w:id="117">
    <w:p w14:paraId="504CD99B" w14:textId="0F784EBB" w:rsidR="32F3E678" w:rsidRPr="00BA565B" w:rsidRDefault="32F3E678" w:rsidP="00BA565B">
      <w:pPr>
        <w:pStyle w:val="FootnoteText"/>
        <w:rPr>
          <w:szCs w:val="22"/>
        </w:rPr>
      </w:pPr>
      <w:r w:rsidRPr="00BA565B">
        <w:rPr>
          <w:rStyle w:val="FootnoteReference"/>
          <w:szCs w:val="22"/>
        </w:rPr>
        <w:footnoteRef/>
      </w:r>
      <w:r w:rsidRPr="00BA565B">
        <w:rPr>
          <w:szCs w:val="22"/>
        </w:rPr>
        <w:t xml:space="preserve"> </w:t>
      </w:r>
      <w:r w:rsidR="000504E0" w:rsidRPr="00BA565B">
        <w:rPr>
          <w:szCs w:val="22"/>
        </w:rPr>
        <w:t>Pub. Util Code</w:t>
      </w:r>
      <w:r w:rsidR="004E435C" w:rsidRPr="00BA565B">
        <w:rPr>
          <w:szCs w:val="22"/>
        </w:rPr>
        <w:t xml:space="preserve"> §</w:t>
      </w:r>
      <w:r w:rsidR="00AF09EE">
        <w:rPr>
          <w:szCs w:val="22"/>
        </w:rPr>
        <w:t> </w:t>
      </w:r>
      <w:r w:rsidR="00562832" w:rsidRPr="00BA565B">
        <w:rPr>
          <w:szCs w:val="22"/>
        </w:rPr>
        <w:t>932(a)(10)</w:t>
      </w:r>
      <w:r w:rsidR="0075393B" w:rsidRPr="00BA565B">
        <w:rPr>
          <w:szCs w:val="22"/>
        </w:rPr>
        <w:t xml:space="preserve"> and §</w:t>
      </w:r>
      <w:r w:rsidR="00BA565B">
        <w:rPr>
          <w:szCs w:val="22"/>
        </w:rPr>
        <w:t> </w:t>
      </w:r>
      <w:r w:rsidR="0075393B" w:rsidRPr="00BA565B">
        <w:rPr>
          <w:szCs w:val="22"/>
        </w:rPr>
        <w:t>934</w:t>
      </w:r>
      <w:r w:rsidR="00712CD5" w:rsidRPr="00BA565B">
        <w:rPr>
          <w:szCs w:val="22"/>
        </w:rPr>
        <w:t>(a)(1</w:t>
      </w:r>
      <w:r w:rsidR="00562832" w:rsidRPr="00BA565B">
        <w:rPr>
          <w:szCs w:val="22"/>
        </w:rPr>
        <w:t>).</w:t>
      </w:r>
    </w:p>
  </w:footnote>
  <w:footnote w:id="118">
    <w:p w14:paraId="1114564A" w14:textId="0DBD738A" w:rsidR="00C26983" w:rsidRPr="00BA565B" w:rsidRDefault="00C26983" w:rsidP="00BA565B">
      <w:pPr>
        <w:pStyle w:val="FootnoteText"/>
        <w:rPr>
          <w:szCs w:val="22"/>
        </w:rPr>
      </w:pPr>
      <w:r w:rsidRPr="00BA565B">
        <w:rPr>
          <w:rStyle w:val="FootnoteReference"/>
          <w:szCs w:val="22"/>
        </w:rPr>
        <w:footnoteRef/>
      </w:r>
      <w:r w:rsidRPr="00BA565B">
        <w:rPr>
          <w:szCs w:val="22"/>
        </w:rPr>
        <w:t xml:space="preserve"> Each IOU’s current timelines for energization processes can be found in Appendix</w:t>
      </w:r>
      <w:r w:rsidR="004D34C7" w:rsidRPr="00BA565B">
        <w:rPr>
          <w:szCs w:val="22"/>
        </w:rPr>
        <w:t xml:space="preserve"> A</w:t>
      </w:r>
      <w:r w:rsidR="006C2F45" w:rsidRPr="00BA565B">
        <w:rPr>
          <w:szCs w:val="22"/>
        </w:rPr>
        <w:t>, Statewide Energization Timelines Analyses</w:t>
      </w:r>
      <w:r w:rsidR="00764654" w:rsidRPr="00BA565B">
        <w:rPr>
          <w:szCs w:val="22"/>
        </w:rPr>
        <w:t xml:space="preserve"> Report</w:t>
      </w:r>
      <w:r w:rsidRPr="00BA565B">
        <w:rPr>
          <w:szCs w:val="22"/>
        </w:rPr>
        <w:t xml:space="preserve">. </w:t>
      </w:r>
    </w:p>
  </w:footnote>
  <w:footnote w:id="119">
    <w:p w14:paraId="1B5AFE02" w14:textId="5669A21A" w:rsidR="00AD2922" w:rsidRPr="00BA565B" w:rsidRDefault="00AD2922" w:rsidP="00BA565B">
      <w:pPr>
        <w:pStyle w:val="FootnoteText"/>
        <w:rPr>
          <w:szCs w:val="22"/>
        </w:rPr>
      </w:pPr>
      <w:r w:rsidRPr="00BA565B">
        <w:rPr>
          <w:rStyle w:val="FootnoteReference"/>
          <w:szCs w:val="22"/>
        </w:rPr>
        <w:footnoteRef/>
      </w:r>
      <w:r w:rsidRPr="00BA565B">
        <w:rPr>
          <w:szCs w:val="22"/>
        </w:rPr>
        <w:t xml:space="preserve"> </w:t>
      </w:r>
      <w:r w:rsidR="000746F3" w:rsidRPr="00BA565B">
        <w:rPr>
          <w:szCs w:val="22"/>
        </w:rPr>
        <w:t>Customers may</w:t>
      </w:r>
      <w:r w:rsidRPr="00BA565B">
        <w:rPr>
          <w:szCs w:val="22"/>
        </w:rPr>
        <w:t xml:space="preserve"> use the </w:t>
      </w:r>
      <w:r w:rsidR="000746F3" w:rsidRPr="00BA565B">
        <w:rPr>
          <w:szCs w:val="22"/>
        </w:rPr>
        <w:t xml:space="preserve">temporary reporting solution adopted in this decision or wait until a more formal </w:t>
      </w:r>
      <w:r w:rsidR="009D2F55" w:rsidRPr="00BA565B">
        <w:rPr>
          <w:szCs w:val="22"/>
        </w:rPr>
        <w:t>penalization process is adopted in this or another proceeding, whichever would most expedite their energization request(s).</w:t>
      </w:r>
    </w:p>
  </w:footnote>
  <w:footnote w:id="120">
    <w:p w14:paraId="24055A83" w14:textId="01FF1AAC" w:rsidR="007A14CE" w:rsidRPr="00BA565B" w:rsidRDefault="007A14CE" w:rsidP="00BA565B">
      <w:pPr>
        <w:pStyle w:val="FootnoteText"/>
        <w:rPr>
          <w:szCs w:val="22"/>
        </w:rPr>
      </w:pPr>
      <w:r w:rsidRPr="00BA565B">
        <w:rPr>
          <w:rStyle w:val="FootnoteReference"/>
          <w:szCs w:val="22"/>
        </w:rPr>
        <w:footnoteRef/>
      </w:r>
      <w:r w:rsidRPr="00BA565B">
        <w:rPr>
          <w:szCs w:val="22"/>
        </w:rPr>
        <w:t xml:space="preserve"> Pub. Util. Code §</w:t>
      </w:r>
      <w:r w:rsidR="007C17EC" w:rsidRPr="00BA565B">
        <w:rPr>
          <w:szCs w:val="22"/>
        </w:rPr>
        <w:t>§</w:t>
      </w:r>
      <w:r w:rsidR="007F3233" w:rsidRPr="00BA565B">
        <w:rPr>
          <w:szCs w:val="22"/>
        </w:rPr>
        <w:t xml:space="preserve"> </w:t>
      </w:r>
      <w:r w:rsidR="00EE11C9" w:rsidRPr="00BA565B">
        <w:rPr>
          <w:szCs w:val="22"/>
        </w:rPr>
        <w:t>939</w:t>
      </w:r>
      <w:r w:rsidR="0087149A" w:rsidRPr="00BA565B">
        <w:rPr>
          <w:szCs w:val="22"/>
        </w:rPr>
        <w:t xml:space="preserve"> and </w:t>
      </w:r>
      <w:r w:rsidR="007C17EC" w:rsidRPr="00BA565B">
        <w:rPr>
          <w:szCs w:val="22"/>
        </w:rPr>
        <w:t xml:space="preserve">933.5(e). </w:t>
      </w:r>
    </w:p>
  </w:footnote>
  <w:footnote w:id="121">
    <w:p w14:paraId="005619A6" w14:textId="3D78FF58" w:rsidR="00D76486" w:rsidRPr="00BA565B" w:rsidRDefault="00D76486" w:rsidP="00BA565B">
      <w:pPr>
        <w:pStyle w:val="FootnoteText"/>
        <w:rPr>
          <w:szCs w:val="22"/>
        </w:rPr>
      </w:pPr>
      <w:r w:rsidRPr="00BA565B">
        <w:rPr>
          <w:rStyle w:val="FootnoteReference"/>
          <w:szCs w:val="22"/>
        </w:rPr>
        <w:footnoteRef/>
      </w:r>
      <w:r w:rsidRPr="00BA565B">
        <w:rPr>
          <w:szCs w:val="22"/>
        </w:rPr>
        <w:t xml:space="preserve"> </w:t>
      </w:r>
      <w:r w:rsidR="00CC65F4" w:rsidRPr="00BA565B">
        <w:rPr>
          <w:szCs w:val="22"/>
        </w:rPr>
        <w:t>CASMU Opening Comments on R.24-01-018 at 3-6.</w:t>
      </w:r>
    </w:p>
  </w:footnote>
  <w:footnote w:id="122">
    <w:p w14:paraId="1D8DEA36" w14:textId="5F67A17D" w:rsidR="000F76C1" w:rsidRPr="00BA565B" w:rsidRDefault="000F76C1" w:rsidP="00BA565B">
      <w:pPr>
        <w:pStyle w:val="FootnoteText"/>
        <w:rPr>
          <w:szCs w:val="22"/>
        </w:rPr>
      </w:pPr>
      <w:r w:rsidRPr="00BA565B">
        <w:rPr>
          <w:rStyle w:val="FootnoteReference"/>
          <w:szCs w:val="22"/>
        </w:rPr>
        <w:footnoteRef/>
      </w:r>
      <w:r w:rsidRPr="00BA565B">
        <w:rPr>
          <w:szCs w:val="22"/>
        </w:rPr>
        <w:t xml:space="preserve"> CASMU Opening Comments on R.24-01-018 at 5-7.</w:t>
      </w:r>
    </w:p>
  </w:footnote>
  <w:footnote w:id="123">
    <w:p w14:paraId="0E47444B" w14:textId="43DFD4DD" w:rsidR="00AE40F5" w:rsidRPr="00BA565B" w:rsidRDefault="00AE40F5" w:rsidP="00BA565B">
      <w:pPr>
        <w:pStyle w:val="FootnoteText"/>
        <w:rPr>
          <w:szCs w:val="22"/>
        </w:rPr>
      </w:pPr>
      <w:r w:rsidRPr="00BA565B">
        <w:rPr>
          <w:rStyle w:val="FootnoteReference"/>
          <w:szCs w:val="22"/>
        </w:rPr>
        <w:footnoteRef/>
      </w:r>
      <w:r w:rsidRPr="00BA565B">
        <w:rPr>
          <w:szCs w:val="22"/>
        </w:rPr>
        <w:t xml:space="preserve"> </w:t>
      </w:r>
      <w:r w:rsidR="0093039D" w:rsidRPr="00BA565B">
        <w:rPr>
          <w:szCs w:val="22"/>
        </w:rPr>
        <w:t>CASMU Opening Comments on R.24-01-018</w:t>
      </w:r>
      <w:r w:rsidR="00030B26" w:rsidRPr="00BA565B">
        <w:rPr>
          <w:szCs w:val="22"/>
        </w:rPr>
        <w:t xml:space="preserve"> at 8, footnotes 8-</w:t>
      </w:r>
      <w:r w:rsidR="0014429D" w:rsidRPr="00BA565B">
        <w:rPr>
          <w:szCs w:val="22"/>
        </w:rPr>
        <w:t xml:space="preserve">11, describe multiple instances where the Commission granted small and multijurisdictional utilities more flexible </w:t>
      </w:r>
      <w:r w:rsidR="008D752F" w:rsidRPr="00BA565B">
        <w:rPr>
          <w:szCs w:val="22"/>
        </w:rPr>
        <w:t>timelines or requirements to meet the deadlines and targets set for the large IOUs.</w:t>
      </w:r>
    </w:p>
  </w:footnote>
  <w:footnote w:id="124">
    <w:p w14:paraId="12877CFD" w14:textId="154C3E99" w:rsidR="000F2A84" w:rsidRPr="00BA565B" w:rsidRDefault="000F2A84" w:rsidP="00BA565B">
      <w:pPr>
        <w:pStyle w:val="FootnoteText"/>
        <w:rPr>
          <w:szCs w:val="22"/>
        </w:rPr>
      </w:pPr>
      <w:r w:rsidRPr="00BA565B">
        <w:rPr>
          <w:rStyle w:val="FootnoteReference"/>
          <w:szCs w:val="22"/>
        </w:rPr>
        <w:footnoteRef/>
      </w:r>
      <w:r w:rsidRPr="00BA565B">
        <w:rPr>
          <w:szCs w:val="22"/>
        </w:rPr>
        <w:t xml:space="preserve"> Pursuant to Rule 14.3</w:t>
      </w:r>
      <w:r w:rsidR="00F72258" w:rsidRPr="00BA565B">
        <w:rPr>
          <w:szCs w:val="22"/>
        </w:rPr>
        <w:t>(</w:t>
      </w:r>
      <w:r w:rsidR="00137A2C" w:rsidRPr="00BA565B">
        <w:rPr>
          <w:szCs w:val="22"/>
        </w:rPr>
        <w:t>b</w:t>
      </w:r>
      <w:r w:rsidR="00F72258" w:rsidRPr="00BA565B">
        <w:rPr>
          <w:szCs w:val="22"/>
        </w:rPr>
        <w:t>)</w:t>
      </w:r>
      <w:r w:rsidR="00137A2C" w:rsidRPr="00BA565B">
        <w:rPr>
          <w:szCs w:val="22"/>
        </w:rPr>
        <w:t xml:space="preserve">, opening comments on the proposed decision </w:t>
      </w:r>
      <w:r w:rsidR="005E4306" w:rsidRPr="00BA565B">
        <w:rPr>
          <w:szCs w:val="22"/>
        </w:rPr>
        <w:t xml:space="preserve">are </w:t>
      </w:r>
      <w:r w:rsidR="00137A2C" w:rsidRPr="00BA565B">
        <w:rPr>
          <w:szCs w:val="22"/>
        </w:rPr>
        <w:t>limited to 15</w:t>
      </w:r>
      <w:r w:rsidR="00333072" w:rsidRPr="00BA565B">
        <w:rPr>
          <w:szCs w:val="22"/>
        </w:rPr>
        <w:t> </w:t>
      </w:r>
      <w:r w:rsidR="00137A2C" w:rsidRPr="00BA565B">
        <w:rPr>
          <w:szCs w:val="22"/>
        </w:rPr>
        <w:t xml:space="preserve">pages. Reply comments on the proposed decision </w:t>
      </w:r>
      <w:r w:rsidR="005E4306" w:rsidRPr="00BA565B">
        <w:rPr>
          <w:szCs w:val="22"/>
        </w:rPr>
        <w:t xml:space="preserve">are </w:t>
      </w:r>
      <w:r w:rsidR="00137A2C" w:rsidRPr="00BA565B">
        <w:rPr>
          <w:szCs w:val="22"/>
        </w:rPr>
        <w:t>limited to 5 pages, pursuant to Rule</w:t>
      </w:r>
      <w:r w:rsidR="00333072" w:rsidRPr="00BA565B">
        <w:rPr>
          <w:szCs w:val="22"/>
        </w:rPr>
        <w:t> </w:t>
      </w:r>
      <w:r w:rsidR="00137A2C" w:rsidRPr="00BA565B">
        <w:rPr>
          <w:szCs w:val="22"/>
        </w:rPr>
        <w:t>14.3(</w:t>
      </w:r>
      <w:r w:rsidR="00555D57" w:rsidRPr="00BA565B">
        <w:rPr>
          <w:szCs w:val="22"/>
        </w:rPr>
        <w:t>d</w:t>
      </w:r>
      <w:r w:rsidR="00137A2C" w:rsidRPr="00BA565B">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B97E" w14:textId="6C01A4E6" w:rsidR="00C65DDF" w:rsidRPr="00F92385" w:rsidRDefault="00C65DDF" w:rsidP="00F92385">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9AEA" w14:textId="1EF17C15" w:rsidR="00E23CBB" w:rsidRDefault="00C65DDF" w:rsidP="00EE4315">
    <w:pPr>
      <w:pStyle w:val="Header"/>
      <w:tabs>
        <w:tab w:val="clear" w:pos="4680"/>
      </w:tabs>
      <w:ind w:firstLine="0"/>
      <w:rPr>
        <w:b/>
      </w:rPr>
    </w:pPr>
    <w:r>
      <w:t>R.24-01-018  COM/ARD/jnf</w:t>
    </w:r>
    <w:r w:rsidR="008B39C8">
      <w:t>/smt</w:t>
    </w:r>
    <w:r w:rsidR="00F646B9">
      <w:t>/nd3</w:t>
    </w:r>
  </w:p>
  <w:p w14:paraId="28459E07" w14:textId="77777777" w:rsidR="002B2008" w:rsidRPr="00B3087D" w:rsidRDefault="002B2008" w:rsidP="00C65DDF">
    <w:pPr>
      <w:pStyle w:val="Header"/>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B069" w14:textId="7662E26B" w:rsidR="002B2008" w:rsidRPr="00E73849" w:rsidRDefault="00C65DDF" w:rsidP="00E73849">
    <w:pPr>
      <w:pStyle w:val="Header"/>
      <w:tabs>
        <w:tab w:val="clear" w:pos="4680"/>
      </w:tabs>
      <w:ind w:firstLine="0"/>
      <w:rPr>
        <w:b/>
      </w:rPr>
    </w:pPr>
    <w:bookmarkStart w:id="92" w:name="_Hlk176794670"/>
    <w:r>
      <w:t>R.24-01-018  COM/ARD/jnf</w:t>
    </w:r>
    <w:r w:rsidR="008B39C8">
      <w:t>/smt</w:t>
    </w:r>
    <w:r w:rsidR="00B037A7">
      <w:t>/nd3</w:t>
    </w:r>
    <w:bookmarkEnd w:id="92"/>
  </w:p>
</w:hdr>
</file>

<file path=word/intelligence2.xml><?xml version="1.0" encoding="utf-8"?>
<int2:intelligence xmlns:int2="http://schemas.microsoft.com/office/intelligence/2020/intelligence" xmlns:oel="http://schemas.microsoft.com/office/2019/extlst">
  <int2:observations>
    <int2:textHash int2:hashCode="1faet5OmaWlca1" int2:id="RlPJ8aI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F8C3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Co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AB7DA5"/>
    <w:multiLevelType w:val="hybridMultilevel"/>
    <w:tmpl w:val="CBBEECD8"/>
    <w:lvl w:ilvl="0" w:tplc="04090001">
      <w:start w:val="1"/>
      <w:numFmt w:val="bullet"/>
      <w:lvlText w:val=""/>
      <w:lvlJc w:val="left"/>
      <w:pPr>
        <w:ind w:left="1440" w:hanging="360"/>
      </w:pPr>
      <w:rPr>
        <w:rFonts w:ascii="Symbol" w:hAnsi="Symbol" w:hint="default"/>
      </w:rPr>
    </w:lvl>
    <w:lvl w:ilvl="1" w:tplc="04090011">
      <w:start w:val="1"/>
      <w:numFmt w:val="decimal"/>
      <w:pStyle w:val="2ndlevelbullet"/>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B26E4"/>
    <w:multiLevelType w:val="hybridMultilevel"/>
    <w:tmpl w:val="3C1EB5C2"/>
    <w:lvl w:ilvl="0" w:tplc="5DB45E10">
      <w:start w:val="1"/>
      <w:numFmt w:val="lowerLetter"/>
      <w:pStyle w:val="2ndsub"/>
      <w:lvlText w:val="%1."/>
      <w:lvlJc w:val="left"/>
      <w:pPr>
        <w:ind w:left="1800" w:hanging="360"/>
      </w:pPr>
      <w:rPr>
        <w:rFonts w:ascii="Book Antiqua" w:hAnsi="Book Antiqua" w:hint="default"/>
        <w:b w:val="0"/>
        <w:i w:val="0"/>
        <w:color w:val="auto"/>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F056CB"/>
    <w:multiLevelType w:val="multilevel"/>
    <w:tmpl w:val="18F4A5AC"/>
    <w:numStyleLink w:val="FoFCoLOP"/>
  </w:abstractNum>
  <w:abstractNum w:abstractNumId="5" w15:restartNumberingAfterBreak="0">
    <w:nsid w:val="16D511B3"/>
    <w:multiLevelType w:val="hybridMultilevel"/>
    <w:tmpl w:val="62E43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A241EF"/>
    <w:multiLevelType w:val="hybridMultilevel"/>
    <w:tmpl w:val="F530E170"/>
    <w:lvl w:ilvl="0" w:tplc="171A9F50">
      <w:start w:val="5"/>
      <w:numFmt w:val="decimal"/>
      <w:lvlText w:val="%1)"/>
      <w:lvlJc w:val="left"/>
      <w:pPr>
        <w:ind w:left="1440" w:hanging="360"/>
      </w:pPr>
    </w:lvl>
    <w:lvl w:ilvl="1" w:tplc="6A384376">
      <w:start w:val="1"/>
      <w:numFmt w:val="lowerLetter"/>
      <w:lvlText w:val="%2."/>
      <w:lvlJc w:val="left"/>
      <w:pPr>
        <w:ind w:left="2160" w:hanging="360"/>
      </w:pPr>
    </w:lvl>
    <w:lvl w:ilvl="2" w:tplc="5E788EA0">
      <w:start w:val="1"/>
      <w:numFmt w:val="lowerRoman"/>
      <w:lvlText w:val="%3."/>
      <w:lvlJc w:val="right"/>
      <w:pPr>
        <w:ind w:left="2160" w:hanging="180"/>
      </w:pPr>
    </w:lvl>
    <w:lvl w:ilvl="3" w:tplc="39D29FF2">
      <w:start w:val="1"/>
      <w:numFmt w:val="decimal"/>
      <w:lvlText w:val="%4."/>
      <w:lvlJc w:val="left"/>
      <w:pPr>
        <w:ind w:left="2880" w:hanging="360"/>
      </w:pPr>
    </w:lvl>
    <w:lvl w:ilvl="4" w:tplc="A0A8DDC6">
      <w:start w:val="1"/>
      <w:numFmt w:val="lowerLetter"/>
      <w:lvlText w:val="%5."/>
      <w:lvlJc w:val="left"/>
      <w:pPr>
        <w:ind w:left="3600" w:hanging="360"/>
      </w:pPr>
    </w:lvl>
    <w:lvl w:ilvl="5" w:tplc="B94C2812">
      <w:start w:val="1"/>
      <w:numFmt w:val="lowerRoman"/>
      <w:lvlText w:val="%6."/>
      <w:lvlJc w:val="right"/>
      <w:pPr>
        <w:ind w:left="4320" w:hanging="180"/>
      </w:pPr>
    </w:lvl>
    <w:lvl w:ilvl="6" w:tplc="9EE41E3A">
      <w:start w:val="1"/>
      <w:numFmt w:val="decimal"/>
      <w:lvlText w:val="%7."/>
      <w:lvlJc w:val="left"/>
      <w:pPr>
        <w:ind w:left="5040" w:hanging="360"/>
      </w:pPr>
    </w:lvl>
    <w:lvl w:ilvl="7" w:tplc="10D283B6">
      <w:start w:val="1"/>
      <w:numFmt w:val="lowerLetter"/>
      <w:lvlText w:val="%8."/>
      <w:lvlJc w:val="left"/>
      <w:pPr>
        <w:ind w:left="5760" w:hanging="360"/>
      </w:pPr>
    </w:lvl>
    <w:lvl w:ilvl="8" w:tplc="5DFE37E0">
      <w:start w:val="1"/>
      <w:numFmt w:val="lowerRoman"/>
      <w:lvlText w:val="%9."/>
      <w:lvlJc w:val="right"/>
      <w:pPr>
        <w:ind w:left="6480" w:hanging="180"/>
      </w:pPr>
    </w:lvl>
  </w:abstractNum>
  <w:abstractNum w:abstractNumId="7" w15:restartNumberingAfterBreak="0">
    <w:nsid w:val="28EE5A99"/>
    <w:multiLevelType w:val="hybridMultilevel"/>
    <w:tmpl w:val="B2A4D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5406E"/>
    <w:multiLevelType w:val="hybridMultilevel"/>
    <w:tmpl w:val="277ACF46"/>
    <w:lvl w:ilvl="0" w:tplc="6BAC189C">
      <w:start w:val="1"/>
      <w:numFmt w:val="decimal"/>
      <w:lvlText w:val="%1."/>
      <w:lvlJc w:val="left"/>
      <w:pPr>
        <w:ind w:left="720" w:hanging="360"/>
      </w:pPr>
    </w:lvl>
    <w:lvl w:ilvl="1" w:tplc="7B1A29C4">
      <w:start w:val="2"/>
      <w:numFmt w:val="lowerLetter"/>
      <w:lvlText w:val="%2."/>
      <w:lvlJc w:val="left"/>
      <w:pPr>
        <w:ind w:left="2160" w:hanging="360"/>
      </w:pPr>
    </w:lvl>
    <w:lvl w:ilvl="2" w:tplc="ADF6444C">
      <w:start w:val="1"/>
      <w:numFmt w:val="lowerRoman"/>
      <w:lvlText w:val="%3."/>
      <w:lvlJc w:val="right"/>
      <w:pPr>
        <w:ind w:left="2160" w:hanging="180"/>
      </w:pPr>
    </w:lvl>
    <w:lvl w:ilvl="3" w:tplc="7C344A90">
      <w:start w:val="1"/>
      <w:numFmt w:val="decimal"/>
      <w:lvlText w:val="%4."/>
      <w:lvlJc w:val="left"/>
      <w:pPr>
        <w:ind w:left="2880" w:hanging="360"/>
      </w:pPr>
    </w:lvl>
    <w:lvl w:ilvl="4" w:tplc="EC0E6A16">
      <w:start w:val="1"/>
      <w:numFmt w:val="lowerLetter"/>
      <w:lvlText w:val="%5."/>
      <w:lvlJc w:val="left"/>
      <w:pPr>
        <w:ind w:left="3600" w:hanging="360"/>
      </w:pPr>
    </w:lvl>
    <w:lvl w:ilvl="5" w:tplc="65889F40">
      <w:start w:val="1"/>
      <w:numFmt w:val="lowerRoman"/>
      <w:lvlText w:val="%6."/>
      <w:lvlJc w:val="right"/>
      <w:pPr>
        <w:ind w:left="4320" w:hanging="180"/>
      </w:pPr>
    </w:lvl>
    <w:lvl w:ilvl="6" w:tplc="071AC0AA">
      <w:start w:val="1"/>
      <w:numFmt w:val="decimal"/>
      <w:lvlText w:val="%7."/>
      <w:lvlJc w:val="left"/>
      <w:pPr>
        <w:ind w:left="5040" w:hanging="360"/>
      </w:pPr>
    </w:lvl>
    <w:lvl w:ilvl="7" w:tplc="C7CED38C">
      <w:start w:val="1"/>
      <w:numFmt w:val="lowerLetter"/>
      <w:lvlText w:val="%8."/>
      <w:lvlJc w:val="left"/>
      <w:pPr>
        <w:ind w:left="5760" w:hanging="360"/>
      </w:pPr>
    </w:lvl>
    <w:lvl w:ilvl="8" w:tplc="49B86CA4">
      <w:start w:val="1"/>
      <w:numFmt w:val="lowerRoman"/>
      <w:lvlText w:val="%9."/>
      <w:lvlJc w:val="right"/>
      <w:pPr>
        <w:ind w:left="6480" w:hanging="180"/>
      </w:pPr>
    </w:lvl>
  </w:abstractNum>
  <w:abstractNum w:abstractNumId="9" w15:restartNumberingAfterBreak="0">
    <w:nsid w:val="302529D0"/>
    <w:multiLevelType w:val="multilevel"/>
    <w:tmpl w:val="46A82B46"/>
    <w:lvl w:ilvl="0">
      <w:start w:val="2"/>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pStyle w:val="8level1"/>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decimal"/>
      <w:lvlText w:val=""/>
      <w:lvlJc w:val="left"/>
      <w:pPr>
        <w:ind w:left="3240" w:hanging="360"/>
      </w:pPr>
      <w:rPr>
        <w:rFonts w:hint="default"/>
      </w:rPr>
    </w:lvl>
  </w:abstractNum>
  <w:abstractNum w:abstractNumId="10" w15:restartNumberingAfterBreak="0">
    <w:nsid w:val="30D10CEA"/>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1" w15:restartNumberingAfterBreak="0">
    <w:nsid w:val="331F6D42"/>
    <w:multiLevelType w:val="multilevel"/>
    <w:tmpl w:val="D468102A"/>
    <w:styleLink w:val="Headings"/>
    <w:lvl w:ilvl="0">
      <w:start w:val="6"/>
      <w:numFmt w:val="decimal"/>
      <w:lvlText w:val="%1."/>
      <w:lvlJc w:val="left"/>
      <w:pPr>
        <w:ind w:left="216" w:hanging="144"/>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4355BDA"/>
    <w:multiLevelType w:val="hybridMultilevel"/>
    <w:tmpl w:val="29C61540"/>
    <w:lvl w:ilvl="0" w:tplc="7B0E4426">
      <w:start w:val="1"/>
      <w:numFmt w:val="decimal"/>
      <w:lvlText w:val="%1."/>
      <w:lvlJc w:val="left"/>
      <w:pPr>
        <w:ind w:left="720" w:hanging="360"/>
      </w:pPr>
    </w:lvl>
    <w:lvl w:ilvl="1" w:tplc="BE16FF72">
      <w:start w:val="1"/>
      <w:numFmt w:val="lowerLetter"/>
      <w:lvlText w:val="%2."/>
      <w:lvlJc w:val="left"/>
      <w:pPr>
        <w:ind w:left="2160" w:hanging="360"/>
      </w:pPr>
    </w:lvl>
    <w:lvl w:ilvl="2" w:tplc="540A8A2C">
      <w:start w:val="1"/>
      <w:numFmt w:val="lowerRoman"/>
      <w:lvlText w:val="%3."/>
      <w:lvlJc w:val="right"/>
      <w:pPr>
        <w:ind w:left="2160" w:hanging="180"/>
      </w:pPr>
    </w:lvl>
    <w:lvl w:ilvl="3" w:tplc="32C4F9FE">
      <w:start w:val="1"/>
      <w:numFmt w:val="decimal"/>
      <w:lvlText w:val="%4."/>
      <w:lvlJc w:val="left"/>
      <w:pPr>
        <w:ind w:left="2880" w:hanging="360"/>
      </w:pPr>
    </w:lvl>
    <w:lvl w:ilvl="4" w:tplc="0BBECB20">
      <w:start w:val="1"/>
      <w:numFmt w:val="lowerLetter"/>
      <w:lvlText w:val="%5."/>
      <w:lvlJc w:val="left"/>
      <w:pPr>
        <w:ind w:left="3600" w:hanging="360"/>
      </w:pPr>
    </w:lvl>
    <w:lvl w:ilvl="5" w:tplc="35742D0C">
      <w:start w:val="1"/>
      <w:numFmt w:val="lowerRoman"/>
      <w:lvlText w:val="%6."/>
      <w:lvlJc w:val="right"/>
      <w:pPr>
        <w:ind w:left="4320" w:hanging="180"/>
      </w:pPr>
    </w:lvl>
    <w:lvl w:ilvl="6" w:tplc="6F2447CE">
      <w:start w:val="1"/>
      <w:numFmt w:val="decimal"/>
      <w:lvlText w:val="%7."/>
      <w:lvlJc w:val="left"/>
      <w:pPr>
        <w:ind w:left="5040" w:hanging="360"/>
      </w:pPr>
    </w:lvl>
    <w:lvl w:ilvl="7" w:tplc="3B30F86E">
      <w:start w:val="1"/>
      <w:numFmt w:val="lowerLetter"/>
      <w:lvlText w:val="%8."/>
      <w:lvlJc w:val="left"/>
      <w:pPr>
        <w:ind w:left="5760" w:hanging="360"/>
      </w:pPr>
    </w:lvl>
    <w:lvl w:ilvl="8" w:tplc="31A2A358">
      <w:start w:val="1"/>
      <w:numFmt w:val="lowerRoman"/>
      <w:lvlText w:val="%9."/>
      <w:lvlJc w:val="right"/>
      <w:pPr>
        <w:ind w:left="6480" w:hanging="180"/>
      </w:pPr>
    </w:lvl>
  </w:abstractNum>
  <w:abstractNum w:abstractNumId="13" w15:restartNumberingAfterBreak="0">
    <w:nsid w:val="4AAC690E"/>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4" w15:restartNumberingAfterBreak="0">
    <w:nsid w:val="4CE95CCF"/>
    <w:multiLevelType w:val="hybridMultilevel"/>
    <w:tmpl w:val="75D62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87EE27"/>
    <w:multiLevelType w:val="hybridMultilevel"/>
    <w:tmpl w:val="3D600E8C"/>
    <w:lvl w:ilvl="0" w:tplc="4E00BA14">
      <w:start w:val="1"/>
      <w:numFmt w:val="bullet"/>
      <w:lvlText w:val=""/>
      <w:lvlJc w:val="left"/>
      <w:pPr>
        <w:ind w:left="720" w:hanging="360"/>
      </w:pPr>
      <w:rPr>
        <w:rFonts w:ascii="Symbol" w:hAnsi="Symbol" w:hint="default"/>
      </w:rPr>
    </w:lvl>
    <w:lvl w:ilvl="1" w:tplc="23F25174">
      <w:start w:val="1"/>
      <w:numFmt w:val="bullet"/>
      <w:lvlText w:val="o"/>
      <w:lvlJc w:val="left"/>
      <w:pPr>
        <w:ind w:left="2160" w:hanging="360"/>
      </w:pPr>
      <w:rPr>
        <w:rFonts w:ascii="Courier New" w:hAnsi="Courier New" w:hint="default"/>
      </w:rPr>
    </w:lvl>
    <w:lvl w:ilvl="2" w:tplc="1F381C6C">
      <w:start w:val="1"/>
      <w:numFmt w:val="bullet"/>
      <w:lvlText w:val=""/>
      <w:lvlJc w:val="left"/>
      <w:pPr>
        <w:ind w:left="2160" w:hanging="360"/>
      </w:pPr>
      <w:rPr>
        <w:rFonts w:ascii="Wingdings" w:hAnsi="Wingdings" w:hint="default"/>
      </w:rPr>
    </w:lvl>
    <w:lvl w:ilvl="3" w:tplc="B896F0A8">
      <w:start w:val="1"/>
      <w:numFmt w:val="bullet"/>
      <w:lvlText w:val=""/>
      <w:lvlJc w:val="left"/>
      <w:pPr>
        <w:ind w:left="2880" w:hanging="360"/>
      </w:pPr>
      <w:rPr>
        <w:rFonts w:ascii="Symbol" w:hAnsi="Symbol" w:hint="default"/>
      </w:rPr>
    </w:lvl>
    <w:lvl w:ilvl="4" w:tplc="22B2765A">
      <w:start w:val="1"/>
      <w:numFmt w:val="bullet"/>
      <w:lvlText w:val="o"/>
      <w:lvlJc w:val="left"/>
      <w:pPr>
        <w:ind w:left="3600" w:hanging="360"/>
      </w:pPr>
      <w:rPr>
        <w:rFonts w:ascii="Courier New" w:hAnsi="Courier New" w:hint="default"/>
      </w:rPr>
    </w:lvl>
    <w:lvl w:ilvl="5" w:tplc="EB246EB6">
      <w:start w:val="1"/>
      <w:numFmt w:val="bullet"/>
      <w:lvlText w:val=""/>
      <w:lvlJc w:val="left"/>
      <w:pPr>
        <w:ind w:left="4320" w:hanging="360"/>
      </w:pPr>
      <w:rPr>
        <w:rFonts w:ascii="Wingdings" w:hAnsi="Wingdings" w:hint="default"/>
      </w:rPr>
    </w:lvl>
    <w:lvl w:ilvl="6" w:tplc="953EE510">
      <w:start w:val="1"/>
      <w:numFmt w:val="bullet"/>
      <w:lvlText w:val=""/>
      <w:lvlJc w:val="left"/>
      <w:pPr>
        <w:ind w:left="5040" w:hanging="360"/>
      </w:pPr>
      <w:rPr>
        <w:rFonts w:ascii="Symbol" w:hAnsi="Symbol" w:hint="default"/>
      </w:rPr>
    </w:lvl>
    <w:lvl w:ilvl="7" w:tplc="16784610">
      <w:start w:val="1"/>
      <w:numFmt w:val="bullet"/>
      <w:lvlText w:val="o"/>
      <w:lvlJc w:val="left"/>
      <w:pPr>
        <w:ind w:left="5760" w:hanging="360"/>
      </w:pPr>
      <w:rPr>
        <w:rFonts w:ascii="Courier New" w:hAnsi="Courier New" w:hint="default"/>
      </w:rPr>
    </w:lvl>
    <w:lvl w:ilvl="8" w:tplc="5F60623A">
      <w:start w:val="1"/>
      <w:numFmt w:val="bullet"/>
      <w:lvlText w:val=""/>
      <w:lvlJc w:val="left"/>
      <w:pPr>
        <w:ind w:left="6480" w:hanging="360"/>
      </w:pPr>
      <w:rPr>
        <w:rFonts w:ascii="Wingdings" w:hAnsi="Wingdings" w:hint="default"/>
      </w:rPr>
    </w:lvl>
  </w:abstractNum>
  <w:abstractNum w:abstractNumId="16" w15:restartNumberingAfterBreak="0">
    <w:nsid w:val="53261239"/>
    <w:multiLevelType w:val="multilevel"/>
    <w:tmpl w:val="0CACA070"/>
    <w:lvl w:ilvl="0">
      <w:start w:val="7"/>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pStyle w:val="8level12ndset"/>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decimal"/>
      <w:lvlText w:val=""/>
      <w:lvlJc w:val="left"/>
      <w:pPr>
        <w:ind w:left="3240" w:hanging="360"/>
      </w:pPr>
      <w:rPr>
        <w:rFonts w:hint="default"/>
      </w:rPr>
    </w:lvl>
  </w:abstractNum>
  <w:abstractNum w:abstractNumId="17" w15:restartNumberingAfterBreak="0">
    <w:nsid w:val="566C28E0"/>
    <w:multiLevelType w:val="hybridMultilevel"/>
    <w:tmpl w:val="BA666FE4"/>
    <w:lvl w:ilvl="0" w:tplc="D988D3E4">
      <w:start w:val="1"/>
      <w:numFmt w:val="decimal"/>
      <w:lvlText w:val="%1)"/>
      <w:lvlJc w:val="left"/>
      <w:pPr>
        <w:ind w:left="1440" w:hanging="360"/>
      </w:pPr>
      <w:rPr>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6F5619"/>
    <w:multiLevelType w:val="hybridMultilevel"/>
    <w:tmpl w:val="96A4AFD2"/>
    <w:lvl w:ilvl="0" w:tplc="B3C050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9D042D7"/>
    <w:multiLevelType w:val="multilevel"/>
    <w:tmpl w:val="18F4A5AC"/>
    <w:numStyleLink w:val="FoFCoLOP"/>
  </w:abstractNum>
  <w:abstractNum w:abstractNumId="20" w15:restartNumberingAfterBreak="0">
    <w:nsid w:val="59FA5DE3"/>
    <w:multiLevelType w:val="hybridMultilevel"/>
    <w:tmpl w:val="36106820"/>
    <w:lvl w:ilvl="0" w:tplc="07A0FB22">
      <w:start w:val="6"/>
      <w:numFmt w:val="decimal"/>
      <w:lvlText w:val="%1)"/>
      <w:lvlJc w:val="left"/>
      <w:pPr>
        <w:ind w:left="1440" w:hanging="360"/>
      </w:pPr>
    </w:lvl>
    <w:lvl w:ilvl="1" w:tplc="D2EEAAEC">
      <w:start w:val="1"/>
      <w:numFmt w:val="lowerLetter"/>
      <w:lvlText w:val="%2."/>
      <w:lvlJc w:val="left"/>
      <w:pPr>
        <w:ind w:left="1440" w:hanging="360"/>
      </w:pPr>
    </w:lvl>
    <w:lvl w:ilvl="2" w:tplc="BE3A5972">
      <w:start w:val="1"/>
      <w:numFmt w:val="lowerRoman"/>
      <w:lvlText w:val="%3."/>
      <w:lvlJc w:val="right"/>
      <w:pPr>
        <w:ind w:left="2160" w:hanging="180"/>
      </w:pPr>
    </w:lvl>
    <w:lvl w:ilvl="3" w:tplc="04744946">
      <w:start w:val="1"/>
      <w:numFmt w:val="decimal"/>
      <w:lvlText w:val="%4."/>
      <w:lvlJc w:val="left"/>
      <w:pPr>
        <w:ind w:left="2880" w:hanging="360"/>
      </w:pPr>
    </w:lvl>
    <w:lvl w:ilvl="4" w:tplc="8016641E">
      <w:start w:val="1"/>
      <w:numFmt w:val="lowerLetter"/>
      <w:lvlText w:val="%5."/>
      <w:lvlJc w:val="left"/>
      <w:pPr>
        <w:ind w:left="3600" w:hanging="360"/>
      </w:pPr>
    </w:lvl>
    <w:lvl w:ilvl="5" w:tplc="2DF0C702">
      <w:start w:val="1"/>
      <w:numFmt w:val="lowerRoman"/>
      <w:lvlText w:val="%6."/>
      <w:lvlJc w:val="right"/>
      <w:pPr>
        <w:ind w:left="4320" w:hanging="180"/>
      </w:pPr>
    </w:lvl>
    <w:lvl w:ilvl="6" w:tplc="12F48D2A">
      <w:start w:val="1"/>
      <w:numFmt w:val="decimal"/>
      <w:lvlText w:val="%7."/>
      <w:lvlJc w:val="left"/>
      <w:pPr>
        <w:ind w:left="5040" w:hanging="360"/>
      </w:pPr>
    </w:lvl>
    <w:lvl w:ilvl="7" w:tplc="EBFE0712">
      <w:start w:val="1"/>
      <w:numFmt w:val="lowerLetter"/>
      <w:lvlText w:val="%8."/>
      <w:lvlJc w:val="left"/>
      <w:pPr>
        <w:ind w:left="5760" w:hanging="360"/>
      </w:pPr>
    </w:lvl>
    <w:lvl w:ilvl="8" w:tplc="B9FA21EA">
      <w:start w:val="1"/>
      <w:numFmt w:val="lowerRoman"/>
      <w:lvlText w:val="%9."/>
      <w:lvlJc w:val="right"/>
      <w:pPr>
        <w:ind w:left="6480" w:hanging="180"/>
      </w:pPr>
    </w:lvl>
  </w:abstractNum>
  <w:abstractNum w:abstractNumId="21" w15:restartNumberingAfterBreak="0">
    <w:nsid w:val="5A9E2171"/>
    <w:multiLevelType w:val="multilevel"/>
    <w:tmpl w:val="DC80D276"/>
    <w:lvl w:ilvl="0">
      <w:start w:val="2"/>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pStyle w:val="Section6"/>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decimal"/>
      <w:lvlText w:val=""/>
      <w:lvlJc w:val="left"/>
      <w:pPr>
        <w:ind w:left="3240" w:hanging="360"/>
      </w:pPr>
      <w:rPr>
        <w:rFonts w:hint="default"/>
      </w:rPr>
    </w:lvl>
  </w:abstractNum>
  <w:abstractNum w:abstractNumId="22" w15:restartNumberingAfterBreak="0">
    <w:nsid w:val="5C8FD628"/>
    <w:multiLevelType w:val="hybridMultilevel"/>
    <w:tmpl w:val="2160D6C8"/>
    <w:lvl w:ilvl="0" w:tplc="470626A8">
      <w:start w:val="1"/>
      <w:numFmt w:val="bullet"/>
      <w:lvlText w:val=""/>
      <w:lvlJc w:val="left"/>
      <w:pPr>
        <w:ind w:left="720" w:hanging="360"/>
      </w:pPr>
      <w:rPr>
        <w:rFonts w:ascii="Symbol" w:hAnsi="Symbol" w:hint="default"/>
      </w:rPr>
    </w:lvl>
    <w:lvl w:ilvl="1" w:tplc="5A606A82">
      <w:start w:val="1"/>
      <w:numFmt w:val="bullet"/>
      <w:lvlText w:val="o"/>
      <w:lvlJc w:val="left"/>
      <w:pPr>
        <w:ind w:left="2160" w:hanging="360"/>
      </w:pPr>
      <w:rPr>
        <w:rFonts w:ascii="Courier New" w:hAnsi="Courier New" w:hint="default"/>
      </w:rPr>
    </w:lvl>
    <w:lvl w:ilvl="2" w:tplc="7FFC44A4">
      <w:start w:val="1"/>
      <w:numFmt w:val="bullet"/>
      <w:lvlText w:val=""/>
      <w:lvlJc w:val="left"/>
      <w:pPr>
        <w:ind w:left="2160" w:hanging="360"/>
      </w:pPr>
      <w:rPr>
        <w:rFonts w:ascii="Wingdings" w:hAnsi="Wingdings" w:hint="default"/>
      </w:rPr>
    </w:lvl>
    <w:lvl w:ilvl="3" w:tplc="AD66D836">
      <w:start w:val="1"/>
      <w:numFmt w:val="bullet"/>
      <w:lvlText w:val=""/>
      <w:lvlJc w:val="left"/>
      <w:pPr>
        <w:ind w:left="2880" w:hanging="360"/>
      </w:pPr>
      <w:rPr>
        <w:rFonts w:ascii="Symbol" w:hAnsi="Symbol" w:hint="default"/>
      </w:rPr>
    </w:lvl>
    <w:lvl w:ilvl="4" w:tplc="3716A53E">
      <w:start w:val="1"/>
      <w:numFmt w:val="bullet"/>
      <w:lvlText w:val="o"/>
      <w:lvlJc w:val="left"/>
      <w:pPr>
        <w:ind w:left="3600" w:hanging="360"/>
      </w:pPr>
      <w:rPr>
        <w:rFonts w:ascii="Courier New" w:hAnsi="Courier New" w:hint="default"/>
      </w:rPr>
    </w:lvl>
    <w:lvl w:ilvl="5" w:tplc="A4C25538">
      <w:start w:val="1"/>
      <w:numFmt w:val="bullet"/>
      <w:lvlText w:val=""/>
      <w:lvlJc w:val="left"/>
      <w:pPr>
        <w:ind w:left="4320" w:hanging="360"/>
      </w:pPr>
      <w:rPr>
        <w:rFonts w:ascii="Wingdings" w:hAnsi="Wingdings" w:hint="default"/>
      </w:rPr>
    </w:lvl>
    <w:lvl w:ilvl="6" w:tplc="BF4E976C">
      <w:start w:val="1"/>
      <w:numFmt w:val="bullet"/>
      <w:lvlText w:val=""/>
      <w:lvlJc w:val="left"/>
      <w:pPr>
        <w:ind w:left="5040" w:hanging="360"/>
      </w:pPr>
      <w:rPr>
        <w:rFonts w:ascii="Symbol" w:hAnsi="Symbol" w:hint="default"/>
      </w:rPr>
    </w:lvl>
    <w:lvl w:ilvl="7" w:tplc="9F529692">
      <w:start w:val="1"/>
      <w:numFmt w:val="bullet"/>
      <w:lvlText w:val="o"/>
      <w:lvlJc w:val="left"/>
      <w:pPr>
        <w:ind w:left="5760" w:hanging="360"/>
      </w:pPr>
      <w:rPr>
        <w:rFonts w:ascii="Courier New" w:hAnsi="Courier New" w:hint="default"/>
      </w:rPr>
    </w:lvl>
    <w:lvl w:ilvl="8" w:tplc="F1865644">
      <w:start w:val="1"/>
      <w:numFmt w:val="bullet"/>
      <w:lvlText w:val=""/>
      <w:lvlJc w:val="left"/>
      <w:pPr>
        <w:ind w:left="6480" w:hanging="360"/>
      </w:pPr>
      <w:rPr>
        <w:rFonts w:ascii="Wingdings" w:hAnsi="Wingdings" w:hint="default"/>
      </w:rPr>
    </w:lvl>
  </w:abstractNum>
  <w:abstractNum w:abstractNumId="23" w15:restartNumberingAfterBreak="0">
    <w:nsid w:val="5CC663BF"/>
    <w:multiLevelType w:val="hybridMultilevel"/>
    <w:tmpl w:val="5D90FA82"/>
    <w:lvl w:ilvl="0" w:tplc="D95ADF96">
      <w:start w:val="1"/>
      <w:numFmt w:val="decimal"/>
      <w:pStyle w:val="Sec5"/>
      <w:lvlText w:val="%1."/>
      <w:lvlJc w:val="left"/>
      <w:pPr>
        <w:ind w:left="720" w:hanging="360"/>
      </w:pPr>
      <w:rPr>
        <w:rFonts w:hint="default"/>
      </w:rPr>
    </w:lvl>
    <w:lvl w:ilvl="1" w:tplc="65CCB494">
      <w:start w:val="1"/>
      <w:numFmt w:val="lowerLetter"/>
      <w:pStyle w:val="Section5"/>
      <w:lvlText w:val="%2."/>
      <w:lvlJc w:val="left"/>
      <w:pPr>
        <w:ind w:left="1440" w:hanging="360"/>
      </w:pPr>
    </w:lvl>
    <w:lvl w:ilvl="2" w:tplc="E2928660">
      <w:start w:val="1"/>
      <w:numFmt w:val="lowerRoman"/>
      <w:pStyle w:val="Sect5"/>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10CB1"/>
    <w:multiLevelType w:val="hybridMultilevel"/>
    <w:tmpl w:val="1ACA2904"/>
    <w:lvl w:ilvl="0" w:tplc="F51E185E">
      <w:start w:val="1"/>
      <w:numFmt w:val="decimal"/>
      <w:pStyle w:val="71subleve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A25780"/>
    <w:multiLevelType w:val="multilevel"/>
    <w:tmpl w:val="88FCAC08"/>
    <w:lvl w:ilvl="0">
      <w:start w:val="1"/>
      <w:numFmt w:val="decimal"/>
      <w:pStyle w:val="Heading1"/>
      <w:lvlText w:val="%1."/>
      <w:lvlJc w:val="left"/>
      <w:pPr>
        <w:ind w:left="216" w:hanging="144"/>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pStyle w:val="Heading5"/>
      <w:isLgl/>
      <w:lvlText w:val="%1.%2.%3.%4.%5"/>
      <w:lvlJc w:val="left"/>
      <w:pPr>
        <w:ind w:left="1440" w:hanging="1080"/>
      </w:pPr>
      <w:rPr>
        <w:rFonts w:hint="default"/>
      </w:rPr>
    </w:lvl>
    <w:lvl w:ilvl="5">
      <w:start w:val="1"/>
      <w:numFmt w:val="decimal"/>
      <w:pStyle w:val="Heading6"/>
      <w:isLgl/>
      <w:lvlText w:val="%1.%2.%3.%4.%5.%6"/>
      <w:lvlJc w:val="left"/>
      <w:pPr>
        <w:ind w:left="1800" w:hanging="1440"/>
      </w:pPr>
      <w:rPr>
        <w:rFonts w:hint="default"/>
      </w:rPr>
    </w:lvl>
    <w:lvl w:ilvl="6">
      <w:start w:val="1"/>
      <w:numFmt w:val="decimal"/>
      <w:pStyle w:val="ListNum"/>
      <w:isLgl/>
      <w:lvlText w:val="%1.%2.%3.%4.%5.%6.%7"/>
      <w:lvlJc w:val="left"/>
      <w:pPr>
        <w:ind w:left="2160" w:hanging="1800"/>
      </w:pPr>
      <w:rPr>
        <w:rFonts w:hint="default"/>
      </w:rPr>
    </w:lvl>
    <w:lvl w:ilvl="7">
      <w:start w:val="1"/>
      <w:numFmt w:val="decimal"/>
      <w:pStyle w:val="ListAlpha"/>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2622221"/>
    <w:multiLevelType w:val="multilevel"/>
    <w:tmpl w:val="A3A45BDE"/>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7" w15:restartNumberingAfterBreak="0">
    <w:nsid w:val="626A3B74"/>
    <w:multiLevelType w:val="hybridMultilevel"/>
    <w:tmpl w:val="C3620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9DFBF6"/>
    <w:multiLevelType w:val="hybridMultilevel"/>
    <w:tmpl w:val="4A0636AA"/>
    <w:lvl w:ilvl="0" w:tplc="918ABDE4">
      <w:start w:val="1"/>
      <w:numFmt w:val="bullet"/>
      <w:lvlText w:val=""/>
      <w:lvlJc w:val="left"/>
      <w:pPr>
        <w:ind w:left="720" w:hanging="360"/>
      </w:pPr>
      <w:rPr>
        <w:rFonts w:ascii="Symbol" w:hAnsi="Symbol" w:hint="default"/>
      </w:rPr>
    </w:lvl>
    <w:lvl w:ilvl="1" w:tplc="51B87F7C">
      <w:start w:val="1"/>
      <w:numFmt w:val="bullet"/>
      <w:lvlText w:val="o"/>
      <w:lvlJc w:val="left"/>
      <w:pPr>
        <w:ind w:left="2160" w:hanging="360"/>
      </w:pPr>
      <w:rPr>
        <w:rFonts w:ascii="Courier New" w:hAnsi="Courier New" w:hint="default"/>
      </w:rPr>
    </w:lvl>
    <w:lvl w:ilvl="2" w:tplc="4756FC52">
      <w:start w:val="1"/>
      <w:numFmt w:val="bullet"/>
      <w:lvlText w:val=""/>
      <w:lvlJc w:val="left"/>
      <w:pPr>
        <w:ind w:left="2160" w:hanging="360"/>
      </w:pPr>
      <w:rPr>
        <w:rFonts w:ascii="Wingdings" w:hAnsi="Wingdings" w:hint="default"/>
      </w:rPr>
    </w:lvl>
    <w:lvl w:ilvl="3" w:tplc="6AB4E360">
      <w:start w:val="1"/>
      <w:numFmt w:val="bullet"/>
      <w:lvlText w:val=""/>
      <w:lvlJc w:val="left"/>
      <w:pPr>
        <w:ind w:left="2880" w:hanging="360"/>
      </w:pPr>
      <w:rPr>
        <w:rFonts w:ascii="Symbol" w:hAnsi="Symbol" w:hint="default"/>
      </w:rPr>
    </w:lvl>
    <w:lvl w:ilvl="4" w:tplc="915ABD90">
      <w:start w:val="1"/>
      <w:numFmt w:val="bullet"/>
      <w:lvlText w:val="o"/>
      <w:lvlJc w:val="left"/>
      <w:pPr>
        <w:ind w:left="3600" w:hanging="360"/>
      </w:pPr>
      <w:rPr>
        <w:rFonts w:ascii="Courier New" w:hAnsi="Courier New" w:hint="default"/>
      </w:rPr>
    </w:lvl>
    <w:lvl w:ilvl="5" w:tplc="F1BA328E">
      <w:start w:val="1"/>
      <w:numFmt w:val="bullet"/>
      <w:lvlText w:val=""/>
      <w:lvlJc w:val="left"/>
      <w:pPr>
        <w:ind w:left="4320" w:hanging="360"/>
      </w:pPr>
      <w:rPr>
        <w:rFonts w:ascii="Wingdings" w:hAnsi="Wingdings" w:hint="default"/>
      </w:rPr>
    </w:lvl>
    <w:lvl w:ilvl="6" w:tplc="D664492C">
      <w:start w:val="1"/>
      <w:numFmt w:val="bullet"/>
      <w:lvlText w:val=""/>
      <w:lvlJc w:val="left"/>
      <w:pPr>
        <w:ind w:left="5040" w:hanging="360"/>
      </w:pPr>
      <w:rPr>
        <w:rFonts w:ascii="Symbol" w:hAnsi="Symbol" w:hint="default"/>
      </w:rPr>
    </w:lvl>
    <w:lvl w:ilvl="7" w:tplc="6F348F68">
      <w:start w:val="1"/>
      <w:numFmt w:val="bullet"/>
      <w:lvlText w:val="o"/>
      <w:lvlJc w:val="left"/>
      <w:pPr>
        <w:ind w:left="5760" w:hanging="360"/>
      </w:pPr>
      <w:rPr>
        <w:rFonts w:ascii="Courier New" w:hAnsi="Courier New" w:hint="default"/>
      </w:rPr>
    </w:lvl>
    <w:lvl w:ilvl="8" w:tplc="05644CDE">
      <w:start w:val="1"/>
      <w:numFmt w:val="bullet"/>
      <w:lvlText w:val=""/>
      <w:lvlJc w:val="left"/>
      <w:pPr>
        <w:ind w:left="6480" w:hanging="360"/>
      </w:pPr>
      <w:rPr>
        <w:rFonts w:ascii="Wingdings" w:hAnsi="Wingdings" w:hint="default"/>
      </w:rPr>
    </w:lvl>
  </w:abstractNum>
  <w:abstractNum w:abstractNumId="29" w15:restartNumberingAfterBreak="0">
    <w:nsid w:val="66E537B0"/>
    <w:multiLevelType w:val="hybridMultilevel"/>
    <w:tmpl w:val="A9467F7C"/>
    <w:lvl w:ilvl="0" w:tplc="57502114">
      <w:start w:val="1"/>
      <w:numFmt w:val="bullet"/>
      <w:lvlText w:val=""/>
      <w:lvlJc w:val="left"/>
      <w:pPr>
        <w:ind w:left="1440" w:hanging="360"/>
      </w:pPr>
      <w:rPr>
        <w:rFonts w:ascii="Symbol" w:hAnsi="Symbol" w:hint="default"/>
      </w:rPr>
    </w:lvl>
    <w:lvl w:ilvl="1" w:tplc="6BE0F964">
      <w:start w:val="1"/>
      <w:numFmt w:val="bullet"/>
      <w:lvlText w:val="o"/>
      <w:lvlJc w:val="left"/>
      <w:pPr>
        <w:ind w:left="1440" w:hanging="360"/>
      </w:pPr>
      <w:rPr>
        <w:rFonts w:ascii="Courier New" w:hAnsi="Courier New" w:hint="default"/>
      </w:rPr>
    </w:lvl>
    <w:lvl w:ilvl="2" w:tplc="F998D438">
      <w:start w:val="1"/>
      <w:numFmt w:val="bullet"/>
      <w:lvlText w:val=""/>
      <w:lvlJc w:val="left"/>
      <w:pPr>
        <w:ind w:left="2160" w:hanging="360"/>
      </w:pPr>
      <w:rPr>
        <w:rFonts w:ascii="Wingdings" w:hAnsi="Wingdings" w:hint="default"/>
      </w:rPr>
    </w:lvl>
    <w:lvl w:ilvl="3" w:tplc="FDD43260">
      <w:start w:val="1"/>
      <w:numFmt w:val="bullet"/>
      <w:lvlText w:val=""/>
      <w:lvlJc w:val="left"/>
      <w:pPr>
        <w:ind w:left="2880" w:hanging="360"/>
      </w:pPr>
      <w:rPr>
        <w:rFonts w:ascii="Symbol" w:hAnsi="Symbol" w:hint="default"/>
      </w:rPr>
    </w:lvl>
    <w:lvl w:ilvl="4" w:tplc="F6CC8838">
      <w:start w:val="1"/>
      <w:numFmt w:val="bullet"/>
      <w:lvlText w:val="o"/>
      <w:lvlJc w:val="left"/>
      <w:pPr>
        <w:ind w:left="3600" w:hanging="360"/>
      </w:pPr>
      <w:rPr>
        <w:rFonts w:ascii="Courier New" w:hAnsi="Courier New" w:hint="default"/>
      </w:rPr>
    </w:lvl>
    <w:lvl w:ilvl="5" w:tplc="460A78A0">
      <w:start w:val="1"/>
      <w:numFmt w:val="bullet"/>
      <w:lvlText w:val=""/>
      <w:lvlJc w:val="left"/>
      <w:pPr>
        <w:ind w:left="4320" w:hanging="360"/>
      </w:pPr>
      <w:rPr>
        <w:rFonts w:ascii="Wingdings" w:hAnsi="Wingdings" w:hint="default"/>
      </w:rPr>
    </w:lvl>
    <w:lvl w:ilvl="6" w:tplc="0CA201EA">
      <w:start w:val="1"/>
      <w:numFmt w:val="bullet"/>
      <w:lvlText w:val=""/>
      <w:lvlJc w:val="left"/>
      <w:pPr>
        <w:ind w:left="5040" w:hanging="360"/>
      </w:pPr>
      <w:rPr>
        <w:rFonts w:ascii="Symbol" w:hAnsi="Symbol" w:hint="default"/>
      </w:rPr>
    </w:lvl>
    <w:lvl w:ilvl="7" w:tplc="ADCE3128">
      <w:start w:val="1"/>
      <w:numFmt w:val="bullet"/>
      <w:lvlText w:val="o"/>
      <w:lvlJc w:val="left"/>
      <w:pPr>
        <w:ind w:left="5760" w:hanging="360"/>
      </w:pPr>
      <w:rPr>
        <w:rFonts w:ascii="Courier New" w:hAnsi="Courier New" w:hint="default"/>
      </w:rPr>
    </w:lvl>
    <w:lvl w:ilvl="8" w:tplc="592097FC">
      <w:start w:val="1"/>
      <w:numFmt w:val="bullet"/>
      <w:lvlText w:val=""/>
      <w:lvlJc w:val="left"/>
      <w:pPr>
        <w:ind w:left="6480" w:hanging="360"/>
      </w:pPr>
      <w:rPr>
        <w:rFonts w:ascii="Wingdings" w:hAnsi="Wingdings" w:hint="default"/>
      </w:rPr>
    </w:lvl>
  </w:abstractNum>
  <w:abstractNum w:abstractNumId="30" w15:restartNumberingAfterBreak="0">
    <w:nsid w:val="789A0AFE"/>
    <w:multiLevelType w:val="multilevel"/>
    <w:tmpl w:val="18F4A5AC"/>
    <w:numStyleLink w:val="FoFCoLOP"/>
  </w:abstractNum>
  <w:abstractNum w:abstractNumId="31" w15:restartNumberingAfterBreak="0">
    <w:nsid w:val="7DEBAC46"/>
    <w:multiLevelType w:val="hybridMultilevel"/>
    <w:tmpl w:val="062C31FE"/>
    <w:lvl w:ilvl="0" w:tplc="5F5E1EB4">
      <w:start w:val="1"/>
      <w:numFmt w:val="bullet"/>
      <w:lvlText w:val=""/>
      <w:lvlJc w:val="left"/>
      <w:pPr>
        <w:ind w:left="720" w:hanging="360"/>
      </w:pPr>
      <w:rPr>
        <w:rFonts w:ascii="Symbol" w:hAnsi="Symbol" w:hint="default"/>
      </w:rPr>
    </w:lvl>
    <w:lvl w:ilvl="1" w:tplc="2B468282">
      <w:start w:val="1"/>
      <w:numFmt w:val="bullet"/>
      <w:lvlText w:val="o"/>
      <w:lvlJc w:val="left"/>
      <w:pPr>
        <w:ind w:left="2160" w:hanging="360"/>
      </w:pPr>
      <w:rPr>
        <w:rFonts w:ascii="Courier New" w:hAnsi="Courier New" w:hint="default"/>
      </w:rPr>
    </w:lvl>
    <w:lvl w:ilvl="2" w:tplc="5B3A1396">
      <w:start w:val="1"/>
      <w:numFmt w:val="bullet"/>
      <w:lvlText w:val=""/>
      <w:lvlJc w:val="left"/>
      <w:pPr>
        <w:ind w:left="2160" w:hanging="360"/>
      </w:pPr>
      <w:rPr>
        <w:rFonts w:ascii="Wingdings" w:hAnsi="Wingdings" w:hint="default"/>
      </w:rPr>
    </w:lvl>
    <w:lvl w:ilvl="3" w:tplc="AC52540C">
      <w:start w:val="1"/>
      <w:numFmt w:val="bullet"/>
      <w:lvlText w:val=""/>
      <w:lvlJc w:val="left"/>
      <w:pPr>
        <w:ind w:left="2880" w:hanging="360"/>
      </w:pPr>
      <w:rPr>
        <w:rFonts w:ascii="Symbol" w:hAnsi="Symbol" w:hint="default"/>
      </w:rPr>
    </w:lvl>
    <w:lvl w:ilvl="4" w:tplc="D81681EA">
      <w:start w:val="1"/>
      <w:numFmt w:val="bullet"/>
      <w:lvlText w:val="o"/>
      <w:lvlJc w:val="left"/>
      <w:pPr>
        <w:ind w:left="3600" w:hanging="360"/>
      </w:pPr>
      <w:rPr>
        <w:rFonts w:ascii="Courier New" w:hAnsi="Courier New" w:hint="default"/>
      </w:rPr>
    </w:lvl>
    <w:lvl w:ilvl="5" w:tplc="52C84630">
      <w:start w:val="1"/>
      <w:numFmt w:val="bullet"/>
      <w:lvlText w:val=""/>
      <w:lvlJc w:val="left"/>
      <w:pPr>
        <w:ind w:left="4320" w:hanging="360"/>
      </w:pPr>
      <w:rPr>
        <w:rFonts w:ascii="Wingdings" w:hAnsi="Wingdings" w:hint="default"/>
      </w:rPr>
    </w:lvl>
    <w:lvl w:ilvl="6" w:tplc="10FE4166">
      <w:start w:val="1"/>
      <w:numFmt w:val="bullet"/>
      <w:lvlText w:val=""/>
      <w:lvlJc w:val="left"/>
      <w:pPr>
        <w:ind w:left="5040" w:hanging="360"/>
      </w:pPr>
      <w:rPr>
        <w:rFonts w:ascii="Symbol" w:hAnsi="Symbol" w:hint="default"/>
      </w:rPr>
    </w:lvl>
    <w:lvl w:ilvl="7" w:tplc="47EEF432">
      <w:start w:val="1"/>
      <w:numFmt w:val="bullet"/>
      <w:lvlText w:val="o"/>
      <w:lvlJc w:val="left"/>
      <w:pPr>
        <w:ind w:left="5760" w:hanging="360"/>
      </w:pPr>
      <w:rPr>
        <w:rFonts w:ascii="Courier New" w:hAnsi="Courier New" w:hint="default"/>
      </w:rPr>
    </w:lvl>
    <w:lvl w:ilvl="8" w:tplc="DCC28F04">
      <w:start w:val="1"/>
      <w:numFmt w:val="bullet"/>
      <w:lvlText w:val=""/>
      <w:lvlJc w:val="left"/>
      <w:pPr>
        <w:ind w:left="6480" w:hanging="360"/>
      </w:pPr>
      <w:rPr>
        <w:rFonts w:ascii="Wingdings" w:hAnsi="Wingdings" w:hint="default"/>
      </w:rPr>
    </w:lvl>
  </w:abstractNum>
  <w:num w:numId="1" w16cid:durableId="1354526949">
    <w:abstractNumId w:val="21"/>
  </w:num>
  <w:num w:numId="2" w16cid:durableId="973756952">
    <w:abstractNumId w:val="11"/>
  </w:num>
  <w:num w:numId="3" w16cid:durableId="816924040">
    <w:abstractNumId w:val="0"/>
  </w:num>
  <w:num w:numId="4" w16cid:durableId="398096470">
    <w:abstractNumId w:val="23"/>
  </w:num>
  <w:num w:numId="5" w16cid:durableId="1362241716">
    <w:abstractNumId w:val="9"/>
  </w:num>
  <w:num w:numId="6" w16cid:durableId="1611087561">
    <w:abstractNumId w:val="16"/>
  </w:num>
  <w:num w:numId="7" w16cid:durableId="763502810">
    <w:abstractNumId w:val="2"/>
  </w:num>
  <w:num w:numId="8" w16cid:durableId="707146868">
    <w:abstractNumId w:val="1"/>
  </w:num>
  <w:num w:numId="9" w16cid:durableId="2092582104">
    <w:abstractNumId w:val="30"/>
    <w:lvlOverride w:ilvl="1">
      <w:lvl w:ilvl="1">
        <w:start w:val="1"/>
        <w:numFmt w:val="lowerLetter"/>
        <w:lvlText w:val="(%2)"/>
        <w:lvlJc w:val="right"/>
        <w:pPr>
          <w:ind w:left="1152" w:hanging="72"/>
        </w:pPr>
        <w:rPr>
          <w:rFonts w:hint="default"/>
        </w:rPr>
      </w:lvl>
    </w:lvlOverride>
  </w:num>
  <w:num w:numId="10" w16cid:durableId="1435249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9958460">
    <w:abstractNumId w:val="24"/>
  </w:num>
  <w:num w:numId="12" w16cid:durableId="635913927">
    <w:abstractNumId w:val="5"/>
  </w:num>
  <w:num w:numId="13" w16cid:durableId="462578336">
    <w:abstractNumId w:val="27"/>
  </w:num>
  <w:num w:numId="14" w16cid:durableId="260384130">
    <w:abstractNumId w:val="4"/>
  </w:num>
  <w:num w:numId="15" w16cid:durableId="595141308">
    <w:abstractNumId w:val="25"/>
  </w:num>
  <w:num w:numId="16" w16cid:durableId="1806652462">
    <w:abstractNumId w:val="30"/>
  </w:num>
  <w:num w:numId="17" w16cid:durableId="1505166269">
    <w:abstractNumId w:val="19"/>
  </w:num>
  <w:num w:numId="18" w16cid:durableId="1166213868">
    <w:abstractNumId w:val="25"/>
  </w:num>
  <w:num w:numId="19" w16cid:durableId="1592271922">
    <w:abstractNumId w:val="25"/>
  </w:num>
  <w:num w:numId="20" w16cid:durableId="1999648142">
    <w:abstractNumId w:val="18"/>
  </w:num>
  <w:num w:numId="21" w16cid:durableId="167142877">
    <w:abstractNumId w:val="7"/>
  </w:num>
  <w:num w:numId="22" w16cid:durableId="634020506">
    <w:abstractNumId w:val="22"/>
  </w:num>
  <w:num w:numId="23" w16cid:durableId="411974920">
    <w:abstractNumId w:val="31"/>
  </w:num>
  <w:num w:numId="24" w16cid:durableId="1379158957">
    <w:abstractNumId w:val="15"/>
  </w:num>
  <w:num w:numId="25" w16cid:durableId="1624268046">
    <w:abstractNumId w:val="28"/>
  </w:num>
  <w:num w:numId="26" w16cid:durableId="1967344276">
    <w:abstractNumId w:val="29"/>
  </w:num>
  <w:num w:numId="27" w16cid:durableId="1158617005">
    <w:abstractNumId w:val="12"/>
  </w:num>
  <w:num w:numId="28" w16cid:durableId="1218511072">
    <w:abstractNumId w:val="20"/>
  </w:num>
  <w:num w:numId="29" w16cid:durableId="1291791134">
    <w:abstractNumId w:val="8"/>
  </w:num>
  <w:num w:numId="30" w16cid:durableId="910000111">
    <w:abstractNumId w:val="6"/>
  </w:num>
  <w:num w:numId="31" w16cid:durableId="1391001892">
    <w:abstractNumId w:val="26"/>
  </w:num>
  <w:num w:numId="32" w16cid:durableId="458887315">
    <w:abstractNumId w:val="24"/>
  </w:num>
  <w:num w:numId="33" w16cid:durableId="355011450">
    <w:abstractNumId w:val="10"/>
  </w:num>
  <w:num w:numId="34" w16cid:durableId="230776640">
    <w:abstractNumId w:val="13"/>
  </w:num>
  <w:num w:numId="35" w16cid:durableId="207761593">
    <w:abstractNumId w:val="17"/>
  </w:num>
  <w:num w:numId="36" w16cid:durableId="1322348314">
    <w:abstractNumId w:val="3"/>
  </w:num>
  <w:num w:numId="37" w16cid:durableId="733088146">
    <w:abstractNumId w:val="2"/>
  </w:num>
  <w:num w:numId="38" w16cid:durableId="1419328162">
    <w:abstractNumId w:val="3"/>
    <w:lvlOverride w:ilvl="0">
      <w:startOverride w:val="1"/>
    </w:lvlOverride>
  </w:num>
  <w:num w:numId="39" w16cid:durableId="1019434306">
    <w:abstractNumId w:val="3"/>
  </w:num>
  <w:num w:numId="40" w16cid:durableId="1653632831">
    <w:abstractNumId w:val="3"/>
  </w:num>
  <w:num w:numId="41" w16cid:durableId="623654094">
    <w:abstractNumId w:val="3"/>
  </w:num>
  <w:num w:numId="42" w16cid:durableId="1084764574">
    <w:abstractNumId w:val="3"/>
  </w:num>
  <w:num w:numId="43" w16cid:durableId="443888132">
    <w:abstractNumId w:val="3"/>
  </w:num>
  <w:num w:numId="44" w16cid:durableId="173348202">
    <w:abstractNumId w:val="3"/>
    <w:lvlOverride w:ilvl="0">
      <w:startOverride w:val="1"/>
    </w:lvlOverride>
  </w:num>
  <w:num w:numId="45" w16cid:durableId="463934817">
    <w:abstractNumId w:val="3"/>
  </w:num>
  <w:num w:numId="46" w16cid:durableId="1079329705">
    <w:abstractNumId w:val="3"/>
  </w:num>
  <w:num w:numId="47" w16cid:durableId="1950314709">
    <w:abstractNumId w:val="3"/>
  </w:num>
  <w:num w:numId="48" w16cid:durableId="1695577323">
    <w:abstractNumId w:val="2"/>
  </w:num>
  <w:num w:numId="49" w16cid:durableId="850921150">
    <w:abstractNumId w:val="3"/>
  </w:num>
  <w:num w:numId="50" w16cid:durableId="772867131">
    <w:abstractNumId w:val="3"/>
  </w:num>
  <w:num w:numId="51" w16cid:durableId="33845584">
    <w:abstractNumId w:val="3"/>
  </w:num>
  <w:num w:numId="52" w16cid:durableId="401563359">
    <w:abstractNumId w:val="3"/>
  </w:num>
  <w:num w:numId="53" w16cid:durableId="1488478961">
    <w:abstractNumId w:val="3"/>
  </w:num>
  <w:num w:numId="54" w16cid:durableId="1271355041">
    <w:abstractNumId w:val="3"/>
  </w:num>
  <w:num w:numId="55" w16cid:durableId="25833953">
    <w:abstractNumId w:val="2"/>
  </w:num>
  <w:num w:numId="56" w16cid:durableId="1326472055">
    <w:abstractNumId w:val="2"/>
  </w:num>
  <w:num w:numId="57" w16cid:durableId="218715450">
    <w:abstractNumId w:val="25"/>
  </w:num>
  <w:num w:numId="58" w16cid:durableId="647592779">
    <w:abstractNumId w:val="1"/>
  </w:num>
  <w:num w:numId="59" w16cid:durableId="1211654145">
    <w:abstractNumId w:val="30"/>
  </w:num>
  <w:num w:numId="60" w16cid:durableId="1272320081">
    <w:abstractNumId w:val="19"/>
  </w:num>
  <w:num w:numId="61" w16cid:durableId="365444227">
    <w:abstractNumId w:val="4"/>
  </w:num>
  <w:num w:numId="62" w16cid:durableId="2018842235">
    <w:abstractNumId w:val="30"/>
  </w:num>
  <w:num w:numId="63" w16cid:durableId="1190216674">
    <w:abstractNumId w:val="19"/>
  </w:num>
  <w:num w:numId="64" w16cid:durableId="896745593">
    <w:abstractNumId w:val="19"/>
  </w:num>
  <w:num w:numId="65" w16cid:durableId="2049639642">
    <w:abstractNumId w:val="19"/>
  </w:num>
  <w:num w:numId="66" w16cid:durableId="1708869948">
    <w:abstractNumId w:val="19"/>
  </w:num>
  <w:num w:numId="67" w16cid:durableId="2090690489">
    <w:abstractNumId w:val="19"/>
  </w:num>
  <w:num w:numId="68" w16cid:durableId="417870659">
    <w:abstractNumId w:val="19"/>
  </w:num>
  <w:num w:numId="69" w16cid:durableId="604651300">
    <w:abstractNumId w:val="19"/>
  </w:num>
  <w:num w:numId="70" w16cid:durableId="1674718832">
    <w:abstractNumId w:val="19"/>
  </w:num>
  <w:num w:numId="71" w16cid:durableId="534781434">
    <w:abstractNumId w:val="19"/>
  </w:num>
  <w:num w:numId="72" w16cid:durableId="1574195350">
    <w:abstractNumId w:val="19"/>
  </w:num>
  <w:num w:numId="73" w16cid:durableId="904416359">
    <w:abstractNumId w:val="19"/>
  </w:num>
  <w:num w:numId="74" w16cid:durableId="1113130642">
    <w:abstractNumId w:val="19"/>
  </w:num>
  <w:num w:numId="75" w16cid:durableId="268664136">
    <w:abstractNumId w:val="19"/>
  </w:num>
  <w:num w:numId="76" w16cid:durableId="389154157">
    <w:abstractNumId w:val="19"/>
  </w:num>
  <w:num w:numId="77" w16cid:durableId="1070427270">
    <w:abstractNumId w:val="19"/>
  </w:num>
  <w:num w:numId="78" w16cid:durableId="123081742">
    <w:abstractNumId w:val="19"/>
  </w:num>
  <w:num w:numId="79" w16cid:durableId="243926512">
    <w:abstractNumId w:val="19"/>
  </w:num>
  <w:num w:numId="80" w16cid:durableId="298191886">
    <w:abstractNumId w:val="19"/>
  </w:num>
  <w:num w:numId="81" w16cid:durableId="150148466">
    <w:abstractNumId w:val="19"/>
  </w:num>
  <w:num w:numId="82" w16cid:durableId="855146343">
    <w:abstractNumId w:val="19"/>
  </w:num>
  <w:num w:numId="83" w16cid:durableId="697049669">
    <w:abstractNumId w:val="19"/>
  </w:num>
  <w:num w:numId="84" w16cid:durableId="1577325123">
    <w:abstractNumId w:val="19"/>
  </w:num>
  <w:num w:numId="85" w16cid:durableId="223486685">
    <w:abstractNumId w:val="19"/>
  </w:num>
  <w:num w:numId="86" w16cid:durableId="1452363959">
    <w:abstractNumId w:val="19"/>
  </w:num>
  <w:num w:numId="87" w16cid:durableId="820728949">
    <w:abstractNumId w:val="19"/>
  </w:num>
  <w:num w:numId="88" w16cid:durableId="635524276">
    <w:abstractNumId w:val="19"/>
  </w:num>
  <w:num w:numId="89" w16cid:durableId="1167600587">
    <w:abstractNumId w:val="19"/>
  </w:num>
  <w:num w:numId="90" w16cid:durableId="2073234496">
    <w:abstractNumId w:val="19"/>
  </w:num>
  <w:num w:numId="91" w16cid:durableId="846403038">
    <w:abstractNumId w:val="19"/>
  </w:num>
  <w:num w:numId="92" w16cid:durableId="296961297">
    <w:abstractNumId w:val="19"/>
  </w:num>
  <w:num w:numId="93" w16cid:durableId="1821771959">
    <w:abstractNumId w:val="19"/>
  </w:num>
  <w:num w:numId="94" w16cid:durableId="1634362251">
    <w:abstractNumId w:val="19"/>
  </w:num>
  <w:num w:numId="95" w16cid:durableId="672296690">
    <w:abstractNumId w:val="19"/>
  </w:num>
  <w:num w:numId="96" w16cid:durableId="1775007203">
    <w:abstractNumId w:val="19"/>
  </w:num>
  <w:num w:numId="97" w16cid:durableId="1180704947">
    <w:abstractNumId w:val="19"/>
  </w:num>
  <w:num w:numId="98" w16cid:durableId="1987398339">
    <w:abstractNumId w:val="19"/>
  </w:num>
  <w:num w:numId="99" w16cid:durableId="1905791686">
    <w:abstractNumId w:val="19"/>
  </w:num>
  <w:num w:numId="100" w16cid:durableId="825821900">
    <w:abstractNumId w:val="19"/>
  </w:num>
  <w:num w:numId="101" w16cid:durableId="1469125839">
    <w:abstractNumId w:val="19"/>
  </w:num>
  <w:num w:numId="102" w16cid:durableId="448938437">
    <w:abstractNumId w:val="4"/>
  </w:num>
  <w:num w:numId="103" w16cid:durableId="1333797211">
    <w:abstractNumId w:val="4"/>
  </w:num>
  <w:num w:numId="104" w16cid:durableId="1529368713">
    <w:abstractNumId w:val="4"/>
  </w:num>
  <w:num w:numId="105" w16cid:durableId="365299179">
    <w:abstractNumId w:val="4"/>
  </w:num>
  <w:num w:numId="106" w16cid:durableId="1748072598">
    <w:abstractNumId w:val="4"/>
  </w:num>
  <w:num w:numId="107" w16cid:durableId="1307472390">
    <w:abstractNumId w:val="4"/>
  </w:num>
  <w:num w:numId="108" w16cid:durableId="429394849">
    <w:abstractNumId w:val="4"/>
  </w:num>
  <w:num w:numId="109" w16cid:durableId="1997879318">
    <w:abstractNumId w:val="4"/>
  </w:num>
  <w:num w:numId="110" w16cid:durableId="348333456">
    <w:abstractNumId w:val="4"/>
  </w:num>
  <w:num w:numId="111" w16cid:durableId="610865389">
    <w:abstractNumId w:val="21"/>
  </w:num>
  <w:num w:numId="112" w16cid:durableId="1104114314">
    <w:abstractNumId w:val="21"/>
  </w:num>
  <w:num w:numId="113" w16cid:durableId="566766779">
    <w:abstractNumId w:val="14"/>
  </w:num>
  <w:num w:numId="114" w16cid:durableId="912861903">
    <w:abstractNumId w:val="0"/>
  </w:num>
  <w:num w:numId="115" w16cid:durableId="554128366">
    <w:abstractNumId w:val="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F7"/>
    <w:rsid w:val="00000450"/>
    <w:rsid w:val="00000579"/>
    <w:rsid w:val="00000695"/>
    <w:rsid w:val="00000985"/>
    <w:rsid w:val="00000A89"/>
    <w:rsid w:val="00000B25"/>
    <w:rsid w:val="00000D5C"/>
    <w:rsid w:val="00000E0B"/>
    <w:rsid w:val="00000F6A"/>
    <w:rsid w:val="00001036"/>
    <w:rsid w:val="00001101"/>
    <w:rsid w:val="0000123D"/>
    <w:rsid w:val="00001511"/>
    <w:rsid w:val="000015E4"/>
    <w:rsid w:val="000016EE"/>
    <w:rsid w:val="00001735"/>
    <w:rsid w:val="000018F5"/>
    <w:rsid w:val="00001962"/>
    <w:rsid w:val="00001A24"/>
    <w:rsid w:val="00001A63"/>
    <w:rsid w:val="00001B20"/>
    <w:rsid w:val="00001B9B"/>
    <w:rsid w:val="00001D8D"/>
    <w:rsid w:val="00001DED"/>
    <w:rsid w:val="000023F0"/>
    <w:rsid w:val="00002815"/>
    <w:rsid w:val="00002977"/>
    <w:rsid w:val="00002B02"/>
    <w:rsid w:val="00002DC3"/>
    <w:rsid w:val="00002F1A"/>
    <w:rsid w:val="000032F7"/>
    <w:rsid w:val="00003455"/>
    <w:rsid w:val="00003502"/>
    <w:rsid w:val="00003569"/>
    <w:rsid w:val="00003602"/>
    <w:rsid w:val="000036D1"/>
    <w:rsid w:val="000039D9"/>
    <w:rsid w:val="00003BEC"/>
    <w:rsid w:val="00003C70"/>
    <w:rsid w:val="00003FBE"/>
    <w:rsid w:val="00004104"/>
    <w:rsid w:val="00004188"/>
    <w:rsid w:val="000041B4"/>
    <w:rsid w:val="00004236"/>
    <w:rsid w:val="0000423A"/>
    <w:rsid w:val="0000426B"/>
    <w:rsid w:val="00004306"/>
    <w:rsid w:val="0000456B"/>
    <w:rsid w:val="00004602"/>
    <w:rsid w:val="000047CF"/>
    <w:rsid w:val="00004C6E"/>
    <w:rsid w:val="0000523B"/>
    <w:rsid w:val="00005896"/>
    <w:rsid w:val="00005AD0"/>
    <w:rsid w:val="00005E91"/>
    <w:rsid w:val="00005F58"/>
    <w:rsid w:val="0000604C"/>
    <w:rsid w:val="00006325"/>
    <w:rsid w:val="00006404"/>
    <w:rsid w:val="000064FE"/>
    <w:rsid w:val="00006551"/>
    <w:rsid w:val="000066E0"/>
    <w:rsid w:val="00006817"/>
    <w:rsid w:val="00006B6A"/>
    <w:rsid w:val="00006D52"/>
    <w:rsid w:val="00006E27"/>
    <w:rsid w:val="00006EF7"/>
    <w:rsid w:val="00007500"/>
    <w:rsid w:val="000075FB"/>
    <w:rsid w:val="0000788C"/>
    <w:rsid w:val="00007BFA"/>
    <w:rsid w:val="00007CC9"/>
    <w:rsid w:val="00007D54"/>
    <w:rsid w:val="000101FA"/>
    <w:rsid w:val="00010328"/>
    <w:rsid w:val="000105BC"/>
    <w:rsid w:val="00010878"/>
    <w:rsid w:val="000108E2"/>
    <w:rsid w:val="00010955"/>
    <w:rsid w:val="00010BC5"/>
    <w:rsid w:val="00010C21"/>
    <w:rsid w:val="00010DAB"/>
    <w:rsid w:val="00010F32"/>
    <w:rsid w:val="00010F43"/>
    <w:rsid w:val="000110D3"/>
    <w:rsid w:val="00011205"/>
    <w:rsid w:val="0001157B"/>
    <w:rsid w:val="00011696"/>
    <w:rsid w:val="00011941"/>
    <w:rsid w:val="000119DB"/>
    <w:rsid w:val="00011D22"/>
    <w:rsid w:val="00011E86"/>
    <w:rsid w:val="00011FBD"/>
    <w:rsid w:val="000123B5"/>
    <w:rsid w:val="00012428"/>
    <w:rsid w:val="00012560"/>
    <w:rsid w:val="0001256E"/>
    <w:rsid w:val="00012586"/>
    <w:rsid w:val="00012689"/>
    <w:rsid w:val="000126B0"/>
    <w:rsid w:val="0001286D"/>
    <w:rsid w:val="00012BDC"/>
    <w:rsid w:val="00012C9E"/>
    <w:rsid w:val="00012CD1"/>
    <w:rsid w:val="00012E18"/>
    <w:rsid w:val="0001321B"/>
    <w:rsid w:val="00013859"/>
    <w:rsid w:val="00013B4B"/>
    <w:rsid w:val="00013C71"/>
    <w:rsid w:val="00013EF5"/>
    <w:rsid w:val="00013F0F"/>
    <w:rsid w:val="00013F51"/>
    <w:rsid w:val="0001401B"/>
    <w:rsid w:val="000144C1"/>
    <w:rsid w:val="00014572"/>
    <w:rsid w:val="000146C7"/>
    <w:rsid w:val="000149D3"/>
    <w:rsid w:val="00014FEE"/>
    <w:rsid w:val="0001506F"/>
    <w:rsid w:val="000150F9"/>
    <w:rsid w:val="00015398"/>
    <w:rsid w:val="000153C2"/>
    <w:rsid w:val="000154DE"/>
    <w:rsid w:val="00015503"/>
    <w:rsid w:val="00015530"/>
    <w:rsid w:val="000155D2"/>
    <w:rsid w:val="0001571C"/>
    <w:rsid w:val="000157D0"/>
    <w:rsid w:val="00015A42"/>
    <w:rsid w:val="00015C9B"/>
    <w:rsid w:val="00015D06"/>
    <w:rsid w:val="00015D2B"/>
    <w:rsid w:val="00015FCF"/>
    <w:rsid w:val="00015FD9"/>
    <w:rsid w:val="000160C3"/>
    <w:rsid w:val="000162D1"/>
    <w:rsid w:val="000162E0"/>
    <w:rsid w:val="00016317"/>
    <w:rsid w:val="000164BE"/>
    <w:rsid w:val="000164C2"/>
    <w:rsid w:val="000164D8"/>
    <w:rsid w:val="0001661E"/>
    <w:rsid w:val="00016671"/>
    <w:rsid w:val="00016836"/>
    <w:rsid w:val="000168F2"/>
    <w:rsid w:val="00016ADA"/>
    <w:rsid w:val="00016F77"/>
    <w:rsid w:val="00016F80"/>
    <w:rsid w:val="000171F1"/>
    <w:rsid w:val="000173D3"/>
    <w:rsid w:val="00017670"/>
    <w:rsid w:val="000176A5"/>
    <w:rsid w:val="000176F1"/>
    <w:rsid w:val="00017A02"/>
    <w:rsid w:val="00017D63"/>
    <w:rsid w:val="00017D98"/>
    <w:rsid w:val="0002001F"/>
    <w:rsid w:val="000203D0"/>
    <w:rsid w:val="00020517"/>
    <w:rsid w:val="000205F6"/>
    <w:rsid w:val="000206ED"/>
    <w:rsid w:val="000207A1"/>
    <w:rsid w:val="00020CE3"/>
    <w:rsid w:val="00020D9F"/>
    <w:rsid w:val="00020E02"/>
    <w:rsid w:val="00020E13"/>
    <w:rsid w:val="00020EAC"/>
    <w:rsid w:val="00020F23"/>
    <w:rsid w:val="00020FF0"/>
    <w:rsid w:val="00021171"/>
    <w:rsid w:val="0002134B"/>
    <w:rsid w:val="0002177A"/>
    <w:rsid w:val="00021806"/>
    <w:rsid w:val="00021856"/>
    <w:rsid w:val="000218A7"/>
    <w:rsid w:val="00021C78"/>
    <w:rsid w:val="00021D6F"/>
    <w:rsid w:val="00021ED7"/>
    <w:rsid w:val="00021EF7"/>
    <w:rsid w:val="00021F48"/>
    <w:rsid w:val="00021F8A"/>
    <w:rsid w:val="00022142"/>
    <w:rsid w:val="00022537"/>
    <w:rsid w:val="00022680"/>
    <w:rsid w:val="00022B12"/>
    <w:rsid w:val="00022CFD"/>
    <w:rsid w:val="00022D0E"/>
    <w:rsid w:val="00022D50"/>
    <w:rsid w:val="00023085"/>
    <w:rsid w:val="00023579"/>
    <w:rsid w:val="000237FD"/>
    <w:rsid w:val="00023CF9"/>
    <w:rsid w:val="00023F3C"/>
    <w:rsid w:val="00024402"/>
    <w:rsid w:val="000245C8"/>
    <w:rsid w:val="000246BB"/>
    <w:rsid w:val="00024718"/>
    <w:rsid w:val="00024A5F"/>
    <w:rsid w:val="00024B63"/>
    <w:rsid w:val="00024E1A"/>
    <w:rsid w:val="00024F6C"/>
    <w:rsid w:val="000251E9"/>
    <w:rsid w:val="00025211"/>
    <w:rsid w:val="000254E2"/>
    <w:rsid w:val="0002568E"/>
    <w:rsid w:val="0002571E"/>
    <w:rsid w:val="00025730"/>
    <w:rsid w:val="00025767"/>
    <w:rsid w:val="000257E3"/>
    <w:rsid w:val="000258EB"/>
    <w:rsid w:val="00025A40"/>
    <w:rsid w:val="00025B3A"/>
    <w:rsid w:val="00025C68"/>
    <w:rsid w:val="000260DC"/>
    <w:rsid w:val="0002635D"/>
    <w:rsid w:val="000263E8"/>
    <w:rsid w:val="000265FB"/>
    <w:rsid w:val="00026614"/>
    <w:rsid w:val="0002673D"/>
    <w:rsid w:val="000267A6"/>
    <w:rsid w:val="00026E5C"/>
    <w:rsid w:val="00027308"/>
    <w:rsid w:val="00027430"/>
    <w:rsid w:val="00027627"/>
    <w:rsid w:val="000278E8"/>
    <w:rsid w:val="00027927"/>
    <w:rsid w:val="00027A8A"/>
    <w:rsid w:val="00027BA3"/>
    <w:rsid w:val="00027D94"/>
    <w:rsid w:val="0003008B"/>
    <w:rsid w:val="000302D6"/>
    <w:rsid w:val="00030324"/>
    <w:rsid w:val="00030462"/>
    <w:rsid w:val="00030806"/>
    <w:rsid w:val="000309AE"/>
    <w:rsid w:val="00030A67"/>
    <w:rsid w:val="00030B1D"/>
    <w:rsid w:val="00030B26"/>
    <w:rsid w:val="00030C94"/>
    <w:rsid w:val="00030CFD"/>
    <w:rsid w:val="0003102A"/>
    <w:rsid w:val="00031049"/>
    <w:rsid w:val="0003123E"/>
    <w:rsid w:val="00031307"/>
    <w:rsid w:val="00031354"/>
    <w:rsid w:val="00031620"/>
    <w:rsid w:val="000316EA"/>
    <w:rsid w:val="00031967"/>
    <w:rsid w:val="00031E1D"/>
    <w:rsid w:val="0003274B"/>
    <w:rsid w:val="0003287D"/>
    <w:rsid w:val="000329C2"/>
    <w:rsid w:val="00032AF7"/>
    <w:rsid w:val="00032DE5"/>
    <w:rsid w:val="00032F23"/>
    <w:rsid w:val="00032FE4"/>
    <w:rsid w:val="00032FEF"/>
    <w:rsid w:val="00033242"/>
    <w:rsid w:val="00033652"/>
    <w:rsid w:val="00033667"/>
    <w:rsid w:val="000338D1"/>
    <w:rsid w:val="00033AA1"/>
    <w:rsid w:val="00033C37"/>
    <w:rsid w:val="00033D38"/>
    <w:rsid w:val="00033D56"/>
    <w:rsid w:val="00033FB7"/>
    <w:rsid w:val="00034096"/>
    <w:rsid w:val="0003431F"/>
    <w:rsid w:val="000343B2"/>
    <w:rsid w:val="00034608"/>
    <w:rsid w:val="00034817"/>
    <w:rsid w:val="00034AD2"/>
    <w:rsid w:val="00034DC0"/>
    <w:rsid w:val="00034F3C"/>
    <w:rsid w:val="000350EF"/>
    <w:rsid w:val="0003514C"/>
    <w:rsid w:val="0003518D"/>
    <w:rsid w:val="000355A8"/>
    <w:rsid w:val="00035785"/>
    <w:rsid w:val="00035A13"/>
    <w:rsid w:val="00035A7A"/>
    <w:rsid w:val="00035D32"/>
    <w:rsid w:val="00035E4C"/>
    <w:rsid w:val="00035F2D"/>
    <w:rsid w:val="00035F91"/>
    <w:rsid w:val="00036197"/>
    <w:rsid w:val="000362DB"/>
    <w:rsid w:val="00036CB8"/>
    <w:rsid w:val="00036F80"/>
    <w:rsid w:val="00036FA4"/>
    <w:rsid w:val="000370C8"/>
    <w:rsid w:val="0003722F"/>
    <w:rsid w:val="000375A8"/>
    <w:rsid w:val="0003798E"/>
    <w:rsid w:val="000379C4"/>
    <w:rsid w:val="00037CAD"/>
    <w:rsid w:val="000403D6"/>
    <w:rsid w:val="000403F5"/>
    <w:rsid w:val="000405DB"/>
    <w:rsid w:val="00040614"/>
    <w:rsid w:val="00040617"/>
    <w:rsid w:val="00040801"/>
    <w:rsid w:val="0004088B"/>
    <w:rsid w:val="00040AA4"/>
    <w:rsid w:val="00040BE5"/>
    <w:rsid w:val="00040F2B"/>
    <w:rsid w:val="00041401"/>
    <w:rsid w:val="00041BA5"/>
    <w:rsid w:val="00041E41"/>
    <w:rsid w:val="00041FB0"/>
    <w:rsid w:val="00041FFE"/>
    <w:rsid w:val="0004203E"/>
    <w:rsid w:val="00042090"/>
    <w:rsid w:val="000423C8"/>
    <w:rsid w:val="00042467"/>
    <w:rsid w:val="000424B3"/>
    <w:rsid w:val="00042576"/>
    <w:rsid w:val="00042640"/>
    <w:rsid w:val="000426F3"/>
    <w:rsid w:val="00042872"/>
    <w:rsid w:val="00042970"/>
    <w:rsid w:val="00042994"/>
    <w:rsid w:val="00042B61"/>
    <w:rsid w:val="00042C36"/>
    <w:rsid w:val="00042CF6"/>
    <w:rsid w:val="00042D6C"/>
    <w:rsid w:val="00042DBE"/>
    <w:rsid w:val="00042E81"/>
    <w:rsid w:val="00042EB1"/>
    <w:rsid w:val="00042FE4"/>
    <w:rsid w:val="0004310A"/>
    <w:rsid w:val="0004345D"/>
    <w:rsid w:val="0004347B"/>
    <w:rsid w:val="00043575"/>
    <w:rsid w:val="0004396F"/>
    <w:rsid w:val="00043A18"/>
    <w:rsid w:val="00043A44"/>
    <w:rsid w:val="00043AA5"/>
    <w:rsid w:val="00043BBE"/>
    <w:rsid w:val="00043D2A"/>
    <w:rsid w:val="00043E5E"/>
    <w:rsid w:val="00043F2E"/>
    <w:rsid w:val="0004404A"/>
    <w:rsid w:val="000440CF"/>
    <w:rsid w:val="0004422B"/>
    <w:rsid w:val="0004431C"/>
    <w:rsid w:val="0004434D"/>
    <w:rsid w:val="00044369"/>
    <w:rsid w:val="000443F8"/>
    <w:rsid w:val="000445D2"/>
    <w:rsid w:val="00044610"/>
    <w:rsid w:val="00044669"/>
    <w:rsid w:val="0004467A"/>
    <w:rsid w:val="000446C8"/>
    <w:rsid w:val="0004486A"/>
    <w:rsid w:val="0004491D"/>
    <w:rsid w:val="00044946"/>
    <w:rsid w:val="00044C2F"/>
    <w:rsid w:val="00044D21"/>
    <w:rsid w:val="00044E2C"/>
    <w:rsid w:val="0004515F"/>
    <w:rsid w:val="0004595B"/>
    <w:rsid w:val="00045A10"/>
    <w:rsid w:val="00045BD6"/>
    <w:rsid w:val="00045F69"/>
    <w:rsid w:val="00046357"/>
    <w:rsid w:val="00046647"/>
    <w:rsid w:val="00046738"/>
    <w:rsid w:val="000467A5"/>
    <w:rsid w:val="000467B5"/>
    <w:rsid w:val="00046887"/>
    <w:rsid w:val="00046984"/>
    <w:rsid w:val="000469CC"/>
    <w:rsid w:val="00046AEA"/>
    <w:rsid w:val="00046CEE"/>
    <w:rsid w:val="00046D2D"/>
    <w:rsid w:val="00046E24"/>
    <w:rsid w:val="00047278"/>
    <w:rsid w:val="000473DA"/>
    <w:rsid w:val="000473E4"/>
    <w:rsid w:val="000474C2"/>
    <w:rsid w:val="000474E1"/>
    <w:rsid w:val="000475C3"/>
    <w:rsid w:val="000478AB"/>
    <w:rsid w:val="00047FCF"/>
    <w:rsid w:val="00050082"/>
    <w:rsid w:val="00050374"/>
    <w:rsid w:val="000503FE"/>
    <w:rsid w:val="000504E0"/>
    <w:rsid w:val="000505CC"/>
    <w:rsid w:val="000506E4"/>
    <w:rsid w:val="000507C1"/>
    <w:rsid w:val="000507DC"/>
    <w:rsid w:val="00050867"/>
    <w:rsid w:val="00050AC4"/>
    <w:rsid w:val="00050B9A"/>
    <w:rsid w:val="00050D04"/>
    <w:rsid w:val="00050D78"/>
    <w:rsid w:val="00050E8F"/>
    <w:rsid w:val="000510FA"/>
    <w:rsid w:val="000512A9"/>
    <w:rsid w:val="000513BD"/>
    <w:rsid w:val="000519A4"/>
    <w:rsid w:val="00051A0F"/>
    <w:rsid w:val="00051A3C"/>
    <w:rsid w:val="00051A8D"/>
    <w:rsid w:val="00051B44"/>
    <w:rsid w:val="00051C7B"/>
    <w:rsid w:val="00051EC7"/>
    <w:rsid w:val="00051F21"/>
    <w:rsid w:val="00051FAE"/>
    <w:rsid w:val="00052096"/>
    <w:rsid w:val="00052286"/>
    <w:rsid w:val="000526B6"/>
    <w:rsid w:val="00052754"/>
    <w:rsid w:val="0005276D"/>
    <w:rsid w:val="00052885"/>
    <w:rsid w:val="0005296E"/>
    <w:rsid w:val="00052AA6"/>
    <w:rsid w:val="00052ADB"/>
    <w:rsid w:val="00052E8D"/>
    <w:rsid w:val="000530C6"/>
    <w:rsid w:val="000531FB"/>
    <w:rsid w:val="00053229"/>
    <w:rsid w:val="0005334E"/>
    <w:rsid w:val="00053411"/>
    <w:rsid w:val="00053656"/>
    <w:rsid w:val="0005388A"/>
    <w:rsid w:val="00053AC0"/>
    <w:rsid w:val="00053DAD"/>
    <w:rsid w:val="0005408B"/>
    <w:rsid w:val="000543C3"/>
    <w:rsid w:val="000546C0"/>
    <w:rsid w:val="00054715"/>
    <w:rsid w:val="0005474F"/>
    <w:rsid w:val="000550BC"/>
    <w:rsid w:val="000558F1"/>
    <w:rsid w:val="00055978"/>
    <w:rsid w:val="000559EC"/>
    <w:rsid w:val="00055C2F"/>
    <w:rsid w:val="00055F5B"/>
    <w:rsid w:val="0005602C"/>
    <w:rsid w:val="00056116"/>
    <w:rsid w:val="00056245"/>
    <w:rsid w:val="000562E9"/>
    <w:rsid w:val="00056371"/>
    <w:rsid w:val="000563B4"/>
    <w:rsid w:val="00056716"/>
    <w:rsid w:val="00056940"/>
    <w:rsid w:val="00056BFA"/>
    <w:rsid w:val="00057290"/>
    <w:rsid w:val="000572D3"/>
    <w:rsid w:val="000572D4"/>
    <w:rsid w:val="00057631"/>
    <w:rsid w:val="000578C3"/>
    <w:rsid w:val="0005790D"/>
    <w:rsid w:val="0005796B"/>
    <w:rsid w:val="00057BD8"/>
    <w:rsid w:val="00057DED"/>
    <w:rsid w:val="00057F1F"/>
    <w:rsid w:val="00057FFB"/>
    <w:rsid w:val="0006019B"/>
    <w:rsid w:val="000606AD"/>
    <w:rsid w:val="00060799"/>
    <w:rsid w:val="00060AD4"/>
    <w:rsid w:val="00060B0F"/>
    <w:rsid w:val="000611CA"/>
    <w:rsid w:val="00061234"/>
    <w:rsid w:val="00061386"/>
    <w:rsid w:val="00061745"/>
    <w:rsid w:val="00061987"/>
    <w:rsid w:val="00061A19"/>
    <w:rsid w:val="00061AC8"/>
    <w:rsid w:val="00061D41"/>
    <w:rsid w:val="00061DA0"/>
    <w:rsid w:val="00061DB4"/>
    <w:rsid w:val="00061ECF"/>
    <w:rsid w:val="000620DE"/>
    <w:rsid w:val="0006213A"/>
    <w:rsid w:val="0006225B"/>
    <w:rsid w:val="000622A4"/>
    <w:rsid w:val="000622FC"/>
    <w:rsid w:val="0006254A"/>
    <w:rsid w:val="000625CA"/>
    <w:rsid w:val="000626CE"/>
    <w:rsid w:val="000627AE"/>
    <w:rsid w:val="000627B0"/>
    <w:rsid w:val="00062A2F"/>
    <w:rsid w:val="00062AE7"/>
    <w:rsid w:val="00063030"/>
    <w:rsid w:val="00063037"/>
    <w:rsid w:val="00063229"/>
    <w:rsid w:val="00063338"/>
    <w:rsid w:val="000636FB"/>
    <w:rsid w:val="000637EE"/>
    <w:rsid w:val="0006385F"/>
    <w:rsid w:val="000638D2"/>
    <w:rsid w:val="0006393D"/>
    <w:rsid w:val="00063A4B"/>
    <w:rsid w:val="00063BE5"/>
    <w:rsid w:val="00063DC9"/>
    <w:rsid w:val="00063E89"/>
    <w:rsid w:val="0006407E"/>
    <w:rsid w:val="000640FB"/>
    <w:rsid w:val="00064223"/>
    <w:rsid w:val="000642D1"/>
    <w:rsid w:val="000643F6"/>
    <w:rsid w:val="00064627"/>
    <w:rsid w:val="00064D83"/>
    <w:rsid w:val="00064EA6"/>
    <w:rsid w:val="00065356"/>
    <w:rsid w:val="000654FE"/>
    <w:rsid w:val="000656E0"/>
    <w:rsid w:val="00065AF8"/>
    <w:rsid w:val="00065C6E"/>
    <w:rsid w:val="00065CC1"/>
    <w:rsid w:val="00065D8F"/>
    <w:rsid w:val="000664B4"/>
    <w:rsid w:val="000664C6"/>
    <w:rsid w:val="000667A1"/>
    <w:rsid w:val="0006697C"/>
    <w:rsid w:val="000669CD"/>
    <w:rsid w:val="00066A72"/>
    <w:rsid w:val="00066B20"/>
    <w:rsid w:val="00066B99"/>
    <w:rsid w:val="00066C21"/>
    <w:rsid w:val="00066D97"/>
    <w:rsid w:val="00066EA0"/>
    <w:rsid w:val="00066EDF"/>
    <w:rsid w:val="00066FD1"/>
    <w:rsid w:val="00067296"/>
    <w:rsid w:val="00067352"/>
    <w:rsid w:val="00067423"/>
    <w:rsid w:val="0006746C"/>
    <w:rsid w:val="00067511"/>
    <w:rsid w:val="00067836"/>
    <w:rsid w:val="00067AFC"/>
    <w:rsid w:val="00067BA3"/>
    <w:rsid w:val="00067E3C"/>
    <w:rsid w:val="00067E66"/>
    <w:rsid w:val="00067F1E"/>
    <w:rsid w:val="00067FA7"/>
    <w:rsid w:val="000703F3"/>
    <w:rsid w:val="0007043F"/>
    <w:rsid w:val="00070904"/>
    <w:rsid w:val="00070DF9"/>
    <w:rsid w:val="00071021"/>
    <w:rsid w:val="0007115A"/>
    <w:rsid w:val="00071178"/>
    <w:rsid w:val="000713A1"/>
    <w:rsid w:val="00071557"/>
    <w:rsid w:val="0007156C"/>
    <w:rsid w:val="000717E3"/>
    <w:rsid w:val="00071A24"/>
    <w:rsid w:val="00071BA5"/>
    <w:rsid w:val="00071C66"/>
    <w:rsid w:val="00071E3C"/>
    <w:rsid w:val="00071FAA"/>
    <w:rsid w:val="000720DB"/>
    <w:rsid w:val="00072140"/>
    <w:rsid w:val="0007248A"/>
    <w:rsid w:val="0007270B"/>
    <w:rsid w:val="0007275F"/>
    <w:rsid w:val="00072850"/>
    <w:rsid w:val="00072870"/>
    <w:rsid w:val="00072B63"/>
    <w:rsid w:val="00072BF9"/>
    <w:rsid w:val="00072D23"/>
    <w:rsid w:val="00072D67"/>
    <w:rsid w:val="00072E41"/>
    <w:rsid w:val="00072EB0"/>
    <w:rsid w:val="00072EF9"/>
    <w:rsid w:val="000730DF"/>
    <w:rsid w:val="000730E1"/>
    <w:rsid w:val="000731CE"/>
    <w:rsid w:val="000732EE"/>
    <w:rsid w:val="00073486"/>
    <w:rsid w:val="00073A7C"/>
    <w:rsid w:val="00073B5E"/>
    <w:rsid w:val="00073D1B"/>
    <w:rsid w:val="00073D9C"/>
    <w:rsid w:val="00074178"/>
    <w:rsid w:val="000741AD"/>
    <w:rsid w:val="00074239"/>
    <w:rsid w:val="00074365"/>
    <w:rsid w:val="000744A1"/>
    <w:rsid w:val="000744B2"/>
    <w:rsid w:val="000744EF"/>
    <w:rsid w:val="000746F3"/>
    <w:rsid w:val="000748A2"/>
    <w:rsid w:val="00074D85"/>
    <w:rsid w:val="0007556E"/>
    <w:rsid w:val="00075709"/>
    <w:rsid w:val="00075AA4"/>
    <w:rsid w:val="00075F5F"/>
    <w:rsid w:val="000760D0"/>
    <w:rsid w:val="000761F5"/>
    <w:rsid w:val="00076276"/>
    <w:rsid w:val="000763B9"/>
    <w:rsid w:val="000763E9"/>
    <w:rsid w:val="0007643E"/>
    <w:rsid w:val="00076444"/>
    <w:rsid w:val="000766B2"/>
    <w:rsid w:val="000767D0"/>
    <w:rsid w:val="000767FE"/>
    <w:rsid w:val="00076842"/>
    <w:rsid w:val="00076C09"/>
    <w:rsid w:val="00076E22"/>
    <w:rsid w:val="00076EFB"/>
    <w:rsid w:val="00077046"/>
    <w:rsid w:val="000770D8"/>
    <w:rsid w:val="000770E7"/>
    <w:rsid w:val="000771AE"/>
    <w:rsid w:val="00077225"/>
    <w:rsid w:val="000772EA"/>
    <w:rsid w:val="00077695"/>
    <w:rsid w:val="0007772A"/>
    <w:rsid w:val="000777E3"/>
    <w:rsid w:val="00077B2A"/>
    <w:rsid w:val="00080036"/>
    <w:rsid w:val="00080085"/>
    <w:rsid w:val="00080318"/>
    <w:rsid w:val="00080366"/>
    <w:rsid w:val="00080750"/>
    <w:rsid w:val="0008087D"/>
    <w:rsid w:val="00080886"/>
    <w:rsid w:val="00080A23"/>
    <w:rsid w:val="00080ED9"/>
    <w:rsid w:val="00080EE7"/>
    <w:rsid w:val="0008121D"/>
    <w:rsid w:val="000812FC"/>
    <w:rsid w:val="000814B8"/>
    <w:rsid w:val="000818F0"/>
    <w:rsid w:val="00081A79"/>
    <w:rsid w:val="00081C0D"/>
    <w:rsid w:val="00081C6C"/>
    <w:rsid w:val="00081CBB"/>
    <w:rsid w:val="00081D52"/>
    <w:rsid w:val="00081FBC"/>
    <w:rsid w:val="00082404"/>
    <w:rsid w:val="0008255F"/>
    <w:rsid w:val="000827CC"/>
    <w:rsid w:val="00082F42"/>
    <w:rsid w:val="00083031"/>
    <w:rsid w:val="0008315C"/>
    <w:rsid w:val="00083176"/>
    <w:rsid w:val="00083234"/>
    <w:rsid w:val="00083451"/>
    <w:rsid w:val="000838B8"/>
    <w:rsid w:val="000838D0"/>
    <w:rsid w:val="00083D53"/>
    <w:rsid w:val="00083FA0"/>
    <w:rsid w:val="000840EA"/>
    <w:rsid w:val="0008414E"/>
    <w:rsid w:val="000841F5"/>
    <w:rsid w:val="0008422D"/>
    <w:rsid w:val="00084369"/>
    <w:rsid w:val="0008444B"/>
    <w:rsid w:val="0008449D"/>
    <w:rsid w:val="000844DB"/>
    <w:rsid w:val="000845A2"/>
    <w:rsid w:val="00084698"/>
    <w:rsid w:val="0008473E"/>
    <w:rsid w:val="00084885"/>
    <w:rsid w:val="000849B2"/>
    <w:rsid w:val="000849E5"/>
    <w:rsid w:val="00084AAF"/>
    <w:rsid w:val="00084CB1"/>
    <w:rsid w:val="00084D09"/>
    <w:rsid w:val="000853C8"/>
    <w:rsid w:val="00085404"/>
    <w:rsid w:val="000856FC"/>
    <w:rsid w:val="00085967"/>
    <w:rsid w:val="00085A0C"/>
    <w:rsid w:val="00085A51"/>
    <w:rsid w:val="00085AF2"/>
    <w:rsid w:val="00085C9F"/>
    <w:rsid w:val="00085D1D"/>
    <w:rsid w:val="00085D33"/>
    <w:rsid w:val="000862F2"/>
    <w:rsid w:val="00086468"/>
    <w:rsid w:val="000868AF"/>
    <w:rsid w:val="000869AF"/>
    <w:rsid w:val="00086C9D"/>
    <w:rsid w:val="0008705B"/>
    <w:rsid w:val="00087423"/>
    <w:rsid w:val="00087547"/>
    <w:rsid w:val="000875C5"/>
    <w:rsid w:val="00087C2C"/>
    <w:rsid w:val="00087EB9"/>
    <w:rsid w:val="00087F3B"/>
    <w:rsid w:val="000904E2"/>
    <w:rsid w:val="00090576"/>
    <w:rsid w:val="000905D5"/>
    <w:rsid w:val="00090DDE"/>
    <w:rsid w:val="0009101E"/>
    <w:rsid w:val="0009147A"/>
    <w:rsid w:val="00091832"/>
    <w:rsid w:val="00091881"/>
    <w:rsid w:val="00091B8B"/>
    <w:rsid w:val="00091F1C"/>
    <w:rsid w:val="00092031"/>
    <w:rsid w:val="00092319"/>
    <w:rsid w:val="00092345"/>
    <w:rsid w:val="00092350"/>
    <w:rsid w:val="000923AF"/>
    <w:rsid w:val="000924AF"/>
    <w:rsid w:val="00092723"/>
    <w:rsid w:val="000927B3"/>
    <w:rsid w:val="00092949"/>
    <w:rsid w:val="00092BAC"/>
    <w:rsid w:val="00093208"/>
    <w:rsid w:val="0009321C"/>
    <w:rsid w:val="0009357D"/>
    <w:rsid w:val="000937E0"/>
    <w:rsid w:val="000939EF"/>
    <w:rsid w:val="00093D66"/>
    <w:rsid w:val="00093DE0"/>
    <w:rsid w:val="0009422E"/>
    <w:rsid w:val="00094490"/>
    <w:rsid w:val="000944C3"/>
    <w:rsid w:val="0009458E"/>
    <w:rsid w:val="000946EE"/>
    <w:rsid w:val="00094833"/>
    <w:rsid w:val="000948E3"/>
    <w:rsid w:val="00094AF2"/>
    <w:rsid w:val="00095226"/>
    <w:rsid w:val="0009535D"/>
    <w:rsid w:val="0009537A"/>
    <w:rsid w:val="00095712"/>
    <w:rsid w:val="000958C4"/>
    <w:rsid w:val="00095955"/>
    <w:rsid w:val="0009598B"/>
    <w:rsid w:val="00095C15"/>
    <w:rsid w:val="00095C2F"/>
    <w:rsid w:val="00095CB3"/>
    <w:rsid w:val="00095D17"/>
    <w:rsid w:val="000960D5"/>
    <w:rsid w:val="000967C7"/>
    <w:rsid w:val="0009681C"/>
    <w:rsid w:val="0009687E"/>
    <w:rsid w:val="00096A01"/>
    <w:rsid w:val="00096A44"/>
    <w:rsid w:val="00096F41"/>
    <w:rsid w:val="00097098"/>
    <w:rsid w:val="000970E6"/>
    <w:rsid w:val="0009727E"/>
    <w:rsid w:val="000973C8"/>
    <w:rsid w:val="000974C0"/>
    <w:rsid w:val="000975C2"/>
    <w:rsid w:val="00097659"/>
    <w:rsid w:val="000977F7"/>
    <w:rsid w:val="0009788B"/>
    <w:rsid w:val="000A0033"/>
    <w:rsid w:val="000A0056"/>
    <w:rsid w:val="000A0287"/>
    <w:rsid w:val="000A055D"/>
    <w:rsid w:val="000A0713"/>
    <w:rsid w:val="000A075A"/>
    <w:rsid w:val="000A09CA"/>
    <w:rsid w:val="000A09EF"/>
    <w:rsid w:val="000A100C"/>
    <w:rsid w:val="000A10CF"/>
    <w:rsid w:val="000A132E"/>
    <w:rsid w:val="000A18BA"/>
    <w:rsid w:val="000A194B"/>
    <w:rsid w:val="000A1957"/>
    <w:rsid w:val="000A1A26"/>
    <w:rsid w:val="000A1A70"/>
    <w:rsid w:val="000A1C4B"/>
    <w:rsid w:val="000A1E18"/>
    <w:rsid w:val="000A1EAE"/>
    <w:rsid w:val="000A1F09"/>
    <w:rsid w:val="000A1F7C"/>
    <w:rsid w:val="000A2262"/>
    <w:rsid w:val="000A238D"/>
    <w:rsid w:val="000A23B3"/>
    <w:rsid w:val="000A29B0"/>
    <w:rsid w:val="000A2A6E"/>
    <w:rsid w:val="000A2AA9"/>
    <w:rsid w:val="000A2C16"/>
    <w:rsid w:val="000A2C2E"/>
    <w:rsid w:val="000A2C67"/>
    <w:rsid w:val="000A2FB8"/>
    <w:rsid w:val="000A334D"/>
    <w:rsid w:val="000A38E2"/>
    <w:rsid w:val="000A39D1"/>
    <w:rsid w:val="000A3C3D"/>
    <w:rsid w:val="000A3D03"/>
    <w:rsid w:val="000A3D40"/>
    <w:rsid w:val="000A3EE5"/>
    <w:rsid w:val="000A3F00"/>
    <w:rsid w:val="000A402F"/>
    <w:rsid w:val="000A40D3"/>
    <w:rsid w:val="000A453F"/>
    <w:rsid w:val="000A4EF6"/>
    <w:rsid w:val="000A5114"/>
    <w:rsid w:val="000A529D"/>
    <w:rsid w:val="000A53F5"/>
    <w:rsid w:val="000A558D"/>
    <w:rsid w:val="000A565F"/>
    <w:rsid w:val="000A56F2"/>
    <w:rsid w:val="000A57CC"/>
    <w:rsid w:val="000A5863"/>
    <w:rsid w:val="000A5891"/>
    <w:rsid w:val="000A5A1F"/>
    <w:rsid w:val="000A5BE6"/>
    <w:rsid w:val="000A5F82"/>
    <w:rsid w:val="000A60B2"/>
    <w:rsid w:val="000A61DB"/>
    <w:rsid w:val="000A63AB"/>
    <w:rsid w:val="000A646C"/>
    <w:rsid w:val="000A6840"/>
    <w:rsid w:val="000A69BA"/>
    <w:rsid w:val="000A6BD4"/>
    <w:rsid w:val="000A6CD8"/>
    <w:rsid w:val="000A6DB6"/>
    <w:rsid w:val="000A6E05"/>
    <w:rsid w:val="000A6EE9"/>
    <w:rsid w:val="000A7051"/>
    <w:rsid w:val="000A708D"/>
    <w:rsid w:val="000A78CD"/>
    <w:rsid w:val="000A792D"/>
    <w:rsid w:val="000A7AEE"/>
    <w:rsid w:val="000A7CD8"/>
    <w:rsid w:val="000A7D0F"/>
    <w:rsid w:val="000A7DAE"/>
    <w:rsid w:val="000B04B2"/>
    <w:rsid w:val="000B0561"/>
    <w:rsid w:val="000B0632"/>
    <w:rsid w:val="000B08F1"/>
    <w:rsid w:val="000B09B6"/>
    <w:rsid w:val="000B0A02"/>
    <w:rsid w:val="000B0EB3"/>
    <w:rsid w:val="000B0FF8"/>
    <w:rsid w:val="000B1036"/>
    <w:rsid w:val="000B10B2"/>
    <w:rsid w:val="000B111A"/>
    <w:rsid w:val="000B12FA"/>
    <w:rsid w:val="000B1DD0"/>
    <w:rsid w:val="000B1F2C"/>
    <w:rsid w:val="000B1FB1"/>
    <w:rsid w:val="000B201C"/>
    <w:rsid w:val="000B203C"/>
    <w:rsid w:val="000B234B"/>
    <w:rsid w:val="000B25FB"/>
    <w:rsid w:val="000B26D1"/>
    <w:rsid w:val="000B2D1C"/>
    <w:rsid w:val="000B3235"/>
    <w:rsid w:val="000B3404"/>
    <w:rsid w:val="000B360B"/>
    <w:rsid w:val="000B379C"/>
    <w:rsid w:val="000B38CD"/>
    <w:rsid w:val="000B3927"/>
    <w:rsid w:val="000B3993"/>
    <w:rsid w:val="000B3B73"/>
    <w:rsid w:val="000B3E8A"/>
    <w:rsid w:val="000B3FAB"/>
    <w:rsid w:val="000B4016"/>
    <w:rsid w:val="000B405C"/>
    <w:rsid w:val="000B40D6"/>
    <w:rsid w:val="000B413B"/>
    <w:rsid w:val="000B4BF8"/>
    <w:rsid w:val="000B4E78"/>
    <w:rsid w:val="000B5902"/>
    <w:rsid w:val="000B59A6"/>
    <w:rsid w:val="000B5A41"/>
    <w:rsid w:val="000B5B28"/>
    <w:rsid w:val="000B5BCF"/>
    <w:rsid w:val="000B5D81"/>
    <w:rsid w:val="000B5E9A"/>
    <w:rsid w:val="000B5F36"/>
    <w:rsid w:val="000B6013"/>
    <w:rsid w:val="000B60CA"/>
    <w:rsid w:val="000B60FD"/>
    <w:rsid w:val="000B6267"/>
    <w:rsid w:val="000B63F5"/>
    <w:rsid w:val="000B6456"/>
    <w:rsid w:val="000B6B55"/>
    <w:rsid w:val="000B6BBF"/>
    <w:rsid w:val="000B6BC0"/>
    <w:rsid w:val="000B6DCE"/>
    <w:rsid w:val="000B6EC1"/>
    <w:rsid w:val="000B6EE4"/>
    <w:rsid w:val="000B6FC7"/>
    <w:rsid w:val="000B72B0"/>
    <w:rsid w:val="000B744E"/>
    <w:rsid w:val="000B749E"/>
    <w:rsid w:val="000B778E"/>
    <w:rsid w:val="000B7E7E"/>
    <w:rsid w:val="000C00B6"/>
    <w:rsid w:val="000C0162"/>
    <w:rsid w:val="000C037D"/>
    <w:rsid w:val="000C0396"/>
    <w:rsid w:val="000C04FE"/>
    <w:rsid w:val="000C0577"/>
    <w:rsid w:val="000C05B9"/>
    <w:rsid w:val="000C05D4"/>
    <w:rsid w:val="000C0670"/>
    <w:rsid w:val="000C08A9"/>
    <w:rsid w:val="000C08BF"/>
    <w:rsid w:val="000C16BD"/>
    <w:rsid w:val="000C17B9"/>
    <w:rsid w:val="000C19E8"/>
    <w:rsid w:val="000C1F28"/>
    <w:rsid w:val="000C1F9E"/>
    <w:rsid w:val="000C2006"/>
    <w:rsid w:val="000C2092"/>
    <w:rsid w:val="000C21FB"/>
    <w:rsid w:val="000C2209"/>
    <w:rsid w:val="000C2240"/>
    <w:rsid w:val="000C2507"/>
    <w:rsid w:val="000C26A5"/>
    <w:rsid w:val="000C2841"/>
    <w:rsid w:val="000C28D3"/>
    <w:rsid w:val="000C2BC3"/>
    <w:rsid w:val="000C2BD7"/>
    <w:rsid w:val="000C2D6D"/>
    <w:rsid w:val="000C2D95"/>
    <w:rsid w:val="000C2F45"/>
    <w:rsid w:val="000C3095"/>
    <w:rsid w:val="000C30CD"/>
    <w:rsid w:val="000C313E"/>
    <w:rsid w:val="000C31C1"/>
    <w:rsid w:val="000C31EF"/>
    <w:rsid w:val="000C33DC"/>
    <w:rsid w:val="000C3709"/>
    <w:rsid w:val="000C37A4"/>
    <w:rsid w:val="000C38F5"/>
    <w:rsid w:val="000C3B9A"/>
    <w:rsid w:val="000C3E20"/>
    <w:rsid w:val="000C3E6D"/>
    <w:rsid w:val="000C3F5E"/>
    <w:rsid w:val="000C3F6D"/>
    <w:rsid w:val="000C41B3"/>
    <w:rsid w:val="000C41C8"/>
    <w:rsid w:val="000C42B3"/>
    <w:rsid w:val="000C42DF"/>
    <w:rsid w:val="000C4638"/>
    <w:rsid w:val="000C4A4B"/>
    <w:rsid w:val="000C4A85"/>
    <w:rsid w:val="000C4C23"/>
    <w:rsid w:val="000C50BD"/>
    <w:rsid w:val="000C545D"/>
    <w:rsid w:val="000C54ED"/>
    <w:rsid w:val="000C582E"/>
    <w:rsid w:val="000C5C08"/>
    <w:rsid w:val="000C5CBB"/>
    <w:rsid w:val="000C5DED"/>
    <w:rsid w:val="000C5F88"/>
    <w:rsid w:val="000C5F8D"/>
    <w:rsid w:val="000C6073"/>
    <w:rsid w:val="000C618E"/>
    <w:rsid w:val="000C63CE"/>
    <w:rsid w:val="000C63D1"/>
    <w:rsid w:val="000C63F1"/>
    <w:rsid w:val="000C6616"/>
    <w:rsid w:val="000C664D"/>
    <w:rsid w:val="000C665D"/>
    <w:rsid w:val="000C666F"/>
    <w:rsid w:val="000C6800"/>
    <w:rsid w:val="000C6A0E"/>
    <w:rsid w:val="000C6A37"/>
    <w:rsid w:val="000C6BE2"/>
    <w:rsid w:val="000C6EE5"/>
    <w:rsid w:val="000C72CE"/>
    <w:rsid w:val="000C7341"/>
    <w:rsid w:val="000C74CD"/>
    <w:rsid w:val="000C7575"/>
    <w:rsid w:val="000C77C8"/>
    <w:rsid w:val="000C7B82"/>
    <w:rsid w:val="000C7C66"/>
    <w:rsid w:val="000C7E18"/>
    <w:rsid w:val="000D001E"/>
    <w:rsid w:val="000D0336"/>
    <w:rsid w:val="000D0369"/>
    <w:rsid w:val="000D047B"/>
    <w:rsid w:val="000D0768"/>
    <w:rsid w:val="000D07FF"/>
    <w:rsid w:val="000D08DB"/>
    <w:rsid w:val="000D0A67"/>
    <w:rsid w:val="000D0B0C"/>
    <w:rsid w:val="000D0B90"/>
    <w:rsid w:val="000D1128"/>
    <w:rsid w:val="000D11E7"/>
    <w:rsid w:val="000D127A"/>
    <w:rsid w:val="000D12AC"/>
    <w:rsid w:val="000D1378"/>
    <w:rsid w:val="000D17CF"/>
    <w:rsid w:val="000D1952"/>
    <w:rsid w:val="000D19F6"/>
    <w:rsid w:val="000D1AD9"/>
    <w:rsid w:val="000D1D44"/>
    <w:rsid w:val="000D1E97"/>
    <w:rsid w:val="000D1F72"/>
    <w:rsid w:val="000D1FAF"/>
    <w:rsid w:val="000D21D9"/>
    <w:rsid w:val="000D246B"/>
    <w:rsid w:val="000D25A8"/>
    <w:rsid w:val="000D2689"/>
    <w:rsid w:val="000D26E9"/>
    <w:rsid w:val="000D281C"/>
    <w:rsid w:val="000D2901"/>
    <w:rsid w:val="000D29FB"/>
    <w:rsid w:val="000D2A76"/>
    <w:rsid w:val="000D2A83"/>
    <w:rsid w:val="000D2BAB"/>
    <w:rsid w:val="000D2CD0"/>
    <w:rsid w:val="000D2E39"/>
    <w:rsid w:val="000D300D"/>
    <w:rsid w:val="000D306F"/>
    <w:rsid w:val="000D3236"/>
    <w:rsid w:val="000D32EE"/>
    <w:rsid w:val="000D332D"/>
    <w:rsid w:val="000D33FF"/>
    <w:rsid w:val="000D3594"/>
    <w:rsid w:val="000D360A"/>
    <w:rsid w:val="000D366F"/>
    <w:rsid w:val="000D3746"/>
    <w:rsid w:val="000D3937"/>
    <w:rsid w:val="000D3B57"/>
    <w:rsid w:val="000D3E11"/>
    <w:rsid w:val="000D41A2"/>
    <w:rsid w:val="000D432C"/>
    <w:rsid w:val="000D439F"/>
    <w:rsid w:val="000D43BB"/>
    <w:rsid w:val="000D4486"/>
    <w:rsid w:val="000D44D7"/>
    <w:rsid w:val="000D4691"/>
    <w:rsid w:val="000D486E"/>
    <w:rsid w:val="000D4A16"/>
    <w:rsid w:val="000D4A41"/>
    <w:rsid w:val="000D4E1B"/>
    <w:rsid w:val="000D5336"/>
    <w:rsid w:val="000D5499"/>
    <w:rsid w:val="000D5B6F"/>
    <w:rsid w:val="000D5D69"/>
    <w:rsid w:val="000D5E04"/>
    <w:rsid w:val="000D61F4"/>
    <w:rsid w:val="000D647C"/>
    <w:rsid w:val="000D6567"/>
    <w:rsid w:val="000D6932"/>
    <w:rsid w:val="000D69AE"/>
    <w:rsid w:val="000D69B9"/>
    <w:rsid w:val="000D6AD1"/>
    <w:rsid w:val="000D6D2E"/>
    <w:rsid w:val="000D6E39"/>
    <w:rsid w:val="000D70C3"/>
    <w:rsid w:val="000D713F"/>
    <w:rsid w:val="000D726D"/>
    <w:rsid w:val="000D7288"/>
    <w:rsid w:val="000D73F3"/>
    <w:rsid w:val="000D74A8"/>
    <w:rsid w:val="000D75E5"/>
    <w:rsid w:val="000E033C"/>
    <w:rsid w:val="000E0364"/>
    <w:rsid w:val="000E037A"/>
    <w:rsid w:val="000E049D"/>
    <w:rsid w:val="000E082A"/>
    <w:rsid w:val="000E0CFC"/>
    <w:rsid w:val="000E1060"/>
    <w:rsid w:val="000E122D"/>
    <w:rsid w:val="000E1281"/>
    <w:rsid w:val="000E13FD"/>
    <w:rsid w:val="000E1460"/>
    <w:rsid w:val="000E15D4"/>
    <w:rsid w:val="000E16BA"/>
    <w:rsid w:val="000E1827"/>
    <w:rsid w:val="000E18AF"/>
    <w:rsid w:val="000E1B42"/>
    <w:rsid w:val="000E1EE7"/>
    <w:rsid w:val="000E1FAA"/>
    <w:rsid w:val="000E1FB9"/>
    <w:rsid w:val="000E270A"/>
    <w:rsid w:val="000E2774"/>
    <w:rsid w:val="000E27C9"/>
    <w:rsid w:val="000E29AD"/>
    <w:rsid w:val="000E2ED0"/>
    <w:rsid w:val="000E3017"/>
    <w:rsid w:val="000E318D"/>
    <w:rsid w:val="000E335D"/>
    <w:rsid w:val="000E3590"/>
    <w:rsid w:val="000E362B"/>
    <w:rsid w:val="000E37D3"/>
    <w:rsid w:val="000E3954"/>
    <w:rsid w:val="000E3AA8"/>
    <w:rsid w:val="000E3AE5"/>
    <w:rsid w:val="000E3BC9"/>
    <w:rsid w:val="000E3CED"/>
    <w:rsid w:val="000E3D92"/>
    <w:rsid w:val="000E3DAE"/>
    <w:rsid w:val="000E3E4B"/>
    <w:rsid w:val="000E3EA4"/>
    <w:rsid w:val="000E4025"/>
    <w:rsid w:val="000E409A"/>
    <w:rsid w:val="000E42E6"/>
    <w:rsid w:val="000E43C3"/>
    <w:rsid w:val="000E4B30"/>
    <w:rsid w:val="000E4B74"/>
    <w:rsid w:val="000E4C53"/>
    <w:rsid w:val="000E4F96"/>
    <w:rsid w:val="000E510E"/>
    <w:rsid w:val="000E521C"/>
    <w:rsid w:val="000E5320"/>
    <w:rsid w:val="000E5339"/>
    <w:rsid w:val="000E54C1"/>
    <w:rsid w:val="000E55C2"/>
    <w:rsid w:val="000E56A1"/>
    <w:rsid w:val="000E5AFF"/>
    <w:rsid w:val="000E5B74"/>
    <w:rsid w:val="000E5D47"/>
    <w:rsid w:val="000E5DE9"/>
    <w:rsid w:val="000E5EE0"/>
    <w:rsid w:val="000E6283"/>
    <w:rsid w:val="000E6292"/>
    <w:rsid w:val="000E63C3"/>
    <w:rsid w:val="000E64CE"/>
    <w:rsid w:val="000E65D4"/>
    <w:rsid w:val="000E664C"/>
    <w:rsid w:val="000E67CD"/>
    <w:rsid w:val="000E67F1"/>
    <w:rsid w:val="000E6937"/>
    <w:rsid w:val="000E6E04"/>
    <w:rsid w:val="000E712D"/>
    <w:rsid w:val="000E7280"/>
    <w:rsid w:val="000E72F3"/>
    <w:rsid w:val="000E74C8"/>
    <w:rsid w:val="000E76B6"/>
    <w:rsid w:val="000E77D2"/>
    <w:rsid w:val="000E7861"/>
    <w:rsid w:val="000E7D91"/>
    <w:rsid w:val="000E7DF1"/>
    <w:rsid w:val="000E7FC5"/>
    <w:rsid w:val="000F026F"/>
    <w:rsid w:val="000F02A4"/>
    <w:rsid w:val="000F06AC"/>
    <w:rsid w:val="000F08D3"/>
    <w:rsid w:val="000F0A2D"/>
    <w:rsid w:val="000F0D06"/>
    <w:rsid w:val="000F0E1C"/>
    <w:rsid w:val="000F0E28"/>
    <w:rsid w:val="000F0F12"/>
    <w:rsid w:val="000F125A"/>
    <w:rsid w:val="000F12F1"/>
    <w:rsid w:val="000F1364"/>
    <w:rsid w:val="000F1790"/>
    <w:rsid w:val="000F17A3"/>
    <w:rsid w:val="000F1B7B"/>
    <w:rsid w:val="000F1CC8"/>
    <w:rsid w:val="000F1CE0"/>
    <w:rsid w:val="000F1DFF"/>
    <w:rsid w:val="000F200B"/>
    <w:rsid w:val="000F21C4"/>
    <w:rsid w:val="000F22C3"/>
    <w:rsid w:val="000F28CE"/>
    <w:rsid w:val="000F291A"/>
    <w:rsid w:val="000F2A84"/>
    <w:rsid w:val="000F326A"/>
    <w:rsid w:val="000F335A"/>
    <w:rsid w:val="000F35CE"/>
    <w:rsid w:val="000F37C1"/>
    <w:rsid w:val="000F37C9"/>
    <w:rsid w:val="000F381B"/>
    <w:rsid w:val="000F3BB9"/>
    <w:rsid w:val="000F3D8D"/>
    <w:rsid w:val="000F3E74"/>
    <w:rsid w:val="000F413E"/>
    <w:rsid w:val="000F4545"/>
    <w:rsid w:val="000F48C6"/>
    <w:rsid w:val="000F48C8"/>
    <w:rsid w:val="000F4950"/>
    <w:rsid w:val="000F49C5"/>
    <w:rsid w:val="000F4B38"/>
    <w:rsid w:val="000F4CEA"/>
    <w:rsid w:val="000F4E0E"/>
    <w:rsid w:val="000F516E"/>
    <w:rsid w:val="000F5377"/>
    <w:rsid w:val="000F556E"/>
    <w:rsid w:val="000F5700"/>
    <w:rsid w:val="000F57C1"/>
    <w:rsid w:val="000F5815"/>
    <w:rsid w:val="000F581B"/>
    <w:rsid w:val="000F583D"/>
    <w:rsid w:val="000F5E95"/>
    <w:rsid w:val="000F5EAC"/>
    <w:rsid w:val="000F60F2"/>
    <w:rsid w:val="000F6541"/>
    <w:rsid w:val="000F65ED"/>
    <w:rsid w:val="000F6643"/>
    <w:rsid w:val="000F66D7"/>
    <w:rsid w:val="000F68DB"/>
    <w:rsid w:val="000F69CA"/>
    <w:rsid w:val="000F6A95"/>
    <w:rsid w:val="000F6B3F"/>
    <w:rsid w:val="000F6C63"/>
    <w:rsid w:val="000F6FC6"/>
    <w:rsid w:val="000F71AE"/>
    <w:rsid w:val="000F743C"/>
    <w:rsid w:val="000F7483"/>
    <w:rsid w:val="000F76C1"/>
    <w:rsid w:val="000F788C"/>
    <w:rsid w:val="000F7897"/>
    <w:rsid w:val="000F78C4"/>
    <w:rsid w:val="000F7A10"/>
    <w:rsid w:val="000F7AF4"/>
    <w:rsid w:val="000F7EED"/>
    <w:rsid w:val="000F7FF3"/>
    <w:rsid w:val="00100205"/>
    <w:rsid w:val="0010032F"/>
    <w:rsid w:val="0010043A"/>
    <w:rsid w:val="00100591"/>
    <w:rsid w:val="001005C1"/>
    <w:rsid w:val="0010079E"/>
    <w:rsid w:val="00100862"/>
    <w:rsid w:val="0010089E"/>
    <w:rsid w:val="00100B05"/>
    <w:rsid w:val="00100D4D"/>
    <w:rsid w:val="00100DB2"/>
    <w:rsid w:val="00100EF4"/>
    <w:rsid w:val="001012E0"/>
    <w:rsid w:val="00101CFF"/>
    <w:rsid w:val="00101DEC"/>
    <w:rsid w:val="001022AF"/>
    <w:rsid w:val="0010238E"/>
    <w:rsid w:val="00102566"/>
    <w:rsid w:val="001025DF"/>
    <w:rsid w:val="0010265D"/>
    <w:rsid w:val="001028FB"/>
    <w:rsid w:val="00102908"/>
    <w:rsid w:val="00102957"/>
    <w:rsid w:val="00102A85"/>
    <w:rsid w:val="00102AA2"/>
    <w:rsid w:val="00102F2D"/>
    <w:rsid w:val="00103388"/>
    <w:rsid w:val="001033D2"/>
    <w:rsid w:val="00103462"/>
    <w:rsid w:val="00103464"/>
    <w:rsid w:val="00103621"/>
    <w:rsid w:val="00103761"/>
    <w:rsid w:val="0010376A"/>
    <w:rsid w:val="001037C9"/>
    <w:rsid w:val="00103A0C"/>
    <w:rsid w:val="00103A35"/>
    <w:rsid w:val="00103A7F"/>
    <w:rsid w:val="00103ACE"/>
    <w:rsid w:val="00103AEA"/>
    <w:rsid w:val="00103B11"/>
    <w:rsid w:val="00103CCF"/>
    <w:rsid w:val="00103CF3"/>
    <w:rsid w:val="00103D6C"/>
    <w:rsid w:val="00103D77"/>
    <w:rsid w:val="00103D7D"/>
    <w:rsid w:val="00104031"/>
    <w:rsid w:val="00104228"/>
    <w:rsid w:val="00104290"/>
    <w:rsid w:val="001042FE"/>
    <w:rsid w:val="00104468"/>
    <w:rsid w:val="00104649"/>
    <w:rsid w:val="001047C9"/>
    <w:rsid w:val="00104A08"/>
    <w:rsid w:val="00104B06"/>
    <w:rsid w:val="00104BFA"/>
    <w:rsid w:val="00104CBD"/>
    <w:rsid w:val="001051C3"/>
    <w:rsid w:val="00105379"/>
    <w:rsid w:val="00105477"/>
    <w:rsid w:val="00105492"/>
    <w:rsid w:val="00105626"/>
    <w:rsid w:val="00105C06"/>
    <w:rsid w:val="00105C07"/>
    <w:rsid w:val="00105C87"/>
    <w:rsid w:val="00105D87"/>
    <w:rsid w:val="00105D97"/>
    <w:rsid w:val="00105EE7"/>
    <w:rsid w:val="00105FDA"/>
    <w:rsid w:val="001060D5"/>
    <w:rsid w:val="00106190"/>
    <w:rsid w:val="001063BD"/>
    <w:rsid w:val="00106565"/>
    <w:rsid w:val="001066BB"/>
    <w:rsid w:val="001066CC"/>
    <w:rsid w:val="00106743"/>
    <w:rsid w:val="001069A0"/>
    <w:rsid w:val="001069AD"/>
    <w:rsid w:val="00106BF3"/>
    <w:rsid w:val="00106D73"/>
    <w:rsid w:val="00106DED"/>
    <w:rsid w:val="00106E84"/>
    <w:rsid w:val="00106EA8"/>
    <w:rsid w:val="00106F79"/>
    <w:rsid w:val="00107002"/>
    <w:rsid w:val="0010701B"/>
    <w:rsid w:val="0010707C"/>
    <w:rsid w:val="0010721B"/>
    <w:rsid w:val="00107239"/>
    <w:rsid w:val="00107321"/>
    <w:rsid w:val="0010754B"/>
    <w:rsid w:val="00107954"/>
    <w:rsid w:val="001079F2"/>
    <w:rsid w:val="00107AB0"/>
    <w:rsid w:val="00107BF7"/>
    <w:rsid w:val="00107EA4"/>
    <w:rsid w:val="00107F4C"/>
    <w:rsid w:val="00107F7A"/>
    <w:rsid w:val="00110268"/>
    <w:rsid w:val="00110339"/>
    <w:rsid w:val="00110528"/>
    <w:rsid w:val="00110754"/>
    <w:rsid w:val="001108DF"/>
    <w:rsid w:val="0011097C"/>
    <w:rsid w:val="00110C39"/>
    <w:rsid w:val="00110C8E"/>
    <w:rsid w:val="00110E04"/>
    <w:rsid w:val="00110E21"/>
    <w:rsid w:val="00111097"/>
    <w:rsid w:val="001110DC"/>
    <w:rsid w:val="001111BC"/>
    <w:rsid w:val="00111271"/>
    <w:rsid w:val="001112FD"/>
    <w:rsid w:val="00111590"/>
    <w:rsid w:val="001115DC"/>
    <w:rsid w:val="00111805"/>
    <w:rsid w:val="00111893"/>
    <w:rsid w:val="00111906"/>
    <w:rsid w:val="00111B0B"/>
    <w:rsid w:val="00111B98"/>
    <w:rsid w:val="00111C28"/>
    <w:rsid w:val="00111FA4"/>
    <w:rsid w:val="00111FE0"/>
    <w:rsid w:val="0011215F"/>
    <w:rsid w:val="00112170"/>
    <w:rsid w:val="001129AE"/>
    <w:rsid w:val="00112A51"/>
    <w:rsid w:val="00112BD2"/>
    <w:rsid w:val="00112E93"/>
    <w:rsid w:val="00113255"/>
    <w:rsid w:val="0011367F"/>
    <w:rsid w:val="001136CD"/>
    <w:rsid w:val="00113C35"/>
    <w:rsid w:val="00113C7E"/>
    <w:rsid w:val="00113D57"/>
    <w:rsid w:val="00114232"/>
    <w:rsid w:val="00114A64"/>
    <w:rsid w:val="00114B0D"/>
    <w:rsid w:val="00114B76"/>
    <w:rsid w:val="00114E1C"/>
    <w:rsid w:val="00114E92"/>
    <w:rsid w:val="0011507D"/>
    <w:rsid w:val="001151F1"/>
    <w:rsid w:val="0011531C"/>
    <w:rsid w:val="001159BB"/>
    <w:rsid w:val="00115A2B"/>
    <w:rsid w:val="00115B26"/>
    <w:rsid w:val="00115B5E"/>
    <w:rsid w:val="00115BD1"/>
    <w:rsid w:val="00115D74"/>
    <w:rsid w:val="00115DE0"/>
    <w:rsid w:val="00115E90"/>
    <w:rsid w:val="00115EA8"/>
    <w:rsid w:val="001160BF"/>
    <w:rsid w:val="0011646B"/>
    <w:rsid w:val="00116482"/>
    <w:rsid w:val="00116608"/>
    <w:rsid w:val="001167D1"/>
    <w:rsid w:val="001168A2"/>
    <w:rsid w:val="001169BD"/>
    <w:rsid w:val="00116CC6"/>
    <w:rsid w:val="00116FFF"/>
    <w:rsid w:val="00117827"/>
    <w:rsid w:val="00117861"/>
    <w:rsid w:val="001179CF"/>
    <w:rsid w:val="00117AEC"/>
    <w:rsid w:val="00117ECD"/>
    <w:rsid w:val="00117FB2"/>
    <w:rsid w:val="001200AE"/>
    <w:rsid w:val="00120B9A"/>
    <w:rsid w:val="00120D7B"/>
    <w:rsid w:val="00120ECD"/>
    <w:rsid w:val="00120F8E"/>
    <w:rsid w:val="00121089"/>
    <w:rsid w:val="00121113"/>
    <w:rsid w:val="0012114F"/>
    <w:rsid w:val="00121318"/>
    <w:rsid w:val="00121337"/>
    <w:rsid w:val="001214D5"/>
    <w:rsid w:val="00121602"/>
    <w:rsid w:val="0012182C"/>
    <w:rsid w:val="00121B3F"/>
    <w:rsid w:val="00121C9C"/>
    <w:rsid w:val="00121D96"/>
    <w:rsid w:val="00121E52"/>
    <w:rsid w:val="00121E64"/>
    <w:rsid w:val="0012204C"/>
    <w:rsid w:val="00122197"/>
    <w:rsid w:val="001221CB"/>
    <w:rsid w:val="00122312"/>
    <w:rsid w:val="001224F2"/>
    <w:rsid w:val="0012268B"/>
    <w:rsid w:val="00122722"/>
    <w:rsid w:val="001228D8"/>
    <w:rsid w:val="00122999"/>
    <w:rsid w:val="00122ECD"/>
    <w:rsid w:val="00122F49"/>
    <w:rsid w:val="00123024"/>
    <w:rsid w:val="00123515"/>
    <w:rsid w:val="001235C9"/>
    <w:rsid w:val="001239E2"/>
    <w:rsid w:val="00123A60"/>
    <w:rsid w:val="00123B56"/>
    <w:rsid w:val="00123D90"/>
    <w:rsid w:val="00123F4C"/>
    <w:rsid w:val="001241D1"/>
    <w:rsid w:val="0012449A"/>
    <w:rsid w:val="001245C5"/>
    <w:rsid w:val="0012479C"/>
    <w:rsid w:val="001248B5"/>
    <w:rsid w:val="001248BA"/>
    <w:rsid w:val="0012497A"/>
    <w:rsid w:val="0012498D"/>
    <w:rsid w:val="00124F91"/>
    <w:rsid w:val="0012509D"/>
    <w:rsid w:val="00125425"/>
    <w:rsid w:val="0012544D"/>
    <w:rsid w:val="00125814"/>
    <w:rsid w:val="00125870"/>
    <w:rsid w:val="00125A4D"/>
    <w:rsid w:val="00125C92"/>
    <w:rsid w:val="00125E11"/>
    <w:rsid w:val="00125E60"/>
    <w:rsid w:val="00126095"/>
    <w:rsid w:val="001261C8"/>
    <w:rsid w:val="00126233"/>
    <w:rsid w:val="00126670"/>
    <w:rsid w:val="00126729"/>
    <w:rsid w:val="0012674E"/>
    <w:rsid w:val="00126830"/>
    <w:rsid w:val="001268C5"/>
    <w:rsid w:val="00126908"/>
    <w:rsid w:val="00126A88"/>
    <w:rsid w:val="00126B8E"/>
    <w:rsid w:val="00127048"/>
    <w:rsid w:val="0012710B"/>
    <w:rsid w:val="0012712A"/>
    <w:rsid w:val="0012726A"/>
    <w:rsid w:val="0012729E"/>
    <w:rsid w:val="001272C1"/>
    <w:rsid w:val="001274AC"/>
    <w:rsid w:val="001275C3"/>
    <w:rsid w:val="001275D7"/>
    <w:rsid w:val="001275EC"/>
    <w:rsid w:val="001277E3"/>
    <w:rsid w:val="0012783C"/>
    <w:rsid w:val="001304EA"/>
    <w:rsid w:val="0013061D"/>
    <w:rsid w:val="001307E7"/>
    <w:rsid w:val="001307EA"/>
    <w:rsid w:val="00130A46"/>
    <w:rsid w:val="00130AFE"/>
    <w:rsid w:val="00130CD9"/>
    <w:rsid w:val="00130D86"/>
    <w:rsid w:val="00130DC5"/>
    <w:rsid w:val="00130DE1"/>
    <w:rsid w:val="00130EC2"/>
    <w:rsid w:val="00130F08"/>
    <w:rsid w:val="00130F2F"/>
    <w:rsid w:val="00131071"/>
    <w:rsid w:val="0013130C"/>
    <w:rsid w:val="0013132A"/>
    <w:rsid w:val="001313A7"/>
    <w:rsid w:val="00131500"/>
    <w:rsid w:val="001317C5"/>
    <w:rsid w:val="001318B0"/>
    <w:rsid w:val="001318DF"/>
    <w:rsid w:val="00131AD0"/>
    <w:rsid w:val="00131B88"/>
    <w:rsid w:val="00131C35"/>
    <w:rsid w:val="00131D42"/>
    <w:rsid w:val="00131E51"/>
    <w:rsid w:val="00131E69"/>
    <w:rsid w:val="00131F7F"/>
    <w:rsid w:val="00132490"/>
    <w:rsid w:val="0013253A"/>
    <w:rsid w:val="001328E9"/>
    <w:rsid w:val="00132B45"/>
    <w:rsid w:val="00132BAD"/>
    <w:rsid w:val="00132E75"/>
    <w:rsid w:val="001334D5"/>
    <w:rsid w:val="0013388C"/>
    <w:rsid w:val="001339A8"/>
    <w:rsid w:val="00133AD2"/>
    <w:rsid w:val="00133CAD"/>
    <w:rsid w:val="00133D03"/>
    <w:rsid w:val="00133F43"/>
    <w:rsid w:val="00133F89"/>
    <w:rsid w:val="0013417A"/>
    <w:rsid w:val="001341CD"/>
    <w:rsid w:val="00134249"/>
    <w:rsid w:val="00134599"/>
    <w:rsid w:val="00134CA3"/>
    <w:rsid w:val="00134D3E"/>
    <w:rsid w:val="00134DF4"/>
    <w:rsid w:val="001355C8"/>
    <w:rsid w:val="0013571E"/>
    <w:rsid w:val="0013575C"/>
    <w:rsid w:val="001358FC"/>
    <w:rsid w:val="001358FD"/>
    <w:rsid w:val="00135CE2"/>
    <w:rsid w:val="00135EF7"/>
    <w:rsid w:val="0013624D"/>
    <w:rsid w:val="001362FB"/>
    <w:rsid w:val="00136398"/>
    <w:rsid w:val="00136479"/>
    <w:rsid w:val="001364A9"/>
    <w:rsid w:val="00136520"/>
    <w:rsid w:val="001367E1"/>
    <w:rsid w:val="00136A32"/>
    <w:rsid w:val="00136AD9"/>
    <w:rsid w:val="00136BE1"/>
    <w:rsid w:val="00136D8F"/>
    <w:rsid w:val="0013707B"/>
    <w:rsid w:val="0013721B"/>
    <w:rsid w:val="00137466"/>
    <w:rsid w:val="00137848"/>
    <w:rsid w:val="001378EE"/>
    <w:rsid w:val="00137A2C"/>
    <w:rsid w:val="00137B68"/>
    <w:rsid w:val="00137DA4"/>
    <w:rsid w:val="001400CB"/>
    <w:rsid w:val="00140126"/>
    <w:rsid w:val="0014050C"/>
    <w:rsid w:val="001405F3"/>
    <w:rsid w:val="00140B55"/>
    <w:rsid w:val="00140C69"/>
    <w:rsid w:val="00140CB5"/>
    <w:rsid w:val="001411F5"/>
    <w:rsid w:val="001413B8"/>
    <w:rsid w:val="001413E2"/>
    <w:rsid w:val="00141679"/>
    <w:rsid w:val="001416D5"/>
    <w:rsid w:val="001417F6"/>
    <w:rsid w:val="00141C8C"/>
    <w:rsid w:val="00141DA0"/>
    <w:rsid w:val="00141E12"/>
    <w:rsid w:val="00141E64"/>
    <w:rsid w:val="00142069"/>
    <w:rsid w:val="001420DA"/>
    <w:rsid w:val="001426E1"/>
    <w:rsid w:val="0014296B"/>
    <w:rsid w:val="001429C6"/>
    <w:rsid w:val="00142B72"/>
    <w:rsid w:val="00142B8B"/>
    <w:rsid w:val="00142FE8"/>
    <w:rsid w:val="0014300F"/>
    <w:rsid w:val="00143575"/>
    <w:rsid w:val="001435D3"/>
    <w:rsid w:val="001436EE"/>
    <w:rsid w:val="00143786"/>
    <w:rsid w:val="0014386A"/>
    <w:rsid w:val="00143911"/>
    <w:rsid w:val="00143BA9"/>
    <w:rsid w:val="00143EE0"/>
    <w:rsid w:val="00143EE3"/>
    <w:rsid w:val="00144091"/>
    <w:rsid w:val="001441AC"/>
    <w:rsid w:val="001441E5"/>
    <w:rsid w:val="00144256"/>
    <w:rsid w:val="0014429D"/>
    <w:rsid w:val="00144420"/>
    <w:rsid w:val="00144605"/>
    <w:rsid w:val="0014490A"/>
    <w:rsid w:val="00144DCD"/>
    <w:rsid w:val="00144DEC"/>
    <w:rsid w:val="00144E6A"/>
    <w:rsid w:val="00144E9F"/>
    <w:rsid w:val="00144F60"/>
    <w:rsid w:val="00145158"/>
    <w:rsid w:val="001452A9"/>
    <w:rsid w:val="00145397"/>
    <w:rsid w:val="0014549D"/>
    <w:rsid w:val="001454F2"/>
    <w:rsid w:val="0014551C"/>
    <w:rsid w:val="00145604"/>
    <w:rsid w:val="00145E39"/>
    <w:rsid w:val="00145F68"/>
    <w:rsid w:val="001462A2"/>
    <w:rsid w:val="001462FC"/>
    <w:rsid w:val="001463D6"/>
    <w:rsid w:val="0014640B"/>
    <w:rsid w:val="0014646A"/>
    <w:rsid w:val="0014651A"/>
    <w:rsid w:val="00146550"/>
    <w:rsid w:val="001466EF"/>
    <w:rsid w:val="00146954"/>
    <w:rsid w:val="0014699C"/>
    <w:rsid w:val="00146AF5"/>
    <w:rsid w:val="00146AF7"/>
    <w:rsid w:val="00146B68"/>
    <w:rsid w:val="00146CEB"/>
    <w:rsid w:val="001470C8"/>
    <w:rsid w:val="00147174"/>
    <w:rsid w:val="00147535"/>
    <w:rsid w:val="001477BA"/>
    <w:rsid w:val="00147E35"/>
    <w:rsid w:val="00147E58"/>
    <w:rsid w:val="00150485"/>
    <w:rsid w:val="00150579"/>
    <w:rsid w:val="0015074E"/>
    <w:rsid w:val="0015076A"/>
    <w:rsid w:val="001507F5"/>
    <w:rsid w:val="0015092F"/>
    <w:rsid w:val="00151188"/>
    <w:rsid w:val="00151368"/>
    <w:rsid w:val="00151533"/>
    <w:rsid w:val="0015172A"/>
    <w:rsid w:val="00151965"/>
    <w:rsid w:val="00151AB2"/>
    <w:rsid w:val="00151DCB"/>
    <w:rsid w:val="00151F11"/>
    <w:rsid w:val="00152159"/>
    <w:rsid w:val="00152264"/>
    <w:rsid w:val="00152408"/>
    <w:rsid w:val="0015243A"/>
    <w:rsid w:val="00152661"/>
    <w:rsid w:val="00152866"/>
    <w:rsid w:val="00152B21"/>
    <w:rsid w:val="00152D66"/>
    <w:rsid w:val="00152ED8"/>
    <w:rsid w:val="00152EFE"/>
    <w:rsid w:val="00152FAE"/>
    <w:rsid w:val="00153321"/>
    <w:rsid w:val="001537F7"/>
    <w:rsid w:val="00153B69"/>
    <w:rsid w:val="00153CD2"/>
    <w:rsid w:val="00153D6D"/>
    <w:rsid w:val="00153F8C"/>
    <w:rsid w:val="00153FD7"/>
    <w:rsid w:val="00154372"/>
    <w:rsid w:val="001544B5"/>
    <w:rsid w:val="0015456F"/>
    <w:rsid w:val="001545C7"/>
    <w:rsid w:val="00154698"/>
    <w:rsid w:val="001546E8"/>
    <w:rsid w:val="00154A50"/>
    <w:rsid w:val="00154B32"/>
    <w:rsid w:val="00154B76"/>
    <w:rsid w:val="00154BB7"/>
    <w:rsid w:val="00154E54"/>
    <w:rsid w:val="00155002"/>
    <w:rsid w:val="00155088"/>
    <w:rsid w:val="00155107"/>
    <w:rsid w:val="00155283"/>
    <w:rsid w:val="0015598B"/>
    <w:rsid w:val="001559E2"/>
    <w:rsid w:val="00155D9A"/>
    <w:rsid w:val="00155F16"/>
    <w:rsid w:val="00156725"/>
    <w:rsid w:val="00156965"/>
    <w:rsid w:val="00156AA9"/>
    <w:rsid w:val="00156ECC"/>
    <w:rsid w:val="001573D7"/>
    <w:rsid w:val="00157987"/>
    <w:rsid w:val="00157A43"/>
    <w:rsid w:val="00157A67"/>
    <w:rsid w:val="00157B83"/>
    <w:rsid w:val="00157C0C"/>
    <w:rsid w:val="00157C0D"/>
    <w:rsid w:val="00157DED"/>
    <w:rsid w:val="0015C4FF"/>
    <w:rsid w:val="0016000D"/>
    <w:rsid w:val="0016010B"/>
    <w:rsid w:val="00160115"/>
    <w:rsid w:val="001603CD"/>
    <w:rsid w:val="00160798"/>
    <w:rsid w:val="00160865"/>
    <w:rsid w:val="001608C8"/>
    <w:rsid w:val="0016091D"/>
    <w:rsid w:val="00160AFD"/>
    <w:rsid w:val="00160CCA"/>
    <w:rsid w:val="00160E6E"/>
    <w:rsid w:val="00160FAB"/>
    <w:rsid w:val="0016107E"/>
    <w:rsid w:val="001615EF"/>
    <w:rsid w:val="001616B2"/>
    <w:rsid w:val="00161930"/>
    <w:rsid w:val="00161AAD"/>
    <w:rsid w:val="00161B39"/>
    <w:rsid w:val="00161C4F"/>
    <w:rsid w:val="00161C79"/>
    <w:rsid w:val="00161EA5"/>
    <w:rsid w:val="0016238F"/>
    <w:rsid w:val="0016284E"/>
    <w:rsid w:val="00162A89"/>
    <w:rsid w:val="00162AA7"/>
    <w:rsid w:val="00162AF1"/>
    <w:rsid w:val="00162BEE"/>
    <w:rsid w:val="00162C4A"/>
    <w:rsid w:val="00162DF0"/>
    <w:rsid w:val="00162FA8"/>
    <w:rsid w:val="00162FB5"/>
    <w:rsid w:val="00162FBA"/>
    <w:rsid w:val="00163071"/>
    <w:rsid w:val="00163182"/>
    <w:rsid w:val="001632E1"/>
    <w:rsid w:val="00163476"/>
    <w:rsid w:val="00163896"/>
    <w:rsid w:val="001638ED"/>
    <w:rsid w:val="00163967"/>
    <w:rsid w:val="00163AAA"/>
    <w:rsid w:val="00163AD4"/>
    <w:rsid w:val="00163F6E"/>
    <w:rsid w:val="00164010"/>
    <w:rsid w:val="001640C4"/>
    <w:rsid w:val="00164200"/>
    <w:rsid w:val="001642A5"/>
    <w:rsid w:val="00164443"/>
    <w:rsid w:val="00164526"/>
    <w:rsid w:val="00164553"/>
    <w:rsid w:val="001645DB"/>
    <w:rsid w:val="00164638"/>
    <w:rsid w:val="00164A9D"/>
    <w:rsid w:val="00164CBA"/>
    <w:rsid w:val="00164E61"/>
    <w:rsid w:val="00164EB1"/>
    <w:rsid w:val="00164FE0"/>
    <w:rsid w:val="00164FE8"/>
    <w:rsid w:val="001653F2"/>
    <w:rsid w:val="001656B0"/>
    <w:rsid w:val="0016571D"/>
    <w:rsid w:val="0016581C"/>
    <w:rsid w:val="00165AFA"/>
    <w:rsid w:val="00165B54"/>
    <w:rsid w:val="00165B64"/>
    <w:rsid w:val="00165BC2"/>
    <w:rsid w:val="00165CB1"/>
    <w:rsid w:val="00165D79"/>
    <w:rsid w:val="00165DBA"/>
    <w:rsid w:val="00165E86"/>
    <w:rsid w:val="00166102"/>
    <w:rsid w:val="00166195"/>
    <w:rsid w:val="00166467"/>
    <w:rsid w:val="001664D8"/>
    <w:rsid w:val="00166B80"/>
    <w:rsid w:val="00166BCE"/>
    <w:rsid w:val="00166C81"/>
    <w:rsid w:val="00166C99"/>
    <w:rsid w:val="00166DB0"/>
    <w:rsid w:val="001670CD"/>
    <w:rsid w:val="001671CF"/>
    <w:rsid w:val="00167375"/>
    <w:rsid w:val="001675F4"/>
    <w:rsid w:val="00167624"/>
    <w:rsid w:val="0016776E"/>
    <w:rsid w:val="00167B01"/>
    <w:rsid w:val="00167D9C"/>
    <w:rsid w:val="00167F7D"/>
    <w:rsid w:val="001700AE"/>
    <w:rsid w:val="0017036C"/>
    <w:rsid w:val="00170496"/>
    <w:rsid w:val="001706BC"/>
    <w:rsid w:val="00170960"/>
    <w:rsid w:val="00170A8F"/>
    <w:rsid w:val="00170AD3"/>
    <w:rsid w:val="00170CFF"/>
    <w:rsid w:val="00170D41"/>
    <w:rsid w:val="00170DAE"/>
    <w:rsid w:val="00170DBC"/>
    <w:rsid w:val="001715C1"/>
    <w:rsid w:val="00171669"/>
    <w:rsid w:val="001716E5"/>
    <w:rsid w:val="001718F1"/>
    <w:rsid w:val="00171AF3"/>
    <w:rsid w:val="00171BCB"/>
    <w:rsid w:val="00171CBE"/>
    <w:rsid w:val="00171DAA"/>
    <w:rsid w:val="00171E0D"/>
    <w:rsid w:val="00172566"/>
    <w:rsid w:val="0017267D"/>
    <w:rsid w:val="00172B69"/>
    <w:rsid w:val="00172CB6"/>
    <w:rsid w:val="00172D52"/>
    <w:rsid w:val="00172E71"/>
    <w:rsid w:val="00172F6B"/>
    <w:rsid w:val="0017312F"/>
    <w:rsid w:val="001732F5"/>
    <w:rsid w:val="0017353F"/>
    <w:rsid w:val="001735E2"/>
    <w:rsid w:val="00173737"/>
    <w:rsid w:val="001737D4"/>
    <w:rsid w:val="001737DD"/>
    <w:rsid w:val="00173801"/>
    <w:rsid w:val="00173923"/>
    <w:rsid w:val="00173CB0"/>
    <w:rsid w:val="00173DD3"/>
    <w:rsid w:val="00173DF2"/>
    <w:rsid w:val="00173DFD"/>
    <w:rsid w:val="00173EB4"/>
    <w:rsid w:val="00173EB5"/>
    <w:rsid w:val="00174077"/>
    <w:rsid w:val="001742C5"/>
    <w:rsid w:val="00174378"/>
    <w:rsid w:val="001744AB"/>
    <w:rsid w:val="001745D4"/>
    <w:rsid w:val="00174636"/>
    <w:rsid w:val="001746B7"/>
    <w:rsid w:val="0017477D"/>
    <w:rsid w:val="00174AD4"/>
    <w:rsid w:val="00174C73"/>
    <w:rsid w:val="00174C77"/>
    <w:rsid w:val="00174D06"/>
    <w:rsid w:val="00174E3C"/>
    <w:rsid w:val="00174E53"/>
    <w:rsid w:val="001750F7"/>
    <w:rsid w:val="0017526C"/>
    <w:rsid w:val="001757DF"/>
    <w:rsid w:val="0017593D"/>
    <w:rsid w:val="00175C12"/>
    <w:rsid w:val="00175C9F"/>
    <w:rsid w:val="00175D86"/>
    <w:rsid w:val="00175DF5"/>
    <w:rsid w:val="0017616B"/>
    <w:rsid w:val="001767C6"/>
    <w:rsid w:val="00176898"/>
    <w:rsid w:val="00176AFA"/>
    <w:rsid w:val="00176C6F"/>
    <w:rsid w:val="00177072"/>
    <w:rsid w:val="0017776A"/>
    <w:rsid w:val="0017777C"/>
    <w:rsid w:val="00177A36"/>
    <w:rsid w:val="00180759"/>
    <w:rsid w:val="00180778"/>
    <w:rsid w:val="00180988"/>
    <w:rsid w:val="00180A86"/>
    <w:rsid w:val="00180B8B"/>
    <w:rsid w:val="00180B9E"/>
    <w:rsid w:val="00180D5E"/>
    <w:rsid w:val="00180E55"/>
    <w:rsid w:val="00180F64"/>
    <w:rsid w:val="00181007"/>
    <w:rsid w:val="00181102"/>
    <w:rsid w:val="001811AF"/>
    <w:rsid w:val="00181732"/>
    <w:rsid w:val="00181D01"/>
    <w:rsid w:val="00182028"/>
    <w:rsid w:val="001821FD"/>
    <w:rsid w:val="00182239"/>
    <w:rsid w:val="0018246E"/>
    <w:rsid w:val="00182619"/>
    <w:rsid w:val="0018269C"/>
    <w:rsid w:val="0018294A"/>
    <w:rsid w:val="00182954"/>
    <w:rsid w:val="00182C14"/>
    <w:rsid w:val="00182D58"/>
    <w:rsid w:val="00182F80"/>
    <w:rsid w:val="001833F5"/>
    <w:rsid w:val="00183C8E"/>
    <w:rsid w:val="00183CA6"/>
    <w:rsid w:val="00183CE7"/>
    <w:rsid w:val="00183FD5"/>
    <w:rsid w:val="00184049"/>
    <w:rsid w:val="001847BC"/>
    <w:rsid w:val="001848D6"/>
    <w:rsid w:val="00184A03"/>
    <w:rsid w:val="00184A8F"/>
    <w:rsid w:val="00184B61"/>
    <w:rsid w:val="00184B6B"/>
    <w:rsid w:val="00184CBF"/>
    <w:rsid w:val="00184E54"/>
    <w:rsid w:val="00184F53"/>
    <w:rsid w:val="001850D4"/>
    <w:rsid w:val="0018523D"/>
    <w:rsid w:val="0018530F"/>
    <w:rsid w:val="00185AC7"/>
    <w:rsid w:val="00185C58"/>
    <w:rsid w:val="00185CAD"/>
    <w:rsid w:val="00185F32"/>
    <w:rsid w:val="0018601C"/>
    <w:rsid w:val="00186076"/>
    <w:rsid w:val="00186128"/>
    <w:rsid w:val="001863C0"/>
    <w:rsid w:val="001864CC"/>
    <w:rsid w:val="00186606"/>
    <w:rsid w:val="00186765"/>
    <w:rsid w:val="0018679D"/>
    <w:rsid w:val="001868B3"/>
    <w:rsid w:val="00186FAD"/>
    <w:rsid w:val="00187312"/>
    <w:rsid w:val="0018732D"/>
    <w:rsid w:val="001875DA"/>
    <w:rsid w:val="00187B3B"/>
    <w:rsid w:val="00187D4C"/>
    <w:rsid w:val="00187E7B"/>
    <w:rsid w:val="00187F65"/>
    <w:rsid w:val="00187F66"/>
    <w:rsid w:val="001901B9"/>
    <w:rsid w:val="00190386"/>
    <w:rsid w:val="001904C6"/>
    <w:rsid w:val="0019091A"/>
    <w:rsid w:val="00190AA5"/>
    <w:rsid w:val="00190BDE"/>
    <w:rsid w:val="00190E03"/>
    <w:rsid w:val="00190E0E"/>
    <w:rsid w:val="00191246"/>
    <w:rsid w:val="001912ED"/>
    <w:rsid w:val="0019190F"/>
    <w:rsid w:val="00191940"/>
    <w:rsid w:val="00191C63"/>
    <w:rsid w:val="00191D7F"/>
    <w:rsid w:val="00192689"/>
    <w:rsid w:val="0019268D"/>
    <w:rsid w:val="001926FB"/>
    <w:rsid w:val="00192999"/>
    <w:rsid w:val="00192AAA"/>
    <w:rsid w:val="00192B5C"/>
    <w:rsid w:val="00192C6C"/>
    <w:rsid w:val="00192E38"/>
    <w:rsid w:val="00193296"/>
    <w:rsid w:val="00193371"/>
    <w:rsid w:val="00193384"/>
    <w:rsid w:val="0019339D"/>
    <w:rsid w:val="00193632"/>
    <w:rsid w:val="001936DC"/>
    <w:rsid w:val="00193ADA"/>
    <w:rsid w:val="00193BFD"/>
    <w:rsid w:val="001940DD"/>
    <w:rsid w:val="00194399"/>
    <w:rsid w:val="00194515"/>
    <w:rsid w:val="001945D8"/>
    <w:rsid w:val="00194776"/>
    <w:rsid w:val="001947E3"/>
    <w:rsid w:val="0019494F"/>
    <w:rsid w:val="00194A4B"/>
    <w:rsid w:val="00194D39"/>
    <w:rsid w:val="00194E15"/>
    <w:rsid w:val="00194F94"/>
    <w:rsid w:val="00195056"/>
    <w:rsid w:val="0019539A"/>
    <w:rsid w:val="001957B2"/>
    <w:rsid w:val="00195C0D"/>
    <w:rsid w:val="00195C77"/>
    <w:rsid w:val="00195EBF"/>
    <w:rsid w:val="00196300"/>
    <w:rsid w:val="00196434"/>
    <w:rsid w:val="0019661F"/>
    <w:rsid w:val="00196A8D"/>
    <w:rsid w:val="00196D30"/>
    <w:rsid w:val="00196D56"/>
    <w:rsid w:val="00197146"/>
    <w:rsid w:val="00197322"/>
    <w:rsid w:val="00197515"/>
    <w:rsid w:val="00197597"/>
    <w:rsid w:val="001976E7"/>
    <w:rsid w:val="00197A62"/>
    <w:rsid w:val="00197B00"/>
    <w:rsid w:val="00197CFE"/>
    <w:rsid w:val="00197E12"/>
    <w:rsid w:val="00197E63"/>
    <w:rsid w:val="001A0160"/>
    <w:rsid w:val="001A026E"/>
    <w:rsid w:val="001A032E"/>
    <w:rsid w:val="001A042A"/>
    <w:rsid w:val="001A0653"/>
    <w:rsid w:val="001A074E"/>
    <w:rsid w:val="001A0A01"/>
    <w:rsid w:val="001A0D5E"/>
    <w:rsid w:val="001A1123"/>
    <w:rsid w:val="001A12D4"/>
    <w:rsid w:val="001A181E"/>
    <w:rsid w:val="001A1ADE"/>
    <w:rsid w:val="001A1AF6"/>
    <w:rsid w:val="001A1B0A"/>
    <w:rsid w:val="001A2213"/>
    <w:rsid w:val="001A2705"/>
    <w:rsid w:val="001A288A"/>
    <w:rsid w:val="001A2A1B"/>
    <w:rsid w:val="001A2BF3"/>
    <w:rsid w:val="001A2C40"/>
    <w:rsid w:val="001A2DDF"/>
    <w:rsid w:val="001A2DEF"/>
    <w:rsid w:val="001A3089"/>
    <w:rsid w:val="001A338B"/>
    <w:rsid w:val="001A3401"/>
    <w:rsid w:val="001A354C"/>
    <w:rsid w:val="001A3578"/>
    <w:rsid w:val="001A3631"/>
    <w:rsid w:val="001A3752"/>
    <w:rsid w:val="001A37FE"/>
    <w:rsid w:val="001A3808"/>
    <w:rsid w:val="001A3898"/>
    <w:rsid w:val="001A3BF4"/>
    <w:rsid w:val="001A3CCF"/>
    <w:rsid w:val="001A448F"/>
    <w:rsid w:val="001A4568"/>
    <w:rsid w:val="001A4991"/>
    <w:rsid w:val="001A49B1"/>
    <w:rsid w:val="001A4C5D"/>
    <w:rsid w:val="001A4D65"/>
    <w:rsid w:val="001A4F16"/>
    <w:rsid w:val="001A4F81"/>
    <w:rsid w:val="001A4FCD"/>
    <w:rsid w:val="001A51E5"/>
    <w:rsid w:val="001A5222"/>
    <w:rsid w:val="001A53A8"/>
    <w:rsid w:val="001A551F"/>
    <w:rsid w:val="001A55DD"/>
    <w:rsid w:val="001A56E2"/>
    <w:rsid w:val="001A5DC8"/>
    <w:rsid w:val="001A6030"/>
    <w:rsid w:val="001A60B8"/>
    <w:rsid w:val="001A6205"/>
    <w:rsid w:val="001A6458"/>
    <w:rsid w:val="001A653E"/>
    <w:rsid w:val="001A6666"/>
    <w:rsid w:val="001A6780"/>
    <w:rsid w:val="001A68A4"/>
    <w:rsid w:val="001A6B4E"/>
    <w:rsid w:val="001A6EE9"/>
    <w:rsid w:val="001A7117"/>
    <w:rsid w:val="001A71BA"/>
    <w:rsid w:val="001A7212"/>
    <w:rsid w:val="001A72BF"/>
    <w:rsid w:val="001A75DF"/>
    <w:rsid w:val="001A760F"/>
    <w:rsid w:val="001A7930"/>
    <w:rsid w:val="001A7A0E"/>
    <w:rsid w:val="001A7B70"/>
    <w:rsid w:val="001A7DD0"/>
    <w:rsid w:val="001B01D4"/>
    <w:rsid w:val="001B07AD"/>
    <w:rsid w:val="001B08A7"/>
    <w:rsid w:val="001B0A61"/>
    <w:rsid w:val="001B0F1C"/>
    <w:rsid w:val="001B11C6"/>
    <w:rsid w:val="001B11F2"/>
    <w:rsid w:val="001B12DD"/>
    <w:rsid w:val="001B1335"/>
    <w:rsid w:val="001B1534"/>
    <w:rsid w:val="001B15D0"/>
    <w:rsid w:val="001B1636"/>
    <w:rsid w:val="001B18DA"/>
    <w:rsid w:val="001B1AE5"/>
    <w:rsid w:val="001B1B4F"/>
    <w:rsid w:val="001B209F"/>
    <w:rsid w:val="001B292B"/>
    <w:rsid w:val="001B2D86"/>
    <w:rsid w:val="001B2DD6"/>
    <w:rsid w:val="001B2FC6"/>
    <w:rsid w:val="001B31CA"/>
    <w:rsid w:val="001B3466"/>
    <w:rsid w:val="001B34E4"/>
    <w:rsid w:val="001B36D7"/>
    <w:rsid w:val="001B3743"/>
    <w:rsid w:val="001B39E7"/>
    <w:rsid w:val="001B3BC1"/>
    <w:rsid w:val="001B3CA7"/>
    <w:rsid w:val="001B3CD2"/>
    <w:rsid w:val="001B3DF0"/>
    <w:rsid w:val="001B422E"/>
    <w:rsid w:val="001B4721"/>
    <w:rsid w:val="001B482F"/>
    <w:rsid w:val="001B498E"/>
    <w:rsid w:val="001B4C09"/>
    <w:rsid w:val="001B4CCC"/>
    <w:rsid w:val="001B4E75"/>
    <w:rsid w:val="001B5072"/>
    <w:rsid w:val="001B51DB"/>
    <w:rsid w:val="001B54B5"/>
    <w:rsid w:val="001B56BE"/>
    <w:rsid w:val="001B5AC5"/>
    <w:rsid w:val="001B5B20"/>
    <w:rsid w:val="001B5C0E"/>
    <w:rsid w:val="001B5EA4"/>
    <w:rsid w:val="001B606B"/>
    <w:rsid w:val="001B620C"/>
    <w:rsid w:val="001B6660"/>
    <w:rsid w:val="001B6A19"/>
    <w:rsid w:val="001B6ADB"/>
    <w:rsid w:val="001B6BB1"/>
    <w:rsid w:val="001B6BE7"/>
    <w:rsid w:val="001B6BF0"/>
    <w:rsid w:val="001B6C4A"/>
    <w:rsid w:val="001B6D47"/>
    <w:rsid w:val="001B6DE8"/>
    <w:rsid w:val="001B6F2B"/>
    <w:rsid w:val="001B7248"/>
    <w:rsid w:val="001B7261"/>
    <w:rsid w:val="001B734A"/>
    <w:rsid w:val="001B7366"/>
    <w:rsid w:val="001B73A0"/>
    <w:rsid w:val="001B7712"/>
    <w:rsid w:val="001B7911"/>
    <w:rsid w:val="001B79AF"/>
    <w:rsid w:val="001B79EF"/>
    <w:rsid w:val="001B7A09"/>
    <w:rsid w:val="001B7BC5"/>
    <w:rsid w:val="001B7CDE"/>
    <w:rsid w:val="001B7E75"/>
    <w:rsid w:val="001B7FBB"/>
    <w:rsid w:val="001B7FE5"/>
    <w:rsid w:val="001B7FF4"/>
    <w:rsid w:val="001C01D2"/>
    <w:rsid w:val="001C0202"/>
    <w:rsid w:val="001C0281"/>
    <w:rsid w:val="001C033A"/>
    <w:rsid w:val="001C03F0"/>
    <w:rsid w:val="001C068E"/>
    <w:rsid w:val="001C086A"/>
    <w:rsid w:val="001C0A54"/>
    <w:rsid w:val="001C0ABC"/>
    <w:rsid w:val="001C0F4D"/>
    <w:rsid w:val="001C0FD4"/>
    <w:rsid w:val="001C10C6"/>
    <w:rsid w:val="001C141B"/>
    <w:rsid w:val="001C14EA"/>
    <w:rsid w:val="001C150E"/>
    <w:rsid w:val="001C15E0"/>
    <w:rsid w:val="001C181B"/>
    <w:rsid w:val="001C1867"/>
    <w:rsid w:val="001C1AD3"/>
    <w:rsid w:val="001C1B9D"/>
    <w:rsid w:val="001C1EB2"/>
    <w:rsid w:val="001C2028"/>
    <w:rsid w:val="001C22B0"/>
    <w:rsid w:val="001C231D"/>
    <w:rsid w:val="001C245D"/>
    <w:rsid w:val="001C273F"/>
    <w:rsid w:val="001C286B"/>
    <w:rsid w:val="001C287D"/>
    <w:rsid w:val="001C2C68"/>
    <w:rsid w:val="001C2E09"/>
    <w:rsid w:val="001C3090"/>
    <w:rsid w:val="001C3102"/>
    <w:rsid w:val="001C3262"/>
    <w:rsid w:val="001C3481"/>
    <w:rsid w:val="001C35E0"/>
    <w:rsid w:val="001C363F"/>
    <w:rsid w:val="001C3ABE"/>
    <w:rsid w:val="001C3BDF"/>
    <w:rsid w:val="001C3C04"/>
    <w:rsid w:val="001C4131"/>
    <w:rsid w:val="001C45F5"/>
    <w:rsid w:val="001C46FB"/>
    <w:rsid w:val="001C4773"/>
    <w:rsid w:val="001C496B"/>
    <w:rsid w:val="001C4B23"/>
    <w:rsid w:val="001C4B7E"/>
    <w:rsid w:val="001C4F8C"/>
    <w:rsid w:val="001C50DE"/>
    <w:rsid w:val="001C5427"/>
    <w:rsid w:val="001C5506"/>
    <w:rsid w:val="001C595C"/>
    <w:rsid w:val="001C5967"/>
    <w:rsid w:val="001C5B5C"/>
    <w:rsid w:val="001C5C26"/>
    <w:rsid w:val="001C5C4B"/>
    <w:rsid w:val="001C5C70"/>
    <w:rsid w:val="001C5FE7"/>
    <w:rsid w:val="001C61CA"/>
    <w:rsid w:val="001C61CB"/>
    <w:rsid w:val="001C6350"/>
    <w:rsid w:val="001C6370"/>
    <w:rsid w:val="001C6593"/>
    <w:rsid w:val="001C66EC"/>
    <w:rsid w:val="001C67DB"/>
    <w:rsid w:val="001C68EF"/>
    <w:rsid w:val="001C6A83"/>
    <w:rsid w:val="001C6B12"/>
    <w:rsid w:val="001C6BF1"/>
    <w:rsid w:val="001C6D42"/>
    <w:rsid w:val="001C6EB3"/>
    <w:rsid w:val="001C6EB8"/>
    <w:rsid w:val="001C70B4"/>
    <w:rsid w:val="001C7212"/>
    <w:rsid w:val="001C7287"/>
    <w:rsid w:val="001C73C1"/>
    <w:rsid w:val="001C73E3"/>
    <w:rsid w:val="001C7559"/>
    <w:rsid w:val="001C7620"/>
    <w:rsid w:val="001C7629"/>
    <w:rsid w:val="001C76B0"/>
    <w:rsid w:val="001C77F4"/>
    <w:rsid w:val="001C7903"/>
    <w:rsid w:val="001C7AD1"/>
    <w:rsid w:val="001C7AF5"/>
    <w:rsid w:val="001C7C0D"/>
    <w:rsid w:val="001C7F7E"/>
    <w:rsid w:val="001C7F9A"/>
    <w:rsid w:val="001D0091"/>
    <w:rsid w:val="001D0127"/>
    <w:rsid w:val="001D0378"/>
    <w:rsid w:val="001D064C"/>
    <w:rsid w:val="001D078E"/>
    <w:rsid w:val="001D09A0"/>
    <w:rsid w:val="001D0ACA"/>
    <w:rsid w:val="001D0B80"/>
    <w:rsid w:val="001D0DEE"/>
    <w:rsid w:val="001D0F02"/>
    <w:rsid w:val="001D0FEF"/>
    <w:rsid w:val="001D1005"/>
    <w:rsid w:val="001D114C"/>
    <w:rsid w:val="001D125F"/>
    <w:rsid w:val="001D12CA"/>
    <w:rsid w:val="001D12EB"/>
    <w:rsid w:val="001D1428"/>
    <w:rsid w:val="001D1452"/>
    <w:rsid w:val="001D14D8"/>
    <w:rsid w:val="001D15F6"/>
    <w:rsid w:val="001D16EE"/>
    <w:rsid w:val="001D171E"/>
    <w:rsid w:val="001D1A67"/>
    <w:rsid w:val="001D1A69"/>
    <w:rsid w:val="001D1FE6"/>
    <w:rsid w:val="001D2047"/>
    <w:rsid w:val="001D2252"/>
    <w:rsid w:val="001D25E5"/>
    <w:rsid w:val="001D2686"/>
    <w:rsid w:val="001D27B2"/>
    <w:rsid w:val="001D27D0"/>
    <w:rsid w:val="001D27E7"/>
    <w:rsid w:val="001D2A4F"/>
    <w:rsid w:val="001D2D29"/>
    <w:rsid w:val="001D30E0"/>
    <w:rsid w:val="001D34F8"/>
    <w:rsid w:val="001D3738"/>
    <w:rsid w:val="001D3E2F"/>
    <w:rsid w:val="001D402F"/>
    <w:rsid w:val="001D4497"/>
    <w:rsid w:val="001D460F"/>
    <w:rsid w:val="001D4779"/>
    <w:rsid w:val="001D4A14"/>
    <w:rsid w:val="001D4D29"/>
    <w:rsid w:val="001D4FAE"/>
    <w:rsid w:val="001D50D2"/>
    <w:rsid w:val="001D5139"/>
    <w:rsid w:val="001D537E"/>
    <w:rsid w:val="001D5799"/>
    <w:rsid w:val="001D58B1"/>
    <w:rsid w:val="001D5A85"/>
    <w:rsid w:val="001D5E94"/>
    <w:rsid w:val="001D60A3"/>
    <w:rsid w:val="001D63EA"/>
    <w:rsid w:val="001D6411"/>
    <w:rsid w:val="001D6443"/>
    <w:rsid w:val="001D6833"/>
    <w:rsid w:val="001D6904"/>
    <w:rsid w:val="001D6911"/>
    <w:rsid w:val="001D69D9"/>
    <w:rsid w:val="001D6C20"/>
    <w:rsid w:val="001D6DF6"/>
    <w:rsid w:val="001D6F54"/>
    <w:rsid w:val="001D7127"/>
    <w:rsid w:val="001D74B4"/>
    <w:rsid w:val="001D7604"/>
    <w:rsid w:val="001D7858"/>
    <w:rsid w:val="001D7A1C"/>
    <w:rsid w:val="001D7C44"/>
    <w:rsid w:val="001D7C4A"/>
    <w:rsid w:val="001D7FBE"/>
    <w:rsid w:val="001D801E"/>
    <w:rsid w:val="001E00C5"/>
    <w:rsid w:val="001E02BB"/>
    <w:rsid w:val="001E03D3"/>
    <w:rsid w:val="001E0445"/>
    <w:rsid w:val="001E0498"/>
    <w:rsid w:val="001E04CE"/>
    <w:rsid w:val="001E052D"/>
    <w:rsid w:val="001E05BE"/>
    <w:rsid w:val="001E05F9"/>
    <w:rsid w:val="001E06D1"/>
    <w:rsid w:val="001E06EE"/>
    <w:rsid w:val="001E072B"/>
    <w:rsid w:val="001E07BF"/>
    <w:rsid w:val="001E07D7"/>
    <w:rsid w:val="001E0820"/>
    <w:rsid w:val="001E0EA4"/>
    <w:rsid w:val="001E1160"/>
    <w:rsid w:val="001E12EF"/>
    <w:rsid w:val="001E1392"/>
    <w:rsid w:val="001E1497"/>
    <w:rsid w:val="001E1734"/>
    <w:rsid w:val="001E1A60"/>
    <w:rsid w:val="001E1AA2"/>
    <w:rsid w:val="001E1B1D"/>
    <w:rsid w:val="001E1C58"/>
    <w:rsid w:val="001E1E74"/>
    <w:rsid w:val="001E224B"/>
    <w:rsid w:val="001E25A2"/>
    <w:rsid w:val="001E26BC"/>
    <w:rsid w:val="001E2741"/>
    <w:rsid w:val="001E28CF"/>
    <w:rsid w:val="001E291B"/>
    <w:rsid w:val="001E293A"/>
    <w:rsid w:val="001E2A62"/>
    <w:rsid w:val="001E2ADE"/>
    <w:rsid w:val="001E2AE5"/>
    <w:rsid w:val="001E2BFF"/>
    <w:rsid w:val="001E2C0C"/>
    <w:rsid w:val="001E2C8E"/>
    <w:rsid w:val="001E2CC2"/>
    <w:rsid w:val="001E2E12"/>
    <w:rsid w:val="001E2FC3"/>
    <w:rsid w:val="001E3003"/>
    <w:rsid w:val="001E321E"/>
    <w:rsid w:val="001E33DD"/>
    <w:rsid w:val="001E3496"/>
    <w:rsid w:val="001E3518"/>
    <w:rsid w:val="001E3E07"/>
    <w:rsid w:val="001E3E25"/>
    <w:rsid w:val="001E3E7B"/>
    <w:rsid w:val="001E405F"/>
    <w:rsid w:val="001E4126"/>
    <w:rsid w:val="001E4553"/>
    <w:rsid w:val="001E487E"/>
    <w:rsid w:val="001E4CD4"/>
    <w:rsid w:val="001E4DAE"/>
    <w:rsid w:val="001E5092"/>
    <w:rsid w:val="001E51B8"/>
    <w:rsid w:val="001E5409"/>
    <w:rsid w:val="001E5556"/>
    <w:rsid w:val="001E596C"/>
    <w:rsid w:val="001E5AE6"/>
    <w:rsid w:val="001E5B20"/>
    <w:rsid w:val="001E5B66"/>
    <w:rsid w:val="001E5B68"/>
    <w:rsid w:val="001E5FA9"/>
    <w:rsid w:val="001E611D"/>
    <w:rsid w:val="001E6201"/>
    <w:rsid w:val="001E62F5"/>
    <w:rsid w:val="001E64AF"/>
    <w:rsid w:val="001E67FB"/>
    <w:rsid w:val="001E69BE"/>
    <w:rsid w:val="001E6A01"/>
    <w:rsid w:val="001E6B63"/>
    <w:rsid w:val="001E6D32"/>
    <w:rsid w:val="001E6E0C"/>
    <w:rsid w:val="001E6ECD"/>
    <w:rsid w:val="001E6F4A"/>
    <w:rsid w:val="001E6F5D"/>
    <w:rsid w:val="001E707A"/>
    <w:rsid w:val="001E70C4"/>
    <w:rsid w:val="001E7122"/>
    <w:rsid w:val="001E71BE"/>
    <w:rsid w:val="001E71FA"/>
    <w:rsid w:val="001E7717"/>
    <w:rsid w:val="001E77BF"/>
    <w:rsid w:val="001E798D"/>
    <w:rsid w:val="001E7A1F"/>
    <w:rsid w:val="001E7DE1"/>
    <w:rsid w:val="001F0582"/>
    <w:rsid w:val="001F06EB"/>
    <w:rsid w:val="001F08BE"/>
    <w:rsid w:val="001F0988"/>
    <w:rsid w:val="001F09FF"/>
    <w:rsid w:val="001F0C20"/>
    <w:rsid w:val="001F0C2B"/>
    <w:rsid w:val="001F0CB7"/>
    <w:rsid w:val="001F0D2D"/>
    <w:rsid w:val="001F107C"/>
    <w:rsid w:val="001F11EC"/>
    <w:rsid w:val="001F181B"/>
    <w:rsid w:val="001F184C"/>
    <w:rsid w:val="001F185C"/>
    <w:rsid w:val="001F1985"/>
    <w:rsid w:val="001F1A0E"/>
    <w:rsid w:val="001F1BA1"/>
    <w:rsid w:val="001F1CDF"/>
    <w:rsid w:val="001F1CF2"/>
    <w:rsid w:val="001F1DA2"/>
    <w:rsid w:val="001F2096"/>
    <w:rsid w:val="001F21C5"/>
    <w:rsid w:val="001F2214"/>
    <w:rsid w:val="001F23EC"/>
    <w:rsid w:val="001F2699"/>
    <w:rsid w:val="001F2819"/>
    <w:rsid w:val="001F2B13"/>
    <w:rsid w:val="001F2CAB"/>
    <w:rsid w:val="001F2CB3"/>
    <w:rsid w:val="001F2DC2"/>
    <w:rsid w:val="001F2EDA"/>
    <w:rsid w:val="001F3060"/>
    <w:rsid w:val="001F3366"/>
    <w:rsid w:val="001F346D"/>
    <w:rsid w:val="001F386E"/>
    <w:rsid w:val="001F38EB"/>
    <w:rsid w:val="001F3ACD"/>
    <w:rsid w:val="001F3C07"/>
    <w:rsid w:val="001F3DA3"/>
    <w:rsid w:val="001F43A7"/>
    <w:rsid w:val="001F4C69"/>
    <w:rsid w:val="001F4D54"/>
    <w:rsid w:val="001F4E07"/>
    <w:rsid w:val="001F4E34"/>
    <w:rsid w:val="001F4E3B"/>
    <w:rsid w:val="001F521A"/>
    <w:rsid w:val="001F52CA"/>
    <w:rsid w:val="001F53A6"/>
    <w:rsid w:val="001F54B3"/>
    <w:rsid w:val="001F5B34"/>
    <w:rsid w:val="001F5BA6"/>
    <w:rsid w:val="001F5D09"/>
    <w:rsid w:val="001F609E"/>
    <w:rsid w:val="001F6475"/>
    <w:rsid w:val="001F65C6"/>
    <w:rsid w:val="001F65F4"/>
    <w:rsid w:val="001F670B"/>
    <w:rsid w:val="001F680A"/>
    <w:rsid w:val="001F6939"/>
    <w:rsid w:val="001F6B79"/>
    <w:rsid w:val="001F71C6"/>
    <w:rsid w:val="001F721F"/>
    <w:rsid w:val="001F734D"/>
    <w:rsid w:val="001F76D2"/>
    <w:rsid w:val="001F77F8"/>
    <w:rsid w:val="001F7A3B"/>
    <w:rsid w:val="001F7A6B"/>
    <w:rsid w:val="001F7B23"/>
    <w:rsid w:val="001F7B8F"/>
    <w:rsid w:val="001F7B98"/>
    <w:rsid w:val="001F7E03"/>
    <w:rsid w:val="001F7F0D"/>
    <w:rsid w:val="0020001B"/>
    <w:rsid w:val="0020005D"/>
    <w:rsid w:val="002000E1"/>
    <w:rsid w:val="00200206"/>
    <w:rsid w:val="00200560"/>
    <w:rsid w:val="002005DF"/>
    <w:rsid w:val="00200669"/>
    <w:rsid w:val="00200914"/>
    <w:rsid w:val="0020094C"/>
    <w:rsid w:val="00200B9D"/>
    <w:rsid w:val="00200E14"/>
    <w:rsid w:val="00200FE2"/>
    <w:rsid w:val="00201057"/>
    <w:rsid w:val="0020107B"/>
    <w:rsid w:val="002010C7"/>
    <w:rsid w:val="00201295"/>
    <w:rsid w:val="00201604"/>
    <w:rsid w:val="002016F8"/>
    <w:rsid w:val="00201915"/>
    <w:rsid w:val="00201A46"/>
    <w:rsid w:val="00201B55"/>
    <w:rsid w:val="00201E99"/>
    <w:rsid w:val="00201FEB"/>
    <w:rsid w:val="00202020"/>
    <w:rsid w:val="0020218B"/>
    <w:rsid w:val="0020248B"/>
    <w:rsid w:val="00202572"/>
    <w:rsid w:val="002025C7"/>
    <w:rsid w:val="002027BC"/>
    <w:rsid w:val="0020282E"/>
    <w:rsid w:val="002029EE"/>
    <w:rsid w:val="00202A9E"/>
    <w:rsid w:val="00202AA5"/>
    <w:rsid w:val="00202C51"/>
    <w:rsid w:val="00202CAC"/>
    <w:rsid w:val="00202D72"/>
    <w:rsid w:val="00202F9C"/>
    <w:rsid w:val="00203005"/>
    <w:rsid w:val="0020300A"/>
    <w:rsid w:val="002030D5"/>
    <w:rsid w:val="0020311F"/>
    <w:rsid w:val="0020332C"/>
    <w:rsid w:val="0020343C"/>
    <w:rsid w:val="002034F1"/>
    <w:rsid w:val="00203859"/>
    <w:rsid w:val="00203901"/>
    <w:rsid w:val="00203A71"/>
    <w:rsid w:val="00203CED"/>
    <w:rsid w:val="00203DDC"/>
    <w:rsid w:val="00203E68"/>
    <w:rsid w:val="002043B5"/>
    <w:rsid w:val="002043EC"/>
    <w:rsid w:val="00204434"/>
    <w:rsid w:val="002045FA"/>
    <w:rsid w:val="00204D67"/>
    <w:rsid w:val="00205198"/>
    <w:rsid w:val="002051D0"/>
    <w:rsid w:val="0020526A"/>
    <w:rsid w:val="002052F6"/>
    <w:rsid w:val="00205522"/>
    <w:rsid w:val="00205A12"/>
    <w:rsid w:val="00205D82"/>
    <w:rsid w:val="00205E53"/>
    <w:rsid w:val="00205EF2"/>
    <w:rsid w:val="00206111"/>
    <w:rsid w:val="0020618E"/>
    <w:rsid w:val="00206350"/>
    <w:rsid w:val="002063EB"/>
    <w:rsid w:val="002066E1"/>
    <w:rsid w:val="00206915"/>
    <w:rsid w:val="002069BC"/>
    <w:rsid w:val="00206AB3"/>
    <w:rsid w:val="00206B50"/>
    <w:rsid w:val="00206C53"/>
    <w:rsid w:val="00206F47"/>
    <w:rsid w:val="002074F0"/>
    <w:rsid w:val="00207565"/>
    <w:rsid w:val="00207822"/>
    <w:rsid w:val="00207A6B"/>
    <w:rsid w:val="00207F6A"/>
    <w:rsid w:val="002102AA"/>
    <w:rsid w:val="00210419"/>
    <w:rsid w:val="0021043F"/>
    <w:rsid w:val="002106F0"/>
    <w:rsid w:val="002107BA"/>
    <w:rsid w:val="0021097A"/>
    <w:rsid w:val="00210A7D"/>
    <w:rsid w:val="00210AC1"/>
    <w:rsid w:val="00210BF7"/>
    <w:rsid w:val="00210F65"/>
    <w:rsid w:val="00211213"/>
    <w:rsid w:val="002113C4"/>
    <w:rsid w:val="0021159C"/>
    <w:rsid w:val="002116A6"/>
    <w:rsid w:val="00211848"/>
    <w:rsid w:val="00211C26"/>
    <w:rsid w:val="00211C4C"/>
    <w:rsid w:val="00211E73"/>
    <w:rsid w:val="00211FC1"/>
    <w:rsid w:val="0021205A"/>
    <w:rsid w:val="0021207C"/>
    <w:rsid w:val="002120C7"/>
    <w:rsid w:val="00212336"/>
    <w:rsid w:val="002123D2"/>
    <w:rsid w:val="002126A8"/>
    <w:rsid w:val="002126D5"/>
    <w:rsid w:val="0021281F"/>
    <w:rsid w:val="0021289F"/>
    <w:rsid w:val="00212C12"/>
    <w:rsid w:val="00212CF9"/>
    <w:rsid w:val="00212F12"/>
    <w:rsid w:val="00212F1A"/>
    <w:rsid w:val="00213044"/>
    <w:rsid w:val="0021310A"/>
    <w:rsid w:val="00213145"/>
    <w:rsid w:val="002131A2"/>
    <w:rsid w:val="002131BE"/>
    <w:rsid w:val="00213400"/>
    <w:rsid w:val="002136C1"/>
    <w:rsid w:val="00213810"/>
    <w:rsid w:val="00213A7C"/>
    <w:rsid w:val="00213C49"/>
    <w:rsid w:val="00213C9C"/>
    <w:rsid w:val="002141DE"/>
    <w:rsid w:val="002142B7"/>
    <w:rsid w:val="0021434E"/>
    <w:rsid w:val="002145AB"/>
    <w:rsid w:val="00214915"/>
    <w:rsid w:val="00214A22"/>
    <w:rsid w:val="00214A47"/>
    <w:rsid w:val="00214FAA"/>
    <w:rsid w:val="0021521B"/>
    <w:rsid w:val="00215402"/>
    <w:rsid w:val="002155BA"/>
    <w:rsid w:val="00215617"/>
    <w:rsid w:val="0021567E"/>
    <w:rsid w:val="0021597D"/>
    <w:rsid w:val="00215B7F"/>
    <w:rsid w:val="00215C3C"/>
    <w:rsid w:val="00215EBF"/>
    <w:rsid w:val="00216154"/>
    <w:rsid w:val="00216172"/>
    <w:rsid w:val="0021622A"/>
    <w:rsid w:val="00216363"/>
    <w:rsid w:val="00216509"/>
    <w:rsid w:val="00216B58"/>
    <w:rsid w:val="00216F53"/>
    <w:rsid w:val="00216F80"/>
    <w:rsid w:val="00217150"/>
    <w:rsid w:val="00217190"/>
    <w:rsid w:val="00217420"/>
    <w:rsid w:val="002174EF"/>
    <w:rsid w:val="002177E8"/>
    <w:rsid w:val="00217D9C"/>
    <w:rsid w:val="00217EC5"/>
    <w:rsid w:val="00217F45"/>
    <w:rsid w:val="00217F50"/>
    <w:rsid w:val="00220292"/>
    <w:rsid w:val="0022045F"/>
    <w:rsid w:val="0022064D"/>
    <w:rsid w:val="00220683"/>
    <w:rsid w:val="00220735"/>
    <w:rsid w:val="002207D7"/>
    <w:rsid w:val="00220893"/>
    <w:rsid w:val="002208D4"/>
    <w:rsid w:val="00220CBA"/>
    <w:rsid w:val="00220E57"/>
    <w:rsid w:val="002210AD"/>
    <w:rsid w:val="002211E7"/>
    <w:rsid w:val="00221390"/>
    <w:rsid w:val="00221498"/>
    <w:rsid w:val="00221769"/>
    <w:rsid w:val="0022176C"/>
    <w:rsid w:val="00221951"/>
    <w:rsid w:val="00221B7A"/>
    <w:rsid w:val="00221B8E"/>
    <w:rsid w:val="00221E2B"/>
    <w:rsid w:val="0022214F"/>
    <w:rsid w:val="0022242C"/>
    <w:rsid w:val="00222594"/>
    <w:rsid w:val="00222D5A"/>
    <w:rsid w:val="00222E33"/>
    <w:rsid w:val="00222ED0"/>
    <w:rsid w:val="0022306A"/>
    <w:rsid w:val="00223656"/>
    <w:rsid w:val="0022380A"/>
    <w:rsid w:val="00223917"/>
    <w:rsid w:val="002239CF"/>
    <w:rsid w:val="00223D05"/>
    <w:rsid w:val="00223D60"/>
    <w:rsid w:val="00223E86"/>
    <w:rsid w:val="00223F9E"/>
    <w:rsid w:val="0022416C"/>
    <w:rsid w:val="002241C2"/>
    <w:rsid w:val="002243A1"/>
    <w:rsid w:val="002243D0"/>
    <w:rsid w:val="00224404"/>
    <w:rsid w:val="00224A15"/>
    <w:rsid w:val="00224F45"/>
    <w:rsid w:val="00225126"/>
    <w:rsid w:val="0022519E"/>
    <w:rsid w:val="00225457"/>
    <w:rsid w:val="002257C0"/>
    <w:rsid w:val="00225973"/>
    <w:rsid w:val="00225A19"/>
    <w:rsid w:val="00225B5A"/>
    <w:rsid w:val="00225C7A"/>
    <w:rsid w:val="00225CD4"/>
    <w:rsid w:val="00225D77"/>
    <w:rsid w:val="00225F42"/>
    <w:rsid w:val="00225FE6"/>
    <w:rsid w:val="00226012"/>
    <w:rsid w:val="00226526"/>
    <w:rsid w:val="0022677E"/>
    <w:rsid w:val="002267B8"/>
    <w:rsid w:val="00226838"/>
    <w:rsid w:val="00226A6D"/>
    <w:rsid w:val="00226A7E"/>
    <w:rsid w:val="00226AA0"/>
    <w:rsid w:val="00226BDD"/>
    <w:rsid w:val="00226C29"/>
    <w:rsid w:val="00226C62"/>
    <w:rsid w:val="00226DC6"/>
    <w:rsid w:val="00227045"/>
    <w:rsid w:val="0022748C"/>
    <w:rsid w:val="0022778F"/>
    <w:rsid w:val="002278B1"/>
    <w:rsid w:val="002278BB"/>
    <w:rsid w:val="00227A28"/>
    <w:rsid w:val="00227B0E"/>
    <w:rsid w:val="00227D89"/>
    <w:rsid w:val="00227E24"/>
    <w:rsid w:val="00227EA2"/>
    <w:rsid w:val="0023026C"/>
    <w:rsid w:val="0023050A"/>
    <w:rsid w:val="002307CB"/>
    <w:rsid w:val="0023087F"/>
    <w:rsid w:val="0023089F"/>
    <w:rsid w:val="002308E2"/>
    <w:rsid w:val="0023095D"/>
    <w:rsid w:val="00230BA5"/>
    <w:rsid w:val="00231221"/>
    <w:rsid w:val="00231305"/>
    <w:rsid w:val="0023134B"/>
    <w:rsid w:val="002313D3"/>
    <w:rsid w:val="00231828"/>
    <w:rsid w:val="00231B98"/>
    <w:rsid w:val="002320B8"/>
    <w:rsid w:val="00232285"/>
    <w:rsid w:val="00232482"/>
    <w:rsid w:val="002324B7"/>
    <w:rsid w:val="0023286A"/>
    <w:rsid w:val="00232E69"/>
    <w:rsid w:val="00232F0D"/>
    <w:rsid w:val="00232F20"/>
    <w:rsid w:val="0023324D"/>
    <w:rsid w:val="00233449"/>
    <w:rsid w:val="0023368A"/>
    <w:rsid w:val="002338FB"/>
    <w:rsid w:val="00233997"/>
    <w:rsid w:val="00233C73"/>
    <w:rsid w:val="00234293"/>
    <w:rsid w:val="00234699"/>
    <w:rsid w:val="00234803"/>
    <w:rsid w:val="0023483D"/>
    <w:rsid w:val="00234A06"/>
    <w:rsid w:val="00234ABD"/>
    <w:rsid w:val="00234CF1"/>
    <w:rsid w:val="00234DE7"/>
    <w:rsid w:val="0023507D"/>
    <w:rsid w:val="00235149"/>
    <w:rsid w:val="002354D0"/>
    <w:rsid w:val="0023567B"/>
    <w:rsid w:val="0023575A"/>
    <w:rsid w:val="0023586C"/>
    <w:rsid w:val="00235BDD"/>
    <w:rsid w:val="00235DFF"/>
    <w:rsid w:val="0023606B"/>
    <w:rsid w:val="00236633"/>
    <w:rsid w:val="00236ADA"/>
    <w:rsid w:val="00236B9C"/>
    <w:rsid w:val="00236CAA"/>
    <w:rsid w:val="00236CCD"/>
    <w:rsid w:val="00236DD9"/>
    <w:rsid w:val="00236E1E"/>
    <w:rsid w:val="0023714E"/>
    <w:rsid w:val="00237296"/>
    <w:rsid w:val="002375FA"/>
    <w:rsid w:val="0023779B"/>
    <w:rsid w:val="00237B1B"/>
    <w:rsid w:val="0024012B"/>
    <w:rsid w:val="0024016C"/>
    <w:rsid w:val="002401AE"/>
    <w:rsid w:val="0024047B"/>
    <w:rsid w:val="0024049C"/>
    <w:rsid w:val="00240515"/>
    <w:rsid w:val="002405CA"/>
    <w:rsid w:val="002407CC"/>
    <w:rsid w:val="0024086B"/>
    <w:rsid w:val="00240935"/>
    <w:rsid w:val="002409A9"/>
    <w:rsid w:val="00240A5C"/>
    <w:rsid w:val="00240C28"/>
    <w:rsid w:val="00240D0B"/>
    <w:rsid w:val="00240DE7"/>
    <w:rsid w:val="00240F95"/>
    <w:rsid w:val="00240FF5"/>
    <w:rsid w:val="002413FE"/>
    <w:rsid w:val="00241819"/>
    <w:rsid w:val="0024187A"/>
    <w:rsid w:val="0024190D"/>
    <w:rsid w:val="00241F2D"/>
    <w:rsid w:val="002422E0"/>
    <w:rsid w:val="00242419"/>
    <w:rsid w:val="00242439"/>
    <w:rsid w:val="002424D7"/>
    <w:rsid w:val="0024258D"/>
    <w:rsid w:val="00242697"/>
    <w:rsid w:val="002426EB"/>
    <w:rsid w:val="00242716"/>
    <w:rsid w:val="00242919"/>
    <w:rsid w:val="002429C4"/>
    <w:rsid w:val="00242A69"/>
    <w:rsid w:val="00242E81"/>
    <w:rsid w:val="00242E91"/>
    <w:rsid w:val="00242EA3"/>
    <w:rsid w:val="00242F0D"/>
    <w:rsid w:val="0024316E"/>
    <w:rsid w:val="002432EC"/>
    <w:rsid w:val="002434B2"/>
    <w:rsid w:val="0024360C"/>
    <w:rsid w:val="00243728"/>
    <w:rsid w:val="00243B07"/>
    <w:rsid w:val="00243CB2"/>
    <w:rsid w:val="00243DC0"/>
    <w:rsid w:val="002440C1"/>
    <w:rsid w:val="002440CF"/>
    <w:rsid w:val="00244169"/>
    <w:rsid w:val="00244263"/>
    <w:rsid w:val="002442CE"/>
    <w:rsid w:val="00244616"/>
    <w:rsid w:val="0024470F"/>
    <w:rsid w:val="00244BF1"/>
    <w:rsid w:val="00244C4A"/>
    <w:rsid w:val="00244DC9"/>
    <w:rsid w:val="00245241"/>
    <w:rsid w:val="00245397"/>
    <w:rsid w:val="002453CE"/>
    <w:rsid w:val="00245542"/>
    <w:rsid w:val="002455D0"/>
    <w:rsid w:val="00245646"/>
    <w:rsid w:val="0024594B"/>
    <w:rsid w:val="00245993"/>
    <w:rsid w:val="002459E1"/>
    <w:rsid w:val="00245B00"/>
    <w:rsid w:val="00245B13"/>
    <w:rsid w:val="00245C2B"/>
    <w:rsid w:val="00245C5F"/>
    <w:rsid w:val="00245F9D"/>
    <w:rsid w:val="00245FED"/>
    <w:rsid w:val="002461E0"/>
    <w:rsid w:val="002461E8"/>
    <w:rsid w:val="00246212"/>
    <w:rsid w:val="002466CE"/>
    <w:rsid w:val="00246737"/>
    <w:rsid w:val="0024682B"/>
    <w:rsid w:val="00246880"/>
    <w:rsid w:val="00246905"/>
    <w:rsid w:val="00246B15"/>
    <w:rsid w:val="00246B20"/>
    <w:rsid w:val="00246B77"/>
    <w:rsid w:val="00246D86"/>
    <w:rsid w:val="00246ECA"/>
    <w:rsid w:val="00247121"/>
    <w:rsid w:val="002471FF"/>
    <w:rsid w:val="00247477"/>
    <w:rsid w:val="002475BA"/>
    <w:rsid w:val="002475BE"/>
    <w:rsid w:val="00247B72"/>
    <w:rsid w:val="00250001"/>
    <w:rsid w:val="00250024"/>
    <w:rsid w:val="00250040"/>
    <w:rsid w:val="00250060"/>
    <w:rsid w:val="0025022C"/>
    <w:rsid w:val="0025028B"/>
    <w:rsid w:val="002505E4"/>
    <w:rsid w:val="00250701"/>
    <w:rsid w:val="002507E3"/>
    <w:rsid w:val="00250A8F"/>
    <w:rsid w:val="00250B8E"/>
    <w:rsid w:val="002510B7"/>
    <w:rsid w:val="00251237"/>
    <w:rsid w:val="00251303"/>
    <w:rsid w:val="0025147A"/>
    <w:rsid w:val="0025155C"/>
    <w:rsid w:val="00251923"/>
    <w:rsid w:val="00251946"/>
    <w:rsid w:val="00251B6B"/>
    <w:rsid w:val="00251D02"/>
    <w:rsid w:val="00251E6D"/>
    <w:rsid w:val="002520D8"/>
    <w:rsid w:val="00252230"/>
    <w:rsid w:val="002524E3"/>
    <w:rsid w:val="00252611"/>
    <w:rsid w:val="00252663"/>
    <w:rsid w:val="002526AF"/>
    <w:rsid w:val="00252813"/>
    <w:rsid w:val="00252C73"/>
    <w:rsid w:val="00252EFF"/>
    <w:rsid w:val="00252F48"/>
    <w:rsid w:val="00253216"/>
    <w:rsid w:val="0025366F"/>
    <w:rsid w:val="00253764"/>
    <w:rsid w:val="00253919"/>
    <w:rsid w:val="00253D90"/>
    <w:rsid w:val="00253FE6"/>
    <w:rsid w:val="0025408E"/>
    <w:rsid w:val="002540BA"/>
    <w:rsid w:val="002540C6"/>
    <w:rsid w:val="002540CA"/>
    <w:rsid w:val="00254144"/>
    <w:rsid w:val="00254229"/>
    <w:rsid w:val="002542C4"/>
    <w:rsid w:val="00254680"/>
    <w:rsid w:val="0025469B"/>
    <w:rsid w:val="00254947"/>
    <w:rsid w:val="00254998"/>
    <w:rsid w:val="00254B4F"/>
    <w:rsid w:val="00254C37"/>
    <w:rsid w:val="00254D0F"/>
    <w:rsid w:val="00254E1A"/>
    <w:rsid w:val="00254E41"/>
    <w:rsid w:val="00254E42"/>
    <w:rsid w:val="00254E57"/>
    <w:rsid w:val="00254F96"/>
    <w:rsid w:val="00255362"/>
    <w:rsid w:val="00255860"/>
    <w:rsid w:val="0025597C"/>
    <w:rsid w:val="00255A2B"/>
    <w:rsid w:val="00255A65"/>
    <w:rsid w:val="00255A9F"/>
    <w:rsid w:val="00255B00"/>
    <w:rsid w:val="00255BF7"/>
    <w:rsid w:val="0025605B"/>
    <w:rsid w:val="002563B2"/>
    <w:rsid w:val="00256407"/>
    <w:rsid w:val="002565CC"/>
    <w:rsid w:val="002566F7"/>
    <w:rsid w:val="00256A9D"/>
    <w:rsid w:val="00256B14"/>
    <w:rsid w:val="00256B7C"/>
    <w:rsid w:val="0025704F"/>
    <w:rsid w:val="002571CA"/>
    <w:rsid w:val="00257202"/>
    <w:rsid w:val="00257288"/>
    <w:rsid w:val="0025730A"/>
    <w:rsid w:val="00257421"/>
    <w:rsid w:val="002575D3"/>
    <w:rsid w:val="00257708"/>
    <w:rsid w:val="0025770A"/>
    <w:rsid w:val="00257A5C"/>
    <w:rsid w:val="00257D51"/>
    <w:rsid w:val="00257D90"/>
    <w:rsid w:val="002600C2"/>
    <w:rsid w:val="00260186"/>
    <w:rsid w:val="0026019E"/>
    <w:rsid w:val="002601E1"/>
    <w:rsid w:val="00260205"/>
    <w:rsid w:val="00260303"/>
    <w:rsid w:val="00260401"/>
    <w:rsid w:val="0026046D"/>
    <w:rsid w:val="002604DD"/>
    <w:rsid w:val="00260506"/>
    <w:rsid w:val="00260678"/>
    <w:rsid w:val="002606FF"/>
    <w:rsid w:val="00260854"/>
    <w:rsid w:val="002608EB"/>
    <w:rsid w:val="00260D1D"/>
    <w:rsid w:val="00260DCA"/>
    <w:rsid w:val="002610E2"/>
    <w:rsid w:val="002610FF"/>
    <w:rsid w:val="002612F3"/>
    <w:rsid w:val="002613CD"/>
    <w:rsid w:val="0026143C"/>
    <w:rsid w:val="0026148B"/>
    <w:rsid w:val="00261735"/>
    <w:rsid w:val="002617BA"/>
    <w:rsid w:val="00261805"/>
    <w:rsid w:val="002619E2"/>
    <w:rsid w:val="00261AB8"/>
    <w:rsid w:val="00261D01"/>
    <w:rsid w:val="00261DE6"/>
    <w:rsid w:val="00261FFF"/>
    <w:rsid w:val="0026232A"/>
    <w:rsid w:val="002623CF"/>
    <w:rsid w:val="00262418"/>
    <w:rsid w:val="00262431"/>
    <w:rsid w:val="00262680"/>
    <w:rsid w:val="00262A99"/>
    <w:rsid w:val="00262C52"/>
    <w:rsid w:val="00262E7A"/>
    <w:rsid w:val="0026340F"/>
    <w:rsid w:val="002637C9"/>
    <w:rsid w:val="00263BCF"/>
    <w:rsid w:val="00263D8D"/>
    <w:rsid w:val="00263EC8"/>
    <w:rsid w:val="00263EFB"/>
    <w:rsid w:val="0026402F"/>
    <w:rsid w:val="00264087"/>
    <w:rsid w:val="002640F2"/>
    <w:rsid w:val="002641DD"/>
    <w:rsid w:val="002642FE"/>
    <w:rsid w:val="00264502"/>
    <w:rsid w:val="00264511"/>
    <w:rsid w:val="00264555"/>
    <w:rsid w:val="0026471B"/>
    <w:rsid w:val="002649FC"/>
    <w:rsid w:val="00264A46"/>
    <w:rsid w:val="00264CA4"/>
    <w:rsid w:val="00264F51"/>
    <w:rsid w:val="002650EF"/>
    <w:rsid w:val="00265154"/>
    <w:rsid w:val="002651D8"/>
    <w:rsid w:val="00265250"/>
    <w:rsid w:val="002654F2"/>
    <w:rsid w:val="00265509"/>
    <w:rsid w:val="00265869"/>
    <w:rsid w:val="002658E6"/>
    <w:rsid w:val="002659D0"/>
    <w:rsid w:val="00265BE3"/>
    <w:rsid w:val="00265C81"/>
    <w:rsid w:val="00265F82"/>
    <w:rsid w:val="00265FC0"/>
    <w:rsid w:val="00266039"/>
    <w:rsid w:val="002660EC"/>
    <w:rsid w:val="00266240"/>
    <w:rsid w:val="0026626B"/>
    <w:rsid w:val="002662E1"/>
    <w:rsid w:val="00266492"/>
    <w:rsid w:val="00266699"/>
    <w:rsid w:val="002666E2"/>
    <w:rsid w:val="00266913"/>
    <w:rsid w:val="00266DBA"/>
    <w:rsid w:val="00266E74"/>
    <w:rsid w:val="00266EB3"/>
    <w:rsid w:val="00266F94"/>
    <w:rsid w:val="00267159"/>
    <w:rsid w:val="0026722B"/>
    <w:rsid w:val="00267284"/>
    <w:rsid w:val="002672E3"/>
    <w:rsid w:val="002672FE"/>
    <w:rsid w:val="0026772B"/>
    <w:rsid w:val="00267851"/>
    <w:rsid w:val="00267A8C"/>
    <w:rsid w:val="00267B6C"/>
    <w:rsid w:val="00267C24"/>
    <w:rsid w:val="00267D2B"/>
    <w:rsid w:val="00267FE6"/>
    <w:rsid w:val="002700D4"/>
    <w:rsid w:val="00270119"/>
    <w:rsid w:val="00270185"/>
    <w:rsid w:val="00270440"/>
    <w:rsid w:val="00270C4A"/>
    <w:rsid w:val="00270DB9"/>
    <w:rsid w:val="00270FAE"/>
    <w:rsid w:val="00271184"/>
    <w:rsid w:val="00271203"/>
    <w:rsid w:val="00271545"/>
    <w:rsid w:val="002715C2"/>
    <w:rsid w:val="002719D8"/>
    <w:rsid w:val="00271B02"/>
    <w:rsid w:val="00271C0F"/>
    <w:rsid w:val="00271CDA"/>
    <w:rsid w:val="00271D05"/>
    <w:rsid w:val="00271DBA"/>
    <w:rsid w:val="00271E54"/>
    <w:rsid w:val="00271E57"/>
    <w:rsid w:val="002720C1"/>
    <w:rsid w:val="002720D8"/>
    <w:rsid w:val="002722C1"/>
    <w:rsid w:val="0027240A"/>
    <w:rsid w:val="002724FA"/>
    <w:rsid w:val="0027253A"/>
    <w:rsid w:val="0027272F"/>
    <w:rsid w:val="00272734"/>
    <w:rsid w:val="0027281F"/>
    <w:rsid w:val="00272D4E"/>
    <w:rsid w:val="00272E45"/>
    <w:rsid w:val="00272EB3"/>
    <w:rsid w:val="00272F15"/>
    <w:rsid w:val="0027328F"/>
    <w:rsid w:val="00273527"/>
    <w:rsid w:val="002736B9"/>
    <w:rsid w:val="0027391A"/>
    <w:rsid w:val="002739BB"/>
    <w:rsid w:val="00273B75"/>
    <w:rsid w:val="00273FC9"/>
    <w:rsid w:val="00274312"/>
    <w:rsid w:val="0027436B"/>
    <w:rsid w:val="002745FB"/>
    <w:rsid w:val="00274748"/>
    <w:rsid w:val="00274759"/>
    <w:rsid w:val="002747E9"/>
    <w:rsid w:val="002747F4"/>
    <w:rsid w:val="00274CDC"/>
    <w:rsid w:val="00274D51"/>
    <w:rsid w:val="00274E93"/>
    <w:rsid w:val="00274F38"/>
    <w:rsid w:val="0027512A"/>
    <w:rsid w:val="0027514B"/>
    <w:rsid w:val="00275176"/>
    <w:rsid w:val="002752E8"/>
    <w:rsid w:val="00275458"/>
    <w:rsid w:val="00275677"/>
    <w:rsid w:val="00275920"/>
    <w:rsid w:val="002759A7"/>
    <w:rsid w:val="002759BC"/>
    <w:rsid w:val="002760C4"/>
    <w:rsid w:val="002761F2"/>
    <w:rsid w:val="002767D0"/>
    <w:rsid w:val="00276AFE"/>
    <w:rsid w:val="00276CA7"/>
    <w:rsid w:val="00276F1F"/>
    <w:rsid w:val="002770D9"/>
    <w:rsid w:val="00277123"/>
    <w:rsid w:val="00277350"/>
    <w:rsid w:val="0027752F"/>
    <w:rsid w:val="00277A86"/>
    <w:rsid w:val="00277A99"/>
    <w:rsid w:val="00277B0C"/>
    <w:rsid w:val="00277D38"/>
    <w:rsid w:val="00277F37"/>
    <w:rsid w:val="002802E9"/>
    <w:rsid w:val="00280369"/>
    <w:rsid w:val="0028054F"/>
    <w:rsid w:val="00280B34"/>
    <w:rsid w:val="00280EC3"/>
    <w:rsid w:val="00281049"/>
    <w:rsid w:val="002811C6"/>
    <w:rsid w:val="0028122F"/>
    <w:rsid w:val="002812B6"/>
    <w:rsid w:val="002814A2"/>
    <w:rsid w:val="002815EE"/>
    <w:rsid w:val="0028163A"/>
    <w:rsid w:val="002817A7"/>
    <w:rsid w:val="002819C9"/>
    <w:rsid w:val="00281ACC"/>
    <w:rsid w:val="00281BDE"/>
    <w:rsid w:val="00281DA8"/>
    <w:rsid w:val="0028216A"/>
    <w:rsid w:val="002821EB"/>
    <w:rsid w:val="002822D6"/>
    <w:rsid w:val="00282317"/>
    <w:rsid w:val="00282624"/>
    <w:rsid w:val="00282C8A"/>
    <w:rsid w:val="00282DC8"/>
    <w:rsid w:val="00282F27"/>
    <w:rsid w:val="00282FD6"/>
    <w:rsid w:val="00282FFC"/>
    <w:rsid w:val="002831D9"/>
    <w:rsid w:val="00283355"/>
    <w:rsid w:val="002833F5"/>
    <w:rsid w:val="00283472"/>
    <w:rsid w:val="002834B9"/>
    <w:rsid w:val="0028376B"/>
    <w:rsid w:val="00283874"/>
    <w:rsid w:val="00283DB1"/>
    <w:rsid w:val="00283F98"/>
    <w:rsid w:val="002841D8"/>
    <w:rsid w:val="002848C5"/>
    <w:rsid w:val="00284A01"/>
    <w:rsid w:val="00284ADC"/>
    <w:rsid w:val="00284D8D"/>
    <w:rsid w:val="00284DCC"/>
    <w:rsid w:val="00284E1F"/>
    <w:rsid w:val="00284F56"/>
    <w:rsid w:val="00284F87"/>
    <w:rsid w:val="0028574D"/>
    <w:rsid w:val="00285763"/>
    <w:rsid w:val="0028594F"/>
    <w:rsid w:val="00285CAA"/>
    <w:rsid w:val="00285E65"/>
    <w:rsid w:val="00285F20"/>
    <w:rsid w:val="0028603E"/>
    <w:rsid w:val="002861B0"/>
    <w:rsid w:val="0028631A"/>
    <w:rsid w:val="00286603"/>
    <w:rsid w:val="00286774"/>
    <w:rsid w:val="00286807"/>
    <w:rsid w:val="0028687E"/>
    <w:rsid w:val="00286903"/>
    <w:rsid w:val="002869DD"/>
    <w:rsid w:val="00286AAE"/>
    <w:rsid w:val="00286AAF"/>
    <w:rsid w:val="00286B9C"/>
    <w:rsid w:val="00286E09"/>
    <w:rsid w:val="00286E7E"/>
    <w:rsid w:val="002870FE"/>
    <w:rsid w:val="00287183"/>
    <w:rsid w:val="002872C7"/>
    <w:rsid w:val="00287348"/>
    <w:rsid w:val="002875A9"/>
    <w:rsid w:val="002875AC"/>
    <w:rsid w:val="00287702"/>
    <w:rsid w:val="00287B8E"/>
    <w:rsid w:val="00287BC5"/>
    <w:rsid w:val="00287C9C"/>
    <w:rsid w:val="00287F11"/>
    <w:rsid w:val="00290263"/>
    <w:rsid w:val="00290289"/>
    <w:rsid w:val="00290359"/>
    <w:rsid w:val="00290500"/>
    <w:rsid w:val="002907D0"/>
    <w:rsid w:val="00290DA8"/>
    <w:rsid w:val="00290F30"/>
    <w:rsid w:val="002910E1"/>
    <w:rsid w:val="0029151D"/>
    <w:rsid w:val="002916E3"/>
    <w:rsid w:val="00291750"/>
    <w:rsid w:val="002917F1"/>
    <w:rsid w:val="00291810"/>
    <w:rsid w:val="00291864"/>
    <w:rsid w:val="0029194F"/>
    <w:rsid w:val="00291967"/>
    <w:rsid w:val="00291A6E"/>
    <w:rsid w:val="00291E8C"/>
    <w:rsid w:val="00291FDF"/>
    <w:rsid w:val="002920CB"/>
    <w:rsid w:val="00292290"/>
    <w:rsid w:val="00292340"/>
    <w:rsid w:val="002924A9"/>
    <w:rsid w:val="002924AC"/>
    <w:rsid w:val="00292512"/>
    <w:rsid w:val="0029256B"/>
    <w:rsid w:val="002927FD"/>
    <w:rsid w:val="002928E9"/>
    <w:rsid w:val="00292D7C"/>
    <w:rsid w:val="00292DA2"/>
    <w:rsid w:val="00292F74"/>
    <w:rsid w:val="00292FD1"/>
    <w:rsid w:val="00293075"/>
    <w:rsid w:val="00293259"/>
    <w:rsid w:val="002932C0"/>
    <w:rsid w:val="00293952"/>
    <w:rsid w:val="00293A5C"/>
    <w:rsid w:val="00293B12"/>
    <w:rsid w:val="00293DEE"/>
    <w:rsid w:val="00294040"/>
    <w:rsid w:val="00294101"/>
    <w:rsid w:val="00294424"/>
    <w:rsid w:val="002944DB"/>
    <w:rsid w:val="002945E4"/>
    <w:rsid w:val="00294920"/>
    <w:rsid w:val="00294CC4"/>
    <w:rsid w:val="00295268"/>
    <w:rsid w:val="0029546F"/>
    <w:rsid w:val="00295583"/>
    <w:rsid w:val="00295708"/>
    <w:rsid w:val="00295742"/>
    <w:rsid w:val="00295ADB"/>
    <w:rsid w:val="00295B2B"/>
    <w:rsid w:val="00296006"/>
    <w:rsid w:val="002962CE"/>
    <w:rsid w:val="0029647D"/>
    <w:rsid w:val="00296536"/>
    <w:rsid w:val="002965F9"/>
    <w:rsid w:val="0029680A"/>
    <w:rsid w:val="002969FF"/>
    <w:rsid w:val="00296CD6"/>
    <w:rsid w:val="00296F2D"/>
    <w:rsid w:val="002970F0"/>
    <w:rsid w:val="002971ED"/>
    <w:rsid w:val="0029745A"/>
    <w:rsid w:val="002974B3"/>
    <w:rsid w:val="00297690"/>
    <w:rsid w:val="00297837"/>
    <w:rsid w:val="002978F9"/>
    <w:rsid w:val="00297A9D"/>
    <w:rsid w:val="00297D19"/>
    <w:rsid w:val="002A006A"/>
    <w:rsid w:val="002A008D"/>
    <w:rsid w:val="002A01CF"/>
    <w:rsid w:val="002A0391"/>
    <w:rsid w:val="002A0491"/>
    <w:rsid w:val="002A04A1"/>
    <w:rsid w:val="002A0733"/>
    <w:rsid w:val="002A0926"/>
    <w:rsid w:val="002A0B5D"/>
    <w:rsid w:val="002A0EA2"/>
    <w:rsid w:val="002A0EE2"/>
    <w:rsid w:val="002A10E1"/>
    <w:rsid w:val="002A1285"/>
    <w:rsid w:val="002A1352"/>
    <w:rsid w:val="002A1A37"/>
    <w:rsid w:val="002A1CF4"/>
    <w:rsid w:val="002A1E7E"/>
    <w:rsid w:val="002A21AF"/>
    <w:rsid w:val="002A25AD"/>
    <w:rsid w:val="002A2778"/>
    <w:rsid w:val="002A288F"/>
    <w:rsid w:val="002A2A63"/>
    <w:rsid w:val="002A2CAD"/>
    <w:rsid w:val="002A2CBB"/>
    <w:rsid w:val="002A2EE7"/>
    <w:rsid w:val="002A3119"/>
    <w:rsid w:val="002A3156"/>
    <w:rsid w:val="002A35E7"/>
    <w:rsid w:val="002A3797"/>
    <w:rsid w:val="002A3A84"/>
    <w:rsid w:val="002A3EE0"/>
    <w:rsid w:val="002A450E"/>
    <w:rsid w:val="002A4571"/>
    <w:rsid w:val="002A4595"/>
    <w:rsid w:val="002A46D7"/>
    <w:rsid w:val="002A490D"/>
    <w:rsid w:val="002A497A"/>
    <w:rsid w:val="002A4BF3"/>
    <w:rsid w:val="002A4CCA"/>
    <w:rsid w:val="002A50F7"/>
    <w:rsid w:val="002A53EC"/>
    <w:rsid w:val="002A547A"/>
    <w:rsid w:val="002A548F"/>
    <w:rsid w:val="002A55D2"/>
    <w:rsid w:val="002A5923"/>
    <w:rsid w:val="002A5B13"/>
    <w:rsid w:val="002A5BBF"/>
    <w:rsid w:val="002A5CD1"/>
    <w:rsid w:val="002A5DDB"/>
    <w:rsid w:val="002A61C4"/>
    <w:rsid w:val="002A62CE"/>
    <w:rsid w:val="002A6457"/>
    <w:rsid w:val="002A646D"/>
    <w:rsid w:val="002A659B"/>
    <w:rsid w:val="002A6887"/>
    <w:rsid w:val="002A6912"/>
    <w:rsid w:val="002A73C6"/>
    <w:rsid w:val="002A74C4"/>
    <w:rsid w:val="002A75B8"/>
    <w:rsid w:val="002A7633"/>
    <w:rsid w:val="002A77A4"/>
    <w:rsid w:val="002A7B8E"/>
    <w:rsid w:val="002A7D00"/>
    <w:rsid w:val="002A7DDE"/>
    <w:rsid w:val="002A7EEB"/>
    <w:rsid w:val="002A7F31"/>
    <w:rsid w:val="002A7F94"/>
    <w:rsid w:val="002B026E"/>
    <w:rsid w:val="002B0421"/>
    <w:rsid w:val="002B045D"/>
    <w:rsid w:val="002B051D"/>
    <w:rsid w:val="002B0528"/>
    <w:rsid w:val="002B05F0"/>
    <w:rsid w:val="002B0786"/>
    <w:rsid w:val="002B08D1"/>
    <w:rsid w:val="002B0AFB"/>
    <w:rsid w:val="002B0BF0"/>
    <w:rsid w:val="002B0E03"/>
    <w:rsid w:val="002B0F02"/>
    <w:rsid w:val="002B1436"/>
    <w:rsid w:val="002B1757"/>
    <w:rsid w:val="002B1858"/>
    <w:rsid w:val="002B18C6"/>
    <w:rsid w:val="002B18EB"/>
    <w:rsid w:val="002B193C"/>
    <w:rsid w:val="002B1B9C"/>
    <w:rsid w:val="002B1D3D"/>
    <w:rsid w:val="002B1EE7"/>
    <w:rsid w:val="002B2008"/>
    <w:rsid w:val="002B2109"/>
    <w:rsid w:val="002B240E"/>
    <w:rsid w:val="002B2593"/>
    <w:rsid w:val="002B27CD"/>
    <w:rsid w:val="002B2F1B"/>
    <w:rsid w:val="002B2F55"/>
    <w:rsid w:val="002B3012"/>
    <w:rsid w:val="002B3165"/>
    <w:rsid w:val="002B323F"/>
    <w:rsid w:val="002B3433"/>
    <w:rsid w:val="002B355F"/>
    <w:rsid w:val="002B35CB"/>
    <w:rsid w:val="002B3901"/>
    <w:rsid w:val="002B3A99"/>
    <w:rsid w:val="002B3AA9"/>
    <w:rsid w:val="002B4006"/>
    <w:rsid w:val="002B4321"/>
    <w:rsid w:val="002B43D1"/>
    <w:rsid w:val="002B4470"/>
    <w:rsid w:val="002B451D"/>
    <w:rsid w:val="002B4715"/>
    <w:rsid w:val="002B48DF"/>
    <w:rsid w:val="002B49EC"/>
    <w:rsid w:val="002B4B52"/>
    <w:rsid w:val="002B4D51"/>
    <w:rsid w:val="002B4DAC"/>
    <w:rsid w:val="002B4DFF"/>
    <w:rsid w:val="002B5110"/>
    <w:rsid w:val="002B534B"/>
    <w:rsid w:val="002B5388"/>
    <w:rsid w:val="002B5512"/>
    <w:rsid w:val="002B55D5"/>
    <w:rsid w:val="002B5620"/>
    <w:rsid w:val="002B5883"/>
    <w:rsid w:val="002B58D1"/>
    <w:rsid w:val="002B5AB2"/>
    <w:rsid w:val="002B5C14"/>
    <w:rsid w:val="002B5C67"/>
    <w:rsid w:val="002B5EDC"/>
    <w:rsid w:val="002B5F9A"/>
    <w:rsid w:val="002B60FC"/>
    <w:rsid w:val="002B6316"/>
    <w:rsid w:val="002B632B"/>
    <w:rsid w:val="002B6352"/>
    <w:rsid w:val="002B69FB"/>
    <w:rsid w:val="002B6E13"/>
    <w:rsid w:val="002B70C9"/>
    <w:rsid w:val="002B71C6"/>
    <w:rsid w:val="002B7270"/>
    <w:rsid w:val="002B76CB"/>
    <w:rsid w:val="002B7714"/>
    <w:rsid w:val="002B78B0"/>
    <w:rsid w:val="002B79D8"/>
    <w:rsid w:val="002B7A09"/>
    <w:rsid w:val="002B7A21"/>
    <w:rsid w:val="002B7B31"/>
    <w:rsid w:val="002B7C24"/>
    <w:rsid w:val="002B7E4A"/>
    <w:rsid w:val="002B8AB0"/>
    <w:rsid w:val="002C00D9"/>
    <w:rsid w:val="002C014D"/>
    <w:rsid w:val="002C0254"/>
    <w:rsid w:val="002C03F3"/>
    <w:rsid w:val="002C0467"/>
    <w:rsid w:val="002C04CA"/>
    <w:rsid w:val="002C061C"/>
    <w:rsid w:val="002C073E"/>
    <w:rsid w:val="002C074A"/>
    <w:rsid w:val="002C0A48"/>
    <w:rsid w:val="002C0BD8"/>
    <w:rsid w:val="002C0DB4"/>
    <w:rsid w:val="002C0FE6"/>
    <w:rsid w:val="002C100F"/>
    <w:rsid w:val="002C10CB"/>
    <w:rsid w:val="002C113C"/>
    <w:rsid w:val="002C1162"/>
    <w:rsid w:val="002C132E"/>
    <w:rsid w:val="002C169C"/>
    <w:rsid w:val="002C17A2"/>
    <w:rsid w:val="002C17D9"/>
    <w:rsid w:val="002C1CD9"/>
    <w:rsid w:val="002C1ED2"/>
    <w:rsid w:val="002C1F10"/>
    <w:rsid w:val="002C2630"/>
    <w:rsid w:val="002C2857"/>
    <w:rsid w:val="002C2A80"/>
    <w:rsid w:val="002C2ED5"/>
    <w:rsid w:val="002C2EEB"/>
    <w:rsid w:val="002C3145"/>
    <w:rsid w:val="002C3264"/>
    <w:rsid w:val="002C3483"/>
    <w:rsid w:val="002C36FC"/>
    <w:rsid w:val="002C39E1"/>
    <w:rsid w:val="002C3BA9"/>
    <w:rsid w:val="002C3BD6"/>
    <w:rsid w:val="002C3E96"/>
    <w:rsid w:val="002C3F41"/>
    <w:rsid w:val="002C4427"/>
    <w:rsid w:val="002C447B"/>
    <w:rsid w:val="002C45AA"/>
    <w:rsid w:val="002C4892"/>
    <w:rsid w:val="002C48CB"/>
    <w:rsid w:val="002C48CD"/>
    <w:rsid w:val="002C48E9"/>
    <w:rsid w:val="002C49BC"/>
    <w:rsid w:val="002C4A41"/>
    <w:rsid w:val="002C4A50"/>
    <w:rsid w:val="002C4D33"/>
    <w:rsid w:val="002C4E76"/>
    <w:rsid w:val="002C51B9"/>
    <w:rsid w:val="002C534D"/>
    <w:rsid w:val="002C5421"/>
    <w:rsid w:val="002C5561"/>
    <w:rsid w:val="002C585D"/>
    <w:rsid w:val="002C5874"/>
    <w:rsid w:val="002C5A24"/>
    <w:rsid w:val="002C5A47"/>
    <w:rsid w:val="002C5B81"/>
    <w:rsid w:val="002C5C4C"/>
    <w:rsid w:val="002C5CB5"/>
    <w:rsid w:val="002C5D31"/>
    <w:rsid w:val="002C5D98"/>
    <w:rsid w:val="002C5E1C"/>
    <w:rsid w:val="002C5F27"/>
    <w:rsid w:val="002C5FB8"/>
    <w:rsid w:val="002C6410"/>
    <w:rsid w:val="002C64C7"/>
    <w:rsid w:val="002C65D1"/>
    <w:rsid w:val="002C65FF"/>
    <w:rsid w:val="002C6603"/>
    <w:rsid w:val="002C6614"/>
    <w:rsid w:val="002C67A2"/>
    <w:rsid w:val="002C680C"/>
    <w:rsid w:val="002C6878"/>
    <w:rsid w:val="002C69B8"/>
    <w:rsid w:val="002C6C2B"/>
    <w:rsid w:val="002C6E94"/>
    <w:rsid w:val="002C7035"/>
    <w:rsid w:val="002C724A"/>
    <w:rsid w:val="002C724D"/>
    <w:rsid w:val="002C78C6"/>
    <w:rsid w:val="002C7951"/>
    <w:rsid w:val="002C79D3"/>
    <w:rsid w:val="002C7B16"/>
    <w:rsid w:val="002C7BAC"/>
    <w:rsid w:val="002C7BFF"/>
    <w:rsid w:val="002C7E6E"/>
    <w:rsid w:val="002C7FE9"/>
    <w:rsid w:val="002D0006"/>
    <w:rsid w:val="002D02EE"/>
    <w:rsid w:val="002D071E"/>
    <w:rsid w:val="002D0BE9"/>
    <w:rsid w:val="002D0C34"/>
    <w:rsid w:val="002D0D0D"/>
    <w:rsid w:val="002D0DC5"/>
    <w:rsid w:val="002D0DCB"/>
    <w:rsid w:val="002D0FF6"/>
    <w:rsid w:val="002D1045"/>
    <w:rsid w:val="002D1072"/>
    <w:rsid w:val="002D1335"/>
    <w:rsid w:val="002D1394"/>
    <w:rsid w:val="002D147C"/>
    <w:rsid w:val="002D1626"/>
    <w:rsid w:val="002D16F4"/>
    <w:rsid w:val="002D17EA"/>
    <w:rsid w:val="002D18BB"/>
    <w:rsid w:val="002D1DA1"/>
    <w:rsid w:val="002D1E21"/>
    <w:rsid w:val="002D2226"/>
    <w:rsid w:val="002D254C"/>
    <w:rsid w:val="002D2656"/>
    <w:rsid w:val="002D2805"/>
    <w:rsid w:val="002D2974"/>
    <w:rsid w:val="002D2F99"/>
    <w:rsid w:val="002D3186"/>
    <w:rsid w:val="002D3189"/>
    <w:rsid w:val="002D3225"/>
    <w:rsid w:val="002D3417"/>
    <w:rsid w:val="002D364F"/>
    <w:rsid w:val="002D3725"/>
    <w:rsid w:val="002D38AD"/>
    <w:rsid w:val="002D3EDA"/>
    <w:rsid w:val="002D3FFF"/>
    <w:rsid w:val="002D4204"/>
    <w:rsid w:val="002D424C"/>
    <w:rsid w:val="002D43A1"/>
    <w:rsid w:val="002D45B4"/>
    <w:rsid w:val="002D4674"/>
    <w:rsid w:val="002D476B"/>
    <w:rsid w:val="002D48AC"/>
    <w:rsid w:val="002D4A32"/>
    <w:rsid w:val="002D4B73"/>
    <w:rsid w:val="002D4C92"/>
    <w:rsid w:val="002D4EB9"/>
    <w:rsid w:val="002D4EFD"/>
    <w:rsid w:val="002D5129"/>
    <w:rsid w:val="002D51B2"/>
    <w:rsid w:val="002D51B5"/>
    <w:rsid w:val="002D5443"/>
    <w:rsid w:val="002D56A4"/>
    <w:rsid w:val="002D5AD1"/>
    <w:rsid w:val="002D5BB3"/>
    <w:rsid w:val="002D5CDA"/>
    <w:rsid w:val="002D5D31"/>
    <w:rsid w:val="002D5E30"/>
    <w:rsid w:val="002D5F3D"/>
    <w:rsid w:val="002D6182"/>
    <w:rsid w:val="002D62DA"/>
    <w:rsid w:val="002D6601"/>
    <w:rsid w:val="002D67BC"/>
    <w:rsid w:val="002D682E"/>
    <w:rsid w:val="002D6F0B"/>
    <w:rsid w:val="002D748F"/>
    <w:rsid w:val="002D759A"/>
    <w:rsid w:val="002D763D"/>
    <w:rsid w:val="002D78E3"/>
    <w:rsid w:val="002D7D56"/>
    <w:rsid w:val="002E004F"/>
    <w:rsid w:val="002E005D"/>
    <w:rsid w:val="002E043D"/>
    <w:rsid w:val="002E04CB"/>
    <w:rsid w:val="002E04FB"/>
    <w:rsid w:val="002E0893"/>
    <w:rsid w:val="002E0961"/>
    <w:rsid w:val="002E0C6A"/>
    <w:rsid w:val="002E0CCD"/>
    <w:rsid w:val="002E101D"/>
    <w:rsid w:val="002E1072"/>
    <w:rsid w:val="002E1096"/>
    <w:rsid w:val="002E110F"/>
    <w:rsid w:val="002E1183"/>
    <w:rsid w:val="002E1467"/>
    <w:rsid w:val="002E14DA"/>
    <w:rsid w:val="002E1510"/>
    <w:rsid w:val="002E1590"/>
    <w:rsid w:val="002E16FC"/>
    <w:rsid w:val="002E16FD"/>
    <w:rsid w:val="002E1887"/>
    <w:rsid w:val="002E1CC4"/>
    <w:rsid w:val="002E1DC9"/>
    <w:rsid w:val="002E2186"/>
    <w:rsid w:val="002E21A4"/>
    <w:rsid w:val="002E2464"/>
    <w:rsid w:val="002E25CE"/>
    <w:rsid w:val="002E283E"/>
    <w:rsid w:val="002E294C"/>
    <w:rsid w:val="002E2A7B"/>
    <w:rsid w:val="002E2A8F"/>
    <w:rsid w:val="002E2D45"/>
    <w:rsid w:val="002E30F4"/>
    <w:rsid w:val="002E31CC"/>
    <w:rsid w:val="002E323A"/>
    <w:rsid w:val="002E356D"/>
    <w:rsid w:val="002E35DE"/>
    <w:rsid w:val="002E3635"/>
    <w:rsid w:val="002E37A9"/>
    <w:rsid w:val="002E3A11"/>
    <w:rsid w:val="002E3C98"/>
    <w:rsid w:val="002E40DB"/>
    <w:rsid w:val="002E4338"/>
    <w:rsid w:val="002E4487"/>
    <w:rsid w:val="002E4A79"/>
    <w:rsid w:val="002E501B"/>
    <w:rsid w:val="002E5191"/>
    <w:rsid w:val="002E521E"/>
    <w:rsid w:val="002E53F0"/>
    <w:rsid w:val="002E53FC"/>
    <w:rsid w:val="002E54B3"/>
    <w:rsid w:val="002E556A"/>
    <w:rsid w:val="002E57A3"/>
    <w:rsid w:val="002E58A6"/>
    <w:rsid w:val="002E58EC"/>
    <w:rsid w:val="002E5B3B"/>
    <w:rsid w:val="002E5B79"/>
    <w:rsid w:val="002E5E4A"/>
    <w:rsid w:val="002E5ED1"/>
    <w:rsid w:val="002E6573"/>
    <w:rsid w:val="002E6645"/>
    <w:rsid w:val="002E67C5"/>
    <w:rsid w:val="002E6A9C"/>
    <w:rsid w:val="002E6AE7"/>
    <w:rsid w:val="002E6C29"/>
    <w:rsid w:val="002E6D9F"/>
    <w:rsid w:val="002E6F61"/>
    <w:rsid w:val="002E70C5"/>
    <w:rsid w:val="002E7386"/>
    <w:rsid w:val="002E77E1"/>
    <w:rsid w:val="002E7871"/>
    <w:rsid w:val="002E7B30"/>
    <w:rsid w:val="002E7C89"/>
    <w:rsid w:val="002E7D29"/>
    <w:rsid w:val="002E7D92"/>
    <w:rsid w:val="002F001F"/>
    <w:rsid w:val="002F03B3"/>
    <w:rsid w:val="002F0538"/>
    <w:rsid w:val="002F0A2F"/>
    <w:rsid w:val="002F0CE9"/>
    <w:rsid w:val="002F0E2A"/>
    <w:rsid w:val="002F11FC"/>
    <w:rsid w:val="002F1372"/>
    <w:rsid w:val="002F15B1"/>
    <w:rsid w:val="002F1689"/>
    <w:rsid w:val="002F1907"/>
    <w:rsid w:val="002F1A3B"/>
    <w:rsid w:val="002F1C0C"/>
    <w:rsid w:val="002F1D26"/>
    <w:rsid w:val="002F1E43"/>
    <w:rsid w:val="002F1FAC"/>
    <w:rsid w:val="002F2151"/>
    <w:rsid w:val="002F216B"/>
    <w:rsid w:val="002F2263"/>
    <w:rsid w:val="002F23FD"/>
    <w:rsid w:val="002F2456"/>
    <w:rsid w:val="002F25BF"/>
    <w:rsid w:val="002F25C6"/>
    <w:rsid w:val="002F276D"/>
    <w:rsid w:val="002F2800"/>
    <w:rsid w:val="002F28CD"/>
    <w:rsid w:val="002F29D8"/>
    <w:rsid w:val="002F2A92"/>
    <w:rsid w:val="002F2DDF"/>
    <w:rsid w:val="002F2DEC"/>
    <w:rsid w:val="002F31DB"/>
    <w:rsid w:val="002F34F0"/>
    <w:rsid w:val="002F3556"/>
    <w:rsid w:val="002F3697"/>
    <w:rsid w:val="002F3738"/>
    <w:rsid w:val="002F3879"/>
    <w:rsid w:val="002F38CE"/>
    <w:rsid w:val="002F3A9E"/>
    <w:rsid w:val="002F3AD4"/>
    <w:rsid w:val="002F3B83"/>
    <w:rsid w:val="002F4BF9"/>
    <w:rsid w:val="002F4C23"/>
    <w:rsid w:val="002F4E50"/>
    <w:rsid w:val="002F4E6E"/>
    <w:rsid w:val="002F506C"/>
    <w:rsid w:val="002F5236"/>
    <w:rsid w:val="002F53C0"/>
    <w:rsid w:val="002F5527"/>
    <w:rsid w:val="002F553E"/>
    <w:rsid w:val="002F5754"/>
    <w:rsid w:val="002F58D3"/>
    <w:rsid w:val="002F59AF"/>
    <w:rsid w:val="002F59C9"/>
    <w:rsid w:val="002F5D63"/>
    <w:rsid w:val="002F5DEB"/>
    <w:rsid w:val="002F5F49"/>
    <w:rsid w:val="002F5F7B"/>
    <w:rsid w:val="002F62FD"/>
    <w:rsid w:val="002F68C1"/>
    <w:rsid w:val="002F6BCD"/>
    <w:rsid w:val="002F6C9F"/>
    <w:rsid w:val="002F6D27"/>
    <w:rsid w:val="002F6E2D"/>
    <w:rsid w:val="002F7179"/>
    <w:rsid w:val="002F7216"/>
    <w:rsid w:val="002F7280"/>
    <w:rsid w:val="002F72AE"/>
    <w:rsid w:val="002F73EF"/>
    <w:rsid w:val="002F7413"/>
    <w:rsid w:val="002F745C"/>
    <w:rsid w:val="002F74B0"/>
    <w:rsid w:val="002F755F"/>
    <w:rsid w:val="002F75A4"/>
    <w:rsid w:val="002F7911"/>
    <w:rsid w:val="002F79F6"/>
    <w:rsid w:val="002F7AC8"/>
    <w:rsid w:val="002F7FD7"/>
    <w:rsid w:val="002FA9D5"/>
    <w:rsid w:val="002FB7AA"/>
    <w:rsid w:val="0030016E"/>
    <w:rsid w:val="00300299"/>
    <w:rsid w:val="003003B1"/>
    <w:rsid w:val="00300790"/>
    <w:rsid w:val="00300835"/>
    <w:rsid w:val="00300841"/>
    <w:rsid w:val="00300C9D"/>
    <w:rsid w:val="00300D50"/>
    <w:rsid w:val="00300E8A"/>
    <w:rsid w:val="00300EFD"/>
    <w:rsid w:val="00300FF9"/>
    <w:rsid w:val="003010B7"/>
    <w:rsid w:val="003011A9"/>
    <w:rsid w:val="0030134E"/>
    <w:rsid w:val="00301944"/>
    <w:rsid w:val="00301D2E"/>
    <w:rsid w:val="00301DDD"/>
    <w:rsid w:val="00302002"/>
    <w:rsid w:val="00302196"/>
    <w:rsid w:val="0030238C"/>
    <w:rsid w:val="003025B7"/>
    <w:rsid w:val="003027A8"/>
    <w:rsid w:val="00302AC2"/>
    <w:rsid w:val="00302D0D"/>
    <w:rsid w:val="00302E09"/>
    <w:rsid w:val="00302EB8"/>
    <w:rsid w:val="00303094"/>
    <w:rsid w:val="0030310C"/>
    <w:rsid w:val="00303125"/>
    <w:rsid w:val="00303545"/>
    <w:rsid w:val="003039DE"/>
    <w:rsid w:val="00303A6A"/>
    <w:rsid w:val="00303AD1"/>
    <w:rsid w:val="00303C41"/>
    <w:rsid w:val="00303F17"/>
    <w:rsid w:val="0030400F"/>
    <w:rsid w:val="0030443A"/>
    <w:rsid w:val="0030454E"/>
    <w:rsid w:val="0030486A"/>
    <w:rsid w:val="0030487B"/>
    <w:rsid w:val="00304913"/>
    <w:rsid w:val="00304A16"/>
    <w:rsid w:val="00304AB3"/>
    <w:rsid w:val="00304D4A"/>
    <w:rsid w:val="00305124"/>
    <w:rsid w:val="003052D4"/>
    <w:rsid w:val="00305897"/>
    <w:rsid w:val="00305929"/>
    <w:rsid w:val="00305A60"/>
    <w:rsid w:val="00305ABA"/>
    <w:rsid w:val="00305B72"/>
    <w:rsid w:val="00305BBA"/>
    <w:rsid w:val="00305D0C"/>
    <w:rsid w:val="0030616B"/>
    <w:rsid w:val="00306354"/>
    <w:rsid w:val="003067D2"/>
    <w:rsid w:val="00306BC5"/>
    <w:rsid w:val="00306ED9"/>
    <w:rsid w:val="00306F6F"/>
    <w:rsid w:val="00306F9B"/>
    <w:rsid w:val="00307002"/>
    <w:rsid w:val="0030709D"/>
    <w:rsid w:val="003075A4"/>
    <w:rsid w:val="0030764C"/>
    <w:rsid w:val="003076C3"/>
    <w:rsid w:val="003078DB"/>
    <w:rsid w:val="00307D70"/>
    <w:rsid w:val="00307DB0"/>
    <w:rsid w:val="00307DB6"/>
    <w:rsid w:val="00307E61"/>
    <w:rsid w:val="003100B8"/>
    <w:rsid w:val="00310220"/>
    <w:rsid w:val="003104F8"/>
    <w:rsid w:val="00310672"/>
    <w:rsid w:val="00310787"/>
    <w:rsid w:val="00310983"/>
    <w:rsid w:val="00310DD1"/>
    <w:rsid w:val="00311022"/>
    <w:rsid w:val="00311071"/>
    <w:rsid w:val="00311122"/>
    <w:rsid w:val="003111A9"/>
    <w:rsid w:val="003111C8"/>
    <w:rsid w:val="003118DD"/>
    <w:rsid w:val="0031192F"/>
    <w:rsid w:val="003119F3"/>
    <w:rsid w:val="00311A68"/>
    <w:rsid w:val="00311B6A"/>
    <w:rsid w:val="00311E1E"/>
    <w:rsid w:val="00311E45"/>
    <w:rsid w:val="00311FB6"/>
    <w:rsid w:val="00311FCE"/>
    <w:rsid w:val="003122E8"/>
    <w:rsid w:val="0031240A"/>
    <w:rsid w:val="003125C9"/>
    <w:rsid w:val="0031264A"/>
    <w:rsid w:val="00312702"/>
    <w:rsid w:val="003127C5"/>
    <w:rsid w:val="003128DA"/>
    <w:rsid w:val="00312C12"/>
    <w:rsid w:val="00312C28"/>
    <w:rsid w:val="00312CBB"/>
    <w:rsid w:val="00312CFA"/>
    <w:rsid w:val="00313184"/>
    <w:rsid w:val="0031334F"/>
    <w:rsid w:val="00313460"/>
    <w:rsid w:val="003135A0"/>
    <w:rsid w:val="00313885"/>
    <w:rsid w:val="003138AF"/>
    <w:rsid w:val="003138C8"/>
    <w:rsid w:val="00313B36"/>
    <w:rsid w:val="00313DF6"/>
    <w:rsid w:val="00313F9D"/>
    <w:rsid w:val="00313FF8"/>
    <w:rsid w:val="0031403F"/>
    <w:rsid w:val="0031414D"/>
    <w:rsid w:val="00314AF3"/>
    <w:rsid w:val="00314D8F"/>
    <w:rsid w:val="00314EEA"/>
    <w:rsid w:val="003150AD"/>
    <w:rsid w:val="003151C1"/>
    <w:rsid w:val="003156FC"/>
    <w:rsid w:val="00315778"/>
    <w:rsid w:val="003157C2"/>
    <w:rsid w:val="00315A97"/>
    <w:rsid w:val="00315CAB"/>
    <w:rsid w:val="00315F29"/>
    <w:rsid w:val="00316071"/>
    <w:rsid w:val="0031649F"/>
    <w:rsid w:val="00316590"/>
    <w:rsid w:val="00316837"/>
    <w:rsid w:val="003168E4"/>
    <w:rsid w:val="003169DC"/>
    <w:rsid w:val="00316ACA"/>
    <w:rsid w:val="00316BF2"/>
    <w:rsid w:val="00316C6C"/>
    <w:rsid w:val="00316D63"/>
    <w:rsid w:val="00317125"/>
    <w:rsid w:val="003171BB"/>
    <w:rsid w:val="003173EB"/>
    <w:rsid w:val="003174C3"/>
    <w:rsid w:val="003174E5"/>
    <w:rsid w:val="0031758A"/>
    <w:rsid w:val="00317641"/>
    <w:rsid w:val="003178D4"/>
    <w:rsid w:val="003178EC"/>
    <w:rsid w:val="00317998"/>
    <w:rsid w:val="00317B1B"/>
    <w:rsid w:val="00317B62"/>
    <w:rsid w:val="00317BB6"/>
    <w:rsid w:val="00317BCE"/>
    <w:rsid w:val="00317C3B"/>
    <w:rsid w:val="00317E3F"/>
    <w:rsid w:val="00317EB6"/>
    <w:rsid w:val="00317F09"/>
    <w:rsid w:val="00320336"/>
    <w:rsid w:val="003203AD"/>
    <w:rsid w:val="003203F3"/>
    <w:rsid w:val="00320561"/>
    <w:rsid w:val="0032082F"/>
    <w:rsid w:val="003209D8"/>
    <w:rsid w:val="00320A96"/>
    <w:rsid w:val="00320AA9"/>
    <w:rsid w:val="00320B7E"/>
    <w:rsid w:val="00320C4B"/>
    <w:rsid w:val="00320DD7"/>
    <w:rsid w:val="00320E67"/>
    <w:rsid w:val="00320E86"/>
    <w:rsid w:val="00320EB0"/>
    <w:rsid w:val="003211F2"/>
    <w:rsid w:val="00321205"/>
    <w:rsid w:val="00321352"/>
    <w:rsid w:val="0032153E"/>
    <w:rsid w:val="0032192B"/>
    <w:rsid w:val="0032194B"/>
    <w:rsid w:val="0032196F"/>
    <w:rsid w:val="00321CD7"/>
    <w:rsid w:val="00321D7D"/>
    <w:rsid w:val="00321F93"/>
    <w:rsid w:val="00322107"/>
    <w:rsid w:val="0032237E"/>
    <w:rsid w:val="003226D3"/>
    <w:rsid w:val="003228C1"/>
    <w:rsid w:val="003229CC"/>
    <w:rsid w:val="00322BE5"/>
    <w:rsid w:val="00322EBD"/>
    <w:rsid w:val="00322FCF"/>
    <w:rsid w:val="00323448"/>
    <w:rsid w:val="0032431E"/>
    <w:rsid w:val="00324922"/>
    <w:rsid w:val="00324A50"/>
    <w:rsid w:val="00324AFA"/>
    <w:rsid w:val="00324B0D"/>
    <w:rsid w:val="00324C39"/>
    <w:rsid w:val="00324D40"/>
    <w:rsid w:val="00324E6F"/>
    <w:rsid w:val="003250ED"/>
    <w:rsid w:val="00325295"/>
    <w:rsid w:val="00325399"/>
    <w:rsid w:val="003257A4"/>
    <w:rsid w:val="0032587E"/>
    <w:rsid w:val="003259A7"/>
    <w:rsid w:val="00325B87"/>
    <w:rsid w:val="00325BBD"/>
    <w:rsid w:val="00325BD1"/>
    <w:rsid w:val="00325CB7"/>
    <w:rsid w:val="00325CF8"/>
    <w:rsid w:val="00325F4D"/>
    <w:rsid w:val="00325FAB"/>
    <w:rsid w:val="00325FC7"/>
    <w:rsid w:val="00326082"/>
    <w:rsid w:val="003265A0"/>
    <w:rsid w:val="00326A57"/>
    <w:rsid w:val="00326BD0"/>
    <w:rsid w:val="00326CE5"/>
    <w:rsid w:val="00327019"/>
    <w:rsid w:val="0032711F"/>
    <w:rsid w:val="00327364"/>
    <w:rsid w:val="0032743C"/>
    <w:rsid w:val="003274FA"/>
    <w:rsid w:val="0032758C"/>
    <w:rsid w:val="00327614"/>
    <w:rsid w:val="003276D3"/>
    <w:rsid w:val="0032773D"/>
    <w:rsid w:val="00327A38"/>
    <w:rsid w:val="00327B7B"/>
    <w:rsid w:val="00327DCF"/>
    <w:rsid w:val="00327DF9"/>
    <w:rsid w:val="00330083"/>
    <w:rsid w:val="00330236"/>
    <w:rsid w:val="003302AF"/>
    <w:rsid w:val="003305CA"/>
    <w:rsid w:val="0033077A"/>
    <w:rsid w:val="00330971"/>
    <w:rsid w:val="00330BF3"/>
    <w:rsid w:val="00330CFC"/>
    <w:rsid w:val="00330FE2"/>
    <w:rsid w:val="00331099"/>
    <w:rsid w:val="00331198"/>
    <w:rsid w:val="00331699"/>
    <w:rsid w:val="003316C9"/>
    <w:rsid w:val="00331899"/>
    <w:rsid w:val="00331A7B"/>
    <w:rsid w:val="00331A8A"/>
    <w:rsid w:val="00331B8C"/>
    <w:rsid w:val="00331C67"/>
    <w:rsid w:val="00331DB4"/>
    <w:rsid w:val="00331F74"/>
    <w:rsid w:val="00331F7F"/>
    <w:rsid w:val="003320A2"/>
    <w:rsid w:val="003321B2"/>
    <w:rsid w:val="00332231"/>
    <w:rsid w:val="003322BA"/>
    <w:rsid w:val="00332528"/>
    <w:rsid w:val="00332817"/>
    <w:rsid w:val="00332BBE"/>
    <w:rsid w:val="00332DB5"/>
    <w:rsid w:val="00332FA3"/>
    <w:rsid w:val="0033304B"/>
    <w:rsid w:val="00333072"/>
    <w:rsid w:val="0033318A"/>
    <w:rsid w:val="00333258"/>
    <w:rsid w:val="003335CB"/>
    <w:rsid w:val="003335CE"/>
    <w:rsid w:val="00333607"/>
    <w:rsid w:val="0033378A"/>
    <w:rsid w:val="003337C9"/>
    <w:rsid w:val="00333D1C"/>
    <w:rsid w:val="00334075"/>
    <w:rsid w:val="0033432B"/>
    <w:rsid w:val="003343F9"/>
    <w:rsid w:val="0033452C"/>
    <w:rsid w:val="00334598"/>
    <w:rsid w:val="003346E9"/>
    <w:rsid w:val="00334836"/>
    <w:rsid w:val="00334A3D"/>
    <w:rsid w:val="00334A81"/>
    <w:rsid w:val="00334DC8"/>
    <w:rsid w:val="00334EAF"/>
    <w:rsid w:val="00335006"/>
    <w:rsid w:val="00335048"/>
    <w:rsid w:val="003350DA"/>
    <w:rsid w:val="00335147"/>
    <w:rsid w:val="00335194"/>
    <w:rsid w:val="0033526C"/>
    <w:rsid w:val="00335468"/>
    <w:rsid w:val="0033569E"/>
    <w:rsid w:val="003357DD"/>
    <w:rsid w:val="0033584C"/>
    <w:rsid w:val="00335B38"/>
    <w:rsid w:val="00335E92"/>
    <w:rsid w:val="00335EA3"/>
    <w:rsid w:val="00335F03"/>
    <w:rsid w:val="00336162"/>
    <w:rsid w:val="003363B7"/>
    <w:rsid w:val="00336438"/>
    <w:rsid w:val="0033663C"/>
    <w:rsid w:val="00336764"/>
    <w:rsid w:val="0033696B"/>
    <w:rsid w:val="00336993"/>
    <w:rsid w:val="00336E41"/>
    <w:rsid w:val="00336F2C"/>
    <w:rsid w:val="0033703C"/>
    <w:rsid w:val="0033709B"/>
    <w:rsid w:val="003370FC"/>
    <w:rsid w:val="00337113"/>
    <w:rsid w:val="003371CB"/>
    <w:rsid w:val="00337363"/>
    <w:rsid w:val="00337754"/>
    <w:rsid w:val="00337779"/>
    <w:rsid w:val="003377AF"/>
    <w:rsid w:val="003379E9"/>
    <w:rsid w:val="00337D65"/>
    <w:rsid w:val="00337DB9"/>
    <w:rsid w:val="00340012"/>
    <w:rsid w:val="00340418"/>
    <w:rsid w:val="003404E3"/>
    <w:rsid w:val="00340622"/>
    <w:rsid w:val="00340799"/>
    <w:rsid w:val="00340849"/>
    <w:rsid w:val="00340B56"/>
    <w:rsid w:val="00340BE1"/>
    <w:rsid w:val="00340CAB"/>
    <w:rsid w:val="00340ED8"/>
    <w:rsid w:val="003410DD"/>
    <w:rsid w:val="00341240"/>
    <w:rsid w:val="00341560"/>
    <w:rsid w:val="003419E9"/>
    <w:rsid w:val="00341ADA"/>
    <w:rsid w:val="00341C86"/>
    <w:rsid w:val="00341D22"/>
    <w:rsid w:val="00341FE9"/>
    <w:rsid w:val="00342134"/>
    <w:rsid w:val="003423B8"/>
    <w:rsid w:val="0034244E"/>
    <w:rsid w:val="003426C1"/>
    <w:rsid w:val="003429E9"/>
    <w:rsid w:val="00342BA3"/>
    <w:rsid w:val="00342E80"/>
    <w:rsid w:val="003430D0"/>
    <w:rsid w:val="003430F8"/>
    <w:rsid w:val="003434BF"/>
    <w:rsid w:val="0034353C"/>
    <w:rsid w:val="003436A8"/>
    <w:rsid w:val="00343B36"/>
    <w:rsid w:val="00343B5F"/>
    <w:rsid w:val="00343B8E"/>
    <w:rsid w:val="00343BD5"/>
    <w:rsid w:val="00343C64"/>
    <w:rsid w:val="00343E5C"/>
    <w:rsid w:val="00343F70"/>
    <w:rsid w:val="00344037"/>
    <w:rsid w:val="0034412F"/>
    <w:rsid w:val="00344168"/>
    <w:rsid w:val="0034478E"/>
    <w:rsid w:val="003447EE"/>
    <w:rsid w:val="00344CF4"/>
    <w:rsid w:val="00344D75"/>
    <w:rsid w:val="00344DF9"/>
    <w:rsid w:val="00344E3F"/>
    <w:rsid w:val="00344FB8"/>
    <w:rsid w:val="003450BB"/>
    <w:rsid w:val="00345101"/>
    <w:rsid w:val="00345168"/>
    <w:rsid w:val="003455FF"/>
    <w:rsid w:val="00345656"/>
    <w:rsid w:val="00345664"/>
    <w:rsid w:val="0034567F"/>
    <w:rsid w:val="00345727"/>
    <w:rsid w:val="003457BE"/>
    <w:rsid w:val="00345941"/>
    <w:rsid w:val="00345A5F"/>
    <w:rsid w:val="00345AAA"/>
    <w:rsid w:val="00345B16"/>
    <w:rsid w:val="00345CD2"/>
    <w:rsid w:val="00345D14"/>
    <w:rsid w:val="00345EF9"/>
    <w:rsid w:val="00346251"/>
    <w:rsid w:val="0034626D"/>
    <w:rsid w:val="00346302"/>
    <w:rsid w:val="003464E5"/>
    <w:rsid w:val="003465DC"/>
    <w:rsid w:val="0034675E"/>
    <w:rsid w:val="0034680F"/>
    <w:rsid w:val="003468E8"/>
    <w:rsid w:val="00346912"/>
    <w:rsid w:val="00346A02"/>
    <w:rsid w:val="00346A80"/>
    <w:rsid w:val="00346AC9"/>
    <w:rsid w:val="00346BED"/>
    <w:rsid w:val="00346C07"/>
    <w:rsid w:val="00346C78"/>
    <w:rsid w:val="00346D7A"/>
    <w:rsid w:val="00346E93"/>
    <w:rsid w:val="0034704E"/>
    <w:rsid w:val="003470F8"/>
    <w:rsid w:val="00347842"/>
    <w:rsid w:val="00347A2C"/>
    <w:rsid w:val="00347B07"/>
    <w:rsid w:val="00347CA8"/>
    <w:rsid w:val="003500B3"/>
    <w:rsid w:val="00350465"/>
    <w:rsid w:val="00350984"/>
    <w:rsid w:val="00350C5F"/>
    <w:rsid w:val="00350CB3"/>
    <w:rsid w:val="00350D68"/>
    <w:rsid w:val="00350EF9"/>
    <w:rsid w:val="00350F8B"/>
    <w:rsid w:val="003511CB"/>
    <w:rsid w:val="00351406"/>
    <w:rsid w:val="00351583"/>
    <w:rsid w:val="00351665"/>
    <w:rsid w:val="00351B6C"/>
    <w:rsid w:val="00351D53"/>
    <w:rsid w:val="00351F02"/>
    <w:rsid w:val="00351F2B"/>
    <w:rsid w:val="0035209D"/>
    <w:rsid w:val="00352187"/>
    <w:rsid w:val="003522B3"/>
    <w:rsid w:val="003522F6"/>
    <w:rsid w:val="00352912"/>
    <w:rsid w:val="0035293F"/>
    <w:rsid w:val="003530B5"/>
    <w:rsid w:val="00353427"/>
    <w:rsid w:val="003536CB"/>
    <w:rsid w:val="00353AF8"/>
    <w:rsid w:val="00353CC2"/>
    <w:rsid w:val="00353CDF"/>
    <w:rsid w:val="00353F58"/>
    <w:rsid w:val="00353FB6"/>
    <w:rsid w:val="00353FF1"/>
    <w:rsid w:val="00354202"/>
    <w:rsid w:val="0035439B"/>
    <w:rsid w:val="003543EC"/>
    <w:rsid w:val="003546C6"/>
    <w:rsid w:val="00354A5A"/>
    <w:rsid w:val="00354D05"/>
    <w:rsid w:val="00354EC5"/>
    <w:rsid w:val="00354F92"/>
    <w:rsid w:val="0035504F"/>
    <w:rsid w:val="003551B8"/>
    <w:rsid w:val="00355374"/>
    <w:rsid w:val="003556F1"/>
    <w:rsid w:val="00355826"/>
    <w:rsid w:val="00355896"/>
    <w:rsid w:val="00355A60"/>
    <w:rsid w:val="003560C1"/>
    <w:rsid w:val="003561FA"/>
    <w:rsid w:val="0035652D"/>
    <w:rsid w:val="00356672"/>
    <w:rsid w:val="0035670F"/>
    <w:rsid w:val="00356A5A"/>
    <w:rsid w:val="00356EA5"/>
    <w:rsid w:val="00357494"/>
    <w:rsid w:val="003574A5"/>
    <w:rsid w:val="0035784D"/>
    <w:rsid w:val="00357C0E"/>
    <w:rsid w:val="00357C1E"/>
    <w:rsid w:val="00357C7B"/>
    <w:rsid w:val="00357F0A"/>
    <w:rsid w:val="00357F11"/>
    <w:rsid w:val="00360045"/>
    <w:rsid w:val="0036017B"/>
    <w:rsid w:val="003602C0"/>
    <w:rsid w:val="00360818"/>
    <w:rsid w:val="0036087F"/>
    <w:rsid w:val="0036095C"/>
    <w:rsid w:val="00360B1D"/>
    <w:rsid w:val="00360BE5"/>
    <w:rsid w:val="00360C5E"/>
    <w:rsid w:val="00360E93"/>
    <w:rsid w:val="00360F39"/>
    <w:rsid w:val="0036102B"/>
    <w:rsid w:val="003611FC"/>
    <w:rsid w:val="00361A61"/>
    <w:rsid w:val="00361C7D"/>
    <w:rsid w:val="00361D80"/>
    <w:rsid w:val="00361DC8"/>
    <w:rsid w:val="00361DF5"/>
    <w:rsid w:val="00361F6D"/>
    <w:rsid w:val="003620B0"/>
    <w:rsid w:val="00362298"/>
    <w:rsid w:val="003623CA"/>
    <w:rsid w:val="00362468"/>
    <w:rsid w:val="003624D4"/>
    <w:rsid w:val="003624E7"/>
    <w:rsid w:val="003626F1"/>
    <w:rsid w:val="00362755"/>
    <w:rsid w:val="00362926"/>
    <w:rsid w:val="00362A14"/>
    <w:rsid w:val="0036313B"/>
    <w:rsid w:val="00363264"/>
    <w:rsid w:val="0036328E"/>
    <w:rsid w:val="003632C6"/>
    <w:rsid w:val="00363423"/>
    <w:rsid w:val="00363485"/>
    <w:rsid w:val="0036353B"/>
    <w:rsid w:val="00363678"/>
    <w:rsid w:val="00363814"/>
    <w:rsid w:val="0036381E"/>
    <w:rsid w:val="00363895"/>
    <w:rsid w:val="003638E5"/>
    <w:rsid w:val="00363D16"/>
    <w:rsid w:val="00363D1B"/>
    <w:rsid w:val="00363FC0"/>
    <w:rsid w:val="00364143"/>
    <w:rsid w:val="00364205"/>
    <w:rsid w:val="00364580"/>
    <w:rsid w:val="00364700"/>
    <w:rsid w:val="0036476F"/>
    <w:rsid w:val="003649C0"/>
    <w:rsid w:val="00364A8F"/>
    <w:rsid w:val="00364CFD"/>
    <w:rsid w:val="00364D05"/>
    <w:rsid w:val="00364E47"/>
    <w:rsid w:val="00364F7D"/>
    <w:rsid w:val="003653D9"/>
    <w:rsid w:val="00365525"/>
    <w:rsid w:val="00365590"/>
    <w:rsid w:val="0036566B"/>
    <w:rsid w:val="00365B52"/>
    <w:rsid w:val="00365C5F"/>
    <w:rsid w:val="00365DCD"/>
    <w:rsid w:val="00365F7F"/>
    <w:rsid w:val="003660F4"/>
    <w:rsid w:val="00366216"/>
    <w:rsid w:val="003663BE"/>
    <w:rsid w:val="003663EE"/>
    <w:rsid w:val="00366611"/>
    <w:rsid w:val="003668DC"/>
    <w:rsid w:val="003668FC"/>
    <w:rsid w:val="00366B10"/>
    <w:rsid w:val="00366B17"/>
    <w:rsid w:val="00366C2B"/>
    <w:rsid w:val="00366CE4"/>
    <w:rsid w:val="00366DD8"/>
    <w:rsid w:val="00366E17"/>
    <w:rsid w:val="00366E1E"/>
    <w:rsid w:val="00366E40"/>
    <w:rsid w:val="003670A8"/>
    <w:rsid w:val="003671B3"/>
    <w:rsid w:val="0036740A"/>
    <w:rsid w:val="003674A9"/>
    <w:rsid w:val="00367698"/>
    <w:rsid w:val="003676B2"/>
    <w:rsid w:val="003677D5"/>
    <w:rsid w:val="0036782E"/>
    <w:rsid w:val="00367A37"/>
    <w:rsid w:val="00367C30"/>
    <w:rsid w:val="0037001D"/>
    <w:rsid w:val="0037008E"/>
    <w:rsid w:val="00370438"/>
    <w:rsid w:val="0037044D"/>
    <w:rsid w:val="00370814"/>
    <w:rsid w:val="00370A00"/>
    <w:rsid w:val="00370D6A"/>
    <w:rsid w:val="00370FD8"/>
    <w:rsid w:val="00371188"/>
    <w:rsid w:val="00371262"/>
    <w:rsid w:val="00371280"/>
    <w:rsid w:val="00371510"/>
    <w:rsid w:val="003717A7"/>
    <w:rsid w:val="00371C3E"/>
    <w:rsid w:val="00371E21"/>
    <w:rsid w:val="003721D2"/>
    <w:rsid w:val="003722A5"/>
    <w:rsid w:val="00372796"/>
    <w:rsid w:val="00372816"/>
    <w:rsid w:val="0037290C"/>
    <w:rsid w:val="00372B42"/>
    <w:rsid w:val="00372E9D"/>
    <w:rsid w:val="00372F4D"/>
    <w:rsid w:val="00373049"/>
    <w:rsid w:val="00373287"/>
    <w:rsid w:val="00373416"/>
    <w:rsid w:val="00373581"/>
    <w:rsid w:val="0037361D"/>
    <w:rsid w:val="00373900"/>
    <w:rsid w:val="00373948"/>
    <w:rsid w:val="00373B6B"/>
    <w:rsid w:val="00373B93"/>
    <w:rsid w:val="00373C33"/>
    <w:rsid w:val="00373E9A"/>
    <w:rsid w:val="00373EB3"/>
    <w:rsid w:val="00373F28"/>
    <w:rsid w:val="00374076"/>
    <w:rsid w:val="00374288"/>
    <w:rsid w:val="003742ED"/>
    <w:rsid w:val="0037448B"/>
    <w:rsid w:val="003746B9"/>
    <w:rsid w:val="00374B67"/>
    <w:rsid w:val="00374C14"/>
    <w:rsid w:val="00374D2F"/>
    <w:rsid w:val="00374F28"/>
    <w:rsid w:val="00375031"/>
    <w:rsid w:val="003750E7"/>
    <w:rsid w:val="003752AB"/>
    <w:rsid w:val="00375488"/>
    <w:rsid w:val="003754B1"/>
    <w:rsid w:val="0037554A"/>
    <w:rsid w:val="00375617"/>
    <w:rsid w:val="0037566B"/>
    <w:rsid w:val="003756EA"/>
    <w:rsid w:val="003759B4"/>
    <w:rsid w:val="003759FB"/>
    <w:rsid w:val="00375AF8"/>
    <w:rsid w:val="00375C2B"/>
    <w:rsid w:val="00375C7D"/>
    <w:rsid w:val="00375F67"/>
    <w:rsid w:val="0037602A"/>
    <w:rsid w:val="003761DC"/>
    <w:rsid w:val="00376281"/>
    <w:rsid w:val="00376313"/>
    <w:rsid w:val="003765AB"/>
    <w:rsid w:val="003767D6"/>
    <w:rsid w:val="00376964"/>
    <w:rsid w:val="00376A95"/>
    <w:rsid w:val="00376B36"/>
    <w:rsid w:val="00376E47"/>
    <w:rsid w:val="003770C1"/>
    <w:rsid w:val="00377233"/>
    <w:rsid w:val="003774C0"/>
    <w:rsid w:val="0037787A"/>
    <w:rsid w:val="00377885"/>
    <w:rsid w:val="00377A9C"/>
    <w:rsid w:val="00377C0C"/>
    <w:rsid w:val="00377D6B"/>
    <w:rsid w:val="00380111"/>
    <w:rsid w:val="00380373"/>
    <w:rsid w:val="003805C6"/>
    <w:rsid w:val="00380698"/>
    <w:rsid w:val="003807FE"/>
    <w:rsid w:val="003809CF"/>
    <w:rsid w:val="00380AE1"/>
    <w:rsid w:val="00380BFB"/>
    <w:rsid w:val="00380CD1"/>
    <w:rsid w:val="00380F92"/>
    <w:rsid w:val="00381239"/>
    <w:rsid w:val="003813F4"/>
    <w:rsid w:val="00381443"/>
    <w:rsid w:val="0038144E"/>
    <w:rsid w:val="003814C2"/>
    <w:rsid w:val="003815B6"/>
    <w:rsid w:val="0038178B"/>
    <w:rsid w:val="00381ADE"/>
    <w:rsid w:val="00381BC7"/>
    <w:rsid w:val="00381DCD"/>
    <w:rsid w:val="003820A6"/>
    <w:rsid w:val="0038216F"/>
    <w:rsid w:val="0038220B"/>
    <w:rsid w:val="00382387"/>
    <w:rsid w:val="0038282A"/>
    <w:rsid w:val="003828A3"/>
    <w:rsid w:val="003829FE"/>
    <w:rsid w:val="00382D21"/>
    <w:rsid w:val="00383102"/>
    <w:rsid w:val="00383161"/>
    <w:rsid w:val="00383180"/>
    <w:rsid w:val="00383251"/>
    <w:rsid w:val="003832EE"/>
    <w:rsid w:val="0038344D"/>
    <w:rsid w:val="003834AC"/>
    <w:rsid w:val="00383548"/>
    <w:rsid w:val="003835AD"/>
    <w:rsid w:val="0038367A"/>
    <w:rsid w:val="003836CD"/>
    <w:rsid w:val="003836CF"/>
    <w:rsid w:val="00383810"/>
    <w:rsid w:val="00383947"/>
    <w:rsid w:val="00383965"/>
    <w:rsid w:val="00383AB4"/>
    <w:rsid w:val="00383AD5"/>
    <w:rsid w:val="00383BB5"/>
    <w:rsid w:val="00383D38"/>
    <w:rsid w:val="00383E2E"/>
    <w:rsid w:val="00383F4F"/>
    <w:rsid w:val="003840B6"/>
    <w:rsid w:val="0038412D"/>
    <w:rsid w:val="00384148"/>
    <w:rsid w:val="0038419C"/>
    <w:rsid w:val="00384239"/>
    <w:rsid w:val="00384679"/>
    <w:rsid w:val="0038468A"/>
    <w:rsid w:val="003847A5"/>
    <w:rsid w:val="003847CF"/>
    <w:rsid w:val="00384853"/>
    <w:rsid w:val="003849BF"/>
    <w:rsid w:val="00384AE8"/>
    <w:rsid w:val="00384B3C"/>
    <w:rsid w:val="00384EA2"/>
    <w:rsid w:val="00384F38"/>
    <w:rsid w:val="0038514D"/>
    <w:rsid w:val="00385357"/>
    <w:rsid w:val="00385449"/>
    <w:rsid w:val="003854F7"/>
    <w:rsid w:val="0038555E"/>
    <w:rsid w:val="00385651"/>
    <w:rsid w:val="0038574E"/>
    <w:rsid w:val="00385769"/>
    <w:rsid w:val="003858C1"/>
    <w:rsid w:val="003859FC"/>
    <w:rsid w:val="00385C08"/>
    <w:rsid w:val="00385F37"/>
    <w:rsid w:val="003861D7"/>
    <w:rsid w:val="00386283"/>
    <w:rsid w:val="003864D5"/>
    <w:rsid w:val="003865E2"/>
    <w:rsid w:val="003866D1"/>
    <w:rsid w:val="00386913"/>
    <w:rsid w:val="00386923"/>
    <w:rsid w:val="0038698F"/>
    <w:rsid w:val="00386CE2"/>
    <w:rsid w:val="00386EE4"/>
    <w:rsid w:val="00386EF8"/>
    <w:rsid w:val="0038709B"/>
    <w:rsid w:val="00387408"/>
    <w:rsid w:val="0038749C"/>
    <w:rsid w:val="00387515"/>
    <w:rsid w:val="003875CB"/>
    <w:rsid w:val="00387693"/>
    <w:rsid w:val="00387714"/>
    <w:rsid w:val="0038785A"/>
    <w:rsid w:val="003878CB"/>
    <w:rsid w:val="003879FC"/>
    <w:rsid w:val="00387C43"/>
    <w:rsid w:val="00387D35"/>
    <w:rsid w:val="00387DCC"/>
    <w:rsid w:val="00387DD7"/>
    <w:rsid w:val="00387E71"/>
    <w:rsid w:val="00387F2F"/>
    <w:rsid w:val="0039008D"/>
    <w:rsid w:val="00390124"/>
    <w:rsid w:val="003901F5"/>
    <w:rsid w:val="00390230"/>
    <w:rsid w:val="003905E7"/>
    <w:rsid w:val="00390620"/>
    <w:rsid w:val="0039079E"/>
    <w:rsid w:val="003908B2"/>
    <w:rsid w:val="00390B3A"/>
    <w:rsid w:val="00390B7D"/>
    <w:rsid w:val="00390D69"/>
    <w:rsid w:val="003915E4"/>
    <w:rsid w:val="00391AF3"/>
    <w:rsid w:val="00391B0C"/>
    <w:rsid w:val="00391BC5"/>
    <w:rsid w:val="00391C11"/>
    <w:rsid w:val="00392152"/>
    <w:rsid w:val="0039292B"/>
    <w:rsid w:val="00392D43"/>
    <w:rsid w:val="003931F4"/>
    <w:rsid w:val="003932CB"/>
    <w:rsid w:val="0039337D"/>
    <w:rsid w:val="00393537"/>
    <w:rsid w:val="00393870"/>
    <w:rsid w:val="00393B70"/>
    <w:rsid w:val="00393E01"/>
    <w:rsid w:val="00393E7E"/>
    <w:rsid w:val="00393EF9"/>
    <w:rsid w:val="0039404A"/>
    <w:rsid w:val="00394301"/>
    <w:rsid w:val="003944AF"/>
    <w:rsid w:val="0039471B"/>
    <w:rsid w:val="003947EA"/>
    <w:rsid w:val="00394A0E"/>
    <w:rsid w:val="00394A7C"/>
    <w:rsid w:val="00394AC5"/>
    <w:rsid w:val="00394EA9"/>
    <w:rsid w:val="00395174"/>
    <w:rsid w:val="003952F0"/>
    <w:rsid w:val="00395333"/>
    <w:rsid w:val="00395390"/>
    <w:rsid w:val="00395402"/>
    <w:rsid w:val="00395536"/>
    <w:rsid w:val="00395729"/>
    <w:rsid w:val="00395934"/>
    <w:rsid w:val="00395C9F"/>
    <w:rsid w:val="003960A4"/>
    <w:rsid w:val="0039648E"/>
    <w:rsid w:val="00396671"/>
    <w:rsid w:val="003966B6"/>
    <w:rsid w:val="0039696E"/>
    <w:rsid w:val="00396A40"/>
    <w:rsid w:val="00396A4F"/>
    <w:rsid w:val="00397080"/>
    <w:rsid w:val="003970D9"/>
    <w:rsid w:val="00397109"/>
    <w:rsid w:val="0039718A"/>
    <w:rsid w:val="003971FE"/>
    <w:rsid w:val="003973C1"/>
    <w:rsid w:val="00397417"/>
    <w:rsid w:val="003976CE"/>
    <w:rsid w:val="00397CAD"/>
    <w:rsid w:val="00397D21"/>
    <w:rsid w:val="00397EA3"/>
    <w:rsid w:val="003A02CA"/>
    <w:rsid w:val="003A0529"/>
    <w:rsid w:val="003A073A"/>
    <w:rsid w:val="003A07FB"/>
    <w:rsid w:val="003A092C"/>
    <w:rsid w:val="003A0ADF"/>
    <w:rsid w:val="003A0B09"/>
    <w:rsid w:val="003A0C2F"/>
    <w:rsid w:val="003A0CBB"/>
    <w:rsid w:val="003A0D05"/>
    <w:rsid w:val="003A0EA6"/>
    <w:rsid w:val="003A11F1"/>
    <w:rsid w:val="003A132A"/>
    <w:rsid w:val="003A151A"/>
    <w:rsid w:val="003A158A"/>
    <w:rsid w:val="003A15BE"/>
    <w:rsid w:val="003A162B"/>
    <w:rsid w:val="003A1DE6"/>
    <w:rsid w:val="003A1FE0"/>
    <w:rsid w:val="003A20CE"/>
    <w:rsid w:val="003A2434"/>
    <w:rsid w:val="003A2570"/>
    <w:rsid w:val="003A279D"/>
    <w:rsid w:val="003A2C1F"/>
    <w:rsid w:val="003A2C6C"/>
    <w:rsid w:val="003A32C2"/>
    <w:rsid w:val="003A3505"/>
    <w:rsid w:val="003A361F"/>
    <w:rsid w:val="003A3692"/>
    <w:rsid w:val="003A38F0"/>
    <w:rsid w:val="003A3D40"/>
    <w:rsid w:val="003A422D"/>
    <w:rsid w:val="003A43EA"/>
    <w:rsid w:val="003A44DA"/>
    <w:rsid w:val="003A4577"/>
    <w:rsid w:val="003A4765"/>
    <w:rsid w:val="003A495B"/>
    <w:rsid w:val="003A4AA9"/>
    <w:rsid w:val="003A4AC8"/>
    <w:rsid w:val="003A4AD0"/>
    <w:rsid w:val="003A4C3A"/>
    <w:rsid w:val="003A4D6A"/>
    <w:rsid w:val="003A4E33"/>
    <w:rsid w:val="003A4EC0"/>
    <w:rsid w:val="003A4EE2"/>
    <w:rsid w:val="003A507C"/>
    <w:rsid w:val="003A5088"/>
    <w:rsid w:val="003A527F"/>
    <w:rsid w:val="003A531B"/>
    <w:rsid w:val="003A5576"/>
    <w:rsid w:val="003A5661"/>
    <w:rsid w:val="003A5669"/>
    <w:rsid w:val="003A5A45"/>
    <w:rsid w:val="003A5A95"/>
    <w:rsid w:val="003A5F21"/>
    <w:rsid w:val="003A609F"/>
    <w:rsid w:val="003A647E"/>
    <w:rsid w:val="003A662C"/>
    <w:rsid w:val="003A665C"/>
    <w:rsid w:val="003A6A74"/>
    <w:rsid w:val="003A6B66"/>
    <w:rsid w:val="003A6C0D"/>
    <w:rsid w:val="003A6C32"/>
    <w:rsid w:val="003A6D56"/>
    <w:rsid w:val="003A7190"/>
    <w:rsid w:val="003A7366"/>
    <w:rsid w:val="003A74C0"/>
    <w:rsid w:val="003A76C1"/>
    <w:rsid w:val="003A7777"/>
    <w:rsid w:val="003A77F7"/>
    <w:rsid w:val="003A79C6"/>
    <w:rsid w:val="003A7C2A"/>
    <w:rsid w:val="003A7CDB"/>
    <w:rsid w:val="003A7F3A"/>
    <w:rsid w:val="003A7F6C"/>
    <w:rsid w:val="003A7F8C"/>
    <w:rsid w:val="003B0036"/>
    <w:rsid w:val="003B005A"/>
    <w:rsid w:val="003B0081"/>
    <w:rsid w:val="003B01A8"/>
    <w:rsid w:val="003B0224"/>
    <w:rsid w:val="003B0543"/>
    <w:rsid w:val="003B05A7"/>
    <w:rsid w:val="003B05B0"/>
    <w:rsid w:val="003B094E"/>
    <w:rsid w:val="003B0AAC"/>
    <w:rsid w:val="003B0B3F"/>
    <w:rsid w:val="003B0C9F"/>
    <w:rsid w:val="003B0CFA"/>
    <w:rsid w:val="003B0E0D"/>
    <w:rsid w:val="003B0E1C"/>
    <w:rsid w:val="003B0E5E"/>
    <w:rsid w:val="003B0EDB"/>
    <w:rsid w:val="003B13DC"/>
    <w:rsid w:val="003B1728"/>
    <w:rsid w:val="003B19B7"/>
    <w:rsid w:val="003B1A38"/>
    <w:rsid w:val="003B1B5E"/>
    <w:rsid w:val="003B1B94"/>
    <w:rsid w:val="003B1D4E"/>
    <w:rsid w:val="003B1DF7"/>
    <w:rsid w:val="003B1E9E"/>
    <w:rsid w:val="003B1F76"/>
    <w:rsid w:val="003B1FF5"/>
    <w:rsid w:val="003B2855"/>
    <w:rsid w:val="003B2896"/>
    <w:rsid w:val="003B28A2"/>
    <w:rsid w:val="003B2CC8"/>
    <w:rsid w:val="003B2E07"/>
    <w:rsid w:val="003B2E9B"/>
    <w:rsid w:val="003B2EAF"/>
    <w:rsid w:val="003B2F0E"/>
    <w:rsid w:val="003B2F26"/>
    <w:rsid w:val="003B3046"/>
    <w:rsid w:val="003B3187"/>
    <w:rsid w:val="003B35D3"/>
    <w:rsid w:val="003B35F8"/>
    <w:rsid w:val="003B3CB1"/>
    <w:rsid w:val="003B3D25"/>
    <w:rsid w:val="003B3D92"/>
    <w:rsid w:val="003B4396"/>
    <w:rsid w:val="003B43FE"/>
    <w:rsid w:val="003B4418"/>
    <w:rsid w:val="003B4974"/>
    <w:rsid w:val="003B4A34"/>
    <w:rsid w:val="003B4A61"/>
    <w:rsid w:val="003B4BAD"/>
    <w:rsid w:val="003B4FF1"/>
    <w:rsid w:val="003B51AD"/>
    <w:rsid w:val="003B525A"/>
    <w:rsid w:val="003B5392"/>
    <w:rsid w:val="003B5908"/>
    <w:rsid w:val="003B5B64"/>
    <w:rsid w:val="003B5BA1"/>
    <w:rsid w:val="003B5E68"/>
    <w:rsid w:val="003B5E6F"/>
    <w:rsid w:val="003B65B7"/>
    <w:rsid w:val="003B65F2"/>
    <w:rsid w:val="003B66DF"/>
    <w:rsid w:val="003B6804"/>
    <w:rsid w:val="003B687F"/>
    <w:rsid w:val="003B69AB"/>
    <w:rsid w:val="003B6C07"/>
    <w:rsid w:val="003B6C33"/>
    <w:rsid w:val="003B6D3A"/>
    <w:rsid w:val="003B6E47"/>
    <w:rsid w:val="003B70CA"/>
    <w:rsid w:val="003B7195"/>
    <w:rsid w:val="003B771C"/>
    <w:rsid w:val="003B7A50"/>
    <w:rsid w:val="003B7B6A"/>
    <w:rsid w:val="003B7D7C"/>
    <w:rsid w:val="003B7F32"/>
    <w:rsid w:val="003C026C"/>
    <w:rsid w:val="003C0859"/>
    <w:rsid w:val="003C085D"/>
    <w:rsid w:val="003C0B3D"/>
    <w:rsid w:val="003C0C98"/>
    <w:rsid w:val="003C0CAF"/>
    <w:rsid w:val="003C10D7"/>
    <w:rsid w:val="003C1179"/>
    <w:rsid w:val="003C11B4"/>
    <w:rsid w:val="003C11BE"/>
    <w:rsid w:val="003C15A6"/>
    <w:rsid w:val="003C17D1"/>
    <w:rsid w:val="003C1A3D"/>
    <w:rsid w:val="003C1AF9"/>
    <w:rsid w:val="003C1BAA"/>
    <w:rsid w:val="003C203A"/>
    <w:rsid w:val="003C2267"/>
    <w:rsid w:val="003C2273"/>
    <w:rsid w:val="003C2282"/>
    <w:rsid w:val="003C2609"/>
    <w:rsid w:val="003C2639"/>
    <w:rsid w:val="003C27C7"/>
    <w:rsid w:val="003C29C9"/>
    <w:rsid w:val="003C2B3C"/>
    <w:rsid w:val="003C2C91"/>
    <w:rsid w:val="003C2FCE"/>
    <w:rsid w:val="003C30D7"/>
    <w:rsid w:val="003C30E4"/>
    <w:rsid w:val="003C30E7"/>
    <w:rsid w:val="003C33D4"/>
    <w:rsid w:val="003C35A4"/>
    <w:rsid w:val="003C35AB"/>
    <w:rsid w:val="003C3688"/>
    <w:rsid w:val="003C37DF"/>
    <w:rsid w:val="003C39B2"/>
    <w:rsid w:val="003C3C10"/>
    <w:rsid w:val="003C3CC9"/>
    <w:rsid w:val="003C3D53"/>
    <w:rsid w:val="003C4845"/>
    <w:rsid w:val="003C4A6C"/>
    <w:rsid w:val="003C4B1E"/>
    <w:rsid w:val="003C4B48"/>
    <w:rsid w:val="003C4DAF"/>
    <w:rsid w:val="003C4E84"/>
    <w:rsid w:val="003C4E95"/>
    <w:rsid w:val="003C4FBA"/>
    <w:rsid w:val="003C5B69"/>
    <w:rsid w:val="003C5C65"/>
    <w:rsid w:val="003C5C8E"/>
    <w:rsid w:val="003C5CE8"/>
    <w:rsid w:val="003C5D85"/>
    <w:rsid w:val="003C5E1F"/>
    <w:rsid w:val="003C6132"/>
    <w:rsid w:val="003C6229"/>
    <w:rsid w:val="003C6396"/>
    <w:rsid w:val="003C66F1"/>
    <w:rsid w:val="003C69DD"/>
    <w:rsid w:val="003C6B28"/>
    <w:rsid w:val="003C6BAC"/>
    <w:rsid w:val="003C6DC3"/>
    <w:rsid w:val="003C6E77"/>
    <w:rsid w:val="003C6EDC"/>
    <w:rsid w:val="003C6F16"/>
    <w:rsid w:val="003C78FF"/>
    <w:rsid w:val="003C7942"/>
    <w:rsid w:val="003C799E"/>
    <w:rsid w:val="003C79D5"/>
    <w:rsid w:val="003C7B98"/>
    <w:rsid w:val="003C7F3E"/>
    <w:rsid w:val="003C7FA5"/>
    <w:rsid w:val="003CD7FA"/>
    <w:rsid w:val="003D01A2"/>
    <w:rsid w:val="003D0305"/>
    <w:rsid w:val="003D0376"/>
    <w:rsid w:val="003D09C5"/>
    <w:rsid w:val="003D0BB5"/>
    <w:rsid w:val="003D0CBE"/>
    <w:rsid w:val="003D0DAB"/>
    <w:rsid w:val="003D0DC0"/>
    <w:rsid w:val="003D1527"/>
    <w:rsid w:val="003D1799"/>
    <w:rsid w:val="003D1971"/>
    <w:rsid w:val="003D1AA2"/>
    <w:rsid w:val="003D1ACF"/>
    <w:rsid w:val="003D1B28"/>
    <w:rsid w:val="003D1E18"/>
    <w:rsid w:val="003D1EB4"/>
    <w:rsid w:val="003D1FB2"/>
    <w:rsid w:val="003D2369"/>
    <w:rsid w:val="003D240D"/>
    <w:rsid w:val="003D2442"/>
    <w:rsid w:val="003D25B4"/>
    <w:rsid w:val="003D25DF"/>
    <w:rsid w:val="003D27E3"/>
    <w:rsid w:val="003D2822"/>
    <w:rsid w:val="003D29F3"/>
    <w:rsid w:val="003D2AC3"/>
    <w:rsid w:val="003D2D5A"/>
    <w:rsid w:val="003D2E5C"/>
    <w:rsid w:val="003D2F34"/>
    <w:rsid w:val="003D30F0"/>
    <w:rsid w:val="003D3100"/>
    <w:rsid w:val="003D3284"/>
    <w:rsid w:val="003D349F"/>
    <w:rsid w:val="003D34D8"/>
    <w:rsid w:val="003D3666"/>
    <w:rsid w:val="003D379F"/>
    <w:rsid w:val="003D392C"/>
    <w:rsid w:val="003D3945"/>
    <w:rsid w:val="003D3B39"/>
    <w:rsid w:val="003D3BCD"/>
    <w:rsid w:val="003D3BE4"/>
    <w:rsid w:val="003D3C28"/>
    <w:rsid w:val="003D3E57"/>
    <w:rsid w:val="003D3FE6"/>
    <w:rsid w:val="003D4012"/>
    <w:rsid w:val="003D4141"/>
    <w:rsid w:val="003D4347"/>
    <w:rsid w:val="003D45B4"/>
    <w:rsid w:val="003D482E"/>
    <w:rsid w:val="003D4846"/>
    <w:rsid w:val="003D48FC"/>
    <w:rsid w:val="003D4B02"/>
    <w:rsid w:val="003D4B1E"/>
    <w:rsid w:val="003D4B8A"/>
    <w:rsid w:val="003D4BE9"/>
    <w:rsid w:val="003D4DE3"/>
    <w:rsid w:val="003D51CA"/>
    <w:rsid w:val="003D52F0"/>
    <w:rsid w:val="003D532A"/>
    <w:rsid w:val="003D5687"/>
    <w:rsid w:val="003D56DD"/>
    <w:rsid w:val="003D5943"/>
    <w:rsid w:val="003D597C"/>
    <w:rsid w:val="003D5A26"/>
    <w:rsid w:val="003D5D6B"/>
    <w:rsid w:val="003D6055"/>
    <w:rsid w:val="003D616F"/>
    <w:rsid w:val="003D61E6"/>
    <w:rsid w:val="003D659E"/>
    <w:rsid w:val="003D65BD"/>
    <w:rsid w:val="003D6A13"/>
    <w:rsid w:val="003D6CD8"/>
    <w:rsid w:val="003D722E"/>
    <w:rsid w:val="003D7385"/>
    <w:rsid w:val="003D7422"/>
    <w:rsid w:val="003D7454"/>
    <w:rsid w:val="003D745A"/>
    <w:rsid w:val="003D745E"/>
    <w:rsid w:val="003D753B"/>
    <w:rsid w:val="003D7646"/>
    <w:rsid w:val="003D7877"/>
    <w:rsid w:val="003D7D7B"/>
    <w:rsid w:val="003D7E45"/>
    <w:rsid w:val="003D7FF6"/>
    <w:rsid w:val="003E015B"/>
    <w:rsid w:val="003E0160"/>
    <w:rsid w:val="003E0418"/>
    <w:rsid w:val="003E07FE"/>
    <w:rsid w:val="003E09B7"/>
    <w:rsid w:val="003E0DC0"/>
    <w:rsid w:val="003E1240"/>
    <w:rsid w:val="003E12FD"/>
    <w:rsid w:val="003E1344"/>
    <w:rsid w:val="003E1472"/>
    <w:rsid w:val="003E15E2"/>
    <w:rsid w:val="003E174D"/>
    <w:rsid w:val="003E17B9"/>
    <w:rsid w:val="003E18A6"/>
    <w:rsid w:val="003E1A93"/>
    <w:rsid w:val="003E1C2A"/>
    <w:rsid w:val="003E1D59"/>
    <w:rsid w:val="003E1E1F"/>
    <w:rsid w:val="003E1F62"/>
    <w:rsid w:val="003E2140"/>
    <w:rsid w:val="003E21BA"/>
    <w:rsid w:val="003E22C8"/>
    <w:rsid w:val="003E255A"/>
    <w:rsid w:val="003E25C0"/>
    <w:rsid w:val="003E2655"/>
    <w:rsid w:val="003E283A"/>
    <w:rsid w:val="003E28E6"/>
    <w:rsid w:val="003E2A3B"/>
    <w:rsid w:val="003E2C74"/>
    <w:rsid w:val="003E2CD6"/>
    <w:rsid w:val="003E2EC1"/>
    <w:rsid w:val="003E3337"/>
    <w:rsid w:val="003E33CC"/>
    <w:rsid w:val="003E340A"/>
    <w:rsid w:val="003E34C3"/>
    <w:rsid w:val="003E36BF"/>
    <w:rsid w:val="003E3A3C"/>
    <w:rsid w:val="003E3D27"/>
    <w:rsid w:val="003E3DB2"/>
    <w:rsid w:val="003E3EBB"/>
    <w:rsid w:val="003E3F3D"/>
    <w:rsid w:val="003E3F79"/>
    <w:rsid w:val="003E40D4"/>
    <w:rsid w:val="003E4191"/>
    <w:rsid w:val="003E419A"/>
    <w:rsid w:val="003E438D"/>
    <w:rsid w:val="003E440F"/>
    <w:rsid w:val="003E4410"/>
    <w:rsid w:val="003E494B"/>
    <w:rsid w:val="003E4A13"/>
    <w:rsid w:val="003E4A81"/>
    <w:rsid w:val="003E4AB4"/>
    <w:rsid w:val="003E4C77"/>
    <w:rsid w:val="003E4D2A"/>
    <w:rsid w:val="003E4E5A"/>
    <w:rsid w:val="003E505A"/>
    <w:rsid w:val="003E50E4"/>
    <w:rsid w:val="003E54BC"/>
    <w:rsid w:val="003E55F1"/>
    <w:rsid w:val="003E56E7"/>
    <w:rsid w:val="003E582A"/>
    <w:rsid w:val="003E5C2D"/>
    <w:rsid w:val="003E5C9A"/>
    <w:rsid w:val="003E5D31"/>
    <w:rsid w:val="003E5F97"/>
    <w:rsid w:val="003E5FAF"/>
    <w:rsid w:val="003E62C5"/>
    <w:rsid w:val="003E6751"/>
    <w:rsid w:val="003E6A08"/>
    <w:rsid w:val="003E6A6E"/>
    <w:rsid w:val="003E6C52"/>
    <w:rsid w:val="003E6E6F"/>
    <w:rsid w:val="003E7033"/>
    <w:rsid w:val="003E703B"/>
    <w:rsid w:val="003E71D7"/>
    <w:rsid w:val="003E7200"/>
    <w:rsid w:val="003E75DD"/>
    <w:rsid w:val="003E79C5"/>
    <w:rsid w:val="003F067F"/>
    <w:rsid w:val="003F069A"/>
    <w:rsid w:val="003F06FC"/>
    <w:rsid w:val="003F0892"/>
    <w:rsid w:val="003F091C"/>
    <w:rsid w:val="003F098A"/>
    <w:rsid w:val="003F09CC"/>
    <w:rsid w:val="003F0A55"/>
    <w:rsid w:val="003F1038"/>
    <w:rsid w:val="003F1105"/>
    <w:rsid w:val="003F1167"/>
    <w:rsid w:val="003F1674"/>
    <w:rsid w:val="003F18AF"/>
    <w:rsid w:val="003F1B54"/>
    <w:rsid w:val="003F1BD7"/>
    <w:rsid w:val="003F1FF8"/>
    <w:rsid w:val="003F21B0"/>
    <w:rsid w:val="003F24B3"/>
    <w:rsid w:val="003F2528"/>
    <w:rsid w:val="003F2728"/>
    <w:rsid w:val="003F2AD0"/>
    <w:rsid w:val="003F3042"/>
    <w:rsid w:val="003F3054"/>
    <w:rsid w:val="003F3099"/>
    <w:rsid w:val="003F30EC"/>
    <w:rsid w:val="003F30F7"/>
    <w:rsid w:val="003F3219"/>
    <w:rsid w:val="003F3621"/>
    <w:rsid w:val="003F37C3"/>
    <w:rsid w:val="003F37EF"/>
    <w:rsid w:val="003F39B6"/>
    <w:rsid w:val="003F3D9D"/>
    <w:rsid w:val="003F41C9"/>
    <w:rsid w:val="003F41EA"/>
    <w:rsid w:val="003F4264"/>
    <w:rsid w:val="003F4329"/>
    <w:rsid w:val="003F481E"/>
    <w:rsid w:val="003F4827"/>
    <w:rsid w:val="003F4963"/>
    <w:rsid w:val="003F4978"/>
    <w:rsid w:val="003F4AAE"/>
    <w:rsid w:val="003F4BA4"/>
    <w:rsid w:val="003F4C45"/>
    <w:rsid w:val="003F5513"/>
    <w:rsid w:val="003F59C6"/>
    <w:rsid w:val="003F5BB4"/>
    <w:rsid w:val="003F5BE7"/>
    <w:rsid w:val="003F6154"/>
    <w:rsid w:val="003F6395"/>
    <w:rsid w:val="003F645E"/>
    <w:rsid w:val="003F648D"/>
    <w:rsid w:val="003F675A"/>
    <w:rsid w:val="003F677B"/>
    <w:rsid w:val="003F6BD3"/>
    <w:rsid w:val="003F6E25"/>
    <w:rsid w:val="003F6E46"/>
    <w:rsid w:val="003F6FF8"/>
    <w:rsid w:val="003F7312"/>
    <w:rsid w:val="003F74EB"/>
    <w:rsid w:val="003F7587"/>
    <w:rsid w:val="003F7688"/>
    <w:rsid w:val="003F7A32"/>
    <w:rsid w:val="003F7ABF"/>
    <w:rsid w:val="003F7FCA"/>
    <w:rsid w:val="003F7FEA"/>
    <w:rsid w:val="00400004"/>
    <w:rsid w:val="004002B9"/>
    <w:rsid w:val="004002FB"/>
    <w:rsid w:val="00400761"/>
    <w:rsid w:val="00400B2A"/>
    <w:rsid w:val="00401028"/>
    <w:rsid w:val="0040103C"/>
    <w:rsid w:val="004010E4"/>
    <w:rsid w:val="004014C8"/>
    <w:rsid w:val="00401514"/>
    <w:rsid w:val="0040154F"/>
    <w:rsid w:val="0040164C"/>
    <w:rsid w:val="00401F69"/>
    <w:rsid w:val="00401FBB"/>
    <w:rsid w:val="0040202D"/>
    <w:rsid w:val="0040215C"/>
    <w:rsid w:val="004021DA"/>
    <w:rsid w:val="004025B9"/>
    <w:rsid w:val="004025BC"/>
    <w:rsid w:val="00402ABA"/>
    <w:rsid w:val="00402D4D"/>
    <w:rsid w:val="00402E8A"/>
    <w:rsid w:val="00402F26"/>
    <w:rsid w:val="0040308E"/>
    <w:rsid w:val="004032B8"/>
    <w:rsid w:val="0040382A"/>
    <w:rsid w:val="0040382E"/>
    <w:rsid w:val="00403A40"/>
    <w:rsid w:val="00403C86"/>
    <w:rsid w:val="00403D85"/>
    <w:rsid w:val="00403DBE"/>
    <w:rsid w:val="0040415B"/>
    <w:rsid w:val="0040423C"/>
    <w:rsid w:val="0040442A"/>
    <w:rsid w:val="004045D7"/>
    <w:rsid w:val="00404756"/>
    <w:rsid w:val="00404788"/>
    <w:rsid w:val="00404922"/>
    <w:rsid w:val="00404C31"/>
    <w:rsid w:val="00404E4E"/>
    <w:rsid w:val="00404F1E"/>
    <w:rsid w:val="00405108"/>
    <w:rsid w:val="0040514D"/>
    <w:rsid w:val="00405545"/>
    <w:rsid w:val="00405608"/>
    <w:rsid w:val="00405862"/>
    <w:rsid w:val="00405A6D"/>
    <w:rsid w:val="00405B8F"/>
    <w:rsid w:val="00405BD4"/>
    <w:rsid w:val="00405DF1"/>
    <w:rsid w:val="00405E4F"/>
    <w:rsid w:val="00405EB4"/>
    <w:rsid w:val="0040601A"/>
    <w:rsid w:val="004062B4"/>
    <w:rsid w:val="004062C2"/>
    <w:rsid w:val="00406384"/>
    <w:rsid w:val="00406388"/>
    <w:rsid w:val="00406709"/>
    <w:rsid w:val="004067FF"/>
    <w:rsid w:val="00406AD7"/>
    <w:rsid w:val="00406F75"/>
    <w:rsid w:val="0040708D"/>
    <w:rsid w:val="004072FC"/>
    <w:rsid w:val="00407621"/>
    <w:rsid w:val="0040781B"/>
    <w:rsid w:val="00407C06"/>
    <w:rsid w:val="004100F9"/>
    <w:rsid w:val="00410134"/>
    <w:rsid w:val="00410323"/>
    <w:rsid w:val="00410444"/>
    <w:rsid w:val="004105C9"/>
    <w:rsid w:val="004108D6"/>
    <w:rsid w:val="00410A4E"/>
    <w:rsid w:val="00410B53"/>
    <w:rsid w:val="00410C3F"/>
    <w:rsid w:val="00410C8D"/>
    <w:rsid w:val="004117EC"/>
    <w:rsid w:val="004117FD"/>
    <w:rsid w:val="00411914"/>
    <w:rsid w:val="004119A8"/>
    <w:rsid w:val="00411B05"/>
    <w:rsid w:val="00411E92"/>
    <w:rsid w:val="00411E99"/>
    <w:rsid w:val="00411FD6"/>
    <w:rsid w:val="00412307"/>
    <w:rsid w:val="00412313"/>
    <w:rsid w:val="004123D1"/>
    <w:rsid w:val="00412534"/>
    <w:rsid w:val="004126FA"/>
    <w:rsid w:val="0041276D"/>
    <w:rsid w:val="004127B7"/>
    <w:rsid w:val="004127C4"/>
    <w:rsid w:val="00412A73"/>
    <w:rsid w:val="00412C02"/>
    <w:rsid w:val="00412C83"/>
    <w:rsid w:val="00412E1C"/>
    <w:rsid w:val="0041309B"/>
    <w:rsid w:val="004133E7"/>
    <w:rsid w:val="0041345B"/>
    <w:rsid w:val="004135B9"/>
    <w:rsid w:val="00413735"/>
    <w:rsid w:val="00413930"/>
    <w:rsid w:val="0041396D"/>
    <w:rsid w:val="00413970"/>
    <w:rsid w:val="00413BAE"/>
    <w:rsid w:val="00414273"/>
    <w:rsid w:val="0041429F"/>
    <w:rsid w:val="004142C0"/>
    <w:rsid w:val="00414433"/>
    <w:rsid w:val="00414809"/>
    <w:rsid w:val="0041487D"/>
    <w:rsid w:val="00414A9D"/>
    <w:rsid w:val="00414AB0"/>
    <w:rsid w:val="00414B7C"/>
    <w:rsid w:val="00414BF3"/>
    <w:rsid w:val="00414E8E"/>
    <w:rsid w:val="00414EDD"/>
    <w:rsid w:val="00414EF8"/>
    <w:rsid w:val="00415115"/>
    <w:rsid w:val="0041513E"/>
    <w:rsid w:val="00415613"/>
    <w:rsid w:val="00415687"/>
    <w:rsid w:val="00415783"/>
    <w:rsid w:val="004157F2"/>
    <w:rsid w:val="004158DF"/>
    <w:rsid w:val="004158F6"/>
    <w:rsid w:val="0041598A"/>
    <w:rsid w:val="00415AAB"/>
    <w:rsid w:val="00415C08"/>
    <w:rsid w:val="00415C0B"/>
    <w:rsid w:val="00415C11"/>
    <w:rsid w:val="00415C1C"/>
    <w:rsid w:val="00415CA9"/>
    <w:rsid w:val="00415DA9"/>
    <w:rsid w:val="00415FA9"/>
    <w:rsid w:val="00416090"/>
    <w:rsid w:val="0041623A"/>
    <w:rsid w:val="00416258"/>
    <w:rsid w:val="0041650A"/>
    <w:rsid w:val="004166CC"/>
    <w:rsid w:val="004167F2"/>
    <w:rsid w:val="004167FE"/>
    <w:rsid w:val="00416CDA"/>
    <w:rsid w:val="00416EAE"/>
    <w:rsid w:val="0041713C"/>
    <w:rsid w:val="0041716C"/>
    <w:rsid w:val="004171C1"/>
    <w:rsid w:val="004171F7"/>
    <w:rsid w:val="00417268"/>
    <w:rsid w:val="00417761"/>
    <w:rsid w:val="00417812"/>
    <w:rsid w:val="00417A96"/>
    <w:rsid w:val="00417C1A"/>
    <w:rsid w:val="0042011D"/>
    <w:rsid w:val="00420356"/>
    <w:rsid w:val="004205FF"/>
    <w:rsid w:val="004208FB"/>
    <w:rsid w:val="00420937"/>
    <w:rsid w:val="004209FC"/>
    <w:rsid w:val="00420E17"/>
    <w:rsid w:val="00420FFE"/>
    <w:rsid w:val="0042108A"/>
    <w:rsid w:val="00421190"/>
    <w:rsid w:val="00421AB8"/>
    <w:rsid w:val="00421B0D"/>
    <w:rsid w:val="00421D21"/>
    <w:rsid w:val="00421D72"/>
    <w:rsid w:val="00421DCF"/>
    <w:rsid w:val="00421F9E"/>
    <w:rsid w:val="004220C3"/>
    <w:rsid w:val="004223FF"/>
    <w:rsid w:val="00422453"/>
    <w:rsid w:val="004225A1"/>
    <w:rsid w:val="004225E5"/>
    <w:rsid w:val="004226F3"/>
    <w:rsid w:val="00422872"/>
    <w:rsid w:val="00422E29"/>
    <w:rsid w:val="00423035"/>
    <w:rsid w:val="004233D4"/>
    <w:rsid w:val="0042347B"/>
    <w:rsid w:val="004234D2"/>
    <w:rsid w:val="004237CC"/>
    <w:rsid w:val="004239F3"/>
    <w:rsid w:val="00423A9C"/>
    <w:rsid w:val="00423CE2"/>
    <w:rsid w:val="00423D20"/>
    <w:rsid w:val="004245C9"/>
    <w:rsid w:val="00424A19"/>
    <w:rsid w:val="00424C73"/>
    <w:rsid w:val="00424D67"/>
    <w:rsid w:val="00424EA4"/>
    <w:rsid w:val="00424FBC"/>
    <w:rsid w:val="004253C6"/>
    <w:rsid w:val="00425499"/>
    <w:rsid w:val="0042559C"/>
    <w:rsid w:val="004257F1"/>
    <w:rsid w:val="00425A5C"/>
    <w:rsid w:val="00425C5A"/>
    <w:rsid w:val="00425F28"/>
    <w:rsid w:val="00426014"/>
    <w:rsid w:val="00426079"/>
    <w:rsid w:val="004260F0"/>
    <w:rsid w:val="0042615D"/>
    <w:rsid w:val="0042622D"/>
    <w:rsid w:val="00426273"/>
    <w:rsid w:val="004263B8"/>
    <w:rsid w:val="0042651E"/>
    <w:rsid w:val="00426522"/>
    <w:rsid w:val="00426531"/>
    <w:rsid w:val="00426573"/>
    <w:rsid w:val="0042666A"/>
    <w:rsid w:val="00426A33"/>
    <w:rsid w:val="00426B21"/>
    <w:rsid w:val="00426D69"/>
    <w:rsid w:val="0042703D"/>
    <w:rsid w:val="00427064"/>
    <w:rsid w:val="004271CE"/>
    <w:rsid w:val="0042736D"/>
    <w:rsid w:val="0042742D"/>
    <w:rsid w:val="0042757B"/>
    <w:rsid w:val="004275E3"/>
    <w:rsid w:val="004277FC"/>
    <w:rsid w:val="00427847"/>
    <w:rsid w:val="00427A62"/>
    <w:rsid w:val="00427ABA"/>
    <w:rsid w:val="00427B29"/>
    <w:rsid w:val="00427C1A"/>
    <w:rsid w:val="00427C78"/>
    <w:rsid w:val="00427CDF"/>
    <w:rsid w:val="00427F22"/>
    <w:rsid w:val="004303FA"/>
    <w:rsid w:val="00430521"/>
    <w:rsid w:val="00430652"/>
    <w:rsid w:val="00430A68"/>
    <w:rsid w:val="00430A74"/>
    <w:rsid w:val="00430A8D"/>
    <w:rsid w:val="00430CC3"/>
    <w:rsid w:val="00430DFC"/>
    <w:rsid w:val="00430ED0"/>
    <w:rsid w:val="00430F96"/>
    <w:rsid w:val="0043100C"/>
    <w:rsid w:val="004310A6"/>
    <w:rsid w:val="004310B1"/>
    <w:rsid w:val="004311B0"/>
    <w:rsid w:val="004312E2"/>
    <w:rsid w:val="00431317"/>
    <w:rsid w:val="0043137B"/>
    <w:rsid w:val="004313D1"/>
    <w:rsid w:val="004313D2"/>
    <w:rsid w:val="004315B8"/>
    <w:rsid w:val="004317BF"/>
    <w:rsid w:val="00431A36"/>
    <w:rsid w:val="00431E16"/>
    <w:rsid w:val="00432025"/>
    <w:rsid w:val="004323FB"/>
    <w:rsid w:val="004327A5"/>
    <w:rsid w:val="0043282E"/>
    <w:rsid w:val="00432927"/>
    <w:rsid w:val="00432B53"/>
    <w:rsid w:val="004332D8"/>
    <w:rsid w:val="004339CB"/>
    <w:rsid w:val="004339DF"/>
    <w:rsid w:val="00434227"/>
    <w:rsid w:val="00434410"/>
    <w:rsid w:val="004344DE"/>
    <w:rsid w:val="0043462C"/>
    <w:rsid w:val="004347C1"/>
    <w:rsid w:val="0043496A"/>
    <w:rsid w:val="00434C69"/>
    <w:rsid w:val="00434CF2"/>
    <w:rsid w:val="00434DFA"/>
    <w:rsid w:val="00434E29"/>
    <w:rsid w:val="00434FBC"/>
    <w:rsid w:val="00435024"/>
    <w:rsid w:val="00435499"/>
    <w:rsid w:val="00435584"/>
    <w:rsid w:val="00435593"/>
    <w:rsid w:val="00435740"/>
    <w:rsid w:val="004358A7"/>
    <w:rsid w:val="004358D8"/>
    <w:rsid w:val="00435ACB"/>
    <w:rsid w:val="00435DC1"/>
    <w:rsid w:val="00435EF9"/>
    <w:rsid w:val="00435F34"/>
    <w:rsid w:val="004360E1"/>
    <w:rsid w:val="00436138"/>
    <w:rsid w:val="0043636F"/>
    <w:rsid w:val="0043654B"/>
    <w:rsid w:val="00436559"/>
    <w:rsid w:val="004366A7"/>
    <w:rsid w:val="0043672C"/>
    <w:rsid w:val="004367C4"/>
    <w:rsid w:val="004367E2"/>
    <w:rsid w:val="004368CF"/>
    <w:rsid w:val="00436ADE"/>
    <w:rsid w:val="00436E1F"/>
    <w:rsid w:val="0043727C"/>
    <w:rsid w:val="0043734F"/>
    <w:rsid w:val="004373DE"/>
    <w:rsid w:val="00437469"/>
    <w:rsid w:val="004374F1"/>
    <w:rsid w:val="00437ACE"/>
    <w:rsid w:val="00437C97"/>
    <w:rsid w:val="00437CC4"/>
    <w:rsid w:val="00437F30"/>
    <w:rsid w:val="00440155"/>
    <w:rsid w:val="004404C6"/>
    <w:rsid w:val="0044051E"/>
    <w:rsid w:val="0044075E"/>
    <w:rsid w:val="00440911"/>
    <w:rsid w:val="00440D38"/>
    <w:rsid w:val="00440E18"/>
    <w:rsid w:val="00440ED7"/>
    <w:rsid w:val="00440F19"/>
    <w:rsid w:val="0044126F"/>
    <w:rsid w:val="00441275"/>
    <w:rsid w:val="0044131C"/>
    <w:rsid w:val="0044131E"/>
    <w:rsid w:val="00441458"/>
    <w:rsid w:val="00441528"/>
    <w:rsid w:val="00441644"/>
    <w:rsid w:val="00441721"/>
    <w:rsid w:val="00441E13"/>
    <w:rsid w:val="00441E75"/>
    <w:rsid w:val="00441ED5"/>
    <w:rsid w:val="00441FBD"/>
    <w:rsid w:val="00441FD6"/>
    <w:rsid w:val="00442069"/>
    <w:rsid w:val="0044214E"/>
    <w:rsid w:val="0044271F"/>
    <w:rsid w:val="004427F2"/>
    <w:rsid w:val="00442A16"/>
    <w:rsid w:val="00442AFE"/>
    <w:rsid w:val="00442C28"/>
    <w:rsid w:val="00442CA9"/>
    <w:rsid w:val="00442CDA"/>
    <w:rsid w:val="00442D2D"/>
    <w:rsid w:val="00442DD2"/>
    <w:rsid w:val="004434AE"/>
    <w:rsid w:val="004434CD"/>
    <w:rsid w:val="004436C5"/>
    <w:rsid w:val="004437FB"/>
    <w:rsid w:val="00443923"/>
    <w:rsid w:val="00443D7F"/>
    <w:rsid w:val="00443F07"/>
    <w:rsid w:val="004440AA"/>
    <w:rsid w:val="00444208"/>
    <w:rsid w:val="0044441A"/>
    <w:rsid w:val="0044462C"/>
    <w:rsid w:val="00444711"/>
    <w:rsid w:val="00444B6A"/>
    <w:rsid w:val="00444C65"/>
    <w:rsid w:val="00444D52"/>
    <w:rsid w:val="00444EC4"/>
    <w:rsid w:val="00445275"/>
    <w:rsid w:val="00445475"/>
    <w:rsid w:val="00445712"/>
    <w:rsid w:val="00445871"/>
    <w:rsid w:val="004459DD"/>
    <w:rsid w:val="00445BB3"/>
    <w:rsid w:val="00445BE7"/>
    <w:rsid w:val="00445E04"/>
    <w:rsid w:val="00445E25"/>
    <w:rsid w:val="00445E86"/>
    <w:rsid w:val="0044603E"/>
    <w:rsid w:val="0044617E"/>
    <w:rsid w:val="00446481"/>
    <w:rsid w:val="004464C7"/>
    <w:rsid w:val="004465C4"/>
    <w:rsid w:val="004466C3"/>
    <w:rsid w:val="00446771"/>
    <w:rsid w:val="00446885"/>
    <w:rsid w:val="004468C2"/>
    <w:rsid w:val="00446982"/>
    <w:rsid w:val="00446BEE"/>
    <w:rsid w:val="00446C27"/>
    <w:rsid w:val="00446C93"/>
    <w:rsid w:val="00446D38"/>
    <w:rsid w:val="00446D56"/>
    <w:rsid w:val="00446D7D"/>
    <w:rsid w:val="00446E0A"/>
    <w:rsid w:val="00446FBD"/>
    <w:rsid w:val="0044745C"/>
    <w:rsid w:val="004475FF"/>
    <w:rsid w:val="00447644"/>
    <w:rsid w:val="0044787C"/>
    <w:rsid w:val="00447929"/>
    <w:rsid w:val="00447946"/>
    <w:rsid w:val="00447A94"/>
    <w:rsid w:val="00447A9E"/>
    <w:rsid w:val="00447B0C"/>
    <w:rsid w:val="00447B15"/>
    <w:rsid w:val="0045057C"/>
    <w:rsid w:val="00450B52"/>
    <w:rsid w:val="00450BC0"/>
    <w:rsid w:val="00450CED"/>
    <w:rsid w:val="00450D65"/>
    <w:rsid w:val="00450FA6"/>
    <w:rsid w:val="00451041"/>
    <w:rsid w:val="00451257"/>
    <w:rsid w:val="004513E4"/>
    <w:rsid w:val="00451696"/>
    <w:rsid w:val="0045169F"/>
    <w:rsid w:val="004516ED"/>
    <w:rsid w:val="00452048"/>
    <w:rsid w:val="004520EB"/>
    <w:rsid w:val="00452206"/>
    <w:rsid w:val="00452238"/>
    <w:rsid w:val="00452400"/>
    <w:rsid w:val="004526E1"/>
    <w:rsid w:val="004526FB"/>
    <w:rsid w:val="00452B53"/>
    <w:rsid w:val="00452DEB"/>
    <w:rsid w:val="00452EC0"/>
    <w:rsid w:val="00452F5B"/>
    <w:rsid w:val="0045301A"/>
    <w:rsid w:val="0045308C"/>
    <w:rsid w:val="00453269"/>
    <w:rsid w:val="00453294"/>
    <w:rsid w:val="0045391E"/>
    <w:rsid w:val="0045397E"/>
    <w:rsid w:val="0045399C"/>
    <w:rsid w:val="00453A56"/>
    <w:rsid w:val="00453B33"/>
    <w:rsid w:val="00453CC8"/>
    <w:rsid w:val="004541CE"/>
    <w:rsid w:val="00454808"/>
    <w:rsid w:val="00454983"/>
    <w:rsid w:val="00454A67"/>
    <w:rsid w:val="00454AB7"/>
    <w:rsid w:val="00454F7E"/>
    <w:rsid w:val="004553AF"/>
    <w:rsid w:val="00455497"/>
    <w:rsid w:val="00455688"/>
    <w:rsid w:val="004558C5"/>
    <w:rsid w:val="00455B3C"/>
    <w:rsid w:val="00455BCA"/>
    <w:rsid w:val="00455D1B"/>
    <w:rsid w:val="00455D79"/>
    <w:rsid w:val="00455F04"/>
    <w:rsid w:val="00455F1B"/>
    <w:rsid w:val="00456067"/>
    <w:rsid w:val="004561F8"/>
    <w:rsid w:val="00456651"/>
    <w:rsid w:val="0045671F"/>
    <w:rsid w:val="00456A37"/>
    <w:rsid w:val="00456A8A"/>
    <w:rsid w:val="00456C7D"/>
    <w:rsid w:val="00456DCE"/>
    <w:rsid w:val="0045701C"/>
    <w:rsid w:val="00457384"/>
    <w:rsid w:val="004573BA"/>
    <w:rsid w:val="0045743E"/>
    <w:rsid w:val="004575A9"/>
    <w:rsid w:val="00457749"/>
    <w:rsid w:val="004578A6"/>
    <w:rsid w:val="00457908"/>
    <w:rsid w:val="0045791B"/>
    <w:rsid w:val="00457AB1"/>
    <w:rsid w:val="00457CA1"/>
    <w:rsid w:val="00457D1A"/>
    <w:rsid w:val="00457F10"/>
    <w:rsid w:val="00460354"/>
    <w:rsid w:val="00460585"/>
    <w:rsid w:val="0046078B"/>
    <w:rsid w:val="00460863"/>
    <w:rsid w:val="00460A72"/>
    <w:rsid w:val="00460B56"/>
    <w:rsid w:val="00460B7D"/>
    <w:rsid w:val="00460D5E"/>
    <w:rsid w:val="00460ED0"/>
    <w:rsid w:val="00460F79"/>
    <w:rsid w:val="00460FC3"/>
    <w:rsid w:val="0046107D"/>
    <w:rsid w:val="004610EB"/>
    <w:rsid w:val="0046157F"/>
    <w:rsid w:val="00461682"/>
    <w:rsid w:val="00461805"/>
    <w:rsid w:val="004618F6"/>
    <w:rsid w:val="00461B28"/>
    <w:rsid w:val="00461C10"/>
    <w:rsid w:val="00461EDA"/>
    <w:rsid w:val="00461EE2"/>
    <w:rsid w:val="004620A1"/>
    <w:rsid w:val="0046217D"/>
    <w:rsid w:val="00462193"/>
    <w:rsid w:val="00462336"/>
    <w:rsid w:val="0046247C"/>
    <w:rsid w:val="004627D6"/>
    <w:rsid w:val="0046291D"/>
    <w:rsid w:val="00462AD3"/>
    <w:rsid w:val="00462ADE"/>
    <w:rsid w:val="00462CC6"/>
    <w:rsid w:val="00462D20"/>
    <w:rsid w:val="00462D63"/>
    <w:rsid w:val="00462DE0"/>
    <w:rsid w:val="00462E5E"/>
    <w:rsid w:val="00463103"/>
    <w:rsid w:val="004631D3"/>
    <w:rsid w:val="004631E1"/>
    <w:rsid w:val="0046336F"/>
    <w:rsid w:val="0046341F"/>
    <w:rsid w:val="004635F6"/>
    <w:rsid w:val="004636AE"/>
    <w:rsid w:val="00463833"/>
    <w:rsid w:val="0046384C"/>
    <w:rsid w:val="004639AF"/>
    <w:rsid w:val="00463B95"/>
    <w:rsid w:val="00463FA1"/>
    <w:rsid w:val="00464071"/>
    <w:rsid w:val="004640A2"/>
    <w:rsid w:val="004642C0"/>
    <w:rsid w:val="00464374"/>
    <w:rsid w:val="004644A7"/>
    <w:rsid w:val="00464624"/>
    <w:rsid w:val="004646B0"/>
    <w:rsid w:val="004650BB"/>
    <w:rsid w:val="0046517C"/>
    <w:rsid w:val="0046520E"/>
    <w:rsid w:val="00465355"/>
    <w:rsid w:val="0046576A"/>
    <w:rsid w:val="00465AE6"/>
    <w:rsid w:val="00465CBD"/>
    <w:rsid w:val="00466537"/>
    <w:rsid w:val="00466681"/>
    <w:rsid w:val="004668D3"/>
    <w:rsid w:val="00466B4E"/>
    <w:rsid w:val="00466C33"/>
    <w:rsid w:val="00466D2D"/>
    <w:rsid w:val="0046702C"/>
    <w:rsid w:val="00467101"/>
    <w:rsid w:val="004671C4"/>
    <w:rsid w:val="00467276"/>
    <w:rsid w:val="0046739B"/>
    <w:rsid w:val="00467439"/>
    <w:rsid w:val="0046743D"/>
    <w:rsid w:val="004677E1"/>
    <w:rsid w:val="00467A8A"/>
    <w:rsid w:val="00467CE4"/>
    <w:rsid w:val="00467E6D"/>
    <w:rsid w:val="0047011B"/>
    <w:rsid w:val="00470308"/>
    <w:rsid w:val="004705F4"/>
    <w:rsid w:val="00470705"/>
    <w:rsid w:val="004707AF"/>
    <w:rsid w:val="004708EC"/>
    <w:rsid w:val="00470967"/>
    <w:rsid w:val="00470975"/>
    <w:rsid w:val="00470C49"/>
    <w:rsid w:val="00470C6A"/>
    <w:rsid w:val="00470E63"/>
    <w:rsid w:val="00470F20"/>
    <w:rsid w:val="00470FB2"/>
    <w:rsid w:val="004710CC"/>
    <w:rsid w:val="004713E0"/>
    <w:rsid w:val="00471555"/>
    <w:rsid w:val="004716A8"/>
    <w:rsid w:val="004719BD"/>
    <w:rsid w:val="00471B1D"/>
    <w:rsid w:val="00471BC9"/>
    <w:rsid w:val="00471E46"/>
    <w:rsid w:val="00471E49"/>
    <w:rsid w:val="0047209C"/>
    <w:rsid w:val="004720EF"/>
    <w:rsid w:val="004721C9"/>
    <w:rsid w:val="004723D9"/>
    <w:rsid w:val="004724BF"/>
    <w:rsid w:val="00472714"/>
    <w:rsid w:val="004727FB"/>
    <w:rsid w:val="0047289F"/>
    <w:rsid w:val="004728F1"/>
    <w:rsid w:val="00472A51"/>
    <w:rsid w:val="00472B09"/>
    <w:rsid w:val="00472B4B"/>
    <w:rsid w:val="00472B67"/>
    <w:rsid w:val="00472EFF"/>
    <w:rsid w:val="00473218"/>
    <w:rsid w:val="00473255"/>
    <w:rsid w:val="0047353B"/>
    <w:rsid w:val="004738AA"/>
    <w:rsid w:val="004738EE"/>
    <w:rsid w:val="00473953"/>
    <w:rsid w:val="00473D41"/>
    <w:rsid w:val="00474120"/>
    <w:rsid w:val="004741D6"/>
    <w:rsid w:val="004743C6"/>
    <w:rsid w:val="00474408"/>
    <w:rsid w:val="00474618"/>
    <w:rsid w:val="0047471D"/>
    <w:rsid w:val="00474A87"/>
    <w:rsid w:val="00474B6E"/>
    <w:rsid w:val="00474CE3"/>
    <w:rsid w:val="00474E34"/>
    <w:rsid w:val="00475103"/>
    <w:rsid w:val="004753D3"/>
    <w:rsid w:val="0047557A"/>
    <w:rsid w:val="00475756"/>
    <w:rsid w:val="0047576D"/>
    <w:rsid w:val="004758B9"/>
    <w:rsid w:val="00475970"/>
    <w:rsid w:val="00475AEE"/>
    <w:rsid w:val="00475D80"/>
    <w:rsid w:val="00475EAB"/>
    <w:rsid w:val="00476165"/>
    <w:rsid w:val="0047618D"/>
    <w:rsid w:val="00476207"/>
    <w:rsid w:val="00476295"/>
    <w:rsid w:val="004763C1"/>
    <w:rsid w:val="004764D9"/>
    <w:rsid w:val="00476C29"/>
    <w:rsid w:val="00476C3E"/>
    <w:rsid w:val="00477296"/>
    <w:rsid w:val="004773E9"/>
    <w:rsid w:val="00477A53"/>
    <w:rsid w:val="00477A8F"/>
    <w:rsid w:val="00477B8C"/>
    <w:rsid w:val="00477BD4"/>
    <w:rsid w:val="00477DE4"/>
    <w:rsid w:val="00477E0C"/>
    <w:rsid w:val="00477EC2"/>
    <w:rsid w:val="00477EE7"/>
    <w:rsid w:val="00480018"/>
    <w:rsid w:val="0048005D"/>
    <w:rsid w:val="00480119"/>
    <w:rsid w:val="00480181"/>
    <w:rsid w:val="00480459"/>
    <w:rsid w:val="0048079D"/>
    <w:rsid w:val="004809BB"/>
    <w:rsid w:val="00480BC1"/>
    <w:rsid w:val="00480C7B"/>
    <w:rsid w:val="00480CB0"/>
    <w:rsid w:val="00481061"/>
    <w:rsid w:val="00481126"/>
    <w:rsid w:val="00481666"/>
    <w:rsid w:val="00481757"/>
    <w:rsid w:val="0048178F"/>
    <w:rsid w:val="00481883"/>
    <w:rsid w:val="004818A2"/>
    <w:rsid w:val="00481AFC"/>
    <w:rsid w:val="00481D9C"/>
    <w:rsid w:val="00481FC6"/>
    <w:rsid w:val="00481FC9"/>
    <w:rsid w:val="0048254D"/>
    <w:rsid w:val="00482676"/>
    <w:rsid w:val="00482876"/>
    <w:rsid w:val="00482B77"/>
    <w:rsid w:val="00483111"/>
    <w:rsid w:val="004831CF"/>
    <w:rsid w:val="0048322B"/>
    <w:rsid w:val="00483239"/>
    <w:rsid w:val="004834DD"/>
    <w:rsid w:val="00483603"/>
    <w:rsid w:val="00483770"/>
    <w:rsid w:val="00483829"/>
    <w:rsid w:val="00483902"/>
    <w:rsid w:val="00483DDA"/>
    <w:rsid w:val="00483E01"/>
    <w:rsid w:val="004840AC"/>
    <w:rsid w:val="0048420F"/>
    <w:rsid w:val="00484412"/>
    <w:rsid w:val="00484418"/>
    <w:rsid w:val="004844A2"/>
    <w:rsid w:val="0048484D"/>
    <w:rsid w:val="00484A68"/>
    <w:rsid w:val="00484E15"/>
    <w:rsid w:val="00484F5F"/>
    <w:rsid w:val="00484FE7"/>
    <w:rsid w:val="004851E2"/>
    <w:rsid w:val="00485310"/>
    <w:rsid w:val="004854ED"/>
    <w:rsid w:val="00485604"/>
    <w:rsid w:val="004858BA"/>
    <w:rsid w:val="004859FA"/>
    <w:rsid w:val="00485AB2"/>
    <w:rsid w:val="00485B7C"/>
    <w:rsid w:val="00485C5D"/>
    <w:rsid w:val="00485CC9"/>
    <w:rsid w:val="00485E01"/>
    <w:rsid w:val="00485E5B"/>
    <w:rsid w:val="00485F75"/>
    <w:rsid w:val="0048613D"/>
    <w:rsid w:val="0048640A"/>
    <w:rsid w:val="0048667B"/>
    <w:rsid w:val="00486713"/>
    <w:rsid w:val="0048694C"/>
    <w:rsid w:val="00486A93"/>
    <w:rsid w:val="00486AE8"/>
    <w:rsid w:val="00486C5D"/>
    <w:rsid w:val="00486E36"/>
    <w:rsid w:val="00486F5C"/>
    <w:rsid w:val="004870C3"/>
    <w:rsid w:val="004870DC"/>
    <w:rsid w:val="00487265"/>
    <w:rsid w:val="004873E8"/>
    <w:rsid w:val="0048741E"/>
    <w:rsid w:val="00487525"/>
    <w:rsid w:val="00487531"/>
    <w:rsid w:val="00487796"/>
    <w:rsid w:val="004877CF"/>
    <w:rsid w:val="004877FB"/>
    <w:rsid w:val="00487892"/>
    <w:rsid w:val="00487903"/>
    <w:rsid w:val="00487904"/>
    <w:rsid w:val="00487AE9"/>
    <w:rsid w:val="00487B0E"/>
    <w:rsid w:val="00487D31"/>
    <w:rsid w:val="00487D48"/>
    <w:rsid w:val="00487D82"/>
    <w:rsid w:val="00487E75"/>
    <w:rsid w:val="004900CE"/>
    <w:rsid w:val="00490156"/>
    <w:rsid w:val="0049023F"/>
    <w:rsid w:val="00490249"/>
    <w:rsid w:val="00490352"/>
    <w:rsid w:val="00490573"/>
    <w:rsid w:val="004905A6"/>
    <w:rsid w:val="00490AA6"/>
    <w:rsid w:val="00490E7C"/>
    <w:rsid w:val="004912FD"/>
    <w:rsid w:val="00491453"/>
    <w:rsid w:val="00491497"/>
    <w:rsid w:val="00491638"/>
    <w:rsid w:val="004916C3"/>
    <w:rsid w:val="004916E5"/>
    <w:rsid w:val="00491748"/>
    <w:rsid w:val="00491C7E"/>
    <w:rsid w:val="00491F83"/>
    <w:rsid w:val="00492097"/>
    <w:rsid w:val="004923D9"/>
    <w:rsid w:val="00492452"/>
    <w:rsid w:val="004925B1"/>
    <w:rsid w:val="004925B5"/>
    <w:rsid w:val="00492713"/>
    <w:rsid w:val="00492810"/>
    <w:rsid w:val="00492A7B"/>
    <w:rsid w:val="00492B07"/>
    <w:rsid w:val="00493199"/>
    <w:rsid w:val="00493322"/>
    <w:rsid w:val="0049344C"/>
    <w:rsid w:val="00493618"/>
    <w:rsid w:val="0049366D"/>
    <w:rsid w:val="0049366F"/>
    <w:rsid w:val="00493727"/>
    <w:rsid w:val="004938C4"/>
    <w:rsid w:val="00493CBF"/>
    <w:rsid w:val="00493DED"/>
    <w:rsid w:val="004940C2"/>
    <w:rsid w:val="00494521"/>
    <w:rsid w:val="00494924"/>
    <w:rsid w:val="00494A0E"/>
    <w:rsid w:val="00494C4E"/>
    <w:rsid w:val="00494C90"/>
    <w:rsid w:val="00494E93"/>
    <w:rsid w:val="0049508E"/>
    <w:rsid w:val="00495436"/>
    <w:rsid w:val="00495462"/>
    <w:rsid w:val="0049547C"/>
    <w:rsid w:val="004954BF"/>
    <w:rsid w:val="004955E8"/>
    <w:rsid w:val="004959C9"/>
    <w:rsid w:val="00495B1B"/>
    <w:rsid w:val="00495E05"/>
    <w:rsid w:val="00495E85"/>
    <w:rsid w:val="004961D6"/>
    <w:rsid w:val="0049654E"/>
    <w:rsid w:val="0049675A"/>
    <w:rsid w:val="004968D7"/>
    <w:rsid w:val="0049698B"/>
    <w:rsid w:val="00496D4B"/>
    <w:rsid w:val="00496DAC"/>
    <w:rsid w:val="00496DFE"/>
    <w:rsid w:val="00496EA2"/>
    <w:rsid w:val="00496ED8"/>
    <w:rsid w:val="00496F79"/>
    <w:rsid w:val="00497287"/>
    <w:rsid w:val="004975A4"/>
    <w:rsid w:val="004975DB"/>
    <w:rsid w:val="00497688"/>
    <w:rsid w:val="004976EB"/>
    <w:rsid w:val="00497B2D"/>
    <w:rsid w:val="00497B37"/>
    <w:rsid w:val="00497C45"/>
    <w:rsid w:val="00497D4F"/>
    <w:rsid w:val="00497DC4"/>
    <w:rsid w:val="004A069D"/>
    <w:rsid w:val="004A0707"/>
    <w:rsid w:val="004A079D"/>
    <w:rsid w:val="004A0A0B"/>
    <w:rsid w:val="004A0BB0"/>
    <w:rsid w:val="004A0E64"/>
    <w:rsid w:val="004A12E3"/>
    <w:rsid w:val="004A1401"/>
    <w:rsid w:val="004A1425"/>
    <w:rsid w:val="004A1532"/>
    <w:rsid w:val="004A1597"/>
    <w:rsid w:val="004A1A4F"/>
    <w:rsid w:val="004A1BE1"/>
    <w:rsid w:val="004A1BEE"/>
    <w:rsid w:val="004A1EAD"/>
    <w:rsid w:val="004A1F6A"/>
    <w:rsid w:val="004A2531"/>
    <w:rsid w:val="004A2535"/>
    <w:rsid w:val="004A2907"/>
    <w:rsid w:val="004A2A5B"/>
    <w:rsid w:val="004A2CB6"/>
    <w:rsid w:val="004A2CD1"/>
    <w:rsid w:val="004A2ED9"/>
    <w:rsid w:val="004A3026"/>
    <w:rsid w:val="004A340B"/>
    <w:rsid w:val="004A34C8"/>
    <w:rsid w:val="004A34F4"/>
    <w:rsid w:val="004A378F"/>
    <w:rsid w:val="004A38B2"/>
    <w:rsid w:val="004A3A22"/>
    <w:rsid w:val="004A4157"/>
    <w:rsid w:val="004A4504"/>
    <w:rsid w:val="004A4539"/>
    <w:rsid w:val="004A4560"/>
    <w:rsid w:val="004A45B8"/>
    <w:rsid w:val="004A45BE"/>
    <w:rsid w:val="004A47BE"/>
    <w:rsid w:val="004A49C9"/>
    <w:rsid w:val="004A4C79"/>
    <w:rsid w:val="004A4CA2"/>
    <w:rsid w:val="004A4CFF"/>
    <w:rsid w:val="004A4F3F"/>
    <w:rsid w:val="004A51EF"/>
    <w:rsid w:val="004A52DF"/>
    <w:rsid w:val="004A5421"/>
    <w:rsid w:val="004A5503"/>
    <w:rsid w:val="004A5596"/>
    <w:rsid w:val="004A5642"/>
    <w:rsid w:val="004A5721"/>
    <w:rsid w:val="004A58D2"/>
    <w:rsid w:val="004A5B5F"/>
    <w:rsid w:val="004A5D9E"/>
    <w:rsid w:val="004A5E77"/>
    <w:rsid w:val="004A5ED8"/>
    <w:rsid w:val="004A60C0"/>
    <w:rsid w:val="004A6235"/>
    <w:rsid w:val="004A6901"/>
    <w:rsid w:val="004A6930"/>
    <w:rsid w:val="004A6975"/>
    <w:rsid w:val="004A69DA"/>
    <w:rsid w:val="004A6A52"/>
    <w:rsid w:val="004A6B8E"/>
    <w:rsid w:val="004A6B97"/>
    <w:rsid w:val="004A6FE7"/>
    <w:rsid w:val="004A7375"/>
    <w:rsid w:val="004A7469"/>
    <w:rsid w:val="004A7478"/>
    <w:rsid w:val="004A7AE7"/>
    <w:rsid w:val="004A7C55"/>
    <w:rsid w:val="004A7E4F"/>
    <w:rsid w:val="004A7E88"/>
    <w:rsid w:val="004A7F59"/>
    <w:rsid w:val="004B001A"/>
    <w:rsid w:val="004B013D"/>
    <w:rsid w:val="004B0201"/>
    <w:rsid w:val="004B051D"/>
    <w:rsid w:val="004B05B3"/>
    <w:rsid w:val="004B06E4"/>
    <w:rsid w:val="004B0978"/>
    <w:rsid w:val="004B097E"/>
    <w:rsid w:val="004B0BE9"/>
    <w:rsid w:val="004B0C4A"/>
    <w:rsid w:val="004B0D28"/>
    <w:rsid w:val="004B122D"/>
    <w:rsid w:val="004B139C"/>
    <w:rsid w:val="004B140F"/>
    <w:rsid w:val="004B1483"/>
    <w:rsid w:val="004B1623"/>
    <w:rsid w:val="004B1660"/>
    <w:rsid w:val="004B1756"/>
    <w:rsid w:val="004B18F3"/>
    <w:rsid w:val="004B1A69"/>
    <w:rsid w:val="004B1D17"/>
    <w:rsid w:val="004B2207"/>
    <w:rsid w:val="004B232D"/>
    <w:rsid w:val="004B24D1"/>
    <w:rsid w:val="004B267D"/>
    <w:rsid w:val="004B276C"/>
    <w:rsid w:val="004B29FC"/>
    <w:rsid w:val="004B2B8C"/>
    <w:rsid w:val="004B2EDF"/>
    <w:rsid w:val="004B2EE1"/>
    <w:rsid w:val="004B2FEB"/>
    <w:rsid w:val="004B3076"/>
    <w:rsid w:val="004B3154"/>
    <w:rsid w:val="004B3161"/>
    <w:rsid w:val="004B31D9"/>
    <w:rsid w:val="004B32AE"/>
    <w:rsid w:val="004B34DC"/>
    <w:rsid w:val="004B34EA"/>
    <w:rsid w:val="004B358C"/>
    <w:rsid w:val="004B35F1"/>
    <w:rsid w:val="004B3638"/>
    <w:rsid w:val="004B3742"/>
    <w:rsid w:val="004B3871"/>
    <w:rsid w:val="004B3D0F"/>
    <w:rsid w:val="004B3F1A"/>
    <w:rsid w:val="004B4114"/>
    <w:rsid w:val="004B41C3"/>
    <w:rsid w:val="004B43FE"/>
    <w:rsid w:val="004B4562"/>
    <w:rsid w:val="004B459F"/>
    <w:rsid w:val="004B4773"/>
    <w:rsid w:val="004B482C"/>
    <w:rsid w:val="004B4D4F"/>
    <w:rsid w:val="004B4E11"/>
    <w:rsid w:val="004B4E30"/>
    <w:rsid w:val="004B4EDD"/>
    <w:rsid w:val="004B4F3F"/>
    <w:rsid w:val="004B4F40"/>
    <w:rsid w:val="004B5149"/>
    <w:rsid w:val="004B515F"/>
    <w:rsid w:val="004B5421"/>
    <w:rsid w:val="004B5494"/>
    <w:rsid w:val="004B57A4"/>
    <w:rsid w:val="004B5B6E"/>
    <w:rsid w:val="004B5C4B"/>
    <w:rsid w:val="004B5DA3"/>
    <w:rsid w:val="004B5E4F"/>
    <w:rsid w:val="004B5FE6"/>
    <w:rsid w:val="004B61B0"/>
    <w:rsid w:val="004B621C"/>
    <w:rsid w:val="004B659F"/>
    <w:rsid w:val="004B675B"/>
    <w:rsid w:val="004B69CB"/>
    <w:rsid w:val="004B6BB4"/>
    <w:rsid w:val="004B6C2A"/>
    <w:rsid w:val="004B6D11"/>
    <w:rsid w:val="004B70E3"/>
    <w:rsid w:val="004B720C"/>
    <w:rsid w:val="004B748B"/>
    <w:rsid w:val="004B75B6"/>
    <w:rsid w:val="004B76F0"/>
    <w:rsid w:val="004B796C"/>
    <w:rsid w:val="004B79E0"/>
    <w:rsid w:val="004B7D77"/>
    <w:rsid w:val="004B7E40"/>
    <w:rsid w:val="004B7EE6"/>
    <w:rsid w:val="004B7EF9"/>
    <w:rsid w:val="004B7FDA"/>
    <w:rsid w:val="004C0185"/>
    <w:rsid w:val="004C01DF"/>
    <w:rsid w:val="004C0231"/>
    <w:rsid w:val="004C0488"/>
    <w:rsid w:val="004C07EE"/>
    <w:rsid w:val="004C08E4"/>
    <w:rsid w:val="004C093F"/>
    <w:rsid w:val="004C0B14"/>
    <w:rsid w:val="004C0BE2"/>
    <w:rsid w:val="004C0D56"/>
    <w:rsid w:val="004C0D80"/>
    <w:rsid w:val="004C0DA7"/>
    <w:rsid w:val="004C0E56"/>
    <w:rsid w:val="004C0FB8"/>
    <w:rsid w:val="004C1039"/>
    <w:rsid w:val="004C1108"/>
    <w:rsid w:val="004C13B0"/>
    <w:rsid w:val="004C1474"/>
    <w:rsid w:val="004C16C7"/>
    <w:rsid w:val="004C19FD"/>
    <w:rsid w:val="004C1CDA"/>
    <w:rsid w:val="004C1EE3"/>
    <w:rsid w:val="004C21CE"/>
    <w:rsid w:val="004C223C"/>
    <w:rsid w:val="004C25C7"/>
    <w:rsid w:val="004C25EB"/>
    <w:rsid w:val="004C2726"/>
    <w:rsid w:val="004C29DE"/>
    <w:rsid w:val="004C2C6A"/>
    <w:rsid w:val="004C2DAE"/>
    <w:rsid w:val="004C2DB3"/>
    <w:rsid w:val="004C2EC2"/>
    <w:rsid w:val="004C307E"/>
    <w:rsid w:val="004C32D4"/>
    <w:rsid w:val="004C3451"/>
    <w:rsid w:val="004C3492"/>
    <w:rsid w:val="004C3628"/>
    <w:rsid w:val="004C3690"/>
    <w:rsid w:val="004C3858"/>
    <w:rsid w:val="004C39B7"/>
    <w:rsid w:val="004C3AC1"/>
    <w:rsid w:val="004C3D00"/>
    <w:rsid w:val="004C3D86"/>
    <w:rsid w:val="004C3FBF"/>
    <w:rsid w:val="004C400B"/>
    <w:rsid w:val="004C446E"/>
    <w:rsid w:val="004C44BD"/>
    <w:rsid w:val="004C44D1"/>
    <w:rsid w:val="004C4606"/>
    <w:rsid w:val="004C463D"/>
    <w:rsid w:val="004C4727"/>
    <w:rsid w:val="004C4A71"/>
    <w:rsid w:val="004C4B61"/>
    <w:rsid w:val="004C4BBA"/>
    <w:rsid w:val="004C4D47"/>
    <w:rsid w:val="004C5098"/>
    <w:rsid w:val="004C5422"/>
    <w:rsid w:val="004C5444"/>
    <w:rsid w:val="004C566B"/>
    <w:rsid w:val="004C5721"/>
    <w:rsid w:val="004C59BE"/>
    <w:rsid w:val="004C5C67"/>
    <w:rsid w:val="004C5DE5"/>
    <w:rsid w:val="004C5F6F"/>
    <w:rsid w:val="004C5F89"/>
    <w:rsid w:val="004C601D"/>
    <w:rsid w:val="004C60BD"/>
    <w:rsid w:val="004C60EA"/>
    <w:rsid w:val="004C6152"/>
    <w:rsid w:val="004C63D7"/>
    <w:rsid w:val="004C6619"/>
    <w:rsid w:val="004C68D7"/>
    <w:rsid w:val="004C6A29"/>
    <w:rsid w:val="004C6BA9"/>
    <w:rsid w:val="004C6C32"/>
    <w:rsid w:val="004C6D12"/>
    <w:rsid w:val="004C6DDC"/>
    <w:rsid w:val="004C6E74"/>
    <w:rsid w:val="004C718D"/>
    <w:rsid w:val="004C774C"/>
    <w:rsid w:val="004C7800"/>
    <w:rsid w:val="004C7870"/>
    <w:rsid w:val="004C79BC"/>
    <w:rsid w:val="004C7A2B"/>
    <w:rsid w:val="004C7B12"/>
    <w:rsid w:val="004C7CDC"/>
    <w:rsid w:val="004C7D3A"/>
    <w:rsid w:val="004C7E17"/>
    <w:rsid w:val="004D0033"/>
    <w:rsid w:val="004D00D0"/>
    <w:rsid w:val="004D0670"/>
    <w:rsid w:val="004D0BAD"/>
    <w:rsid w:val="004D0C53"/>
    <w:rsid w:val="004D0C92"/>
    <w:rsid w:val="004D0D12"/>
    <w:rsid w:val="004D0F7C"/>
    <w:rsid w:val="004D111B"/>
    <w:rsid w:val="004D12C5"/>
    <w:rsid w:val="004D13CD"/>
    <w:rsid w:val="004D140C"/>
    <w:rsid w:val="004D1464"/>
    <w:rsid w:val="004D1485"/>
    <w:rsid w:val="004D16E3"/>
    <w:rsid w:val="004D190E"/>
    <w:rsid w:val="004D1A22"/>
    <w:rsid w:val="004D1DB1"/>
    <w:rsid w:val="004D1FA5"/>
    <w:rsid w:val="004D2153"/>
    <w:rsid w:val="004D2206"/>
    <w:rsid w:val="004D2392"/>
    <w:rsid w:val="004D2864"/>
    <w:rsid w:val="004D2929"/>
    <w:rsid w:val="004D299A"/>
    <w:rsid w:val="004D2AFD"/>
    <w:rsid w:val="004D2B6C"/>
    <w:rsid w:val="004D2D29"/>
    <w:rsid w:val="004D2E54"/>
    <w:rsid w:val="004D2EB5"/>
    <w:rsid w:val="004D2EED"/>
    <w:rsid w:val="004D2FBA"/>
    <w:rsid w:val="004D2FE5"/>
    <w:rsid w:val="004D318E"/>
    <w:rsid w:val="004D344C"/>
    <w:rsid w:val="004D34C7"/>
    <w:rsid w:val="004D35B4"/>
    <w:rsid w:val="004D3705"/>
    <w:rsid w:val="004D384D"/>
    <w:rsid w:val="004D39C3"/>
    <w:rsid w:val="004D3C26"/>
    <w:rsid w:val="004D3D61"/>
    <w:rsid w:val="004D3DF9"/>
    <w:rsid w:val="004D410A"/>
    <w:rsid w:val="004D410E"/>
    <w:rsid w:val="004D42F8"/>
    <w:rsid w:val="004D44E3"/>
    <w:rsid w:val="004D4789"/>
    <w:rsid w:val="004D499C"/>
    <w:rsid w:val="004D4B7E"/>
    <w:rsid w:val="004D4BD7"/>
    <w:rsid w:val="004D4CE5"/>
    <w:rsid w:val="004D4CF5"/>
    <w:rsid w:val="004D4D5F"/>
    <w:rsid w:val="004D4E49"/>
    <w:rsid w:val="004D5000"/>
    <w:rsid w:val="004D50EB"/>
    <w:rsid w:val="004D53E0"/>
    <w:rsid w:val="004D542F"/>
    <w:rsid w:val="004D547B"/>
    <w:rsid w:val="004D5683"/>
    <w:rsid w:val="004D56C5"/>
    <w:rsid w:val="004D5766"/>
    <w:rsid w:val="004D5809"/>
    <w:rsid w:val="004D583B"/>
    <w:rsid w:val="004D5854"/>
    <w:rsid w:val="004D59A6"/>
    <w:rsid w:val="004D5C7A"/>
    <w:rsid w:val="004D5CBB"/>
    <w:rsid w:val="004D5F89"/>
    <w:rsid w:val="004D63D9"/>
    <w:rsid w:val="004D6B95"/>
    <w:rsid w:val="004D6C4F"/>
    <w:rsid w:val="004D6C92"/>
    <w:rsid w:val="004D6C97"/>
    <w:rsid w:val="004D6E0D"/>
    <w:rsid w:val="004D7110"/>
    <w:rsid w:val="004D7727"/>
    <w:rsid w:val="004D77B8"/>
    <w:rsid w:val="004D78AC"/>
    <w:rsid w:val="004D78D0"/>
    <w:rsid w:val="004D79BF"/>
    <w:rsid w:val="004D7A41"/>
    <w:rsid w:val="004D7BA6"/>
    <w:rsid w:val="004D7CAE"/>
    <w:rsid w:val="004D7D49"/>
    <w:rsid w:val="004D7ECA"/>
    <w:rsid w:val="004E009B"/>
    <w:rsid w:val="004E01C3"/>
    <w:rsid w:val="004E01D6"/>
    <w:rsid w:val="004E09D9"/>
    <w:rsid w:val="004E0AD9"/>
    <w:rsid w:val="004E0C29"/>
    <w:rsid w:val="004E0C7A"/>
    <w:rsid w:val="004E0D27"/>
    <w:rsid w:val="004E0EFB"/>
    <w:rsid w:val="004E0F77"/>
    <w:rsid w:val="004E1337"/>
    <w:rsid w:val="004E14EC"/>
    <w:rsid w:val="004E1549"/>
    <w:rsid w:val="004E1646"/>
    <w:rsid w:val="004E1656"/>
    <w:rsid w:val="004E1D4F"/>
    <w:rsid w:val="004E1D89"/>
    <w:rsid w:val="004E25CD"/>
    <w:rsid w:val="004E269D"/>
    <w:rsid w:val="004E29A8"/>
    <w:rsid w:val="004E2A2C"/>
    <w:rsid w:val="004E2B65"/>
    <w:rsid w:val="004E2C5A"/>
    <w:rsid w:val="004E2D13"/>
    <w:rsid w:val="004E2DB6"/>
    <w:rsid w:val="004E2DF1"/>
    <w:rsid w:val="004E2EC2"/>
    <w:rsid w:val="004E2F60"/>
    <w:rsid w:val="004E2F7C"/>
    <w:rsid w:val="004E3271"/>
    <w:rsid w:val="004E38EC"/>
    <w:rsid w:val="004E3C17"/>
    <w:rsid w:val="004E3D22"/>
    <w:rsid w:val="004E3E1F"/>
    <w:rsid w:val="004E3F6B"/>
    <w:rsid w:val="004E41A8"/>
    <w:rsid w:val="004E4328"/>
    <w:rsid w:val="004E4353"/>
    <w:rsid w:val="004E435C"/>
    <w:rsid w:val="004E43B4"/>
    <w:rsid w:val="004E4434"/>
    <w:rsid w:val="004E4463"/>
    <w:rsid w:val="004E44C1"/>
    <w:rsid w:val="004E47A3"/>
    <w:rsid w:val="004E4B23"/>
    <w:rsid w:val="004E4CA0"/>
    <w:rsid w:val="004E4D64"/>
    <w:rsid w:val="004E4D80"/>
    <w:rsid w:val="004E4E76"/>
    <w:rsid w:val="004E5171"/>
    <w:rsid w:val="004E517F"/>
    <w:rsid w:val="004E5305"/>
    <w:rsid w:val="004E53A5"/>
    <w:rsid w:val="004E555E"/>
    <w:rsid w:val="004E560D"/>
    <w:rsid w:val="004E5804"/>
    <w:rsid w:val="004E58A8"/>
    <w:rsid w:val="004E592C"/>
    <w:rsid w:val="004E5BE7"/>
    <w:rsid w:val="004E5EB4"/>
    <w:rsid w:val="004E5EE8"/>
    <w:rsid w:val="004E60A8"/>
    <w:rsid w:val="004E61FA"/>
    <w:rsid w:val="004E631B"/>
    <w:rsid w:val="004E66A3"/>
    <w:rsid w:val="004E6C2C"/>
    <w:rsid w:val="004E6CF6"/>
    <w:rsid w:val="004E6D6C"/>
    <w:rsid w:val="004E6DC8"/>
    <w:rsid w:val="004E7465"/>
    <w:rsid w:val="004E74EC"/>
    <w:rsid w:val="004E7512"/>
    <w:rsid w:val="004E79FB"/>
    <w:rsid w:val="004E7A54"/>
    <w:rsid w:val="004E7D74"/>
    <w:rsid w:val="004E7E3E"/>
    <w:rsid w:val="004E7FE4"/>
    <w:rsid w:val="004F0077"/>
    <w:rsid w:val="004F0486"/>
    <w:rsid w:val="004F04A0"/>
    <w:rsid w:val="004F04ED"/>
    <w:rsid w:val="004F05F8"/>
    <w:rsid w:val="004F062C"/>
    <w:rsid w:val="004F06E6"/>
    <w:rsid w:val="004F0724"/>
    <w:rsid w:val="004F08F4"/>
    <w:rsid w:val="004F0A2C"/>
    <w:rsid w:val="004F0A7F"/>
    <w:rsid w:val="004F0DE2"/>
    <w:rsid w:val="004F0EDB"/>
    <w:rsid w:val="004F0F1B"/>
    <w:rsid w:val="004F0FCC"/>
    <w:rsid w:val="004F14D7"/>
    <w:rsid w:val="004F14D9"/>
    <w:rsid w:val="004F1512"/>
    <w:rsid w:val="004F1DBA"/>
    <w:rsid w:val="004F21B9"/>
    <w:rsid w:val="004F2224"/>
    <w:rsid w:val="004F2311"/>
    <w:rsid w:val="004F24CE"/>
    <w:rsid w:val="004F26C7"/>
    <w:rsid w:val="004F26D9"/>
    <w:rsid w:val="004F2826"/>
    <w:rsid w:val="004F2922"/>
    <w:rsid w:val="004F2E31"/>
    <w:rsid w:val="004F3110"/>
    <w:rsid w:val="004F35EA"/>
    <w:rsid w:val="004F38AA"/>
    <w:rsid w:val="004F38E4"/>
    <w:rsid w:val="004F38EA"/>
    <w:rsid w:val="004F3AA6"/>
    <w:rsid w:val="004F3E4D"/>
    <w:rsid w:val="004F42CF"/>
    <w:rsid w:val="004F435B"/>
    <w:rsid w:val="004F4382"/>
    <w:rsid w:val="004F4692"/>
    <w:rsid w:val="004F4D1C"/>
    <w:rsid w:val="004F5125"/>
    <w:rsid w:val="004F517D"/>
    <w:rsid w:val="004F5346"/>
    <w:rsid w:val="004F5AE4"/>
    <w:rsid w:val="004F5B45"/>
    <w:rsid w:val="004F5CEC"/>
    <w:rsid w:val="004F5D62"/>
    <w:rsid w:val="004F5F83"/>
    <w:rsid w:val="004F6271"/>
    <w:rsid w:val="004F63AA"/>
    <w:rsid w:val="004F691F"/>
    <w:rsid w:val="004F6955"/>
    <w:rsid w:val="004F69BE"/>
    <w:rsid w:val="004F6B64"/>
    <w:rsid w:val="004F705D"/>
    <w:rsid w:val="004F7232"/>
    <w:rsid w:val="004F736D"/>
    <w:rsid w:val="004F741E"/>
    <w:rsid w:val="004F74FB"/>
    <w:rsid w:val="004F7695"/>
    <w:rsid w:val="004F7875"/>
    <w:rsid w:val="004F7AD7"/>
    <w:rsid w:val="004F7B6D"/>
    <w:rsid w:val="004F7D28"/>
    <w:rsid w:val="00500331"/>
    <w:rsid w:val="0050035A"/>
    <w:rsid w:val="005003DA"/>
    <w:rsid w:val="005005A9"/>
    <w:rsid w:val="005005C4"/>
    <w:rsid w:val="00500707"/>
    <w:rsid w:val="00500774"/>
    <w:rsid w:val="00500926"/>
    <w:rsid w:val="00500A13"/>
    <w:rsid w:val="00500A41"/>
    <w:rsid w:val="00501327"/>
    <w:rsid w:val="00501339"/>
    <w:rsid w:val="0050181B"/>
    <w:rsid w:val="00501840"/>
    <w:rsid w:val="0050186D"/>
    <w:rsid w:val="005018A8"/>
    <w:rsid w:val="005019A1"/>
    <w:rsid w:val="00501B6C"/>
    <w:rsid w:val="00501DDD"/>
    <w:rsid w:val="00501DE7"/>
    <w:rsid w:val="00501EC5"/>
    <w:rsid w:val="00501F41"/>
    <w:rsid w:val="00501F7C"/>
    <w:rsid w:val="005020E1"/>
    <w:rsid w:val="00502231"/>
    <w:rsid w:val="005022E1"/>
    <w:rsid w:val="005022E9"/>
    <w:rsid w:val="005022F2"/>
    <w:rsid w:val="00502B3F"/>
    <w:rsid w:val="00502C62"/>
    <w:rsid w:val="00502E08"/>
    <w:rsid w:val="00502F87"/>
    <w:rsid w:val="00503233"/>
    <w:rsid w:val="0050324E"/>
    <w:rsid w:val="00503278"/>
    <w:rsid w:val="005032A3"/>
    <w:rsid w:val="005036F8"/>
    <w:rsid w:val="00503797"/>
    <w:rsid w:val="00503CB0"/>
    <w:rsid w:val="00503D62"/>
    <w:rsid w:val="00503D64"/>
    <w:rsid w:val="00503E5C"/>
    <w:rsid w:val="00503FA3"/>
    <w:rsid w:val="00504278"/>
    <w:rsid w:val="005042CC"/>
    <w:rsid w:val="00504458"/>
    <w:rsid w:val="00504687"/>
    <w:rsid w:val="005046A1"/>
    <w:rsid w:val="0050470F"/>
    <w:rsid w:val="005048DF"/>
    <w:rsid w:val="00504B20"/>
    <w:rsid w:val="00504C98"/>
    <w:rsid w:val="00504E18"/>
    <w:rsid w:val="00504EB5"/>
    <w:rsid w:val="0050501C"/>
    <w:rsid w:val="005051EA"/>
    <w:rsid w:val="0050561D"/>
    <w:rsid w:val="005056A7"/>
    <w:rsid w:val="00505744"/>
    <w:rsid w:val="0050583A"/>
    <w:rsid w:val="00505A27"/>
    <w:rsid w:val="00505A39"/>
    <w:rsid w:val="00505E5E"/>
    <w:rsid w:val="00505F5C"/>
    <w:rsid w:val="00506002"/>
    <w:rsid w:val="00506156"/>
    <w:rsid w:val="0050618F"/>
    <w:rsid w:val="00506339"/>
    <w:rsid w:val="00506503"/>
    <w:rsid w:val="0050653E"/>
    <w:rsid w:val="00506585"/>
    <w:rsid w:val="005065B0"/>
    <w:rsid w:val="00506606"/>
    <w:rsid w:val="00506636"/>
    <w:rsid w:val="005067A1"/>
    <w:rsid w:val="005067C8"/>
    <w:rsid w:val="005067F7"/>
    <w:rsid w:val="00506954"/>
    <w:rsid w:val="00506B61"/>
    <w:rsid w:val="00506C73"/>
    <w:rsid w:val="00506DE0"/>
    <w:rsid w:val="00506E0A"/>
    <w:rsid w:val="00506E26"/>
    <w:rsid w:val="00507028"/>
    <w:rsid w:val="0050716B"/>
    <w:rsid w:val="005072D5"/>
    <w:rsid w:val="00507369"/>
    <w:rsid w:val="0050737C"/>
    <w:rsid w:val="005073C5"/>
    <w:rsid w:val="0050740D"/>
    <w:rsid w:val="00507547"/>
    <w:rsid w:val="0050764E"/>
    <w:rsid w:val="00507678"/>
    <w:rsid w:val="005076CB"/>
    <w:rsid w:val="00507A90"/>
    <w:rsid w:val="00507B99"/>
    <w:rsid w:val="00507C4C"/>
    <w:rsid w:val="00507D78"/>
    <w:rsid w:val="00507EEF"/>
    <w:rsid w:val="0051020A"/>
    <w:rsid w:val="00510241"/>
    <w:rsid w:val="00510394"/>
    <w:rsid w:val="005104A5"/>
    <w:rsid w:val="005105D1"/>
    <w:rsid w:val="005106CC"/>
    <w:rsid w:val="005106F1"/>
    <w:rsid w:val="00510837"/>
    <w:rsid w:val="005108D6"/>
    <w:rsid w:val="005109BA"/>
    <w:rsid w:val="00510A2B"/>
    <w:rsid w:val="00510A33"/>
    <w:rsid w:val="00511055"/>
    <w:rsid w:val="005112E5"/>
    <w:rsid w:val="00511A77"/>
    <w:rsid w:val="00511BF9"/>
    <w:rsid w:val="00511DC4"/>
    <w:rsid w:val="00511FC5"/>
    <w:rsid w:val="005121F0"/>
    <w:rsid w:val="0051228B"/>
    <w:rsid w:val="0051257A"/>
    <w:rsid w:val="005125DD"/>
    <w:rsid w:val="0051272A"/>
    <w:rsid w:val="00512921"/>
    <w:rsid w:val="00512A27"/>
    <w:rsid w:val="00512BCC"/>
    <w:rsid w:val="00512CD7"/>
    <w:rsid w:val="00512CEE"/>
    <w:rsid w:val="00512DAE"/>
    <w:rsid w:val="00512EE0"/>
    <w:rsid w:val="00512F1C"/>
    <w:rsid w:val="0051314C"/>
    <w:rsid w:val="0051334F"/>
    <w:rsid w:val="005133EA"/>
    <w:rsid w:val="00513438"/>
    <w:rsid w:val="0051372A"/>
    <w:rsid w:val="005137C9"/>
    <w:rsid w:val="00513CA2"/>
    <w:rsid w:val="00513CFA"/>
    <w:rsid w:val="00513D0F"/>
    <w:rsid w:val="00513E18"/>
    <w:rsid w:val="00513F7C"/>
    <w:rsid w:val="0051421C"/>
    <w:rsid w:val="0051423E"/>
    <w:rsid w:val="00514257"/>
    <w:rsid w:val="005143E8"/>
    <w:rsid w:val="005146B5"/>
    <w:rsid w:val="00514753"/>
    <w:rsid w:val="005148D2"/>
    <w:rsid w:val="00514AA1"/>
    <w:rsid w:val="00514ACE"/>
    <w:rsid w:val="00514B25"/>
    <w:rsid w:val="005150A0"/>
    <w:rsid w:val="00515509"/>
    <w:rsid w:val="00515796"/>
    <w:rsid w:val="005157F7"/>
    <w:rsid w:val="005158EE"/>
    <w:rsid w:val="00515B38"/>
    <w:rsid w:val="00515DD8"/>
    <w:rsid w:val="00515E9B"/>
    <w:rsid w:val="00516010"/>
    <w:rsid w:val="00516154"/>
    <w:rsid w:val="0051631C"/>
    <w:rsid w:val="005163CC"/>
    <w:rsid w:val="00516686"/>
    <w:rsid w:val="005166AB"/>
    <w:rsid w:val="0051672D"/>
    <w:rsid w:val="0051689A"/>
    <w:rsid w:val="00516CAB"/>
    <w:rsid w:val="00516E6E"/>
    <w:rsid w:val="00516EA0"/>
    <w:rsid w:val="00516EDF"/>
    <w:rsid w:val="00516EF8"/>
    <w:rsid w:val="00517028"/>
    <w:rsid w:val="00517140"/>
    <w:rsid w:val="00517154"/>
    <w:rsid w:val="00517315"/>
    <w:rsid w:val="005173B9"/>
    <w:rsid w:val="0051747A"/>
    <w:rsid w:val="005175BD"/>
    <w:rsid w:val="0051761C"/>
    <w:rsid w:val="00517799"/>
    <w:rsid w:val="005179BE"/>
    <w:rsid w:val="00517C2E"/>
    <w:rsid w:val="0052001D"/>
    <w:rsid w:val="0052008C"/>
    <w:rsid w:val="0052023F"/>
    <w:rsid w:val="005204B8"/>
    <w:rsid w:val="00520686"/>
    <w:rsid w:val="005207B3"/>
    <w:rsid w:val="0052085F"/>
    <w:rsid w:val="00520A57"/>
    <w:rsid w:val="00520AE0"/>
    <w:rsid w:val="00520B53"/>
    <w:rsid w:val="00520C09"/>
    <w:rsid w:val="00520DF0"/>
    <w:rsid w:val="00521073"/>
    <w:rsid w:val="0052126A"/>
    <w:rsid w:val="00521337"/>
    <w:rsid w:val="005213AA"/>
    <w:rsid w:val="005213B0"/>
    <w:rsid w:val="0052147F"/>
    <w:rsid w:val="0052156F"/>
    <w:rsid w:val="00521653"/>
    <w:rsid w:val="005219F6"/>
    <w:rsid w:val="00521CD2"/>
    <w:rsid w:val="00521FC8"/>
    <w:rsid w:val="0052203B"/>
    <w:rsid w:val="00522497"/>
    <w:rsid w:val="0052264D"/>
    <w:rsid w:val="00522763"/>
    <w:rsid w:val="00522B78"/>
    <w:rsid w:val="00522D9A"/>
    <w:rsid w:val="00522FA3"/>
    <w:rsid w:val="0052322F"/>
    <w:rsid w:val="00523450"/>
    <w:rsid w:val="005234F2"/>
    <w:rsid w:val="00523A78"/>
    <w:rsid w:val="00523C0F"/>
    <w:rsid w:val="00523D86"/>
    <w:rsid w:val="00523D90"/>
    <w:rsid w:val="00523E05"/>
    <w:rsid w:val="00523F13"/>
    <w:rsid w:val="00523F6F"/>
    <w:rsid w:val="00523FD5"/>
    <w:rsid w:val="005240BF"/>
    <w:rsid w:val="0052413A"/>
    <w:rsid w:val="005241C4"/>
    <w:rsid w:val="005242BA"/>
    <w:rsid w:val="005244B4"/>
    <w:rsid w:val="00524651"/>
    <w:rsid w:val="0052465D"/>
    <w:rsid w:val="005247E9"/>
    <w:rsid w:val="00524C37"/>
    <w:rsid w:val="005250E2"/>
    <w:rsid w:val="00525353"/>
    <w:rsid w:val="005254F2"/>
    <w:rsid w:val="00525536"/>
    <w:rsid w:val="00525542"/>
    <w:rsid w:val="005255E9"/>
    <w:rsid w:val="00525829"/>
    <w:rsid w:val="00526135"/>
    <w:rsid w:val="005263E4"/>
    <w:rsid w:val="0052651D"/>
    <w:rsid w:val="005267F3"/>
    <w:rsid w:val="00526A8C"/>
    <w:rsid w:val="00526C99"/>
    <w:rsid w:val="00526CAB"/>
    <w:rsid w:val="00526EBA"/>
    <w:rsid w:val="00526EC8"/>
    <w:rsid w:val="00527400"/>
    <w:rsid w:val="005274FD"/>
    <w:rsid w:val="0052775F"/>
    <w:rsid w:val="005277C6"/>
    <w:rsid w:val="005279C5"/>
    <w:rsid w:val="00530006"/>
    <w:rsid w:val="0053002F"/>
    <w:rsid w:val="005300C6"/>
    <w:rsid w:val="00530233"/>
    <w:rsid w:val="0053033B"/>
    <w:rsid w:val="005304E0"/>
    <w:rsid w:val="00530552"/>
    <w:rsid w:val="005305BD"/>
    <w:rsid w:val="00530688"/>
    <w:rsid w:val="00530721"/>
    <w:rsid w:val="00530850"/>
    <w:rsid w:val="00530CB7"/>
    <w:rsid w:val="0053100C"/>
    <w:rsid w:val="005310C6"/>
    <w:rsid w:val="00531372"/>
    <w:rsid w:val="005313F7"/>
    <w:rsid w:val="00531603"/>
    <w:rsid w:val="005316B5"/>
    <w:rsid w:val="00531D0F"/>
    <w:rsid w:val="00531EF1"/>
    <w:rsid w:val="0053215F"/>
    <w:rsid w:val="005321EB"/>
    <w:rsid w:val="00532226"/>
    <w:rsid w:val="0053226D"/>
    <w:rsid w:val="005324CA"/>
    <w:rsid w:val="005324DF"/>
    <w:rsid w:val="00532517"/>
    <w:rsid w:val="0053276F"/>
    <w:rsid w:val="0053280D"/>
    <w:rsid w:val="0053298E"/>
    <w:rsid w:val="00532A47"/>
    <w:rsid w:val="00532ADA"/>
    <w:rsid w:val="00532B50"/>
    <w:rsid w:val="00532FAE"/>
    <w:rsid w:val="005332AA"/>
    <w:rsid w:val="005333F5"/>
    <w:rsid w:val="0053342A"/>
    <w:rsid w:val="00533465"/>
    <w:rsid w:val="005335BD"/>
    <w:rsid w:val="00533755"/>
    <w:rsid w:val="00533C34"/>
    <w:rsid w:val="00533C76"/>
    <w:rsid w:val="0053429E"/>
    <w:rsid w:val="005342E5"/>
    <w:rsid w:val="005344AC"/>
    <w:rsid w:val="005344F3"/>
    <w:rsid w:val="00534588"/>
    <w:rsid w:val="005348DF"/>
    <w:rsid w:val="00534F3C"/>
    <w:rsid w:val="0053502D"/>
    <w:rsid w:val="005352BB"/>
    <w:rsid w:val="0053536A"/>
    <w:rsid w:val="00535495"/>
    <w:rsid w:val="005356A0"/>
    <w:rsid w:val="00535A6E"/>
    <w:rsid w:val="00535BF6"/>
    <w:rsid w:val="00535E03"/>
    <w:rsid w:val="00535E2F"/>
    <w:rsid w:val="005361A4"/>
    <w:rsid w:val="00536434"/>
    <w:rsid w:val="0053644A"/>
    <w:rsid w:val="00536743"/>
    <w:rsid w:val="00536780"/>
    <w:rsid w:val="0053689A"/>
    <w:rsid w:val="005368D8"/>
    <w:rsid w:val="00536951"/>
    <w:rsid w:val="00536B3C"/>
    <w:rsid w:val="00536CBD"/>
    <w:rsid w:val="00537284"/>
    <w:rsid w:val="005372F9"/>
    <w:rsid w:val="0053740D"/>
    <w:rsid w:val="00537498"/>
    <w:rsid w:val="005374B5"/>
    <w:rsid w:val="0053763B"/>
    <w:rsid w:val="0053769A"/>
    <w:rsid w:val="00537869"/>
    <w:rsid w:val="00537AE5"/>
    <w:rsid w:val="00537B08"/>
    <w:rsid w:val="00540718"/>
    <w:rsid w:val="00540889"/>
    <w:rsid w:val="00540958"/>
    <w:rsid w:val="00540B41"/>
    <w:rsid w:val="00540C31"/>
    <w:rsid w:val="00540D2F"/>
    <w:rsid w:val="00540DBF"/>
    <w:rsid w:val="00541342"/>
    <w:rsid w:val="005415EA"/>
    <w:rsid w:val="00541783"/>
    <w:rsid w:val="00541A50"/>
    <w:rsid w:val="00541C32"/>
    <w:rsid w:val="00541CA4"/>
    <w:rsid w:val="00541CE9"/>
    <w:rsid w:val="00541CF9"/>
    <w:rsid w:val="00542813"/>
    <w:rsid w:val="00542943"/>
    <w:rsid w:val="00542BD9"/>
    <w:rsid w:val="00542C19"/>
    <w:rsid w:val="00542DA2"/>
    <w:rsid w:val="00542DC7"/>
    <w:rsid w:val="00542F3C"/>
    <w:rsid w:val="00543038"/>
    <w:rsid w:val="00543097"/>
    <w:rsid w:val="005432A6"/>
    <w:rsid w:val="00543382"/>
    <w:rsid w:val="0054355B"/>
    <w:rsid w:val="005435D4"/>
    <w:rsid w:val="0054384B"/>
    <w:rsid w:val="0054395A"/>
    <w:rsid w:val="00543A98"/>
    <w:rsid w:val="00543C5C"/>
    <w:rsid w:val="0054400E"/>
    <w:rsid w:val="00544243"/>
    <w:rsid w:val="0054449E"/>
    <w:rsid w:val="005445A9"/>
    <w:rsid w:val="005445BE"/>
    <w:rsid w:val="00544A52"/>
    <w:rsid w:val="00544B29"/>
    <w:rsid w:val="00544D42"/>
    <w:rsid w:val="00544F5C"/>
    <w:rsid w:val="00545615"/>
    <w:rsid w:val="0054566B"/>
    <w:rsid w:val="0054571C"/>
    <w:rsid w:val="00545727"/>
    <w:rsid w:val="005458E7"/>
    <w:rsid w:val="00545ACA"/>
    <w:rsid w:val="00545B6D"/>
    <w:rsid w:val="00545B7A"/>
    <w:rsid w:val="00545E83"/>
    <w:rsid w:val="005460BA"/>
    <w:rsid w:val="005465D8"/>
    <w:rsid w:val="00546625"/>
    <w:rsid w:val="005466FA"/>
    <w:rsid w:val="00546ACB"/>
    <w:rsid w:val="00546B0C"/>
    <w:rsid w:val="00546B6A"/>
    <w:rsid w:val="00546BEB"/>
    <w:rsid w:val="00546D19"/>
    <w:rsid w:val="00546E1E"/>
    <w:rsid w:val="00546FC9"/>
    <w:rsid w:val="00546FDC"/>
    <w:rsid w:val="00547069"/>
    <w:rsid w:val="0054719E"/>
    <w:rsid w:val="0054721F"/>
    <w:rsid w:val="00547267"/>
    <w:rsid w:val="00547307"/>
    <w:rsid w:val="00547314"/>
    <w:rsid w:val="00547493"/>
    <w:rsid w:val="005476A5"/>
    <w:rsid w:val="005477A6"/>
    <w:rsid w:val="00547A7E"/>
    <w:rsid w:val="00547C59"/>
    <w:rsid w:val="00547EB0"/>
    <w:rsid w:val="0055029A"/>
    <w:rsid w:val="0055037B"/>
    <w:rsid w:val="00550582"/>
    <w:rsid w:val="005506FA"/>
    <w:rsid w:val="005508DD"/>
    <w:rsid w:val="00550B57"/>
    <w:rsid w:val="00550B5D"/>
    <w:rsid w:val="00550CC7"/>
    <w:rsid w:val="00550D8B"/>
    <w:rsid w:val="00550DC8"/>
    <w:rsid w:val="00550E8E"/>
    <w:rsid w:val="00550F13"/>
    <w:rsid w:val="00551197"/>
    <w:rsid w:val="005511A1"/>
    <w:rsid w:val="005512B1"/>
    <w:rsid w:val="005513E5"/>
    <w:rsid w:val="0055146A"/>
    <w:rsid w:val="0055149A"/>
    <w:rsid w:val="00551601"/>
    <w:rsid w:val="00551621"/>
    <w:rsid w:val="005517ED"/>
    <w:rsid w:val="005519BE"/>
    <w:rsid w:val="005520FA"/>
    <w:rsid w:val="005521D8"/>
    <w:rsid w:val="0055223C"/>
    <w:rsid w:val="00552708"/>
    <w:rsid w:val="00552814"/>
    <w:rsid w:val="0055282D"/>
    <w:rsid w:val="005529E1"/>
    <w:rsid w:val="00552A3E"/>
    <w:rsid w:val="00552DC9"/>
    <w:rsid w:val="00552E01"/>
    <w:rsid w:val="00552E33"/>
    <w:rsid w:val="00552EF2"/>
    <w:rsid w:val="00552FB6"/>
    <w:rsid w:val="00552FE8"/>
    <w:rsid w:val="00553305"/>
    <w:rsid w:val="00553351"/>
    <w:rsid w:val="0055342C"/>
    <w:rsid w:val="005535F9"/>
    <w:rsid w:val="00553658"/>
    <w:rsid w:val="005536CF"/>
    <w:rsid w:val="0055380F"/>
    <w:rsid w:val="00553826"/>
    <w:rsid w:val="00553877"/>
    <w:rsid w:val="005538B1"/>
    <w:rsid w:val="00553900"/>
    <w:rsid w:val="00553940"/>
    <w:rsid w:val="00553A46"/>
    <w:rsid w:val="00553D26"/>
    <w:rsid w:val="00553E5E"/>
    <w:rsid w:val="0055413A"/>
    <w:rsid w:val="005543C1"/>
    <w:rsid w:val="00554909"/>
    <w:rsid w:val="00554DF9"/>
    <w:rsid w:val="00554E64"/>
    <w:rsid w:val="00555037"/>
    <w:rsid w:val="0055525E"/>
    <w:rsid w:val="0055547E"/>
    <w:rsid w:val="005558CB"/>
    <w:rsid w:val="00555A2C"/>
    <w:rsid w:val="00555CD4"/>
    <w:rsid w:val="00555D57"/>
    <w:rsid w:val="00555E24"/>
    <w:rsid w:val="00555EAA"/>
    <w:rsid w:val="00555FE9"/>
    <w:rsid w:val="00556144"/>
    <w:rsid w:val="00556184"/>
    <w:rsid w:val="005561CE"/>
    <w:rsid w:val="0055632B"/>
    <w:rsid w:val="0055660E"/>
    <w:rsid w:val="00556645"/>
    <w:rsid w:val="00556940"/>
    <w:rsid w:val="005569B2"/>
    <w:rsid w:val="00556A05"/>
    <w:rsid w:val="00556D05"/>
    <w:rsid w:val="00556DE0"/>
    <w:rsid w:val="00556E4C"/>
    <w:rsid w:val="00556E5C"/>
    <w:rsid w:val="0055734F"/>
    <w:rsid w:val="0055739B"/>
    <w:rsid w:val="00557478"/>
    <w:rsid w:val="0055767E"/>
    <w:rsid w:val="00557C02"/>
    <w:rsid w:val="00557DBA"/>
    <w:rsid w:val="00557E88"/>
    <w:rsid w:val="005600B7"/>
    <w:rsid w:val="0056018C"/>
    <w:rsid w:val="0056041C"/>
    <w:rsid w:val="00560849"/>
    <w:rsid w:val="00560874"/>
    <w:rsid w:val="005609D4"/>
    <w:rsid w:val="00560FB0"/>
    <w:rsid w:val="00561095"/>
    <w:rsid w:val="0056139A"/>
    <w:rsid w:val="0056155C"/>
    <w:rsid w:val="00561817"/>
    <w:rsid w:val="005618F8"/>
    <w:rsid w:val="00561A33"/>
    <w:rsid w:val="00561C01"/>
    <w:rsid w:val="00561DCA"/>
    <w:rsid w:val="00561E59"/>
    <w:rsid w:val="00561EB0"/>
    <w:rsid w:val="00561FA1"/>
    <w:rsid w:val="005621C2"/>
    <w:rsid w:val="00562258"/>
    <w:rsid w:val="005622CF"/>
    <w:rsid w:val="00562307"/>
    <w:rsid w:val="00562385"/>
    <w:rsid w:val="005625C2"/>
    <w:rsid w:val="00562832"/>
    <w:rsid w:val="00562966"/>
    <w:rsid w:val="00562A8B"/>
    <w:rsid w:val="00562EB5"/>
    <w:rsid w:val="00562F0C"/>
    <w:rsid w:val="0056309E"/>
    <w:rsid w:val="005630AA"/>
    <w:rsid w:val="00563115"/>
    <w:rsid w:val="00563172"/>
    <w:rsid w:val="00563350"/>
    <w:rsid w:val="005633B8"/>
    <w:rsid w:val="0056379D"/>
    <w:rsid w:val="005637D9"/>
    <w:rsid w:val="0056385F"/>
    <w:rsid w:val="005638F9"/>
    <w:rsid w:val="0056397B"/>
    <w:rsid w:val="00563C4F"/>
    <w:rsid w:val="00564028"/>
    <w:rsid w:val="005641DD"/>
    <w:rsid w:val="005643F0"/>
    <w:rsid w:val="00564683"/>
    <w:rsid w:val="00564775"/>
    <w:rsid w:val="00564829"/>
    <w:rsid w:val="00564B1D"/>
    <w:rsid w:val="00564BC3"/>
    <w:rsid w:val="00564BCE"/>
    <w:rsid w:val="00564BFD"/>
    <w:rsid w:val="00564C6C"/>
    <w:rsid w:val="00564EF3"/>
    <w:rsid w:val="00564F39"/>
    <w:rsid w:val="0056534D"/>
    <w:rsid w:val="005653D8"/>
    <w:rsid w:val="005655A9"/>
    <w:rsid w:val="00565682"/>
    <w:rsid w:val="00565A5D"/>
    <w:rsid w:val="00565BCB"/>
    <w:rsid w:val="00565C96"/>
    <w:rsid w:val="00565D21"/>
    <w:rsid w:val="00565EFB"/>
    <w:rsid w:val="00565FEF"/>
    <w:rsid w:val="00566158"/>
    <w:rsid w:val="005661F5"/>
    <w:rsid w:val="0056630E"/>
    <w:rsid w:val="00566490"/>
    <w:rsid w:val="0056667B"/>
    <w:rsid w:val="00566783"/>
    <w:rsid w:val="005669DC"/>
    <w:rsid w:val="00566A54"/>
    <w:rsid w:val="00566A5D"/>
    <w:rsid w:val="00566C8C"/>
    <w:rsid w:val="00566D64"/>
    <w:rsid w:val="0056704A"/>
    <w:rsid w:val="005672BE"/>
    <w:rsid w:val="005673EF"/>
    <w:rsid w:val="00567527"/>
    <w:rsid w:val="00567694"/>
    <w:rsid w:val="0056783C"/>
    <w:rsid w:val="00567A8D"/>
    <w:rsid w:val="00567E68"/>
    <w:rsid w:val="00570181"/>
    <w:rsid w:val="00570272"/>
    <w:rsid w:val="0057039A"/>
    <w:rsid w:val="00570472"/>
    <w:rsid w:val="0057088A"/>
    <w:rsid w:val="00570D06"/>
    <w:rsid w:val="005711EE"/>
    <w:rsid w:val="005712E8"/>
    <w:rsid w:val="005713DD"/>
    <w:rsid w:val="005714C4"/>
    <w:rsid w:val="0057151E"/>
    <w:rsid w:val="005715E5"/>
    <w:rsid w:val="0057170E"/>
    <w:rsid w:val="005718CD"/>
    <w:rsid w:val="00571BE5"/>
    <w:rsid w:val="00571F40"/>
    <w:rsid w:val="005721A0"/>
    <w:rsid w:val="005721DB"/>
    <w:rsid w:val="00572868"/>
    <w:rsid w:val="00572A19"/>
    <w:rsid w:val="00572BCE"/>
    <w:rsid w:val="00572C72"/>
    <w:rsid w:val="00572CA9"/>
    <w:rsid w:val="00572CAF"/>
    <w:rsid w:val="00572D1D"/>
    <w:rsid w:val="0057301F"/>
    <w:rsid w:val="00573082"/>
    <w:rsid w:val="00573108"/>
    <w:rsid w:val="005732B1"/>
    <w:rsid w:val="0057353F"/>
    <w:rsid w:val="00573564"/>
    <w:rsid w:val="00573736"/>
    <w:rsid w:val="00573851"/>
    <w:rsid w:val="00573854"/>
    <w:rsid w:val="005738EE"/>
    <w:rsid w:val="00573AC6"/>
    <w:rsid w:val="00573E4C"/>
    <w:rsid w:val="00573F0A"/>
    <w:rsid w:val="0057419D"/>
    <w:rsid w:val="005742E5"/>
    <w:rsid w:val="0057467E"/>
    <w:rsid w:val="00574A42"/>
    <w:rsid w:val="00574CBC"/>
    <w:rsid w:val="0057530B"/>
    <w:rsid w:val="0057537D"/>
    <w:rsid w:val="0057552A"/>
    <w:rsid w:val="005755B5"/>
    <w:rsid w:val="005755F1"/>
    <w:rsid w:val="00575762"/>
    <w:rsid w:val="00575910"/>
    <w:rsid w:val="00575A35"/>
    <w:rsid w:val="00575B05"/>
    <w:rsid w:val="00575DA4"/>
    <w:rsid w:val="00575DC2"/>
    <w:rsid w:val="00576503"/>
    <w:rsid w:val="00576954"/>
    <w:rsid w:val="00576A97"/>
    <w:rsid w:val="00576D0E"/>
    <w:rsid w:val="0057705A"/>
    <w:rsid w:val="0057723C"/>
    <w:rsid w:val="005773BB"/>
    <w:rsid w:val="005774D0"/>
    <w:rsid w:val="005774F1"/>
    <w:rsid w:val="00577BA7"/>
    <w:rsid w:val="00577E33"/>
    <w:rsid w:val="0058007F"/>
    <w:rsid w:val="00580083"/>
    <w:rsid w:val="00580135"/>
    <w:rsid w:val="005804D7"/>
    <w:rsid w:val="00580667"/>
    <w:rsid w:val="005806A3"/>
    <w:rsid w:val="00580793"/>
    <w:rsid w:val="00580A9D"/>
    <w:rsid w:val="00580BFA"/>
    <w:rsid w:val="00580D22"/>
    <w:rsid w:val="00580D33"/>
    <w:rsid w:val="00580DE5"/>
    <w:rsid w:val="00580F3D"/>
    <w:rsid w:val="00580F44"/>
    <w:rsid w:val="005810A2"/>
    <w:rsid w:val="005810B1"/>
    <w:rsid w:val="0058116F"/>
    <w:rsid w:val="0058130C"/>
    <w:rsid w:val="00581991"/>
    <w:rsid w:val="00581C0D"/>
    <w:rsid w:val="00581D41"/>
    <w:rsid w:val="00581DD6"/>
    <w:rsid w:val="00581E09"/>
    <w:rsid w:val="005820DE"/>
    <w:rsid w:val="00582310"/>
    <w:rsid w:val="00582501"/>
    <w:rsid w:val="005827BD"/>
    <w:rsid w:val="005828CD"/>
    <w:rsid w:val="00582E9D"/>
    <w:rsid w:val="005831D1"/>
    <w:rsid w:val="005831D2"/>
    <w:rsid w:val="005833F3"/>
    <w:rsid w:val="00583401"/>
    <w:rsid w:val="0058342A"/>
    <w:rsid w:val="00583463"/>
    <w:rsid w:val="00583505"/>
    <w:rsid w:val="0058367C"/>
    <w:rsid w:val="0058371D"/>
    <w:rsid w:val="005837E6"/>
    <w:rsid w:val="00583890"/>
    <w:rsid w:val="0058397D"/>
    <w:rsid w:val="0058397E"/>
    <w:rsid w:val="00583DBB"/>
    <w:rsid w:val="00583FF1"/>
    <w:rsid w:val="0058424F"/>
    <w:rsid w:val="0058451F"/>
    <w:rsid w:val="00584749"/>
    <w:rsid w:val="0058483D"/>
    <w:rsid w:val="00584879"/>
    <w:rsid w:val="00584B1E"/>
    <w:rsid w:val="00584B6C"/>
    <w:rsid w:val="00584EBB"/>
    <w:rsid w:val="0058519E"/>
    <w:rsid w:val="00585261"/>
    <w:rsid w:val="00585390"/>
    <w:rsid w:val="005856AC"/>
    <w:rsid w:val="005857FD"/>
    <w:rsid w:val="00585814"/>
    <w:rsid w:val="005858C4"/>
    <w:rsid w:val="005858D9"/>
    <w:rsid w:val="00585ACE"/>
    <w:rsid w:val="00585DAE"/>
    <w:rsid w:val="00585DB3"/>
    <w:rsid w:val="00585EFE"/>
    <w:rsid w:val="0058624F"/>
    <w:rsid w:val="0058639E"/>
    <w:rsid w:val="0058699E"/>
    <w:rsid w:val="00586C28"/>
    <w:rsid w:val="00586EA3"/>
    <w:rsid w:val="00586F67"/>
    <w:rsid w:val="0058717A"/>
    <w:rsid w:val="005872FE"/>
    <w:rsid w:val="0058747C"/>
    <w:rsid w:val="00587512"/>
    <w:rsid w:val="0058776A"/>
    <w:rsid w:val="00587805"/>
    <w:rsid w:val="00587C7B"/>
    <w:rsid w:val="00587CBA"/>
    <w:rsid w:val="00587D5A"/>
    <w:rsid w:val="00587D65"/>
    <w:rsid w:val="00587E5E"/>
    <w:rsid w:val="00587F60"/>
    <w:rsid w:val="005903D3"/>
    <w:rsid w:val="005905EE"/>
    <w:rsid w:val="005907B8"/>
    <w:rsid w:val="00590BA5"/>
    <w:rsid w:val="00590C3B"/>
    <w:rsid w:val="00590DC4"/>
    <w:rsid w:val="00591310"/>
    <w:rsid w:val="005914CA"/>
    <w:rsid w:val="005916AB"/>
    <w:rsid w:val="0059176D"/>
    <w:rsid w:val="00591858"/>
    <w:rsid w:val="005918D8"/>
    <w:rsid w:val="00591DED"/>
    <w:rsid w:val="005921D0"/>
    <w:rsid w:val="005922DC"/>
    <w:rsid w:val="0059263A"/>
    <w:rsid w:val="0059272B"/>
    <w:rsid w:val="00592862"/>
    <w:rsid w:val="00592877"/>
    <w:rsid w:val="00592925"/>
    <w:rsid w:val="00592EA6"/>
    <w:rsid w:val="00593156"/>
    <w:rsid w:val="00593341"/>
    <w:rsid w:val="005934AE"/>
    <w:rsid w:val="00593531"/>
    <w:rsid w:val="0059385E"/>
    <w:rsid w:val="005938F3"/>
    <w:rsid w:val="005939A5"/>
    <w:rsid w:val="00593BD4"/>
    <w:rsid w:val="00593C80"/>
    <w:rsid w:val="00593CF7"/>
    <w:rsid w:val="00593DD7"/>
    <w:rsid w:val="00593E6A"/>
    <w:rsid w:val="00593ED4"/>
    <w:rsid w:val="00594134"/>
    <w:rsid w:val="0059450C"/>
    <w:rsid w:val="005945D5"/>
    <w:rsid w:val="00594919"/>
    <w:rsid w:val="005949E4"/>
    <w:rsid w:val="00594ADC"/>
    <w:rsid w:val="00594B59"/>
    <w:rsid w:val="00594C9F"/>
    <w:rsid w:val="00595059"/>
    <w:rsid w:val="005951F9"/>
    <w:rsid w:val="00595386"/>
    <w:rsid w:val="00595457"/>
    <w:rsid w:val="005958B0"/>
    <w:rsid w:val="00595C1A"/>
    <w:rsid w:val="00595E12"/>
    <w:rsid w:val="00595E5F"/>
    <w:rsid w:val="005960C2"/>
    <w:rsid w:val="005960DA"/>
    <w:rsid w:val="005961B3"/>
    <w:rsid w:val="0059662F"/>
    <w:rsid w:val="005967B0"/>
    <w:rsid w:val="00596990"/>
    <w:rsid w:val="00596C4F"/>
    <w:rsid w:val="00596D6C"/>
    <w:rsid w:val="00596DAA"/>
    <w:rsid w:val="00596FA5"/>
    <w:rsid w:val="0059709F"/>
    <w:rsid w:val="005970E8"/>
    <w:rsid w:val="005971D9"/>
    <w:rsid w:val="00597425"/>
    <w:rsid w:val="00597772"/>
    <w:rsid w:val="00597906"/>
    <w:rsid w:val="00597B71"/>
    <w:rsid w:val="00597CB6"/>
    <w:rsid w:val="00597CC1"/>
    <w:rsid w:val="00597DA9"/>
    <w:rsid w:val="005A01E7"/>
    <w:rsid w:val="005A0236"/>
    <w:rsid w:val="005A056D"/>
    <w:rsid w:val="005A06AD"/>
    <w:rsid w:val="005A084E"/>
    <w:rsid w:val="005A0AF5"/>
    <w:rsid w:val="005A0B61"/>
    <w:rsid w:val="005A0BBC"/>
    <w:rsid w:val="005A0C68"/>
    <w:rsid w:val="005A0E35"/>
    <w:rsid w:val="005A0F99"/>
    <w:rsid w:val="005A1007"/>
    <w:rsid w:val="005A115E"/>
    <w:rsid w:val="005A1472"/>
    <w:rsid w:val="005A148C"/>
    <w:rsid w:val="005A1547"/>
    <w:rsid w:val="005A1594"/>
    <w:rsid w:val="005A1675"/>
    <w:rsid w:val="005A18F3"/>
    <w:rsid w:val="005A1908"/>
    <w:rsid w:val="005A1EC4"/>
    <w:rsid w:val="005A2088"/>
    <w:rsid w:val="005A215E"/>
    <w:rsid w:val="005A246E"/>
    <w:rsid w:val="005A2729"/>
    <w:rsid w:val="005A2AE4"/>
    <w:rsid w:val="005A2D21"/>
    <w:rsid w:val="005A34C8"/>
    <w:rsid w:val="005A35BC"/>
    <w:rsid w:val="005A3631"/>
    <w:rsid w:val="005A3784"/>
    <w:rsid w:val="005A37B2"/>
    <w:rsid w:val="005A39FA"/>
    <w:rsid w:val="005A3C68"/>
    <w:rsid w:val="005A409E"/>
    <w:rsid w:val="005A4395"/>
    <w:rsid w:val="005A4576"/>
    <w:rsid w:val="005A49EF"/>
    <w:rsid w:val="005A4B57"/>
    <w:rsid w:val="005A4B8F"/>
    <w:rsid w:val="005A4F82"/>
    <w:rsid w:val="005A50F7"/>
    <w:rsid w:val="005A51AF"/>
    <w:rsid w:val="005A5218"/>
    <w:rsid w:val="005A5223"/>
    <w:rsid w:val="005A52F2"/>
    <w:rsid w:val="005A5311"/>
    <w:rsid w:val="005A583B"/>
    <w:rsid w:val="005A5A42"/>
    <w:rsid w:val="005A5A50"/>
    <w:rsid w:val="005A5EBC"/>
    <w:rsid w:val="005A5F33"/>
    <w:rsid w:val="005A606C"/>
    <w:rsid w:val="005A61A9"/>
    <w:rsid w:val="005A61F8"/>
    <w:rsid w:val="005A63FC"/>
    <w:rsid w:val="005A650B"/>
    <w:rsid w:val="005A6895"/>
    <w:rsid w:val="005A69D0"/>
    <w:rsid w:val="005A6A39"/>
    <w:rsid w:val="005A6AFE"/>
    <w:rsid w:val="005A6CC9"/>
    <w:rsid w:val="005A704E"/>
    <w:rsid w:val="005A70B6"/>
    <w:rsid w:val="005A70EC"/>
    <w:rsid w:val="005A7258"/>
    <w:rsid w:val="005A72E2"/>
    <w:rsid w:val="005A7723"/>
    <w:rsid w:val="005A7A12"/>
    <w:rsid w:val="005A7B90"/>
    <w:rsid w:val="005A7E36"/>
    <w:rsid w:val="005B0234"/>
    <w:rsid w:val="005B03E4"/>
    <w:rsid w:val="005B0857"/>
    <w:rsid w:val="005B0906"/>
    <w:rsid w:val="005B0BBB"/>
    <w:rsid w:val="005B101F"/>
    <w:rsid w:val="005B10F5"/>
    <w:rsid w:val="005B11BA"/>
    <w:rsid w:val="005B14D4"/>
    <w:rsid w:val="005B173E"/>
    <w:rsid w:val="005B1B39"/>
    <w:rsid w:val="005B1C31"/>
    <w:rsid w:val="005B1C63"/>
    <w:rsid w:val="005B1D21"/>
    <w:rsid w:val="005B1E0C"/>
    <w:rsid w:val="005B2027"/>
    <w:rsid w:val="005B2189"/>
    <w:rsid w:val="005B21C7"/>
    <w:rsid w:val="005B21FF"/>
    <w:rsid w:val="005B225A"/>
    <w:rsid w:val="005B22C6"/>
    <w:rsid w:val="005B2344"/>
    <w:rsid w:val="005B2723"/>
    <w:rsid w:val="005B2C5D"/>
    <w:rsid w:val="005B2D1B"/>
    <w:rsid w:val="005B30E8"/>
    <w:rsid w:val="005B30F9"/>
    <w:rsid w:val="005B32DB"/>
    <w:rsid w:val="005B332E"/>
    <w:rsid w:val="005B342D"/>
    <w:rsid w:val="005B370D"/>
    <w:rsid w:val="005B38B6"/>
    <w:rsid w:val="005B3947"/>
    <w:rsid w:val="005B3E71"/>
    <w:rsid w:val="005B3F0C"/>
    <w:rsid w:val="005B3F9A"/>
    <w:rsid w:val="005B406F"/>
    <w:rsid w:val="005B4370"/>
    <w:rsid w:val="005B4564"/>
    <w:rsid w:val="005B457C"/>
    <w:rsid w:val="005B4A41"/>
    <w:rsid w:val="005B4B2E"/>
    <w:rsid w:val="005B4DD0"/>
    <w:rsid w:val="005B505E"/>
    <w:rsid w:val="005B5198"/>
    <w:rsid w:val="005B527A"/>
    <w:rsid w:val="005B52B8"/>
    <w:rsid w:val="005B53A6"/>
    <w:rsid w:val="005B54FF"/>
    <w:rsid w:val="005B598C"/>
    <w:rsid w:val="005B5A33"/>
    <w:rsid w:val="005B5BE8"/>
    <w:rsid w:val="005B5CEB"/>
    <w:rsid w:val="005B5D8F"/>
    <w:rsid w:val="005B622A"/>
    <w:rsid w:val="005B6455"/>
    <w:rsid w:val="005B64E4"/>
    <w:rsid w:val="005B6521"/>
    <w:rsid w:val="005B66A1"/>
    <w:rsid w:val="005B66E6"/>
    <w:rsid w:val="005B67BE"/>
    <w:rsid w:val="005B68C4"/>
    <w:rsid w:val="005B68DE"/>
    <w:rsid w:val="005B691A"/>
    <w:rsid w:val="005B692B"/>
    <w:rsid w:val="005B6961"/>
    <w:rsid w:val="005B69AB"/>
    <w:rsid w:val="005B6B24"/>
    <w:rsid w:val="005B6CDD"/>
    <w:rsid w:val="005B6CED"/>
    <w:rsid w:val="005B6E07"/>
    <w:rsid w:val="005B6EBC"/>
    <w:rsid w:val="005B703B"/>
    <w:rsid w:val="005B704D"/>
    <w:rsid w:val="005B7073"/>
    <w:rsid w:val="005B749B"/>
    <w:rsid w:val="005B761D"/>
    <w:rsid w:val="005B7746"/>
    <w:rsid w:val="005B7A02"/>
    <w:rsid w:val="005B7F71"/>
    <w:rsid w:val="005C04FB"/>
    <w:rsid w:val="005C0506"/>
    <w:rsid w:val="005C06D6"/>
    <w:rsid w:val="005C08FC"/>
    <w:rsid w:val="005C0A45"/>
    <w:rsid w:val="005C0B21"/>
    <w:rsid w:val="005C0F1D"/>
    <w:rsid w:val="005C0FCE"/>
    <w:rsid w:val="005C12BC"/>
    <w:rsid w:val="005C14B2"/>
    <w:rsid w:val="005C1640"/>
    <w:rsid w:val="005C1801"/>
    <w:rsid w:val="005C19D2"/>
    <w:rsid w:val="005C19D5"/>
    <w:rsid w:val="005C19EA"/>
    <w:rsid w:val="005C1A2E"/>
    <w:rsid w:val="005C1ACF"/>
    <w:rsid w:val="005C1C27"/>
    <w:rsid w:val="005C1D28"/>
    <w:rsid w:val="005C1E8B"/>
    <w:rsid w:val="005C24CB"/>
    <w:rsid w:val="005C28DC"/>
    <w:rsid w:val="005C2ADA"/>
    <w:rsid w:val="005C2E1D"/>
    <w:rsid w:val="005C2ED2"/>
    <w:rsid w:val="005C2F3A"/>
    <w:rsid w:val="005C2F4A"/>
    <w:rsid w:val="005C2FF2"/>
    <w:rsid w:val="005C37AF"/>
    <w:rsid w:val="005C3D58"/>
    <w:rsid w:val="005C4178"/>
    <w:rsid w:val="005C43A7"/>
    <w:rsid w:val="005C43FF"/>
    <w:rsid w:val="005C445D"/>
    <w:rsid w:val="005C46CB"/>
    <w:rsid w:val="005C481E"/>
    <w:rsid w:val="005C49B7"/>
    <w:rsid w:val="005C4AAB"/>
    <w:rsid w:val="005C4B23"/>
    <w:rsid w:val="005C4D06"/>
    <w:rsid w:val="005C4E17"/>
    <w:rsid w:val="005C505F"/>
    <w:rsid w:val="005C5173"/>
    <w:rsid w:val="005C527A"/>
    <w:rsid w:val="005C52A5"/>
    <w:rsid w:val="005C54DC"/>
    <w:rsid w:val="005C5571"/>
    <w:rsid w:val="005C572B"/>
    <w:rsid w:val="005C58FA"/>
    <w:rsid w:val="005C5932"/>
    <w:rsid w:val="005C5A1C"/>
    <w:rsid w:val="005C5B5B"/>
    <w:rsid w:val="005C5F18"/>
    <w:rsid w:val="005C6059"/>
    <w:rsid w:val="005C62BF"/>
    <w:rsid w:val="005C6358"/>
    <w:rsid w:val="005C6598"/>
    <w:rsid w:val="005C65CB"/>
    <w:rsid w:val="005C65E8"/>
    <w:rsid w:val="005C66B5"/>
    <w:rsid w:val="005C6A47"/>
    <w:rsid w:val="005C6AD7"/>
    <w:rsid w:val="005C6BFB"/>
    <w:rsid w:val="005C6C7A"/>
    <w:rsid w:val="005C6C99"/>
    <w:rsid w:val="005C6D76"/>
    <w:rsid w:val="005C6F93"/>
    <w:rsid w:val="005C72C9"/>
    <w:rsid w:val="005C74E4"/>
    <w:rsid w:val="005C7635"/>
    <w:rsid w:val="005C774C"/>
    <w:rsid w:val="005C78C3"/>
    <w:rsid w:val="005C79F5"/>
    <w:rsid w:val="005C7A4A"/>
    <w:rsid w:val="005C7A4F"/>
    <w:rsid w:val="005C7B0A"/>
    <w:rsid w:val="005C7B17"/>
    <w:rsid w:val="005C7D0A"/>
    <w:rsid w:val="005C7F38"/>
    <w:rsid w:val="005C7FC8"/>
    <w:rsid w:val="005C7FF2"/>
    <w:rsid w:val="005D00D6"/>
    <w:rsid w:val="005D03B7"/>
    <w:rsid w:val="005D03ED"/>
    <w:rsid w:val="005D0493"/>
    <w:rsid w:val="005D087D"/>
    <w:rsid w:val="005D08B9"/>
    <w:rsid w:val="005D09AC"/>
    <w:rsid w:val="005D0A6A"/>
    <w:rsid w:val="005D0C3A"/>
    <w:rsid w:val="005D0E0C"/>
    <w:rsid w:val="005D0E6B"/>
    <w:rsid w:val="005D0FB0"/>
    <w:rsid w:val="005D105B"/>
    <w:rsid w:val="005D10CE"/>
    <w:rsid w:val="005D12BE"/>
    <w:rsid w:val="005D176C"/>
    <w:rsid w:val="005D1823"/>
    <w:rsid w:val="005D1A07"/>
    <w:rsid w:val="005D1B41"/>
    <w:rsid w:val="005D1BA3"/>
    <w:rsid w:val="005D2301"/>
    <w:rsid w:val="005D236B"/>
    <w:rsid w:val="005D23E5"/>
    <w:rsid w:val="005D2426"/>
    <w:rsid w:val="005D24EC"/>
    <w:rsid w:val="005D261D"/>
    <w:rsid w:val="005D26C9"/>
    <w:rsid w:val="005D270D"/>
    <w:rsid w:val="005D2874"/>
    <w:rsid w:val="005D2899"/>
    <w:rsid w:val="005D2B60"/>
    <w:rsid w:val="005D2B94"/>
    <w:rsid w:val="005D2BD9"/>
    <w:rsid w:val="005D2C16"/>
    <w:rsid w:val="005D2C2B"/>
    <w:rsid w:val="005D2DDF"/>
    <w:rsid w:val="005D2F95"/>
    <w:rsid w:val="005D30C9"/>
    <w:rsid w:val="005D3120"/>
    <w:rsid w:val="005D32E5"/>
    <w:rsid w:val="005D35FD"/>
    <w:rsid w:val="005D37DF"/>
    <w:rsid w:val="005D384C"/>
    <w:rsid w:val="005D387E"/>
    <w:rsid w:val="005D3988"/>
    <w:rsid w:val="005D3B4A"/>
    <w:rsid w:val="005D3DA7"/>
    <w:rsid w:val="005D3DEA"/>
    <w:rsid w:val="005D496B"/>
    <w:rsid w:val="005D4A36"/>
    <w:rsid w:val="005D4DD6"/>
    <w:rsid w:val="005D501D"/>
    <w:rsid w:val="005D5053"/>
    <w:rsid w:val="005D52F4"/>
    <w:rsid w:val="005D5306"/>
    <w:rsid w:val="005D53AD"/>
    <w:rsid w:val="005D54A7"/>
    <w:rsid w:val="005D54C1"/>
    <w:rsid w:val="005D54E0"/>
    <w:rsid w:val="005D5E86"/>
    <w:rsid w:val="005D5F9A"/>
    <w:rsid w:val="005D5FE8"/>
    <w:rsid w:val="005D5FF6"/>
    <w:rsid w:val="005D6154"/>
    <w:rsid w:val="005D63BC"/>
    <w:rsid w:val="005D656B"/>
    <w:rsid w:val="005D67BF"/>
    <w:rsid w:val="005D6A9B"/>
    <w:rsid w:val="005D6CEF"/>
    <w:rsid w:val="005D6FC6"/>
    <w:rsid w:val="005D70D8"/>
    <w:rsid w:val="005D7682"/>
    <w:rsid w:val="005D79CF"/>
    <w:rsid w:val="005D7AE3"/>
    <w:rsid w:val="005D7CE1"/>
    <w:rsid w:val="005D7E4F"/>
    <w:rsid w:val="005D7FBC"/>
    <w:rsid w:val="005E0471"/>
    <w:rsid w:val="005E048C"/>
    <w:rsid w:val="005E051F"/>
    <w:rsid w:val="005E0565"/>
    <w:rsid w:val="005E05EE"/>
    <w:rsid w:val="005E06F7"/>
    <w:rsid w:val="005E07AB"/>
    <w:rsid w:val="005E0831"/>
    <w:rsid w:val="005E0A28"/>
    <w:rsid w:val="005E0C4F"/>
    <w:rsid w:val="005E0C5D"/>
    <w:rsid w:val="005E0CA4"/>
    <w:rsid w:val="005E10BF"/>
    <w:rsid w:val="005E10F9"/>
    <w:rsid w:val="005E128A"/>
    <w:rsid w:val="005E14F0"/>
    <w:rsid w:val="005E177C"/>
    <w:rsid w:val="005E1960"/>
    <w:rsid w:val="005E1969"/>
    <w:rsid w:val="005E1A3C"/>
    <w:rsid w:val="005E1C28"/>
    <w:rsid w:val="005E1CF9"/>
    <w:rsid w:val="005E1D7A"/>
    <w:rsid w:val="005E1F4C"/>
    <w:rsid w:val="005E217C"/>
    <w:rsid w:val="005E21BC"/>
    <w:rsid w:val="005E23A7"/>
    <w:rsid w:val="005E24DA"/>
    <w:rsid w:val="005E263A"/>
    <w:rsid w:val="005E2843"/>
    <w:rsid w:val="005E2AA2"/>
    <w:rsid w:val="005E2B28"/>
    <w:rsid w:val="005E2BCE"/>
    <w:rsid w:val="005E2D3B"/>
    <w:rsid w:val="005E2EC3"/>
    <w:rsid w:val="005E2F23"/>
    <w:rsid w:val="005E32D6"/>
    <w:rsid w:val="005E32F7"/>
    <w:rsid w:val="005E335E"/>
    <w:rsid w:val="005E3384"/>
    <w:rsid w:val="005E34E8"/>
    <w:rsid w:val="005E36BE"/>
    <w:rsid w:val="005E36E5"/>
    <w:rsid w:val="005E38C5"/>
    <w:rsid w:val="005E38D2"/>
    <w:rsid w:val="005E39E6"/>
    <w:rsid w:val="005E402A"/>
    <w:rsid w:val="005E4063"/>
    <w:rsid w:val="005E4235"/>
    <w:rsid w:val="005E4306"/>
    <w:rsid w:val="005E4387"/>
    <w:rsid w:val="005E45EE"/>
    <w:rsid w:val="005E4664"/>
    <w:rsid w:val="005E4B46"/>
    <w:rsid w:val="005E4CAC"/>
    <w:rsid w:val="005E4CDF"/>
    <w:rsid w:val="005E4E19"/>
    <w:rsid w:val="005E4F37"/>
    <w:rsid w:val="005E5068"/>
    <w:rsid w:val="005E532E"/>
    <w:rsid w:val="005E54A9"/>
    <w:rsid w:val="005E5950"/>
    <w:rsid w:val="005E59B1"/>
    <w:rsid w:val="005E59CC"/>
    <w:rsid w:val="005E5C60"/>
    <w:rsid w:val="005E5DEE"/>
    <w:rsid w:val="005E60F6"/>
    <w:rsid w:val="005E6211"/>
    <w:rsid w:val="005E6255"/>
    <w:rsid w:val="005E63FB"/>
    <w:rsid w:val="005E6A16"/>
    <w:rsid w:val="005E6B3E"/>
    <w:rsid w:val="005E6B42"/>
    <w:rsid w:val="005E6BB1"/>
    <w:rsid w:val="005E6C96"/>
    <w:rsid w:val="005E6F6F"/>
    <w:rsid w:val="005E6F83"/>
    <w:rsid w:val="005E735A"/>
    <w:rsid w:val="005E76B1"/>
    <w:rsid w:val="005E7884"/>
    <w:rsid w:val="005E7A87"/>
    <w:rsid w:val="005F0157"/>
    <w:rsid w:val="005F01BB"/>
    <w:rsid w:val="005F01DF"/>
    <w:rsid w:val="005F04D3"/>
    <w:rsid w:val="005F0A47"/>
    <w:rsid w:val="005F0AFB"/>
    <w:rsid w:val="005F10EE"/>
    <w:rsid w:val="005F14C7"/>
    <w:rsid w:val="005F15A0"/>
    <w:rsid w:val="005F15E6"/>
    <w:rsid w:val="005F208C"/>
    <w:rsid w:val="005F20B7"/>
    <w:rsid w:val="005F2229"/>
    <w:rsid w:val="005F230B"/>
    <w:rsid w:val="005F234E"/>
    <w:rsid w:val="005F240A"/>
    <w:rsid w:val="005F24F9"/>
    <w:rsid w:val="005F25B7"/>
    <w:rsid w:val="005F2825"/>
    <w:rsid w:val="005F2B31"/>
    <w:rsid w:val="005F2C6E"/>
    <w:rsid w:val="005F2CBA"/>
    <w:rsid w:val="005F2FDB"/>
    <w:rsid w:val="005F35C6"/>
    <w:rsid w:val="005F381B"/>
    <w:rsid w:val="005F38FF"/>
    <w:rsid w:val="005F3943"/>
    <w:rsid w:val="005F3975"/>
    <w:rsid w:val="005F39B7"/>
    <w:rsid w:val="005F39E0"/>
    <w:rsid w:val="005F3A3B"/>
    <w:rsid w:val="005F3E43"/>
    <w:rsid w:val="005F43E7"/>
    <w:rsid w:val="005F4485"/>
    <w:rsid w:val="005F451E"/>
    <w:rsid w:val="005F461C"/>
    <w:rsid w:val="005F46EC"/>
    <w:rsid w:val="005F4959"/>
    <w:rsid w:val="005F4BDC"/>
    <w:rsid w:val="005F4CA0"/>
    <w:rsid w:val="005F4F13"/>
    <w:rsid w:val="005F4F94"/>
    <w:rsid w:val="005F4FF7"/>
    <w:rsid w:val="005F5072"/>
    <w:rsid w:val="005F509C"/>
    <w:rsid w:val="005F529E"/>
    <w:rsid w:val="005F5A27"/>
    <w:rsid w:val="005F5C56"/>
    <w:rsid w:val="005F5DEB"/>
    <w:rsid w:val="005F5ED6"/>
    <w:rsid w:val="005F6358"/>
    <w:rsid w:val="005F63FC"/>
    <w:rsid w:val="005F657A"/>
    <w:rsid w:val="005F6676"/>
    <w:rsid w:val="005F683E"/>
    <w:rsid w:val="005F6CB2"/>
    <w:rsid w:val="005F729D"/>
    <w:rsid w:val="005F73D2"/>
    <w:rsid w:val="005F76C6"/>
    <w:rsid w:val="005F790D"/>
    <w:rsid w:val="005F7A26"/>
    <w:rsid w:val="005F7A54"/>
    <w:rsid w:val="005F7B2F"/>
    <w:rsid w:val="005F7D76"/>
    <w:rsid w:val="005F7F5B"/>
    <w:rsid w:val="005F7F89"/>
    <w:rsid w:val="006000C9"/>
    <w:rsid w:val="00600108"/>
    <w:rsid w:val="00600669"/>
    <w:rsid w:val="0060067A"/>
    <w:rsid w:val="006006B5"/>
    <w:rsid w:val="00600746"/>
    <w:rsid w:val="006009C9"/>
    <w:rsid w:val="00600CCE"/>
    <w:rsid w:val="00600DA0"/>
    <w:rsid w:val="00600EA2"/>
    <w:rsid w:val="006013AD"/>
    <w:rsid w:val="00601475"/>
    <w:rsid w:val="006017A8"/>
    <w:rsid w:val="006019DD"/>
    <w:rsid w:val="00601A84"/>
    <w:rsid w:val="00601D4E"/>
    <w:rsid w:val="00602293"/>
    <w:rsid w:val="00602423"/>
    <w:rsid w:val="0060249F"/>
    <w:rsid w:val="006026EA"/>
    <w:rsid w:val="00602840"/>
    <w:rsid w:val="00602C22"/>
    <w:rsid w:val="00602FC9"/>
    <w:rsid w:val="00603238"/>
    <w:rsid w:val="006032F4"/>
    <w:rsid w:val="006033FC"/>
    <w:rsid w:val="00603422"/>
    <w:rsid w:val="00603451"/>
    <w:rsid w:val="00604415"/>
    <w:rsid w:val="006045D6"/>
    <w:rsid w:val="00604917"/>
    <w:rsid w:val="0060498D"/>
    <w:rsid w:val="00604A5C"/>
    <w:rsid w:val="00604BEC"/>
    <w:rsid w:val="00604F4F"/>
    <w:rsid w:val="0060518B"/>
    <w:rsid w:val="0060521C"/>
    <w:rsid w:val="006056BC"/>
    <w:rsid w:val="00605942"/>
    <w:rsid w:val="00605A1B"/>
    <w:rsid w:val="00605AB2"/>
    <w:rsid w:val="00605ACB"/>
    <w:rsid w:val="00605D12"/>
    <w:rsid w:val="00605FC7"/>
    <w:rsid w:val="00606246"/>
    <w:rsid w:val="006065A0"/>
    <w:rsid w:val="0060668B"/>
    <w:rsid w:val="00606B74"/>
    <w:rsid w:val="00606BA0"/>
    <w:rsid w:val="00607074"/>
    <w:rsid w:val="0060725E"/>
    <w:rsid w:val="00607745"/>
    <w:rsid w:val="006077A4"/>
    <w:rsid w:val="006078C9"/>
    <w:rsid w:val="00607A03"/>
    <w:rsid w:val="00607AFE"/>
    <w:rsid w:val="00607B47"/>
    <w:rsid w:val="00607C7F"/>
    <w:rsid w:val="00607E23"/>
    <w:rsid w:val="00607EE8"/>
    <w:rsid w:val="0061017D"/>
    <w:rsid w:val="00610316"/>
    <w:rsid w:val="006103B1"/>
    <w:rsid w:val="0061040C"/>
    <w:rsid w:val="00610497"/>
    <w:rsid w:val="0061079F"/>
    <w:rsid w:val="00610816"/>
    <w:rsid w:val="00610B6B"/>
    <w:rsid w:val="00610C45"/>
    <w:rsid w:val="006110D8"/>
    <w:rsid w:val="00611730"/>
    <w:rsid w:val="0061191A"/>
    <w:rsid w:val="006119C7"/>
    <w:rsid w:val="006119F4"/>
    <w:rsid w:val="00611B2E"/>
    <w:rsid w:val="00611C82"/>
    <w:rsid w:val="00611CD3"/>
    <w:rsid w:val="00611E6E"/>
    <w:rsid w:val="0061206D"/>
    <w:rsid w:val="00612353"/>
    <w:rsid w:val="0061258F"/>
    <w:rsid w:val="0061264E"/>
    <w:rsid w:val="00612786"/>
    <w:rsid w:val="006127A9"/>
    <w:rsid w:val="006127FE"/>
    <w:rsid w:val="00612AC8"/>
    <w:rsid w:val="00612C8E"/>
    <w:rsid w:val="00612E49"/>
    <w:rsid w:val="006131F0"/>
    <w:rsid w:val="00613270"/>
    <w:rsid w:val="006135D9"/>
    <w:rsid w:val="00613861"/>
    <w:rsid w:val="00613B2A"/>
    <w:rsid w:val="00613B86"/>
    <w:rsid w:val="00613DB8"/>
    <w:rsid w:val="00613ED4"/>
    <w:rsid w:val="00613FC0"/>
    <w:rsid w:val="00614002"/>
    <w:rsid w:val="006143DC"/>
    <w:rsid w:val="0061447D"/>
    <w:rsid w:val="006144C8"/>
    <w:rsid w:val="006144EE"/>
    <w:rsid w:val="006146A6"/>
    <w:rsid w:val="006146E3"/>
    <w:rsid w:val="0061472F"/>
    <w:rsid w:val="006147A8"/>
    <w:rsid w:val="006149CE"/>
    <w:rsid w:val="00614A33"/>
    <w:rsid w:val="00614E29"/>
    <w:rsid w:val="00615075"/>
    <w:rsid w:val="006152EE"/>
    <w:rsid w:val="006155A9"/>
    <w:rsid w:val="006155B0"/>
    <w:rsid w:val="00615BF8"/>
    <w:rsid w:val="00615E04"/>
    <w:rsid w:val="00615E25"/>
    <w:rsid w:val="00616323"/>
    <w:rsid w:val="006167F3"/>
    <w:rsid w:val="00616876"/>
    <w:rsid w:val="00616C43"/>
    <w:rsid w:val="00616CE1"/>
    <w:rsid w:val="00617016"/>
    <w:rsid w:val="00617041"/>
    <w:rsid w:val="00617106"/>
    <w:rsid w:val="0061729D"/>
    <w:rsid w:val="00617390"/>
    <w:rsid w:val="0061769C"/>
    <w:rsid w:val="006176DA"/>
    <w:rsid w:val="00617815"/>
    <w:rsid w:val="00617897"/>
    <w:rsid w:val="006178A1"/>
    <w:rsid w:val="0061794D"/>
    <w:rsid w:val="00617C10"/>
    <w:rsid w:val="00617E36"/>
    <w:rsid w:val="00617F25"/>
    <w:rsid w:val="00620084"/>
    <w:rsid w:val="00620231"/>
    <w:rsid w:val="00620291"/>
    <w:rsid w:val="006204FA"/>
    <w:rsid w:val="00620618"/>
    <w:rsid w:val="006206F6"/>
    <w:rsid w:val="00620727"/>
    <w:rsid w:val="00620881"/>
    <w:rsid w:val="006210E4"/>
    <w:rsid w:val="006214D0"/>
    <w:rsid w:val="00621643"/>
    <w:rsid w:val="0062164C"/>
    <w:rsid w:val="006218FE"/>
    <w:rsid w:val="00621950"/>
    <w:rsid w:val="0062232D"/>
    <w:rsid w:val="00622552"/>
    <w:rsid w:val="006225F4"/>
    <w:rsid w:val="006225F7"/>
    <w:rsid w:val="0062271B"/>
    <w:rsid w:val="00622A03"/>
    <w:rsid w:val="00622D36"/>
    <w:rsid w:val="00622EBD"/>
    <w:rsid w:val="00622EF0"/>
    <w:rsid w:val="00623FAD"/>
    <w:rsid w:val="00624051"/>
    <w:rsid w:val="00624071"/>
    <w:rsid w:val="00624080"/>
    <w:rsid w:val="00624166"/>
    <w:rsid w:val="00624480"/>
    <w:rsid w:val="006244E4"/>
    <w:rsid w:val="00624501"/>
    <w:rsid w:val="0062472F"/>
    <w:rsid w:val="00624C5F"/>
    <w:rsid w:val="00624C7D"/>
    <w:rsid w:val="00624D3E"/>
    <w:rsid w:val="00624F6E"/>
    <w:rsid w:val="00625121"/>
    <w:rsid w:val="00625242"/>
    <w:rsid w:val="006252FC"/>
    <w:rsid w:val="0062532A"/>
    <w:rsid w:val="00625330"/>
    <w:rsid w:val="00625426"/>
    <w:rsid w:val="006255DA"/>
    <w:rsid w:val="006255DE"/>
    <w:rsid w:val="00625C71"/>
    <w:rsid w:val="00625E42"/>
    <w:rsid w:val="00625F53"/>
    <w:rsid w:val="00626168"/>
    <w:rsid w:val="006262F5"/>
    <w:rsid w:val="00626551"/>
    <w:rsid w:val="00626636"/>
    <w:rsid w:val="006266DD"/>
    <w:rsid w:val="0062683D"/>
    <w:rsid w:val="00626897"/>
    <w:rsid w:val="00626A4C"/>
    <w:rsid w:val="00626CEA"/>
    <w:rsid w:val="00626D04"/>
    <w:rsid w:val="00626E43"/>
    <w:rsid w:val="006272A5"/>
    <w:rsid w:val="0062732B"/>
    <w:rsid w:val="006275F1"/>
    <w:rsid w:val="006277C9"/>
    <w:rsid w:val="00627BC2"/>
    <w:rsid w:val="00627C64"/>
    <w:rsid w:val="00627CD8"/>
    <w:rsid w:val="00627D81"/>
    <w:rsid w:val="00627E34"/>
    <w:rsid w:val="006302F8"/>
    <w:rsid w:val="006303AF"/>
    <w:rsid w:val="0063041D"/>
    <w:rsid w:val="00630537"/>
    <w:rsid w:val="006307C7"/>
    <w:rsid w:val="00630C15"/>
    <w:rsid w:val="00630CCD"/>
    <w:rsid w:val="00630D98"/>
    <w:rsid w:val="00630E0F"/>
    <w:rsid w:val="00630E51"/>
    <w:rsid w:val="00631136"/>
    <w:rsid w:val="006311CB"/>
    <w:rsid w:val="006311E2"/>
    <w:rsid w:val="00631227"/>
    <w:rsid w:val="006312D1"/>
    <w:rsid w:val="006312E5"/>
    <w:rsid w:val="00631336"/>
    <w:rsid w:val="006313A7"/>
    <w:rsid w:val="0063144E"/>
    <w:rsid w:val="0063148D"/>
    <w:rsid w:val="006316DF"/>
    <w:rsid w:val="00631981"/>
    <w:rsid w:val="00631EA0"/>
    <w:rsid w:val="00632207"/>
    <w:rsid w:val="00632309"/>
    <w:rsid w:val="00632651"/>
    <w:rsid w:val="00632707"/>
    <w:rsid w:val="0063294E"/>
    <w:rsid w:val="006329E6"/>
    <w:rsid w:val="00632AA0"/>
    <w:rsid w:val="00632AD3"/>
    <w:rsid w:val="00632B11"/>
    <w:rsid w:val="00632B76"/>
    <w:rsid w:val="00632F03"/>
    <w:rsid w:val="00633298"/>
    <w:rsid w:val="006333A5"/>
    <w:rsid w:val="00633481"/>
    <w:rsid w:val="0063353F"/>
    <w:rsid w:val="0063354D"/>
    <w:rsid w:val="0063354F"/>
    <w:rsid w:val="00633554"/>
    <w:rsid w:val="006336BF"/>
    <w:rsid w:val="00633ADC"/>
    <w:rsid w:val="00633B0A"/>
    <w:rsid w:val="00633BF2"/>
    <w:rsid w:val="00633EFB"/>
    <w:rsid w:val="00634065"/>
    <w:rsid w:val="00634186"/>
    <w:rsid w:val="00634638"/>
    <w:rsid w:val="006347F0"/>
    <w:rsid w:val="0063491C"/>
    <w:rsid w:val="006349C2"/>
    <w:rsid w:val="00634A5F"/>
    <w:rsid w:val="00634AB1"/>
    <w:rsid w:val="00634C2C"/>
    <w:rsid w:val="00634CA4"/>
    <w:rsid w:val="00634ECD"/>
    <w:rsid w:val="006350A2"/>
    <w:rsid w:val="0063516B"/>
    <w:rsid w:val="0063538A"/>
    <w:rsid w:val="00635A35"/>
    <w:rsid w:val="00635B00"/>
    <w:rsid w:val="00635DEC"/>
    <w:rsid w:val="0063606F"/>
    <w:rsid w:val="006360F2"/>
    <w:rsid w:val="006361C4"/>
    <w:rsid w:val="00636491"/>
    <w:rsid w:val="00636534"/>
    <w:rsid w:val="00636690"/>
    <w:rsid w:val="006367E5"/>
    <w:rsid w:val="006368C2"/>
    <w:rsid w:val="00636C17"/>
    <w:rsid w:val="00636D29"/>
    <w:rsid w:val="00636F43"/>
    <w:rsid w:val="00637146"/>
    <w:rsid w:val="006374B3"/>
    <w:rsid w:val="006374CB"/>
    <w:rsid w:val="006375BF"/>
    <w:rsid w:val="00637B04"/>
    <w:rsid w:val="00637D4E"/>
    <w:rsid w:val="006401E2"/>
    <w:rsid w:val="006401FF"/>
    <w:rsid w:val="00640312"/>
    <w:rsid w:val="00640426"/>
    <w:rsid w:val="00640487"/>
    <w:rsid w:val="006405AB"/>
    <w:rsid w:val="00640900"/>
    <w:rsid w:val="00640A75"/>
    <w:rsid w:val="00640AB1"/>
    <w:rsid w:val="00640BC1"/>
    <w:rsid w:val="00640BE8"/>
    <w:rsid w:val="00640C65"/>
    <w:rsid w:val="00640CC4"/>
    <w:rsid w:val="00640E7A"/>
    <w:rsid w:val="0064104E"/>
    <w:rsid w:val="006410A5"/>
    <w:rsid w:val="006411B5"/>
    <w:rsid w:val="006416A4"/>
    <w:rsid w:val="0064171B"/>
    <w:rsid w:val="00641A5C"/>
    <w:rsid w:val="00641C8E"/>
    <w:rsid w:val="00641DD8"/>
    <w:rsid w:val="00641DFA"/>
    <w:rsid w:val="00641F6A"/>
    <w:rsid w:val="00642188"/>
    <w:rsid w:val="0064249D"/>
    <w:rsid w:val="00642A15"/>
    <w:rsid w:val="00642F27"/>
    <w:rsid w:val="00643236"/>
    <w:rsid w:val="0064328D"/>
    <w:rsid w:val="0064345F"/>
    <w:rsid w:val="006434F2"/>
    <w:rsid w:val="006436E6"/>
    <w:rsid w:val="006439EC"/>
    <w:rsid w:val="00643C13"/>
    <w:rsid w:val="00643D4B"/>
    <w:rsid w:val="00643DB2"/>
    <w:rsid w:val="00643EC4"/>
    <w:rsid w:val="00644318"/>
    <w:rsid w:val="006443C5"/>
    <w:rsid w:val="0064440A"/>
    <w:rsid w:val="0064446C"/>
    <w:rsid w:val="0064447F"/>
    <w:rsid w:val="006445E1"/>
    <w:rsid w:val="006445F8"/>
    <w:rsid w:val="00644748"/>
    <w:rsid w:val="006449E3"/>
    <w:rsid w:val="006449FB"/>
    <w:rsid w:val="00644B7D"/>
    <w:rsid w:val="00644BFC"/>
    <w:rsid w:val="00644D8C"/>
    <w:rsid w:val="00644DBC"/>
    <w:rsid w:val="00644EFD"/>
    <w:rsid w:val="0064515D"/>
    <w:rsid w:val="006452C9"/>
    <w:rsid w:val="006452F4"/>
    <w:rsid w:val="006453CF"/>
    <w:rsid w:val="00645469"/>
    <w:rsid w:val="00645540"/>
    <w:rsid w:val="00645569"/>
    <w:rsid w:val="0064561E"/>
    <w:rsid w:val="00645829"/>
    <w:rsid w:val="00645858"/>
    <w:rsid w:val="00645ECF"/>
    <w:rsid w:val="00645F44"/>
    <w:rsid w:val="00646161"/>
    <w:rsid w:val="00646359"/>
    <w:rsid w:val="0064676B"/>
    <w:rsid w:val="006467E3"/>
    <w:rsid w:val="00646867"/>
    <w:rsid w:val="0064698F"/>
    <w:rsid w:val="00646A2C"/>
    <w:rsid w:val="00646A3E"/>
    <w:rsid w:val="00646BB2"/>
    <w:rsid w:val="00646D1F"/>
    <w:rsid w:val="00646D24"/>
    <w:rsid w:val="00646DEB"/>
    <w:rsid w:val="00646EB5"/>
    <w:rsid w:val="00646F32"/>
    <w:rsid w:val="006470FF"/>
    <w:rsid w:val="006472C3"/>
    <w:rsid w:val="0064748A"/>
    <w:rsid w:val="00647701"/>
    <w:rsid w:val="00647ED5"/>
    <w:rsid w:val="00647FB0"/>
    <w:rsid w:val="006502B3"/>
    <w:rsid w:val="00650378"/>
    <w:rsid w:val="0065038F"/>
    <w:rsid w:val="00650831"/>
    <w:rsid w:val="00650A01"/>
    <w:rsid w:val="00650A1E"/>
    <w:rsid w:val="00650B9E"/>
    <w:rsid w:val="00650DDF"/>
    <w:rsid w:val="00650E1E"/>
    <w:rsid w:val="00650EFA"/>
    <w:rsid w:val="00651167"/>
    <w:rsid w:val="0065120D"/>
    <w:rsid w:val="00651280"/>
    <w:rsid w:val="00651298"/>
    <w:rsid w:val="00651561"/>
    <w:rsid w:val="0065199E"/>
    <w:rsid w:val="006519CA"/>
    <w:rsid w:val="006519E1"/>
    <w:rsid w:val="00651E01"/>
    <w:rsid w:val="00651E37"/>
    <w:rsid w:val="00652385"/>
    <w:rsid w:val="00652403"/>
    <w:rsid w:val="006524AE"/>
    <w:rsid w:val="006524B4"/>
    <w:rsid w:val="0065256B"/>
    <w:rsid w:val="0065256D"/>
    <w:rsid w:val="00652791"/>
    <w:rsid w:val="00652A77"/>
    <w:rsid w:val="00652B15"/>
    <w:rsid w:val="00652BC1"/>
    <w:rsid w:val="00652C9E"/>
    <w:rsid w:val="00652CAF"/>
    <w:rsid w:val="00652CC6"/>
    <w:rsid w:val="00652E59"/>
    <w:rsid w:val="00652E7C"/>
    <w:rsid w:val="00652FBA"/>
    <w:rsid w:val="00653309"/>
    <w:rsid w:val="00653323"/>
    <w:rsid w:val="006535C6"/>
    <w:rsid w:val="00653742"/>
    <w:rsid w:val="00653A3B"/>
    <w:rsid w:val="00653A44"/>
    <w:rsid w:val="00653B90"/>
    <w:rsid w:val="006541E6"/>
    <w:rsid w:val="0065430D"/>
    <w:rsid w:val="00654342"/>
    <w:rsid w:val="0065437B"/>
    <w:rsid w:val="0065449F"/>
    <w:rsid w:val="0065467E"/>
    <w:rsid w:val="00654722"/>
    <w:rsid w:val="00654827"/>
    <w:rsid w:val="00654B6E"/>
    <w:rsid w:val="00654C3E"/>
    <w:rsid w:val="00654D00"/>
    <w:rsid w:val="00654D77"/>
    <w:rsid w:val="00654E14"/>
    <w:rsid w:val="0065542E"/>
    <w:rsid w:val="00655630"/>
    <w:rsid w:val="0065588B"/>
    <w:rsid w:val="006558AD"/>
    <w:rsid w:val="006559CA"/>
    <w:rsid w:val="00655A5F"/>
    <w:rsid w:val="0065622B"/>
    <w:rsid w:val="0065627B"/>
    <w:rsid w:val="00656291"/>
    <w:rsid w:val="00656309"/>
    <w:rsid w:val="00656365"/>
    <w:rsid w:val="006563CC"/>
    <w:rsid w:val="006566DD"/>
    <w:rsid w:val="00656B2F"/>
    <w:rsid w:val="00656B77"/>
    <w:rsid w:val="00656B7D"/>
    <w:rsid w:val="00656C53"/>
    <w:rsid w:val="00656F15"/>
    <w:rsid w:val="00657257"/>
    <w:rsid w:val="00657305"/>
    <w:rsid w:val="0065746A"/>
    <w:rsid w:val="00657586"/>
    <w:rsid w:val="0065769C"/>
    <w:rsid w:val="006576C3"/>
    <w:rsid w:val="00657916"/>
    <w:rsid w:val="0065792B"/>
    <w:rsid w:val="00657A30"/>
    <w:rsid w:val="00657B61"/>
    <w:rsid w:val="00660083"/>
    <w:rsid w:val="006600A8"/>
    <w:rsid w:val="0066015E"/>
    <w:rsid w:val="00660177"/>
    <w:rsid w:val="006604F6"/>
    <w:rsid w:val="0066053F"/>
    <w:rsid w:val="00660659"/>
    <w:rsid w:val="006607D4"/>
    <w:rsid w:val="0066090E"/>
    <w:rsid w:val="00660B01"/>
    <w:rsid w:val="00660C98"/>
    <w:rsid w:val="00660D75"/>
    <w:rsid w:val="00660EAB"/>
    <w:rsid w:val="0066106F"/>
    <w:rsid w:val="006613EF"/>
    <w:rsid w:val="00661409"/>
    <w:rsid w:val="00661462"/>
    <w:rsid w:val="00661571"/>
    <w:rsid w:val="00661584"/>
    <w:rsid w:val="0066159A"/>
    <w:rsid w:val="00661861"/>
    <w:rsid w:val="00661A8E"/>
    <w:rsid w:val="00661ABD"/>
    <w:rsid w:val="00661AFE"/>
    <w:rsid w:val="00661CC3"/>
    <w:rsid w:val="00661DCE"/>
    <w:rsid w:val="00661E6C"/>
    <w:rsid w:val="00661F26"/>
    <w:rsid w:val="006620B8"/>
    <w:rsid w:val="00662147"/>
    <w:rsid w:val="0066229E"/>
    <w:rsid w:val="0066243F"/>
    <w:rsid w:val="00662B0D"/>
    <w:rsid w:val="00662C55"/>
    <w:rsid w:val="00662CBA"/>
    <w:rsid w:val="00662CE5"/>
    <w:rsid w:val="00662D69"/>
    <w:rsid w:val="00662E80"/>
    <w:rsid w:val="0066303B"/>
    <w:rsid w:val="006632DA"/>
    <w:rsid w:val="00663318"/>
    <w:rsid w:val="006633F4"/>
    <w:rsid w:val="006636A0"/>
    <w:rsid w:val="00663880"/>
    <w:rsid w:val="00663A04"/>
    <w:rsid w:val="00663B39"/>
    <w:rsid w:val="00663D41"/>
    <w:rsid w:val="006641BC"/>
    <w:rsid w:val="00664336"/>
    <w:rsid w:val="00664960"/>
    <w:rsid w:val="00664AE4"/>
    <w:rsid w:val="00664D8C"/>
    <w:rsid w:val="00664E94"/>
    <w:rsid w:val="00664EDF"/>
    <w:rsid w:val="00665041"/>
    <w:rsid w:val="006650A9"/>
    <w:rsid w:val="006653FE"/>
    <w:rsid w:val="00665ABD"/>
    <w:rsid w:val="00665AF5"/>
    <w:rsid w:val="00665D84"/>
    <w:rsid w:val="00665DF3"/>
    <w:rsid w:val="00665F94"/>
    <w:rsid w:val="00666059"/>
    <w:rsid w:val="006662D6"/>
    <w:rsid w:val="00666432"/>
    <w:rsid w:val="006664EB"/>
    <w:rsid w:val="00666740"/>
    <w:rsid w:val="0066677D"/>
    <w:rsid w:val="006667A9"/>
    <w:rsid w:val="00666C88"/>
    <w:rsid w:val="00666EC6"/>
    <w:rsid w:val="00666F31"/>
    <w:rsid w:val="00667397"/>
    <w:rsid w:val="006673EE"/>
    <w:rsid w:val="006674F1"/>
    <w:rsid w:val="00667519"/>
    <w:rsid w:val="006679BF"/>
    <w:rsid w:val="00667EB0"/>
    <w:rsid w:val="00667EBC"/>
    <w:rsid w:val="00670609"/>
    <w:rsid w:val="00670649"/>
    <w:rsid w:val="00670743"/>
    <w:rsid w:val="0067075E"/>
    <w:rsid w:val="00670801"/>
    <w:rsid w:val="0067084D"/>
    <w:rsid w:val="006708E3"/>
    <w:rsid w:val="00670AB5"/>
    <w:rsid w:val="00670AD9"/>
    <w:rsid w:val="00670ECD"/>
    <w:rsid w:val="00671064"/>
    <w:rsid w:val="006715E7"/>
    <w:rsid w:val="006719B8"/>
    <w:rsid w:val="00671A5C"/>
    <w:rsid w:val="00671A61"/>
    <w:rsid w:val="00671A74"/>
    <w:rsid w:val="00671BEF"/>
    <w:rsid w:val="00671D44"/>
    <w:rsid w:val="00671E37"/>
    <w:rsid w:val="00671E7C"/>
    <w:rsid w:val="00671F1D"/>
    <w:rsid w:val="00672034"/>
    <w:rsid w:val="00672117"/>
    <w:rsid w:val="006725F3"/>
    <w:rsid w:val="00672606"/>
    <w:rsid w:val="0067267B"/>
    <w:rsid w:val="006728D2"/>
    <w:rsid w:val="00672C5E"/>
    <w:rsid w:val="006731BF"/>
    <w:rsid w:val="00673237"/>
    <w:rsid w:val="00673324"/>
    <w:rsid w:val="0067333E"/>
    <w:rsid w:val="00673358"/>
    <w:rsid w:val="00673682"/>
    <w:rsid w:val="006736EB"/>
    <w:rsid w:val="006737FC"/>
    <w:rsid w:val="00673A34"/>
    <w:rsid w:val="00673CD8"/>
    <w:rsid w:val="00673CE8"/>
    <w:rsid w:val="00673D24"/>
    <w:rsid w:val="00673E77"/>
    <w:rsid w:val="00673E79"/>
    <w:rsid w:val="00673FA6"/>
    <w:rsid w:val="00674000"/>
    <w:rsid w:val="006743C6"/>
    <w:rsid w:val="0067448A"/>
    <w:rsid w:val="0067455D"/>
    <w:rsid w:val="00674684"/>
    <w:rsid w:val="006746AA"/>
    <w:rsid w:val="006747F9"/>
    <w:rsid w:val="00674AF5"/>
    <w:rsid w:val="00675023"/>
    <w:rsid w:val="006750D4"/>
    <w:rsid w:val="006751B3"/>
    <w:rsid w:val="00675242"/>
    <w:rsid w:val="006755A5"/>
    <w:rsid w:val="00675A18"/>
    <w:rsid w:val="00675AFD"/>
    <w:rsid w:val="00675B1C"/>
    <w:rsid w:val="00675C91"/>
    <w:rsid w:val="00675C9E"/>
    <w:rsid w:val="00675EB2"/>
    <w:rsid w:val="0067688B"/>
    <w:rsid w:val="006769C6"/>
    <w:rsid w:val="00676A67"/>
    <w:rsid w:val="00676AEE"/>
    <w:rsid w:val="00676BAB"/>
    <w:rsid w:val="00676CB9"/>
    <w:rsid w:val="00676D46"/>
    <w:rsid w:val="00676F57"/>
    <w:rsid w:val="0067717F"/>
    <w:rsid w:val="0067734E"/>
    <w:rsid w:val="0067739D"/>
    <w:rsid w:val="0067746F"/>
    <w:rsid w:val="0067773B"/>
    <w:rsid w:val="00677764"/>
    <w:rsid w:val="006778E7"/>
    <w:rsid w:val="006779E6"/>
    <w:rsid w:val="00677CF2"/>
    <w:rsid w:val="00677CF5"/>
    <w:rsid w:val="00677EAC"/>
    <w:rsid w:val="00677EB6"/>
    <w:rsid w:val="0067AC2E"/>
    <w:rsid w:val="00680200"/>
    <w:rsid w:val="0068022A"/>
    <w:rsid w:val="00680394"/>
    <w:rsid w:val="006806B5"/>
    <w:rsid w:val="00680982"/>
    <w:rsid w:val="00680C0C"/>
    <w:rsid w:val="00680D48"/>
    <w:rsid w:val="00680F19"/>
    <w:rsid w:val="00681075"/>
    <w:rsid w:val="00681259"/>
    <w:rsid w:val="006813C8"/>
    <w:rsid w:val="0068154C"/>
    <w:rsid w:val="00681595"/>
    <w:rsid w:val="006816FE"/>
    <w:rsid w:val="0068180D"/>
    <w:rsid w:val="006819B5"/>
    <w:rsid w:val="00681A8E"/>
    <w:rsid w:val="00681AA6"/>
    <w:rsid w:val="00681B5F"/>
    <w:rsid w:val="006825A4"/>
    <w:rsid w:val="0068267C"/>
    <w:rsid w:val="006828E0"/>
    <w:rsid w:val="00682B30"/>
    <w:rsid w:val="00682B8E"/>
    <w:rsid w:val="00682B92"/>
    <w:rsid w:val="00682BB6"/>
    <w:rsid w:val="00682D98"/>
    <w:rsid w:val="00683007"/>
    <w:rsid w:val="0068305D"/>
    <w:rsid w:val="00683524"/>
    <w:rsid w:val="0068389B"/>
    <w:rsid w:val="00683905"/>
    <w:rsid w:val="0068391B"/>
    <w:rsid w:val="00683B2C"/>
    <w:rsid w:val="00683BD6"/>
    <w:rsid w:val="00683D09"/>
    <w:rsid w:val="00683DC4"/>
    <w:rsid w:val="00683F59"/>
    <w:rsid w:val="0068401D"/>
    <w:rsid w:val="0068413B"/>
    <w:rsid w:val="0068464D"/>
    <w:rsid w:val="00684704"/>
    <w:rsid w:val="00684748"/>
    <w:rsid w:val="006849C6"/>
    <w:rsid w:val="00684AEA"/>
    <w:rsid w:val="00684B0D"/>
    <w:rsid w:val="00684DDF"/>
    <w:rsid w:val="00684E4F"/>
    <w:rsid w:val="0068508C"/>
    <w:rsid w:val="00685110"/>
    <w:rsid w:val="006851B6"/>
    <w:rsid w:val="006852CF"/>
    <w:rsid w:val="006853CF"/>
    <w:rsid w:val="0068544C"/>
    <w:rsid w:val="006854FF"/>
    <w:rsid w:val="00685501"/>
    <w:rsid w:val="0068585F"/>
    <w:rsid w:val="00685976"/>
    <w:rsid w:val="006859A3"/>
    <w:rsid w:val="00685BC2"/>
    <w:rsid w:val="00685E8E"/>
    <w:rsid w:val="00686019"/>
    <w:rsid w:val="00686425"/>
    <w:rsid w:val="00686478"/>
    <w:rsid w:val="006865A2"/>
    <w:rsid w:val="00686615"/>
    <w:rsid w:val="00686F74"/>
    <w:rsid w:val="006871A2"/>
    <w:rsid w:val="006871A6"/>
    <w:rsid w:val="0068729F"/>
    <w:rsid w:val="00687300"/>
    <w:rsid w:val="00687472"/>
    <w:rsid w:val="00687676"/>
    <w:rsid w:val="00687729"/>
    <w:rsid w:val="00687AA8"/>
    <w:rsid w:val="00687BC7"/>
    <w:rsid w:val="006901B1"/>
    <w:rsid w:val="0069070E"/>
    <w:rsid w:val="006907CE"/>
    <w:rsid w:val="006907E5"/>
    <w:rsid w:val="006907E8"/>
    <w:rsid w:val="00690B22"/>
    <w:rsid w:val="00690BF6"/>
    <w:rsid w:val="00690C9B"/>
    <w:rsid w:val="00690DA2"/>
    <w:rsid w:val="0069103E"/>
    <w:rsid w:val="00691133"/>
    <w:rsid w:val="00691507"/>
    <w:rsid w:val="006915A5"/>
    <w:rsid w:val="00691820"/>
    <w:rsid w:val="00691D74"/>
    <w:rsid w:val="00691FAD"/>
    <w:rsid w:val="006920D1"/>
    <w:rsid w:val="0069238F"/>
    <w:rsid w:val="00692481"/>
    <w:rsid w:val="006924B2"/>
    <w:rsid w:val="0069281D"/>
    <w:rsid w:val="00692890"/>
    <w:rsid w:val="00692986"/>
    <w:rsid w:val="0069299A"/>
    <w:rsid w:val="006929BB"/>
    <w:rsid w:val="00692C0B"/>
    <w:rsid w:val="00692D8E"/>
    <w:rsid w:val="006930A1"/>
    <w:rsid w:val="006935A8"/>
    <w:rsid w:val="006936E6"/>
    <w:rsid w:val="00693869"/>
    <w:rsid w:val="00693892"/>
    <w:rsid w:val="00693924"/>
    <w:rsid w:val="00693C19"/>
    <w:rsid w:val="00693FCB"/>
    <w:rsid w:val="0069418C"/>
    <w:rsid w:val="0069457A"/>
    <w:rsid w:val="006946E3"/>
    <w:rsid w:val="006949BA"/>
    <w:rsid w:val="00694BE3"/>
    <w:rsid w:val="00694F94"/>
    <w:rsid w:val="00695526"/>
    <w:rsid w:val="00695705"/>
    <w:rsid w:val="006957DB"/>
    <w:rsid w:val="006958FC"/>
    <w:rsid w:val="006959B6"/>
    <w:rsid w:val="00695A24"/>
    <w:rsid w:val="00695B42"/>
    <w:rsid w:val="00695BE9"/>
    <w:rsid w:val="00695C12"/>
    <w:rsid w:val="00695F75"/>
    <w:rsid w:val="00696117"/>
    <w:rsid w:val="0069613D"/>
    <w:rsid w:val="0069623F"/>
    <w:rsid w:val="0069649A"/>
    <w:rsid w:val="006965D8"/>
    <w:rsid w:val="006966FD"/>
    <w:rsid w:val="0069676E"/>
    <w:rsid w:val="0069695D"/>
    <w:rsid w:val="00696962"/>
    <w:rsid w:val="00697097"/>
    <w:rsid w:val="006970F4"/>
    <w:rsid w:val="00697260"/>
    <w:rsid w:val="006972B8"/>
    <w:rsid w:val="00697576"/>
    <w:rsid w:val="006A0272"/>
    <w:rsid w:val="006A0433"/>
    <w:rsid w:val="006A048D"/>
    <w:rsid w:val="006A0543"/>
    <w:rsid w:val="006A08C7"/>
    <w:rsid w:val="006A08F7"/>
    <w:rsid w:val="006A090D"/>
    <w:rsid w:val="006A0D83"/>
    <w:rsid w:val="006A1029"/>
    <w:rsid w:val="006A13A2"/>
    <w:rsid w:val="006A13F8"/>
    <w:rsid w:val="006A1465"/>
    <w:rsid w:val="006A1731"/>
    <w:rsid w:val="006A1B6E"/>
    <w:rsid w:val="006A1B9B"/>
    <w:rsid w:val="006A1BE6"/>
    <w:rsid w:val="006A1D29"/>
    <w:rsid w:val="006A1FE8"/>
    <w:rsid w:val="006A2093"/>
    <w:rsid w:val="006A2854"/>
    <w:rsid w:val="006A28E5"/>
    <w:rsid w:val="006A2B7C"/>
    <w:rsid w:val="006A2C29"/>
    <w:rsid w:val="006A3012"/>
    <w:rsid w:val="006A337B"/>
    <w:rsid w:val="006A33CB"/>
    <w:rsid w:val="006A35BC"/>
    <w:rsid w:val="006A35E6"/>
    <w:rsid w:val="006A3684"/>
    <w:rsid w:val="006A36FF"/>
    <w:rsid w:val="006A3881"/>
    <w:rsid w:val="006A394F"/>
    <w:rsid w:val="006A3B31"/>
    <w:rsid w:val="006A3C0C"/>
    <w:rsid w:val="006A3CC2"/>
    <w:rsid w:val="006A3E9F"/>
    <w:rsid w:val="006A3F91"/>
    <w:rsid w:val="006A4754"/>
    <w:rsid w:val="006A47A6"/>
    <w:rsid w:val="006A47C0"/>
    <w:rsid w:val="006A4B04"/>
    <w:rsid w:val="006A4D7C"/>
    <w:rsid w:val="006A508B"/>
    <w:rsid w:val="006A5532"/>
    <w:rsid w:val="006A55BA"/>
    <w:rsid w:val="006A55D8"/>
    <w:rsid w:val="006A562A"/>
    <w:rsid w:val="006A5BD4"/>
    <w:rsid w:val="006A5C30"/>
    <w:rsid w:val="006A6040"/>
    <w:rsid w:val="006A6141"/>
    <w:rsid w:val="006A61A7"/>
    <w:rsid w:val="006A6236"/>
    <w:rsid w:val="006A63A3"/>
    <w:rsid w:val="006A65B2"/>
    <w:rsid w:val="006A6A62"/>
    <w:rsid w:val="006A6C6F"/>
    <w:rsid w:val="006A6CE8"/>
    <w:rsid w:val="006A6DD8"/>
    <w:rsid w:val="006A6FA0"/>
    <w:rsid w:val="006A7323"/>
    <w:rsid w:val="006A735B"/>
    <w:rsid w:val="006A7492"/>
    <w:rsid w:val="006A7B32"/>
    <w:rsid w:val="006A7CB8"/>
    <w:rsid w:val="006A7D60"/>
    <w:rsid w:val="006A7DD1"/>
    <w:rsid w:val="006B03CB"/>
    <w:rsid w:val="006B0593"/>
    <w:rsid w:val="006B06A9"/>
    <w:rsid w:val="006B07F4"/>
    <w:rsid w:val="006B0A48"/>
    <w:rsid w:val="006B0C48"/>
    <w:rsid w:val="006B1105"/>
    <w:rsid w:val="006B133E"/>
    <w:rsid w:val="006B15EB"/>
    <w:rsid w:val="006B1793"/>
    <w:rsid w:val="006B18CA"/>
    <w:rsid w:val="006B1DEB"/>
    <w:rsid w:val="006B1ED3"/>
    <w:rsid w:val="006B2086"/>
    <w:rsid w:val="006B229B"/>
    <w:rsid w:val="006B238F"/>
    <w:rsid w:val="006B23E3"/>
    <w:rsid w:val="006B2530"/>
    <w:rsid w:val="006B2994"/>
    <w:rsid w:val="006B2A8F"/>
    <w:rsid w:val="006B2B65"/>
    <w:rsid w:val="006B2D89"/>
    <w:rsid w:val="006B2DCE"/>
    <w:rsid w:val="006B2E3E"/>
    <w:rsid w:val="006B304A"/>
    <w:rsid w:val="006B308E"/>
    <w:rsid w:val="006B357C"/>
    <w:rsid w:val="006B3D63"/>
    <w:rsid w:val="006B3EB3"/>
    <w:rsid w:val="006B3FAB"/>
    <w:rsid w:val="006B4057"/>
    <w:rsid w:val="006B44AA"/>
    <w:rsid w:val="006B45B2"/>
    <w:rsid w:val="006B4625"/>
    <w:rsid w:val="006B468A"/>
    <w:rsid w:val="006B4714"/>
    <w:rsid w:val="006B483A"/>
    <w:rsid w:val="006B49D7"/>
    <w:rsid w:val="006B4D95"/>
    <w:rsid w:val="006B4DE2"/>
    <w:rsid w:val="006B5613"/>
    <w:rsid w:val="006B566D"/>
    <w:rsid w:val="006B577C"/>
    <w:rsid w:val="006B59A0"/>
    <w:rsid w:val="006B5B74"/>
    <w:rsid w:val="006B5C49"/>
    <w:rsid w:val="006B5E49"/>
    <w:rsid w:val="006B62CA"/>
    <w:rsid w:val="006B63E3"/>
    <w:rsid w:val="006B64AD"/>
    <w:rsid w:val="006B6679"/>
    <w:rsid w:val="006B66AF"/>
    <w:rsid w:val="006B6810"/>
    <w:rsid w:val="006B688C"/>
    <w:rsid w:val="006B6B5F"/>
    <w:rsid w:val="006B6B96"/>
    <w:rsid w:val="006B6C07"/>
    <w:rsid w:val="006B6C45"/>
    <w:rsid w:val="006B6C4B"/>
    <w:rsid w:val="006B6CB2"/>
    <w:rsid w:val="006B6CD2"/>
    <w:rsid w:val="006B6CE7"/>
    <w:rsid w:val="006B6F22"/>
    <w:rsid w:val="006B7133"/>
    <w:rsid w:val="006B72D5"/>
    <w:rsid w:val="006B736E"/>
    <w:rsid w:val="006B7465"/>
    <w:rsid w:val="006B74B4"/>
    <w:rsid w:val="006B74E6"/>
    <w:rsid w:val="006B7543"/>
    <w:rsid w:val="006B75A1"/>
    <w:rsid w:val="006B75FB"/>
    <w:rsid w:val="006B7677"/>
    <w:rsid w:val="006B7762"/>
    <w:rsid w:val="006B7A65"/>
    <w:rsid w:val="006B7A90"/>
    <w:rsid w:val="006B7C08"/>
    <w:rsid w:val="006C0245"/>
    <w:rsid w:val="006C0290"/>
    <w:rsid w:val="006C0314"/>
    <w:rsid w:val="006C0321"/>
    <w:rsid w:val="006C05E0"/>
    <w:rsid w:val="006C060C"/>
    <w:rsid w:val="006C0891"/>
    <w:rsid w:val="006C08BD"/>
    <w:rsid w:val="006C0D15"/>
    <w:rsid w:val="006C0DF1"/>
    <w:rsid w:val="006C1281"/>
    <w:rsid w:val="006C15C3"/>
    <w:rsid w:val="006C16F1"/>
    <w:rsid w:val="006C1791"/>
    <w:rsid w:val="006C19B0"/>
    <w:rsid w:val="006C19C7"/>
    <w:rsid w:val="006C1AE7"/>
    <w:rsid w:val="006C1D97"/>
    <w:rsid w:val="006C1EB8"/>
    <w:rsid w:val="006C1F10"/>
    <w:rsid w:val="006C1F91"/>
    <w:rsid w:val="006C2083"/>
    <w:rsid w:val="006C26B4"/>
    <w:rsid w:val="006C288E"/>
    <w:rsid w:val="006C28D2"/>
    <w:rsid w:val="006C2983"/>
    <w:rsid w:val="006C29A3"/>
    <w:rsid w:val="006C2ACB"/>
    <w:rsid w:val="006C2E0C"/>
    <w:rsid w:val="006C2E3A"/>
    <w:rsid w:val="006C2F45"/>
    <w:rsid w:val="006C2F5F"/>
    <w:rsid w:val="006C2FB1"/>
    <w:rsid w:val="006C308A"/>
    <w:rsid w:val="006C3199"/>
    <w:rsid w:val="006C32B5"/>
    <w:rsid w:val="006C3415"/>
    <w:rsid w:val="006C3565"/>
    <w:rsid w:val="006C3A88"/>
    <w:rsid w:val="006C3C45"/>
    <w:rsid w:val="006C3C87"/>
    <w:rsid w:val="006C3EBA"/>
    <w:rsid w:val="006C4086"/>
    <w:rsid w:val="006C40A5"/>
    <w:rsid w:val="006C40C2"/>
    <w:rsid w:val="006C48B6"/>
    <w:rsid w:val="006C49D7"/>
    <w:rsid w:val="006C4B60"/>
    <w:rsid w:val="006C5017"/>
    <w:rsid w:val="006C528A"/>
    <w:rsid w:val="006C53A2"/>
    <w:rsid w:val="006C5499"/>
    <w:rsid w:val="006C54D8"/>
    <w:rsid w:val="006C5840"/>
    <w:rsid w:val="006C5BDD"/>
    <w:rsid w:val="006C5CE4"/>
    <w:rsid w:val="006C606A"/>
    <w:rsid w:val="006C6221"/>
    <w:rsid w:val="006C6425"/>
    <w:rsid w:val="006C6534"/>
    <w:rsid w:val="006C657F"/>
    <w:rsid w:val="006C65FA"/>
    <w:rsid w:val="006C68EE"/>
    <w:rsid w:val="006C6920"/>
    <w:rsid w:val="006C6AE7"/>
    <w:rsid w:val="006C6C73"/>
    <w:rsid w:val="006C6ED6"/>
    <w:rsid w:val="006C6FE8"/>
    <w:rsid w:val="006C7074"/>
    <w:rsid w:val="006C709C"/>
    <w:rsid w:val="006C7162"/>
    <w:rsid w:val="006C723D"/>
    <w:rsid w:val="006C75FE"/>
    <w:rsid w:val="006C76D4"/>
    <w:rsid w:val="006C770B"/>
    <w:rsid w:val="006C77D2"/>
    <w:rsid w:val="006C7883"/>
    <w:rsid w:val="006C7E12"/>
    <w:rsid w:val="006D03DB"/>
    <w:rsid w:val="006D084B"/>
    <w:rsid w:val="006D0A20"/>
    <w:rsid w:val="006D0B01"/>
    <w:rsid w:val="006D0C4D"/>
    <w:rsid w:val="006D0E97"/>
    <w:rsid w:val="006D0EA9"/>
    <w:rsid w:val="006D0FE4"/>
    <w:rsid w:val="006D1124"/>
    <w:rsid w:val="006D11F2"/>
    <w:rsid w:val="006D1371"/>
    <w:rsid w:val="006D13AF"/>
    <w:rsid w:val="006D1400"/>
    <w:rsid w:val="006D1414"/>
    <w:rsid w:val="006D16CF"/>
    <w:rsid w:val="006D174E"/>
    <w:rsid w:val="006D1B26"/>
    <w:rsid w:val="006D1DB3"/>
    <w:rsid w:val="006D1EF0"/>
    <w:rsid w:val="006D20C1"/>
    <w:rsid w:val="006D21FF"/>
    <w:rsid w:val="006D2465"/>
    <w:rsid w:val="006D2739"/>
    <w:rsid w:val="006D29FB"/>
    <w:rsid w:val="006D2E83"/>
    <w:rsid w:val="006D336E"/>
    <w:rsid w:val="006D34D3"/>
    <w:rsid w:val="006D3563"/>
    <w:rsid w:val="006D356E"/>
    <w:rsid w:val="006D3594"/>
    <w:rsid w:val="006D36E1"/>
    <w:rsid w:val="006D3798"/>
    <w:rsid w:val="006D3B36"/>
    <w:rsid w:val="006D3C99"/>
    <w:rsid w:val="006D3E6D"/>
    <w:rsid w:val="006D3FBF"/>
    <w:rsid w:val="006D40CC"/>
    <w:rsid w:val="006D4144"/>
    <w:rsid w:val="006D447D"/>
    <w:rsid w:val="006D4547"/>
    <w:rsid w:val="006D4787"/>
    <w:rsid w:val="006D48EF"/>
    <w:rsid w:val="006D4953"/>
    <w:rsid w:val="006D49A0"/>
    <w:rsid w:val="006D4AD2"/>
    <w:rsid w:val="006D52F3"/>
    <w:rsid w:val="006D54C0"/>
    <w:rsid w:val="006D5633"/>
    <w:rsid w:val="006D58F6"/>
    <w:rsid w:val="006D5BDF"/>
    <w:rsid w:val="006D5EC8"/>
    <w:rsid w:val="006D5F12"/>
    <w:rsid w:val="006D6275"/>
    <w:rsid w:val="006D62D6"/>
    <w:rsid w:val="006D62E6"/>
    <w:rsid w:val="006D6749"/>
    <w:rsid w:val="006D6856"/>
    <w:rsid w:val="006D686F"/>
    <w:rsid w:val="006D69D3"/>
    <w:rsid w:val="006D6A93"/>
    <w:rsid w:val="006D6A98"/>
    <w:rsid w:val="006D6B39"/>
    <w:rsid w:val="006D6B56"/>
    <w:rsid w:val="006D6CFC"/>
    <w:rsid w:val="006D6D6F"/>
    <w:rsid w:val="006D6D83"/>
    <w:rsid w:val="006D6F46"/>
    <w:rsid w:val="006D6FB2"/>
    <w:rsid w:val="006D6FBB"/>
    <w:rsid w:val="006D7042"/>
    <w:rsid w:val="006D71F1"/>
    <w:rsid w:val="006D73DA"/>
    <w:rsid w:val="006D768B"/>
    <w:rsid w:val="006D7849"/>
    <w:rsid w:val="006D7DBA"/>
    <w:rsid w:val="006D7E5E"/>
    <w:rsid w:val="006D7FE6"/>
    <w:rsid w:val="006DF313"/>
    <w:rsid w:val="006E092D"/>
    <w:rsid w:val="006E09A7"/>
    <w:rsid w:val="006E0BDC"/>
    <w:rsid w:val="006E0BEB"/>
    <w:rsid w:val="006E0D89"/>
    <w:rsid w:val="006E1293"/>
    <w:rsid w:val="006E142B"/>
    <w:rsid w:val="006E14C8"/>
    <w:rsid w:val="006E15A8"/>
    <w:rsid w:val="006E1956"/>
    <w:rsid w:val="006E19E9"/>
    <w:rsid w:val="006E19F3"/>
    <w:rsid w:val="006E1B29"/>
    <w:rsid w:val="006E1C71"/>
    <w:rsid w:val="006E1CB4"/>
    <w:rsid w:val="006E1E59"/>
    <w:rsid w:val="006E1FF5"/>
    <w:rsid w:val="006E22A4"/>
    <w:rsid w:val="006E231F"/>
    <w:rsid w:val="006E2628"/>
    <w:rsid w:val="006E274C"/>
    <w:rsid w:val="006E2998"/>
    <w:rsid w:val="006E29B1"/>
    <w:rsid w:val="006E2C00"/>
    <w:rsid w:val="006E2C1E"/>
    <w:rsid w:val="006E2DD0"/>
    <w:rsid w:val="006E3091"/>
    <w:rsid w:val="006E3354"/>
    <w:rsid w:val="006E351C"/>
    <w:rsid w:val="006E3624"/>
    <w:rsid w:val="006E3749"/>
    <w:rsid w:val="006E3A1A"/>
    <w:rsid w:val="006E3AB7"/>
    <w:rsid w:val="006E3FAD"/>
    <w:rsid w:val="006E4161"/>
    <w:rsid w:val="006E41E3"/>
    <w:rsid w:val="006E422F"/>
    <w:rsid w:val="006E42F1"/>
    <w:rsid w:val="006E4478"/>
    <w:rsid w:val="006E44FB"/>
    <w:rsid w:val="006E4625"/>
    <w:rsid w:val="006E468F"/>
    <w:rsid w:val="006E47E8"/>
    <w:rsid w:val="006E4818"/>
    <w:rsid w:val="006E4A3F"/>
    <w:rsid w:val="006E4A6F"/>
    <w:rsid w:val="006E4A83"/>
    <w:rsid w:val="006E4A8A"/>
    <w:rsid w:val="006E4F35"/>
    <w:rsid w:val="006E4FC1"/>
    <w:rsid w:val="006E51A8"/>
    <w:rsid w:val="006E5249"/>
    <w:rsid w:val="006E5447"/>
    <w:rsid w:val="006E54B6"/>
    <w:rsid w:val="006E56E8"/>
    <w:rsid w:val="006E598D"/>
    <w:rsid w:val="006E5A34"/>
    <w:rsid w:val="006E5A41"/>
    <w:rsid w:val="006E5C6C"/>
    <w:rsid w:val="006E5CB5"/>
    <w:rsid w:val="006E5D48"/>
    <w:rsid w:val="006E5E28"/>
    <w:rsid w:val="006E5F37"/>
    <w:rsid w:val="006E6454"/>
    <w:rsid w:val="006E649A"/>
    <w:rsid w:val="006E6574"/>
    <w:rsid w:val="006E6590"/>
    <w:rsid w:val="006E65A0"/>
    <w:rsid w:val="006E664F"/>
    <w:rsid w:val="006E6BBB"/>
    <w:rsid w:val="006E6DEF"/>
    <w:rsid w:val="006E6E1E"/>
    <w:rsid w:val="006E6E69"/>
    <w:rsid w:val="006E6F7E"/>
    <w:rsid w:val="006E6FA6"/>
    <w:rsid w:val="006E6FBF"/>
    <w:rsid w:val="006E6FDE"/>
    <w:rsid w:val="006E7053"/>
    <w:rsid w:val="006E70ED"/>
    <w:rsid w:val="006E7304"/>
    <w:rsid w:val="006E769A"/>
    <w:rsid w:val="006E778D"/>
    <w:rsid w:val="006E77FB"/>
    <w:rsid w:val="006E7A33"/>
    <w:rsid w:val="006E7E86"/>
    <w:rsid w:val="006F0145"/>
    <w:rsid w:val="006F0283"/>
    <w:rsid w:val="006F0523"/>
    <w:rsid w:val="006F0A6F"/>
    <w:rsid w:val="006F0AF1"/>
    <w:rsid w:val="006F0C66"/>
    <w:rsid w:val="006F0F5C"/>
    <w:rsid w:val="006F1193"/>
    <w:rsid w:val="006F11B1"/>
    <w:rsid w:val="006F1419"/>
    <w:rsid w:val="006F1459"/>
    <w:rsid w:val="006F1CD4"/>
    <w:rsid w:val="006F1EC8"/>
    <w:rsid w:val="006F23A9"/>
    <w:rsid w:val="006F259F"/>
    <w:rsid w:val="006F2722"/>
    <w:rsid w:val="006F2871"/>
    <w:rsid w:val="006F2AFB"/>
    <w:rsid w:val="006F2D85"/>
    <w:rsid w:val="006F3570"/>
    <w:rsid w:val="006F3677"/>
    <w:rsid w:val="006F3791"/>
    <w:rsid w:val="006F3888"/>
    <w:rsid w:val="006F38B7"/>
    <w:rsid w:val="006F3BE2"/>
    <w:rsid w:val="006F3CE7"/>
    <w:rsid w:val="006F3E25"/>
    <w:rsid w:val="006F3E2D"/>
    <w:rsid w:val="006F3EBC"/>
    <w:rsid w:val="006F4048"/>
    <w:rsid w:val="006F4249"/>
    <w:rsid w:val="006F42B4"/>
    <w:rsid w:val="006F4333"/>
    <w:rsid w:val="006F435B"/>
    <w:rsid w:val="006F4468"/>
    <w:rsid w:val="006F45AE"/>
    <w:rsid w:val="006F47C8"/>
    <w:rsid w:val="006F483F"/>
    <w:rsid w:val="006F4C1A"/>
    <w:rsid w:val="006F4D50"/>
    <w:rsid w:val="006F5052"/>
    <w:rsid w:val="006F508D"/>
    <w:rsid w:val="006F51E8"/>
    <w:rsid w:val="006F520A"/>
    <w:rsid w:val="006F5245"/>
    <w:rsid w:val="006F53B0"/>
    <w:rsid w:val="006F5638"/>
    <w:rsid w:val="006F56DD"/>
    <w:rsid w:val="006F57C9"/>
    <w:rsid w:val="006F57D6"/>
    <w:rsid w:val="006F5C07"/>
    <w:rsid w:val="006F5C14"/>
    <w:rsid w:val="006F5C75"/>
    <w:rsid w:val="006F5DC1"/>
    <w:rsid w:val="006F604E"/>
    <w:rsid w:val="006F60A8"/>
    <w:rsid w:val="006F61FF"/>
    <w:rsid w:val="006F64D3"/>
    <w:rsid w:val="006F66E0"/>
    <w:rsid w:val="006F68E8"/>
    <w:rsid w:val="006F69B7"/>
    <w:rsid w:val="006F7517"/>
    <w:rsid w:val="006F7E2D"/>
    <w:rsid w:val="006F7EC4"/>
    <w:rsid w:val="007002A3"/>
    <w:rsid w:val="00700736"/>
    <w:rsid w:val="00700863"/>
    <w:rsid w:val="00700AA0"/>
    <w:rsid w:val="00700AF8"/>
    <w:rsid w:val="00700BC1"/>
    <w:rsid w:val="0070132F"/>
    <w:rsid w:val="007013AF"/>
    <w:rsid w:val="007013DE"/>
    <w:rsid w:val="00701A56"/>
    <w:rsid w:val="00701CE0"/>
    <w:rsid w:val="00701D2E"/>
    <w:rsid w:val="00701DD0"/>
    <w:rsid w:val="0070224B"/>
    <w:rsid w:val="00702377"/>
    <w:rsid w:val="00702735"/>
    <w:rsid w:val="0070284B"/>
    <w:rsid w:val="00702AE8"/>
    <w:rsid w:val="00702CC3"/>
    <w:rsid w:val="00702E1E"/>
    <w:rsid w:val="00702F84"/>
    <w:rsid w:val="007032FC"/>
    <w:rsid w:val="00703317"/>
    <w:rsid w:val="00703414"/>
    <w:rsid w:val="007034B5"/>
    <w:rsid w:val="00703702"/>
    <w:rsid w:val="007037FE"/>
    <w:rsid w:val="00703A2D"/>
    <w:rsid w:val="007040B9"/>
    <w:rsid w:val="0070411D"/>
    <w:rsid w:val="0070413C"/>
    <w:rsid w:val="0070434D"/>
    <w:rsid w:val="007045BD"/>
    <w:rsid w:val="00704980"/>
    <w:rsid w:val="00704DAF"/>
    <w:rsid w:val="00704E79"/>
    <w:rsid w:val="007053E2"/>
    <w:rsid w:val="0070548B"/>
    <w:rsid w:val="0070577C"/>
    <w:rsid w:val="007057F7"/>
    <w:rsid w:val="007058F2"/>
    <w:rsid w:val="0070594C"/>
    <w:rsid w:val="00705B77"/>
    <w:rsid w:val="00705FD5"/>
    <w:rsid w:val="007060E0"/>
    <w:rsid w:val="0070613A"/>
    <w:rsid w:val="007061FD"/>
    <w:rsid w:val="0070637B"/>
    <w:rsid w:val="00706554"/>
    <w:rsid w:val="007066C2"/>
    <w:rsid w:val="007066D4"/>
    <w:rsid w:val="007069B4"/>
    <w:rsid w:val="00706A27"/>
    <w:rsid w:val="00706B3F"/>
    <w:rsid w:val="00706BD0"/>
    <w:rsid w:val="00707068"/>
    <w:rsid w:val="00707126"/>
    <w:rsid w:val="0070738F"/>
    <w:rsid w:val="007073FB"/>
    <w:rsid w:val="00707502"/>
    <w:rsid w:val="00707525"/>
    <w:rsid w:val="00707674"/>
    <w:rsid w:val="0070785A"/>
    <w:rsid w:val="00707910"/>
    <w:rsid w:val="00707B3C"/>
    <w:rsid w:val="00707F91"/>
    <w:rsid w:val="00710371"/>
    <w:rsid w:val="0071047C"/>
    <w:rsid w:val="00710492"/>
    <w:rsid w:val="007104C9"/>
    <w:rsid w:val="00710557"/>
    <w:rsid w:val="0071090E"/>
    <w:rsid w:val="00710B36"/>
    <w:rsid w:val="00710EEF"/>
    <w:rsid w:val="00710FB3"/>
    <w:rsid w:val="007110F7"/>
    <w:rsid w:val="007112CD"/>
    <w:rsid w:val="00711609"/>
    <w:rsid w:val="00711962"/>
    <w:rsid w:val="00711980"/>
    <w:rsid w:val="00711A0E"/>
    <w:rsid w:val="007120B3"/>
    <w:rsid w:val="007120DB"/>
    <w:rsid w:val="0071230A"/>
    <w:rsid w:val="00712522"/>
    <w:rsid w:val="007126E7"/>
    <w:rsid w:val="00712823"/>
    <w:rsid w:val="0071282D"/>
    <w:rsid w:val="007128AE"/>
    <w:rsid w:val="007128B6"/>
    <w:rsid w:val="007128FF"/>
    <w:rsid w:val="00712AD0"/>
    <w:rsid w:val="00712B18"/>
    <w:rsid w:val="00712CD5"/>
    <w:rsid w:val="00712E27"/>
    <w:rsid w:val="0071312B"/>
    <w:rsid w:val="00713167"/>
    <w:rsid w:val="00713442"/>
    <w:rsid w:val="00713474"/>
    <w:rsid w:val="00713A2F"/>
    <w:rsid w:val="00713AC2"/>
    <w:rsid w:val="00713AC9"/>
    <w:rsid w:val="00713C5D"/>
    <w:rsid w:val="0071402D"/>
    <w:rsid w:val="00714174"/>
    <w:rsid w:val="0071428A"/>
    <w:rsid w:val="00714559"/>
    <w:rsid w:val="0071493F"/>
    <w:rsid w:val="00714C10"/>
    <w:rsid w:val="00714CF2"/>
    <w:rsid w:val="00715000"/>
    <w:rsid w:val="0071509F"/>
    <w:rsid w:val="00715179"/>
    <w:rsid w:val="007151EB"/>
    <w:rsid w:val="007152D0"/>
    <w:rsid w:val="007156B9"/>
    <w:rsid w:val="0071576C"/>
    <w:rsid w:val="0071583F"/>
    <w:rsid w:val="0071589A"/>
    <w:rsid w:val="00715953"/>
    <w:rsid w:val="00715B36"/>
    <w:rsid w:val="00715BED"/>
    <w:rsid w:val="00715CE5"/>
    <w:rsid w:val="00715E21"/>
    <w:rsid w:val="00715EB7"/>
    <w:rsid w:val="00715EC1"/>
    <w:rsid w:val="00715ED1"/>
    <w:rsid w:val="0071620F"/>
    <w:rsid w:val="007162B5"/>
    <w:rsid w:val="00716634"/>
    <w:rsid w:val="00716708"/>
    <w:rsid w:val="0071676C"/>
    <w:rsid w:val="00716808"/>
    <w:rsid w:val="0071698C"/>
    <w:rsid w:val="00716C8A"/>
    <w:rsid w:val="00716D58"/>
    <w:rsid w:val="0071740F"/>
    <w:rsid w:val="007174CB"/>
    <w:rsid w:val="007176DA"/>
    <w:rsid w:val="00717749"/>
    <w:rsid w:val="00717778"/>
    <w:rsid w:val="00717861"/>
    <w:rsid w:val="00717AB9"/>
    <w:rsid w:val="00717B77"/>
    <w:rsid w:val="00717C18"/>
    <w:rsid w:val="00717C54"/>
    <w:rsid w:val="00717D4E"/>
    <w:rsid w:val="00717D69"/>
    <w:rsid w:val="00717D87"/>
    <w:rsid w:val="00717EB1"/>
    <w:rsid w:val="00717F5A"/>
    <w:rsid w:val="007201D0"/>
    <w:rsid w:val="00720220"/>
    <w:rsid w:val="00720238"/>
    <w:rsid w:val="007202A9"/>
    <w:rsid w:val="007202DE"/>
    <w:rsid w:val="00720535"/>
    <w:rsid w:val="0072054A"/>
    <w:rsid w:val="0072074D"/>
    <w:rsid w:val="00720817"/>
    <w:rsid w:val="00720AD4"/>
    <w:rsid w:val="00720F4E"/>
    <w:rsid w:val="00720F60"/>
    <w:rsid w:val="007210AE"/>
    <w:rsid w:val="00721495"/>
    <w:rsid w:val="0072169B"/>
    <w:rsid w:val="00721AAF"/>
    <w:rsid w:val="0072217C"/>
    <w:rsid w:val="0072272B"/>
    <w:rsid w:val="00722850"/>
    <w:rsid w:val="00722F18"/>
    <w:rsid w:val="00722F1C"/>
    <w:rsid w:val="007233CD"/>
    <w:rsid w:val="007233EE"/>
    <w:rsid w:val="00723843"/>
    <w:rsid w:val="00723957"/>
    <w:rsid w:val="00723A82"/>
    <w:rsid w:val="00723AB8"/>
    <w:rsid w:val="00723D70"/>
    <w:rsid w:val="00724018"/>
    <w:rsid w:val="0072412C"/>
    <w:rsid w:val="00724201"/>
    <w:rsid w:val="00724336"/>
    <w:rsid w:val="00724B6F"/>
    <w:rsid w:val="00724E10"/>
    <w:rsid w:val="00724FD7"/>
    <w:rsid w:val="00725019"/>
    <w:rsid w:val="0072502B"/>
    <w:rsid w:val="007251AA"/>
    <w:rsid w:val="007251C1"/>
    <w:rsid w:val="0072525E"/>
    <w:rsid w:val="00725326"/>
    <w:rsid w:val="007258FA"/>
    <w:rsid w:val="00725962"/>
    <w:rsid w:val="00725987"/>
    <w:rsid w:val="007259B7"/>
    <w:rsid w:val="00725BA0"/>
    <w:rsid w:val="00725BF5"/>
    <w:rsid w:val="00725C85"/>
    <w:rsid w:val="00725D4C"/>
    <w:rsid w:val="00725EE5"/>
    <w:rsid w:val="0072602E"/>
    <w:rsid w:val="00726516"/>
    <w:rsid w:val="0072656B"/>
    <w:rsid w:val="00726772"/>
    <w:rsid w:val="007267F6"/>
    <w:rsid w:val="00726A04"/>
    <w:rsid w:val="00726A09"/>
    <w:rsid w:val="00726B10"/>
    <w:rsid w:val="00726BE1"/>
    <w:rsid w:val="00726CF7"/>
    <w:rsid w:val="00726EE0"/>
    <w:rsid w:val="00727456"/>
    <w:rsid w:val="00727461"/>
    <w:rsid w:val="00727539"/>
    <w:rsid w:val="00727866"/>
    <w:rsid w:val="0072791A"/>
    <w:rsid w:val="00727BD5"/>
    <w:rsid w:val="007301EC"/>
    <w:rsid w:val="0073067A"/>
    <w:rsid w:val="007306C6"/>
    <w:rsid w:val="0073077A"/>
    <w:rsid w:val="00730986"/>
    <w:rsid w:val="00730B4D"/>
    <w:rsid w:val="00730BC2"/>
    <w:rsid w:val="00730E8A"/>
    <w:rsid w:val="00730EF2"/>
    <w:rsid w:val="00730FC5"/>
    <w:rsid w:val="007311F2"/>
    <w:rsid w:val="0073121C"/>
    <w:rsid w:val="00731254"/>
    <w:rsid w:val="0073149B"/>
    <w:rsid w:val="0073177B"/>
    <w:rsid w:val="007317BF"/>
    <w:rsid w:val="0073183E"/>
    <w:rsid w:val="00731A9D"/>
    <w:rsid w:val="00731BBF"/>
    <w:rsid w:val="00731C1D"/>
    <w:rsid w:val="00731C8E"/>
    <w:rsid w:val="00731ECF"/>
    <w:rsid w:val="00731EDE"/>
    <w:rsid w:val="00732017"/>
    <w:rsid w:val="0073222D"/>
    <w:rsid w:val="007325DB"/>
    <w:rsid w:val="00732A19"/>
    <w:rsid w:val="00732F42"/>
    <w:rsid w:val="00732F90"/>
    <w:rsid w:val="0073302B"/>
    <w:rsid w:val="00733151"/>
    <w:rsid w:val="00733311"/>
    <w:rsid w:val="0073353F"/>
    <w:rsid w:val="007337B8"/>
    <w:rsid w:val="00733A3E"/>
    <w:rsid w:val="00733A9F"/>
    <w:rsid w:val="00733AC4"/>
    <w:rsid w:val="00733C61"/>
    <w:rsid w:val="00733F58"/>
    <w:rsid w:val="0073410A"/>
    <w:rsid w:val="00734156"/>
    <w:rsid w:val="00734355"/>
    <w:rsid w:val="00734540"/>
    <w:rsid w:val="007347F3"/>
    <w:rsid w:val="007348B6"/>
    <w:rsid w:val="00734F0C"/>
    <w:rsid w:val="0073549B"/>
    <w:rsid w:val="00735692"/>
    <w:rsid w:val="00735717"/>
    <w:rsid w:val="007359D7"/>
    <w:rsid w:val="00735A91"/>
    <w:rsid w:val="00735ADE"/>
    <w:rsid w:val="007364D6"/>
    <w:rsid w:val="007365DC"/>
    <w:rsid w:val="007366EB"/>
    <w:rsid w:val="007368FE"/>
    <w:rsid w:val="00736975"/>
    <w:rsid w:val="00736D36"/>
    <w:rsid w:val="00736D4E"/>
    <w:rsid w:val="00736E3A"/>
    <w:rsid w:val="00736F34"/>
    <w:rsid w:val="007372EB"/>
    <w:rsid w:val="00737700"/>
    <w:rsid w:val="007378D7"/>
    <w:rsid w:val="007378D9"/>
    <w:rsid w:val="00737A67"/>
    <w:rsid w:val="00737B19"/>
    <w:rsid w:val="00737FB3"/>
    <w:rsid w:val="00740157"/>
    <w:rsid w:val="007401A9"/>
    <w:rsid w:val="00740261"/>
    <w:rsid w:val="007402C6"/>
    <w:rsid w:val="00740435"/>
    <w:rsid w:val="007405DC"/>
    <w:rsid w:val="00740762"/>
    <w:rsid w:val="0074086A"/>
    <w:rsid w:val="007409EA"/>
    <w:rsid w:val="00740B21"/>
    <w:rsid w:val="00740E7E"/>
    <w:rsid w:val="00740EDF"/>
    <w:rsid w:val="00740F9F"/>
    <w:rsid w:val="00740FD1"/>
    <w:rsid w:val="00741069"/>
    <w:rsid w:val="00741265"/>
    <w:rsid w:val="007413C1"/>
    <w:rsid w:val="00741688"/>
    <w:rsid w:val="00741A3E"/>
    <w:rsid w:val="00741A72"/>
    <w:rsid w:val="00741BC7"/>
    <w:rsid w:val="00741EC9"/>
    <w:rsid w:val="00741F43"/>
    <w:rsid w:val="007420C5"/>
    <w:rsid w:val="00742168"/>
    <w:rsid w:val="007423F2"/>
    <w:rsid w:val="00742457"/>
    <w:rsid w:val="0074254C"/>
    <w:rsid w:val="00742A02"/>
    <w:rsid w:val="00742E45"/>
    <w:rsid w:val="00742E72"/>
    <w:rsid w:val="00742F54"/>
    <w:rsid w:val="00743152"/>
    <w:rsid w:val="00743278"/>
    <w:rsid w:val="00743360"/>
    <w:rsid w:val="0074349C"/>
    <w:rsid w:val="0074362F"/>
    <w:rsid w:val="007436C4"/>
    <w:rsid w:val="00743948"/>
    <w:rsid w:val="00743987"/>
    <w:rsid w:val="00743AB5"/>
    <w:rsid w:val="00743EE4"/>
    <w:rsid w:val="00743F87"/>
    <w:rsid w:val="007447AF"/>
    <w:rsid w:val="0074486E"/>
    <w:rsid w:val="00744B22"/>
    <w:rsid w:val="00744C26"/>
    <w:rsid w:val="00744D6A"/>
    <w:rsid w:val="00744ED2"/>
    <w:rsid w:val="00744EF7"/>
    <w:rsid w:val="00745928"/>
    <w:rsid w:val="00745A38"/>
    <w:rsid w:val="00745A6C"/>
    <w:rsid w:val="00745BDE"/>
    <w:rsid w:val="00745D85"/>
    <w:rsid w:val="00746000"/>
    <w:rsid w:val="00746123"/>
    <w:rsid w:val="00746230"/>
    <w:rsid w:val="007462F2"/>
    <w:rsid w:val="007463C8"/>
    <w:rsid w:val="0074655C"/>
    <w:rsid w:val="00746CB7"/>
    <w:rsid w:val="00746DD1"/>
    <w:rsid w:val="007470AD"/>
    <w:rsid w:val="0074725B"/>
    <w:rsid w:val="00747681"/>
    <w:rsid w:val="00747B76"/>
    <w:rsid w:val="00747D73"/>
    <w:rsid w:val="00747E1C"/>
    <w:rsid w:val="00747E21"/>
    <w:rsid w:val="00747ED7"/>
    <w:rsid w:val="007504F4"/>
    <w:rsid w:val="007506D2"/>
    <w:rsid w:val="00750816"/>
    <w:rsid w:val="00750824"/>
    <w:rsid w:val="00750925"/>
    <w:rsid w:val="00750B5B"/>
    <w:rsid w:val="007511A2"/>
    <w:rsid w:val="00751260"/>
    <w:rsid w:val="0075141E"/>
    <w:rsid w:val="007519EF"/>
    <w:rsid w:val="00751B70"/>
    <w:rsid w:val="00751EAA"/>
    <w:rsid w:val="00751FF5"/>
    <w:rsid w:val="007520EA"/>
    <w:rsid w:val="007522EB"/>
    <w:rsid w:val="007523FE"/>
    <w:rsid w:val="0075247C"/>
    <w:rsid w:val="00752696"/>
    <w:rsid w:val="00752709"/>
    <w:rsid w:val="0075271F"/>
    <w:rsid w:val="00752905"/>
    <w:rsid w:val="00752A51"/>
    <w:rsid w:val="00752AAB"/>
    <w:rsid w:val="00752CEE"/>
    <w:rsid w:val="00752DCD"/>
    <w:rsid w:val="00752E29"/>
    <w:rsid w:val="00752FAC"/>
    <w:rsid w:val="00753084"/>
    <w:rsid w:val="00753115"/>
    <w:rsid w:val="00753243"/>
    <w:rsid w:val="007534F8"/>
    <w:rsid w:val="0075366B"/>
    <w:rsid w:val="007536A3"/>
    <w:rsid w:val="007536C8"/>
    <w:rsid w:val="0075393B"/>
    <w:rsid w:val="007539B4"/>
    <w:rsid w:val="00753B52"/>
    <w:rsid w:val="00753DC4"/>
    <w:rsid w:val="00753EE6"/>
    <w:rsid w:val="007541B2"/>
    <w:rsid w:val="0075468A"/>
    <w:rsid w:val="007546D6"/>
    <w:rsid w:val="00754C11"/>
    <w:rsid w:val="00754DCA"/>
    <w:rsid w:val="00754E56"/>
    <w:rsid w:val="00754F63"/>
    <w:rsid w:val="007550A1"/>
    <w:rsid w:val="007550FB"/>
    <w:rsid w:val="00755313"/>
    <w:rsid w:val="0075538A"/>
    <w:rsid w:val="00755471"/>
    <w:rsid w:val="007554D5"/>
    <w:rsid w:val="00755823"/>
    <w:rsid w:val="00755830"/>
    <w:rsid w:val="00755920"/>
    <w:rsid w:val="007562CF"/>
    <w:rsid w:val="00756358"/>
    <w:rsid w:val="00756A7D"/>
    <w:rsid w:val="00756B3C"/>
    <w:rsid w:val="00756BB4"/>
    <w:rsid w:val="00756CDF"/>
    <w:rsid w:val="00756DBC"/>
    <w:rsid w:val="00756E58"/>
    <w:rsid w:val="00756F57"/>
    <w:rsid w:val="00756FF4"/>
    <w:rsid w:val="0075742A"/>
    <w:rsid w:val="007574E8"/>
    <w:rsid w:val="00757588"/>
    <w:rsid w:val="00757781"/>
    <w:rsid w:val="00757958"/>
    <w:rsid w:val="00757C34"/>
    <w:rsid w:val="00757E1D"/>
    <w:rsid w:val="0076031E"/>
    <w:rsid w:val="0076035C"/>
    <w:rsid w:val="007604E6"/>
    <w:rsid w:val="0076057A"/>
    <w:rsid w:val="00760A2E"/>
    <w:rsid w:val="00760A90"/>
    <w:rsid w:val="00760A97"/>
    <w:rsid w:val="00760C2F"/>
    <w:rsid w:val="00760EC6"/>
    <w:rsid w:val="0076107E"/>
    <w:rsid w:val="007613C5"/>
    <w:rsid w:val="0076173D"/>
    <w:rsid w:val="0076178A"/>
    <w:rsid w:val="007619AF"/>
    <w:rsid w:val="00761A1A"/>
    <w:rsid w:val="00761B3B"/>
    <w:rsid w:val="00761CCA"/>
    <w:rsid w:val="00761E7F"/>
    <w:rsid w:val="00761F21"/>
    <w:rsid w:val="00761FFC"/>
    <w:rsid w:val="007621CD"/>
    <w:rsid w:val="00762397"/>
    <w:rsid w:val="007624BA"/>
    <w:rsid w:val="007624D7"/>
    <w:rsid w:val="00762612"/>
    <w:rsid w:val="00762983"/>
    <w:rsid w:val="00762B3B"/>
    <w:rsid w:val="00762C79"/>
    <w:rsid w:val="00762F61"/>
    <w:rsid w:val="007631D4"/>
    <w:rsid w:val="007636A4"/>
    <w:rsid w:val="007638D2"/>
    <w:rsid w:val="00763B79"/>
    <w:rsid w:val="00763C0A"/>
    <w:rsid w:val="00763CFF"/>
    <w:rsid w:val="00763F37"/>
    <w:rsid w:val="00763F7C"/>
    <w:rsid w:val="00764176"/>
    <w:rsid w:val="007642AE"/>
    <w:rsid w:val="007642CF"/>
    <w:rsid w:val="007645A2"/>
    <w:rsid w:val="00764654"/>
    <w:rsid w:val="007647E1"/>
    <w:rsid w:val="007648F5"/>
    <w:rsid w:val="00764C83"/>
    <w:rsid w:val="0076506C"/>
    <w:rsid w:val="007651A2"/>
    <w:rsid w:val="0076525E"/>
    <w:rsid w:val="007652EC"/>
    <w:rsid w:val="00765421"/>
    <w:rsid w:val="007654B0"/>
    <w:rsid w:val="00765504"/>
    <w:rsid w:val="007655D0"/>
    <w:rsid w:val="007656ED"/>
    <w:rsid w:val="00765784"/>
    <w:rsid w:val="007657C1"/>
    <w:rsid w:val="0076591D"/>
    <w:rsid w:val="00765A26"/>
    <w:rsid w:val="00765AE1"/>
    <w:rsid w:val="00765BB4"/>
    <w:rsid w:val="00765C10"/>
    <w:rsid w:val="00766164"/>
    <w:rsid w:val="00766296"/>
    <w:rsid w:val="0076641C"/>
    <w:rsid w:val="0076661A"/>
    <w:rsid w:val="007666AF"/>
    <w:rsid w:val="0076674C"/>
    <w:rsid w:val="00766C7E"/>
    <w:rsid w:val="00766D33"/>
    <w:rsid w:val="00766D41"/>
    <w:rsid w:val="007670AD"/>
    <w:rsid w:val="0076791E"/>
    <w:rsid w:val="0076792D"/>
    <w:rsid w:val="00767AD6"/>
    <w:rsid w:val="00767EC3"/>
    <w:rsid w:val="00767ECF"/>
    <w:rsid w:val="0077021F"/>
    <w:rsid w:val="007702C6"/>
    <w:rsid w:val="0077030E"/>
    <w:rsid w:val="0077035E"/>
    <w:rsid w:val="007704C1"/>
    <w:rsid w:val="00770795"/>
    <w:rsid w:val="00770DAE"/>
    <w:rsid w:val="00771050"/>
    <w:rsid w:val="007710B6"/>
    <w:rsid w:val="007710ED"/>
    <w:rsid w:val="00771131"/>
    <w:rsid w:val="007711AF"/>
    <w:rsid w:val="007711CE"/>
    <w:rsid w:val="0077120C"/>
    <w:rsid w:val="00771565"/>
    <w:rsid w:val="007715B1"/>
    <w:rsid w:val="007716D8"/>
    <w:rsid w:val="00771912"/>
    <w:rsid w:val="00771B92"/>
    <w:rsid w:val="00771BBD"/>
    <w:rsid w:val="00771C05"/>
    <w:rsid w:val="00771C3C"/>
    <w:rsid w:val="00771CD5"/>
    <w:rsid w:val="00772002"/>
    <w:rsid w:val="00772009"/>
    <w:rsid w:val="007720BA"/>
    <w:rsid w:val="00772D3C"/>
    <w:rsid w:val="00772E8B"/>
    <w:rsid w:val="00772FBD"/>
    <w:rsid w:val="007731CF"/>
    <w:rsid w:val="007732DE"/>
    <w:rsid w:val="0077333B"/>
    <w:rsid w:val="007733B4"/>
    <w:rsid w:val="00773574"/>
    <w:rsid w:val="007738FF"/>
    <w:rsid w:val="00773A3A"/>
    <w:rsid w:val="00773CD8"/>
    <w:rsid w:val="00773EAA"/>
    <w:rsid w:val="007742E8"/>
    <w:rsid w:val="0077446F"/>
    <w:rsid w:val="00774607"/>
    <w:rsid w:val="007746A5"/>
    <w:rsid w:val="00774761"/>
    <w:rsid w:val="007748AE"/>
    <w:rsid w:val="00774951"/>
    <w:rsid w:val="00774983"/>
    <w:rsid w:val="00774AE5"/>
    <w:rsid w:val="00774B1E"/>
    <w:rsid w:val="00775019"/>
    <w:rsid w:val="0077509A"/>
    <w:rsid w:val="007752A1"/>
    <w:rsid w:val="007752B8"/>
    <w:rsid w:val="00775312"/>
    <w:rsid w:val="007753C3"/>
    <w:rsid w:val="007756B5"/>
    <w:rsid w:val="007756DE"/>
    <w:rsid w:val="00775AB3"/>
    <w:rsid w:val="00775B75"/>
    <w:rsid w:val="00775B7A"/>
    <w:rsid w:val="00775BAE"/>
    <w:rsid w:val="00775BB4"/>
    <w:rsid w:val="00775BFD"/>
    <w:rsid w:val="00775FA6"/>
    <w:rsid w:val="0077630E"/>
    <w:rsid w:val="0077639B"/>
    <w:rsid w:val="0077642F"/>
    <w:rsid w:val="0077648D"/>
    <w:rsid w:val="007767AB"/>
    <w:rsid w:val="00776B63"/>
    <w:rsid w:val="00776EA5"/>
    <w:rsid w:val="00777094"/>
    <w:rsid w:val="007771A0"/>
    <w:rsid w:val="007772F1"/>
    <w:rsid w:val="007773DF"/>
    <w:rsid w:val="007773ED"/>
    <w:rsid w:val="00777534"/>
    <w:rsid w:val="0077755F"/>
    <w:rsid w:val="00777786"/>
    <w:rsid w:val="007778A8"/>
    <w:rsid w:val="0077793F"/>
    <w:rsid w:val="00777984"/>
    <w:rsid w:val="007779A7"/>
    <w:rsid w:val="00777A7E"/>
    <w:rsid w:val="00777CB1"/>
    <w:rsid w:val="00777CEF"/>
    <w:rsid w:val="00777E41"/>
    <w:rsid w:val="00777FB1"/>
    <w:rsid w:val="0078021B"/>
    <w:rsid w:val="007806DB"/>
    <w:rsid w:val="007809D6"/>
    <w:rsid w:val="007809FC"/>
    <w:rsid w:val="00780A01"/>
    <w:rsid w:val="00780A2F"/>
    <w:rsid w:val="00780B0F"/>
    <w:rsid w:val="00780CA8"/>
    <w:rsid w:val="00781074"/>
    <w:rsid w:val="007811A8"/>
    <w:rsid w:val="007811C6"/>
    <w:rsid w:val="00781334"/>
    <w:rsid w:val="00781341"/>
    <w:rsid w:val="0078168B"/>
    <w:rsid w:val="00781AC9"/>
    <w:rsid w:val="00781DD9"/>
    <w:rsid w:val="00781E3D"/>
    <w:rsid w:val="00781E9B"/>
    <w:rsid w:val="00781FD2"/>
    <w:rsid w:val="007820EC"/>
    <w:rsid w:val="0078214C"/>
    <w:rsid w:val="007821D3"/>
    <w:rsid w:val="00783011"/>
    <w:rsid w:val="0078327A"/>
    <w:rsid w:val="00783689"/>
    <w:rsid w:val="007837DE"/>
    <w:rsid w:val="007839D6"/>
    <w:rsid w:val="00783AF0"/>
    <w:rsid w:val="00783B04"/>
    <w:rsid w:val="00783C05"/>
    <w:rsid w:val="007841FE"/>
    <w:rsid w:val="007842D9"/>
    <w:rsid w:val="007843E6"/>
    <w:rsid w:val="00784AC4"/>
    <w:rsid w:val="00784AD3"/>
    <w:rsid w:val="00784B79"/>
    <w:rsid w:val="00784C84"/>
    <w:rsid w:val="00784D36"/>
    <w:rsid w:val="00784D61"/>
    <w:rsid w:val="00784E6B"/>
    <w:rsid w:val="00784E8B"/>
    <w:rsid w:val="0078547C"/>
    <w:rsid w:val="0078574A"/>
    <w:rsid w:val="00785790"/>
    <w:rsid w:val="00785821"/>
    <w:rsid w:val="00785885"/>
    <w:rsid w:val="00785A4F"/>
    <w:rsid w:val="00785F75"/>
    <w:rsid w:val="0078621A"/>
    <w:rsid w:val="00786237"/>
    <w:rsid w:val="0078633A"/>
    <w:rsid w:val="007863CA"/>
    <w:rsid w:val="00786833"/>
    <w:rsid w:val="007869BF"/>
    <w:rsid w:val="00786B7C"/>
    <w:rsid w:val="00786D44"/>
    <w:rsid w:val="00786EE0"/>
    <w:rsid w:val="007874E7"/>
    <w:rsid w:val="00787531"/>
    <w:rsid w:val="0078780F"/>
    <w:rsid w:val="007878D9"/>
    <w:rsid w:val="00787B96"/>
    <w:rsid w:val="00787F80"/>
    <w:rsid w:val="0079005C"/>
    <w:rsid w:val="007904C8"/>
    <w:rsid w:val="00790840"/>
    <w:rsid w:val="00790994"/>
    <w:rsid w:val="00790ADB"/>
    <w:rsid w:val="00790BF5"/>
    <w:rsid w:val="00790CA4"/>
    <w:rsid w:val="00791291"/>
    <w:rsid w:val="0079135E"/>
    <w:rsid w:val="0079140B"/>
    <w:rsid w:val="007914AD"/>
    <w:rsid w:val="007915AD"/>
    <w:rsid w:val="007918F5"/>
    <w:rsid w:val="00791981"/>
    <w:rsid w:val="00791A87"/>
    <w:rsid w:val="00791AC5"/>
    <w:rsid w:val="0079226B"/>
    <w:rsid w:val="00792313"/>
    <w:rsid w:val="007923C3"/>
    <w:rsid w:val="007924E1"/>
    <w:rsid w:val="0079268C"/>
    <w:rsid w:val="00792836"/>
    <w:rsid w:val="00792860"/>
    <w:rsid w:val="0079288D"/>
    <w:rsid w:val="007928E4"/>
    <w:rsid w:val="00792A53"/>
    <w:rsid w:val="00792B6B"/>
    <w:rsid w:val="00792D81"/>
    <w:rsid w:val="00792ED3"/>
    <w:rsid w:val="007934C0"/>
    <w:rsid w:val="00793C7F"/>
    <w:rsid w:val="00793D53"/>
    <w:rsid w:val="00793EF7"/>
    <w:rsid w:val="00793F54"/>
    <w:rsid w:val="00794084"/>
    <w:rsid w:val="00794408"/>
    <w:rsid w:val="00794988"/>
    <w:rsid w:val="00794E5F"/>
    <w:rsid w:val="00795034"/>
    <w:rsid w:val="0079535D"/>
    <w:rsid w:val="00795587"/>
    <w:rsid w:val="00795841"/>
    <w:rsid w:val="00795910"/>
    <w:rsid w:val="007961B7"/>
    <w:rsid w:val="00796336"/>
    <w:rsid w:val="00796744"/>
    <w:rsid w:val="007967E3"/>
    <w:rsid w:val="00796A3E"/>
    <w:rsid w:val="00796A80"/>
    <w:rsid w:val="00796AB8"/>
    <w:rsid w:val="00797103"/>
    <w:rsid w:val="007971B4"/>
    <w:rsid w:val="0079723E"/>
    <w:rsid w:val="00797C9D"/>
    <w:rsid w:val="00797C9F"/>
    <w:rsid w:val="00797CB2"/>
    <w:rsid w:val="00797D2C"/>
    <w:rsid w:val="00797D46"/>
    <w:rsid w:val="00797D5C"/>
    <w:rsid w:val="00797E2D"/>
    <w:rsid w:val="007A02BE"/>
    <w:rsid w:val="007A05D0"/>
    <w:rsid w:val="007A05D5"/>
    <w:rsid w:val="007A0621"/>
    <w:rsid w:val="007A07EC"/>
    <w:rsid w:val="007A084A"/>
    <w:rsid w:val="007A0883"/>
    <w:rsid w:val="007A08EE"/>
    <w:rsid w:val="007A0BFF"/>
    <w:rsid w:val="007A0D80"/>
    <w:rsid w:val="007A0E36"/>
    <w:rsid w:val="007A0E7E"/>
    <w:rsid w:val="007A10F2"/>
    <w:rsid w:val="007A1145"/>
    <w:rsid w:val="007A122A"/>
    <w:rsid w:val="007A1395"/>
    <w:rsid w:val="007A14CE"/>
    <w:rsid w:val="007A1692"/>
    <w:rsid w:val="007A195E"/>
    <w:rsid w:val="007A1AC2"/>
    <w:rsid w:val="007A1B5C"/>
    <w:rsid w:val="007A1D0B"/>
    <w:rsid w:val="007A1D13"/>
    <w:rsid w:val="007A1DDF"/>
    <w:rsid w:val="007A1FB8"/>
    <w:rsid w:val="007A2356"/>
    <w:rsid w:val="007A2442"/>
    <w:rsid w:val="007A2770"/>
    <w:rsid w:val="007A27B9"/>
    <w:rsid w:val="007A28B7"/>
    <w:rsid w:val="007A2AF7"/>
    <w:rsid w:val="007A2E31"/>
    <w:rsid w:val="007A2E92"/>
    <w:rsid w:val="007A2E95"/>
    <w:rsid w:val="007A31DE"/>
    <w:rsid w:val="007A3444"/>
    <w:rsid w:val="007A3788"/>
    <w:rsid w:val="007A38F1"/>
    <w:rsid w:val="007A3EED"/>
    <w:rsid w:val="007A3EF5"/>
    <w:rsid w:val="007A3F4F"/>
    <w:rsid w:val="007A3F7E"/>
    <w:rsid w:val="007A4031"/>
    <w:rsid w:val="007A406D"/>
    <w:rsid w:val="007A4523"/>
    <w:rsid w:val="007A4601"/>
    <w:rsid w:val="007A47E6"/>
    <w:rsid w:val="007A49A7"/>
    <w:rsid w:val="007A49AA"/>
    <w:rsid w:val="007A527E"/>
    <w:rsid w:val="007A59F5"/>
    <w:rsid w:val="007A5BC4"/>
    <w:rsid w:val="007A5BCC"/>
    <w:rsid w:val="007A5D3A"/>
    <w:rsid w:val="007A5EE9"/>
    <w:rsid w:val="007A6015"/>
    <w:rsid w:val="007A62B0"/>
    <w:rsid w:val="007A63E9"/>
    <w:rsid w:val="007A65BE"/>
    <w:rsid w:val="007A65F0"/>
    <w:rsid w:val="007A69E8"/>
    <w:rsid w:val="007A6A0C"/>
    <w:rsid w:val="007A6F84"/>
    <w:rsid w:val="007A7173"/>
    <w:rsid w:val="007A7378"/>
    <w:rsid w:val="007A7589"/>
    <w:rsid w:val="007A75DA"/>
    <w:rsid w:val="007A7619"/>
    <w:rsid w:val="007A762B"/>
    <w:rsid w:val="007A7729"/>
    <w:rsid w:val="007B025C"/>
    <w:rsid w:val="007B0300"/>
    <w:rsid w:val="007B06A6"/>
    <w:rsid w:val="007B06D8"/>
    <w:rsid w:val="007B0767"/>
    <w:rsid w:val="007B08F3"/>
    <w:rsid w:val="007B0B95"/>
    <w:rsid w:val="007B16D0"/>
    <w:rsid w:val="007B1811"/>
    <w:rsid w:val="007B18C0"/>
    <w:rsid w:val="007B1909"/>
    <w:rsid w:val="007B1AD6"/>
    <w:rsid w:val="007B1FA7"/>
    <w:rsid w:val="007B2051"/>
    <w:rsid w:val="007B2105"/>
    <w:rsid w:val="007B2211"/>
    <w:rsid w:val="007B2318"/>
    <w:rsid w:val="007B24F8"/>
    <w:rsid w:val="007B267B"/>
    <w:rsid w:val="007B267C"/>
    <w:rsid w:val="007B27C9"/>
    <w:rsid w:val="007B29AA"/>
    <w:rsid w:val="007B2CF0"/>
    <w:rsid w:val="007B2E94"/>
    <w:rsid w:val="007B3186"/>
    <w:rsid w:val="007B32D3"/>
    <w:rsid w:val="007B3745"/>
    <w:rsid w:val="007B37F8"/>
    <w:rsid w:val="007B3998"/>
    <w:rsid w:val="007B3A22"/>
    <w:rsid w:val="007B3C0F"/>
    <w:rsid w:val="007B3C12"/>
    <w:rsid w:val="007B3D10"/>
    <w:rsid w:val="007B3E6E"/>
    <w:rsid w:val="007B401C"/>
    <w:rsid w:val="007B4257"/>
    <w:rsid w:val="007B4742"/>
    <w:rsid w:val="007B4A6E"/>
    <w:rsid w:val="007B4A91"/>
    <w:rsid w:val="007B4C73"/>
    <w:rsid w:val="007B4D5A"/>
    <w:rsid w:val="007B4E15"/>
    <w:rsid w:val="007B4E50"/>
    <w:rsid w:val="007B523A"/>
    <w:rsid w:val="007B52F4"/>
    <w:rsid w:val="007B5302"/>
    <w:rsid w:val="007B542B"/>
    <w:rsid w:val="007B5455"/>
    <w:rsid w:val="007B5502"/>
    <w:rsid w:val="007B560C"/>
    <w:rsid w:val="007B5674"/>
    <w:rsid w:val="007B5954"/>
    <w:rsid w:val="007B5BB3"/>
    <w:rsid w:val="007B5BBB"/>
    <w:rsid w:val="007B5BE7"/>
    <w:rsid w:val="007B60B1"/>
    <w:rsid w:val="007B6265"/>
    <w:rsid w:val="007B6276"/>
    <w:rsid w:val="007B6536"/>
    <w:rsid w:val="007B6740"/>
    <w:rsid w:val="007B69F3"/>
    <w:rsid w:val="007B6A40"/>
    <w:rsid w:val="007B6B45"/>
    <w:rsid w:val="007B6D81"/>
    <w:rsid w:val="007B6E9B"/>
    <w:rsid w:val="007B7005"/>
    <w:rsid w:val="007B7259"/>
    <w:rsid w:val="007B7303"/>
    <w:rsid w:val="007B7369"/>
    <w:rsid w:val="007B74FC"/>
    <w:rsid w:val="007B7952"/>
    <w:rsid w:val="007B7EB1"/>
    <w:rsid w:val="007C0123"/>
    <w:rsid w:val="007C0150"/>
    <w:rsid w:val="007C03B5"/>
    <w:rsid w:val="007C04B0"/>
    <w:rsid w:val="007C06DF"/>
    <w:rsid w:val="007C07D8"/>
    <w:rsid w:val="007C07E9"/>
    <w:rsid w:val="007C0814"/>
    <w:rsid w:val="007C0AE0"/>
    <w:rsid w:val="007C0B16"/>
    <w:rsid w:val="007C0C0A"/>
    <w:rsid w:val="007C0C4D"/>
    <w:rsid w:val="007C0D75"/>
    <w:rsid w:val="007C0E0A"/>
    <w:rsid w:val="007C0EE8"/>
    <w:rsid w:val="007C1180"/>
    <w:rsid w:val="007C12C8"/>
    <w:rsid w:val="007C17EC"/>
    <w:rsid w:val="007C1BB4"/>
    <w:rsid w:val="007C1F7F"/>
    <w:rsid w:val="007C2026"/>
    <w:rsid w:val="007C215F"/>
    <w:rsid w:val="007C2411"/>
    <w:rsid w:val="007C279E"/>
    <w:rsid w:val="007C27B4"/>
    <w:rsid w:val="007C2B41"/>
    <w:rsid w:val="007C2BAE"/>
    <w:rsid w:val="007C2D0D"/>
    <w:rsid w:val="007C2D88"/>
    <w:rsid w:val="007C3074"/>
    <w:rsid w:val="007C317F"/>
    <w:rsid w:val="007C346F"/>
    <w:rsid w:val="007C37EC"/>
    <w:rsid w:val="007C39AB"/>
    <w:rsid w:val="007C3C9D"/>
    <w:rsid w:val="007C3D4C"/>
    <w:rsid w:val="007C41FE"/>
    <w:rsid w:val="007C4225"/>
    <w:rsid w:val="007C43C7"/>
    <w:rsid w:val="007C44CE"/>
    <w:rsid w:val="007C4516"/>
    <w:rsid w:val="007C45E4"/>
    <w:rsid w:val="007C4664"/>
    <w:rsid w:val="007C48C7"/>
    <w:rsid w:val="007C4D5A"/>
    <w:rsid w:val="007C4F6D"/>
    <w:rsid w:val="007C51CC"/>
    <w:rsid w:val="007C5315"/>
    <w:rsid w:val="007C55DF"/>
    <w:rsid w:val="007C570C"/>
    <w:rsid w:val="007C575B"/>
    <w:rsid w:val="007C581D"/>
    <w:rsid w:val="007C5944"/>
    <w:rsid w:val="007C5988"/>
    <w:rsid w:val="007C5A0C"/>
    <w:rsid w:val="007C5B88"/>
    <w:rsid w:val="007C5EAE"/>
    <w:rsid w:val="007C60B1"/>
    <w:rsid w:val="007C640C"/>
    <w:rsid w:val="007C6CFD"/>
    <w:rsid w:val="007C6DA3"/>
    <w:rsid w:val="007C708E"/>
    <w:rsid w:val="007C70DD"/>
    <w:rsid w:val="007C7127"/>
    <w:rsid w:val="007C7163"/>
    <w:rsid w:val="007C7382"/>
    <w:rsid w:val="007C742A"/>
    <w:rsid w:val="007C7448"/>
    <w:rsid w:val="007C75A2"/>
    <w:rsid w:val="007C775F"/>
    <w:rsid w:val="007C77AD"/>
    <w:rsid w:val="007C79F9"/>
    <w:rsid w:val="007C7CA0"/>
    <w:rsid w:val="007C7E81"/>
    <w:rsid w:val="007C7EE6"/>
    <w:rsid w:val="007D0236"/>
    <w:rsid w:val="007D0382"/>
    <w:rsid w:val="007D040C"/>
    <w:rsid w:val="007D044D"/>
    <w:rsid w:val="007D04CA"/>
    <w:rsid w:val="007D0591"/>
    <w:rsid w:val="007D067F"/>
    <w:rsid w:val="007D0B6D"/>
    <w:rsid w:val="007D0C5C"/>
    <w:rsid w:val="007D0C89"/>
    <w:rsid w:val="007D0E3A"/>
    <w:rsid w:val="007D0EC9"/>
    <w:rsid w:val="007D108A"/>
    <w:rsid w:val="007D14A1"/>
    <w:rsid w:val="007D1548"/>
    <w:rsid w:val="007D1660"/>
    <w:rsid w:val="007D16FF"/>
    <w:rsid w:val="007D1708"/>
    <w:rsid w:val="007D1817"/>
    <w:rsid w:val="007D1941"/>
    <w:rsid w:val="007D1AD3"/>
    <w:rsid w:val="007D1F9E"/>
    <w:rsid w:val="007D20D6"/>
    <w:rsid w:val="007D23C9"/>
    <w:rsid w:val="007D24A3"/>
    <w:rsid w:val="007D24E1"/>
    <w:rsid w:val="007D2503"/>
    <w:rsid w:val="007D2521"/>
    <w:rsid w:val="007D2590"/>
    <w:rsid w:val="007D26D0"/>
    <w:rsid w:val="007D2AB2"/>
    <w:rsid w:val="007D2C38"/>
    <w:rsid w:val="007D2C98"/>
    <w:rsid w:val="007D2D11"/>
    <w:rsid w:val="007D2D9C"/>
    <w:rsid w:val="007D31DD"/>
    <w:rsid w:val="007D35B2"/>
    <w:rsid w:val="007D3679"/>
    <w:rsid w:val="007D36D7"/>
    <w:rsid w:val="007D37E4"/>
    <w:rsid w:val="007D3919"/>
    <w:rsid w:val="007D3AF3"/>
    <w:rsid w:val="007D3B4B"/>
    <w:rsid w:val="007D4195"/>
    <w:rsid w:val="007D4196"/>
    <w:rsid w:val="007D42C1"/>
    <w:rsid w:val="007D4383"/>
    <w:rsid w:val="007D4501"/>
    <w:rsid w:val="007D45B6"/>
    <w:rsid w:val="007D461C"/>
    <w:rsid w:val="007D46B3"/>
    <w:rsid w:val="007D48D1"/>
    <w:rsid w:val="007D49CB"/>
    <w:rsid w:val="007D4B2F"/>
    <w:rsid w:val="007D4CF2"/>
    <w:rsid w:val="007D4FDE"/>
    <w:rsid w:val="007D51B7"/>
    <w:rsid w:val="007D52E8"/>
    <w:rsid w:val="007D5310"/>
    <w:rsid w:val="007D54C4"/>
    <w:rsid w:val="007D55DC"/>
    <w:rsid w:val="007D56F3"/>
    <w:rsid w:val="007D5717"/>
    <w:rsid w:val="007D57EC"/>
    <w:rsid w:val="007D5894"/>
    <w:rsid w:val="007D5B02"/>
    <w:rsid w:val="007D5BCE"/>
    <w:rsid w:val="007D5E1D"/>
    <w:rsid w:val="007D5EC6"/>
    <w:rsid w:val="007D60DB"/>
    <w:rsid w:val="007D6180"/>
    <w:rsid w:val="007D6358"/>
    <w:rsid w:val="007D647D"/>
    <w:rsid w:val="007D654F"/>
    <w:rsid w:val="007D6759"/>
    <w:rsid w:val="007D689E"/>
    <w:rsid w:val="007D6B1C"/>
    <w:rsid w:val="007D6C74"/>
    <w:rsid w:val="007D6F11"/>
    <w:rsid w:val="007D70D0"/>
    <w:rsid w:val="007D726E"/>
    <w:rsid w:val="007D736B"/>
    <w:rsid w:val="007D74C5"/>
    <w:rsid w:val="007D758B"/>
    <w:rsid w:val="007D75B9"/>
    <w:rsid w:val="007D7670"/>
    <w:rsid w:val="007D767D"/>
    <w:rsid w:val="007D769E"/>
    <w:rsid w:val="007D76A9"/>
    <w:rsid w:val="007D78DA"/>
    <w:rsid w:val="007D7CD8"/>
    <w:rsid w:val="007E0115"/>
    <w:rsid w:val="007E0174"/>
    <w:rsid w:val="007E0352"/>
    <w:rsid w:val="007E046F"/>
    <w:rsid w:val="007E04DC"/>
    <w:rsid w:val="007E0594"/>
    <w:rsid w:val="007E079E"/>
    <w:rsid w:val="007E08B3"/>
    <w:rsid w:val="007E0B0D"/>
    <w:rsid w:val="007E0D3F"/>
    <w:rsid w:val="007E0FEE"/>
    <w:rsid w:val="007E10C9"/>
    <w:rsid w:val="007E12A2"/>
    <w:rsid w:val="007E1462"/>
    <w:rsid w:val="007E16A0"/>
    <w:rsid w:val="007E1ABC"/>
    <w:rsid w:val="007E1C2C"/>
    <w:rsid w:val="007E1EAF"/>
    <w:rsid w:val="007E1ED8"/>
    <w:rsid w:val="007E1F08"/>
    <w:rsid w:val="007E203D"/>
    <w:rsid w:val="007E224A"/>
    <w:rsid w:val="007E22CE"/>
    <w:rsid w:val="007E25C4"/>
    <w:rsid w:val="007E2767"/>
    <w:rsid w:val="007E280B"/>
    <w:rsid w:val="007E2827"/>
    <w:rsid w:val="007E28F1"/>
    <w:rsid w:val="007E2D69"/>
    <w:rsid w:val="007E2DC2"/>
    <w:rsid w:val="007E305C"/>
    <w:rsid w:val="007E3155"/>
    <w:rsid w:val="007E31BF"/>
    <w:rsid w:val="007E3304"/>
    <w:rsid w:val="007E33EA"/>
    <w:rsid w:val="007E3411"/>
    <w:rsid w:val="007E35B1"/>
    <w:rsid w:val="007E36B2"/>
    <w:rsid w:val="007E36D2"/>
    <w:rsid w:val="007E3808"/>
    <w:rsid w:val="007E3B14"/>
    <w:rsid w:val="007E3BCD"/>
    <w:rsid w:val="007E4032"/>
    <w:rsid w:val="007E40D3"/>
    <w:rsid w:val="007E411A"/>
    <w:rsid w:val="007E4264"/>
    <w:rsid w:val="007E454C"/>
    <w:rsid w:val="007E4AFE"/>
    <w:rsid w:val="007E4B4F"/>
    <w:rsid w:val="007E4C9B"/>
    <w:rsid w:val="007E4D44"/>
    <w:rsid w:val="007E52D0"/>
    <w:rsid w:val="007E533A"/>
    <w:rsid w:val="007E546C"/>
    <w:rsid w:val="007E547C"/>
    <w:rsid w:val="007E558A"/>
    <w:rsid w:val="007E5621"/>
    <w:rsid w:val="007E5747"/>
    <w:rsid w:val="007E58B4"/>
    <w:rsid w:val="007E5B20"/>
    <w:rsid w:val="007E5B98"/>
    <w:rsid w:val="007E5C41"/>
    <w:rsid w:val="007E5C62"/>
    <w:rsid w:val="007E628A"/>
    <w:rsid w:val="007E66EE"/>
    <w:rsid w:val="007E6AC9"/>
    <w:rsid w:val="007E7363"/>
    <w:rsid w:val="007E7616"/>
    <w:rsid w:val="007E7788"/>
    <w:rsid w:val="007E78E9"/>
    <w:rsid w:val="007E7CC7"/>
    <w:rsid w:val="007E7FC7"/>
    <w:rsid w:val="007F0126"/>
    <w:rsid w:val="007F0369"/>
    <w:rsid w:val="007F0569"/>
    <w:rsid w:val="007F06B2"/>
    <w:rsid w:val="007F0B4F"/>
    <w:rsid w:val="007F0BB1"/>
    <w:rsid w:val="007F0BC7"/>
    <w:rsid w:val="007F0C96"/>
    <w:rsid w:val="007F0CCD"/>
    <w:rsid w:val="007F0D0A"/>
    <w:rsid w:val="007F0E47"/>
    <w:rsid w:val="007F0EB0"/>
    <w:rsid w:val="007F11CA"/>
    <w:rsid w:val="007F13BC"/>
    <w:rsid w:val="007F1460"/>
    <w:rsid w:val="007F1546"/>
    <w:rsid w:val="007F15AD"/>
    <w:rsid w:val="007F16F9"/>
    <w:rsid w:val="007F188B"/>
    <w:rsid w:val="007F1972"/>
    <w:rsid w:val="007F1AD2"/>
    <w:rsid w:val="007F1E85"/>
    <w:rsid w:val="007F1EB0"/>
    <w:rsid w:val="007F1EEE"/>
    <w:rsid w:val="007F2017"/>
    <w:rsid w:val="007F20BB"/>
    <w:rsid w:val="007F2118"/>
    <w:rsid w:val="007F2147"/>
    <w:rsid w:val="007F23BC"/>
    <w:rsid w:val="007F2486"/>
    <w:rsid w:val="007F2650"/>
    <w:rsid w:val="007F2801"/>
    <w:rsid w:val="007F2A76"/>
    <w:rsid w:val="007F2ABE"/>
    <w:rsid w:val="007F3132"/>
    <w:rsid w:val="007F3233"/>
    <w:rsid w:val="007F3338"/>
    <w:rsid w:val="007F3523"/>
    <w:rsid w:val="007F3865"/>
    <w:rsid w:val="007F3901"/>
    <w:rsid w:val="007F3A88"/>
    <w:rsid w:val="007F3AB0"/>
    <w:rsid w:val="007F42A1"/>
    <w:rsid w:val="007F44B4"/>
    <w:rsid w:val="007F466A"/>
    <w:rsid w:val="007F47E8"/>
    <w:rsid w:val="007F4CC2"/>
    <w:rsid w:val="007F4D78"/>
    <w:rsid w:val="007F4E56"/>
    <w:rsid w:val="007F4E91"/>
    <w:rsid w:val="007F4EDC"/>
    <w:rsid w:val="007F5033"/>
    <w:rsid w:val="007F516A"/>
    <w:rsid w:val="007F540A"/>
    <w:rsid w:val="007F547D"/>
    <w:rsid w:val="007F5A66"/>
    <w:rsid w:val="007F5AC9"/>
    <w:rsid w:val="007F5B63"/>
    <w:rsid w:val="007F5C6D"/>
    <w:rsid w:val="007F5E48"/>
    <w:rsid w:val="007F6039"/>
    <w:rsid w:val="007F605D"/>
    <w:rsid w:val="007F610F"/>
    <w:rsid w:val="007F641F"/>
    <w:rsid w:val="007F64B7"/>
    <w:rsid w:val="007F6613"/>
    <w:rsid w:val="007F664C"/>
    <w:rsid w:val="007F671D"/>
    <w:rsid w:val="007F67BD"/>
    <w:rsid w:val="007F6A52"/>
    <w:rsid w:val="007F6CC0"/>
    <w:rsid w:val="007F6D01"/>
    <w:rsid w:val="007F6D64"/>
    <w:rsid w:val="007F6E1C"/>
    <w:rsid w:val="007F6FDD"/>
    <w:rsid w:val="007F7119"/>
    <w:rsid w:val="007F7452"/>
    <w:rsid w:val="007F7598"/>
    <w:rsid w:val="007F7707"/>
    <w:rsid w:val="007F78DE"/>
    <w:rsid w:val="007F7915"/>
    <w:rsid w:val="007F7EA4"/>
    <w:rsid w:val="0080009E"/>
    <w:rsid w:val="0080053B"/>
    <w:rsid w:val="00800758"/>
    <w:rsid w:val="0080096F"/>
    <w:rsid w:val="00800BCD"/>
    <w:rsid w:val="00800D5C"/>
    <w:rsid w:val="00800F95"/>
    <w:rsid w:val="00800FAE"/>
    <w:rsid w:val="00801003"/>
    <w:rsid w:val="0080101E"/>
    <w:rsid w:val="0080133E"/>
    <w:rsid w:val="00801580"/>
    <w:rsid w:val="0080184E"/>
    <w:rsid w:val="00801E37"/>
    <w:rsid w:val="00801EAC"/>
    <w:rsid w:val="00801F79"/>
    <w:rsid w:val="00802043"/>
    <w:rsid w:val="008020DB"/>
    <w:rsid w:val="00802182"/>
    <w:rsid w:val="00802667"/>
    <w:rsid w:val="008027F4"/>
    <w:rsid w:val="00802891"/>
    <w:rsid w:val="008028FF"/>
    <w:rsid w:val="00802D19"/>
    <w:rsid w:val="008030C6"/>
    <w:rsid w:val="008035B5"/>
    <w:rsid w:val="008035F7"/>
    <w:rsid w:val="00803618"/>
    <w:rsid w:val="00803624"/>
    <w:rsid w:val="00803749"/>
    <w:rsid w:val="0080390E"/>
    <w:rsid w:val="00803A43"/>
    <w:rsid w:val="00803B7F"/>
    <w:rsid w:val="00803BD0"/>
    <w:rsid w:val="00804335"/>
    <w:rsid w:val="008044F1"/>
    <w:rsid w:val="008045FC"/>
    <w:rsid w:val="008048F1"/>
    <w:rsid w:val="00804C35"/>
    <w:rsid w:val="00804C92"/>
    <w:rsid w:val="00804E14"/>
    <w:rsid w:val="00804E85"/>
    <w:rsid w:val="00804EAC"/>
    <w:rsid w:val="00804FC7"/>
    <w:rsid w:val="0080501B"/>
    <w:rsid w:val="00805155"/>
    <w:rsid w:val="0080536D"/>
    <w:rsid w:val="008053B8"/>
    <w:rsid w:val="008054F3"/>
    <w:rsid w:val="008056EE"/>
    <w:rsid w:val="0080574A"/>
    <w:rsid w:val="0080580E"/>
    <w:rsid w:val="00805A6C"/>
    <w:rsid w:val="00805AC9"/>
    <w:rsid w:val="00805BD4"/>
    <w:rsid w:val="00805CE9"/>
    <w:rsid w:val="00805D58"/>
    <w:rsid w:val="00805E1F"/>
    <w:rsid w:val="008060B3"/>
    <w:rsid w:val="00806112"/>
    <w:rsid w:val="00806294"/>
    <w:rsid w:val="00806436"/>
    <w:rsid w:val="00806450"/>
    <w:rsid w:val="00806806"/>
    <w:rsid w:val="0080683A"/>
    <w:rsid w:val="008069A5"/>
    <w:rsid w:val="008069F5"/>
    <w:rsid w:val="00806BF9"/>
    <w:rsid w:val="00806D5F"/>
    <w:rsid w:val="00806DDD"/>
    <w:rsid w:val="00806F8C"/>
    <w:rsid w:val="00807029"/>
    <w:rsid w:val="008074C6"/>
    <w:rsid w:val="00807C71"/>
    <w:rsid w:val="00807E03"/>
    <w:rsid w:val="00807F85"/>
    <w:rsid w:val="00810060"/>
    <w:rsid w:val="00810180"/>
    <w:rsid w:val="00810395"/>
    <w:rsid w:val="0081084C"/>
    <w:rsid w:val="008108DA"/>
    <w:rsid w:val="00810976"/>
    <w:rsid w:val="00810AEF"/>
    <w:rsid w:val="00810C4A"/>
    <w:rsid w:val="00810CFA"/>
    <w:rsid w:val="00810E6C"/>
    <w:rsid w:val="00810E9B"/>
    <w:rsid w:val="00810F4F"/>
    <w:rsid w:val="00810F74"/>
    <w:rsid w:val="00811047"/>
    <w:rsid w:val="00811300"/>
    <w:rsid w:val="0081158E"/>
    <w:rsid w:val="00811828"/>
    <w:rsid w:val="00811869"/>
    <w:rsid w:val="00811A00"/>
    <w:rsid w:val="00811BFF"/>
    <w:rsid w:val="008120F1"/>
    <w:rsid w:val="00812106"/>
    <w:rsid w:val="00812132"/>
    <w:rsid w:val="00812160"/>
    <w:rsid w:val="0081221E"/>
    <w:rsid w:val="0081230A"/>
    <w:rsid w:val="00812367"/>
    <w:rsid w:val="008124FB"/>
    <w:rsid w:val="008125F4"/>
    <w:rsid w:val="0081281C"/>
    <w:rsid w:val="00812974"/>
    <w:rsid w:val="00812BE2"/>
    <w:rsid w:val="00812CC5"/>
    <w:rsid w:val="00812CCE"/>
    <w:rsid w:val="00812DCF"/>
    <w:rsid w:val="00812DE3"/>
    <w:rsid w:val="008130E4"/>
    <w:rsid w:val="0081322F"/>
    <w:rsid w:val="00813678"/>
    <w:rsid w:val="00813AAA"/>
    <w:rsid w:val="00813EAE"/>
    <w:rsid w:val="00813F51"/>
    <w:rsid w:val="008144A0"/>
    <w:rsid w:val="008146F9"/>
    <w:rsid w:val="00814A8D"/>
    <w:rsid w:val="00814AA6"/>
    <w:rsid w:val="00814AAD"/>
    <w:rsid w:val="00814BA5"/>
    <w:rsid w:val="00814BE2"/>
    <w:rsid w:val="00814C1F"/>
    <w:rsid w:val="00814C56"/>
    <w:rsid w:val="00814DCD"/>
    <w:rsid w:val="00814E92"/>
    <w:rsid w:val="00814F06"/>
    <w:rsid w:val="00815081"/>
    <w:rsid w:val="008151AE"/>
    <w:rsid w:val="008152EA"/>
    <w:rsid w:val="00815400"/>
    <w:rsid w:val="00815409"/>
    <w:rsid w:val="00815539"/>
    <w:rsid w:val="008156D7"/>
    <w:rsid w:val="008157C8"/>
    <w:rsid w:val="008159CF"/>
    <w:rsid w:val="00815C34"/>
    <w:rsid w:val="00815D02"/>
    <w:rsid w:val="00816256"/>
    <w:rsid w:val="008162C0"/>
    <w:rsid w:val="0081640A"/>
    <w:rsid w:val="0081659A"/>
    <w:rsid w:val="00816792"/>
    <w:rsid w:val="00816A9C"/>
    <w:rsid w:val="00816C72"/>
    <w:rsid w:val="00816C95"/>
    <w:rsid w:val="00816E05"/>
    <w:rsid w:val="008170AC"/>
    <w:rsid w:val="00817300"/>
    <w:rsid w:val="008175CF"/>
    <w:rsid w:val="008178C5"/>
    <w:rsid w:val="0081798A"/>
    <w:rsid w:val="00817BA9"/>
    <w:rsid w:val="00817BF6"/>
    <w:rsid w:val="00817CB7"/>
    <w:rsid w:val="00817D2D"/>
    <w:rsid w:val="00817FD7"/>
    <w:rsid w:val="00820087"/>
    <w:rsid w:val="008202F4"/>
    <w:rsid w:val="0082066A"/>
    <w:rsid w:val="0082087F"/>
    <w:rsid w:val="00820929"/>
    <w:rsid w:val="0082096D"/>
    <w:rsid w:val="00820BA1"/>
    <w:rsid w:val="00820C2E"/>
    <w:rsid w:val="00820C63"/>
    <w:rsid w:val="00820DD6"/>
    <w:rsid w:val="00820E70"/>
    <w:rsid w:val="00820E7D"/>
    <w:rsid w:val="00820F09"/>
    <w:rsid w:val="00820FFC"/>
    <w:rsid w:val="00821080"/>
    <w:rsid w:val="00821249"/>
    <w:rsid w:val="008212BC"/>
    <w:rsid w:val="0082138A"/>
    <w:rsid w:val="008214D8"/>
    <w:rsid w:val="00821621"/>
    <w:rsid w:val="00821639"/>
    <w:rsid w:val="0082172F"/>
    <w:rsid w:val="00821BFF"/>
    <w:rsid w:val="00821CA4"/>
    <w:rsid w:val="00821FAF"/>
    <w:rsid w:val="008220B4"/>
    <w:rsid w:val="008221C6"/>
    <w:rsid w:val="0082226A"/>
    <w:rsid w:val="008223FD"/>
    <w:rsid w:val="008227B5"/>
    <w:rsid w:val="008228C2"/>
    <w:rsid w:val="00822C1A"/>
    <w:rsid w:val="00822C1F"/>
    <w:rsid w:val="00822C8B"/>
    <w:rsid w:val="00822F1C"/>
    <w:rsid w:val="008230EC"/>
    <w:rsid w:val="00823106"/>
    <w:rsid w:val="00823257"/>
    <w:rsid w:val="0082344F"/>
    <w:rsid w:val="00823466"/>
    <w:rsid w:val="00823696"/>
    <w:rsid w:val="00823957"/>
    <w:rsid w:val="00823A5E"/>
    <w:rsid w:val="00823B00"/>
    <w:rsid w:val="00823C44"/>
    <w:rsid w:val="00823E56"/>
    <w:rsid w:val="00823EF7"/>
    <w:rsid w:val="00823F15"/>
    <w:rsid w:val="00823FD4"/>
    <w:rsid w:val="00824004"/>
    <w:rsid w:val="008240BF"/>
    <w:rsid w:val="008243C9"/>
    <w:rsid w:val="0082449F"/>
    <w:rsid w:val="008244F7"/>
    <w:rsid w:val="008245FC"/>
    <w:rsid w:val="0082460A"/>
    <w:rsid w:val="00824648"/>
    <w:rsid w:val="00824768"/>
    <w:rsid w:val="00824863"/>
    <w:rsid w:val="00824D21"/>
    <w:rsid w:val="00824E62"/>
    <w:rsid w:val="00825210"/>
    <w:rsid w:val="008252C4"/>
    <w:rsid w:val="008255AB"/>
    <w:rsid w:val="00825776"/>
    <w:rsid w:val="00825AE5"/>
    <w:rsid w:val="00825E10"/>
    <w:rsid w:val="008261EC"/>
    <w:rsid w:val="0082647A"/>
    <w:rsid w:val="00826502"/>
    <w:rsid w:val="00826599"/>
    <w:rsid w:val="008266B5"/>
    <w:rsid w:val="00826966"/>
    <w:rsid w:val="00826B4C"/>
    <w:rsid w:val="00826BCA"/>
    <w:rsid w:val="00826FA0"/>
    <w:rsid w:val="00826FA6"/>
    <w:rsid w:val="0082711B"/>
    <w:rsid w:val="0082716B"/>
    <w:rsid w:val="0082718E"/>
    <w:rsid w:val="00827210"/>
    <w:rsid w:val="00827735"/>
    <w:rsid w:val="00827866"/>
    <w:rsid w:val="00827890"/>
    <w:rsid w:val="00827912"/>
    <w:rsid w:val="00827F86"/>
    <w:rsid w:val="0083044A"/>
    <w:rsid w:val="00830493"/>
    <w:rsid w:val="008304AA"/>
    <w:rsid w:val="00830547"/>
    <w:rsid w:val="008305A4"/>
    <w:rsid w:val="00830630"/>
    <w:rsid w:val="0083086A"/>
    <w:rsid w:val="00830C31"/>
    <w:rsid w:val="00830CA1"/>
    <w:rsid w:val="00830F88"/>
    <w:rsid w:val="008311F0"/>
    <w:rsid w:val="008314CF"/>
    <w:rsid w:val="0083157F"/>
    <w:rsid w:val="0083197A"/>
    <w:rsid w:val="008319DB"/>
    <w:rsid w:val="008319E2"/>
    <w:rsid w:val="00831B2A"/>
    <w:rsid w:val="00831D25"/>
    <w:rsid w:val="00831DF3"/>
    <w:rsid w:val="00832024"/>
    <w:rsid w:val="00832498"/>
    <w:rsid w:val="0083257E"/>
    <w:rsid w:val="008325D3"/>
    <w:rsid w:val="008328AC"/>
    <w:rsid w:val="00832996"/>
    <w:rsid w:val="00832A27"/>
    <w:rsid w:val="00832A93"/>
    <w:rsid w:val="00832D6C"/>
    <w:rsid w:val="00832E05"/>
    <w:rsid w:val="00833036"/>
    <w:rsid w:val="00833192"/>
    <w:rsid w:val="00833197"/>
    <w:rsid w:val="008334D7"/>
    <w:rsid w:val="00833522"/>
    <w:rsid w:val="00833595"/>
    <w:rsid w:val="00833649"/>
    <w:rsid w:val="00833740"/>
    <w:rsid w:val="008339BB"/>
    <w:rsid w:val="008339BC"/>
    <w:rsid w:val="00833B4B"/>
    <w:rsid w:val="00833B7E"/>
    <w:rsid w:val="00833C81"/>
    <w:rsid w:val="00833E70"/>
    <w:rsid w:val="0083436B"/>
    <w:rsid w:val="00834415"/>
    <w:rsid w:val="00834449"/>
    <w:rsid w:val="00834490"/>
    <w:rsid w:val="008345CF"/>
    <w:rsid w:val="00834A06"/>
    <w:rsid w:val="00834A80"/>
    <w:rsid w:val="00834BEF"/>
    <w:rsid w:val="00835157"/>
    <w:rsid w:val="008352CA"/>
    <w:rsid w:val="008353AF"/>
    <w:rsid w:val="008353D5"/>
    <w:rsid w:val="00835605"/>
    <w:rsid w:val="00835AD7"/>
    <w:rsid w:val="008360B7"/>
    <w:rsid w:val="008363C5"/>
    <w:rsid w:val="008363D4"/>
    <w:rsid w:val="00836597"/>
    <w:rsid w:val="00836666"/>
    <w:rsid w:val="00836699"/>
    <w:rsid w:val="00836AB8"/>
    <w:rsid w:val="00836E68"/>
    <w:rsid w:val="00837036"/>
    <w:rsid w:val="008375DC"/>
    <w:rsid w:val="008376E3"/>
    <w:rsid w:val="008377C7"/>
    <w:rsid w:val="00837938"/>
    <w:rsid w:val="0083794E"/>
    <w:rsid w:val="008379FF"/>
    <w:rsid w:val="00837B77"/>
    <w:rsid w:val="00837CAD"/>
    <w:rsid w:val="00837CEF"/>
    <w:rsid w:val="00837D10"/>
    <w:rsid w:val="00837E50"/>
    <w:rsid w:val="008402B5"/>
    <w:rsid w:val="0084047E"/>
    <w:rsid w:val="008404D1"/>
    <w:rsid w:val="008405B6"/>
    <w:rsid w:val="00840638"/>
    <w:rsid w:val="00840645"/>
    <w:rsid w:val="00840678"/>
    <w:rsid w:val="00840BB1"/>
    <w:rsid w:val="00840D9B"/>
    <w:rsid w:val="0084105A"/>
    <w:rsid w:val="0084107F"/>
    <w:rsid w:val="00841314"/>
    <w:rsid w:val="00841735"/>
    <w:rsid w:val="008417CE"/>
    <w:rsid w:val="0084180E"/>
    <w:rsid w:val="00841836"/>
    <w:rsid w:val="00841951"/>
    <w:rsid w:val="00841DAF"/>
    <w:rsid w:val="00841E13"/>
    <w:rsid w:val="00841E85"/>
    <w:rsid w:val="00841F1B"/>
    <w:rsid w:val="00842614"/>
    <w:rsid w:val="0084274F"/>
    <w:rsid w:val="0084288F"/>
    <w:rsid w:val="00842B5D"/>
    <w:rsid w:val="00842B60"/>
    <w:rsid w:val="00842CCC"/>
    <w:rsid w:val="00842CE2"/>
    <w:rsid w:val="008431AA"/>
    <w:rsid w:val="0084335B"/>
    <w:rsid w:val="00843486"/>
    <w:rsid w:val="008436AC"/>
    <w:rsid w:val="00843806"/>
    <w:rsid w:val="00843A4F"/>
    <w:rsid w:val="00843D18"/>
    <w:rsid w:val="00844307"/>
    <w:rsid w:val="00844362"/>
    <w:rsid w:val="008445D8"/>
    <w:rsid w:val="008447EF"/>
    <w:rsid w:val="00844D1C"/>
    <w:rsid w:val="00844DD6"/>
    <w:rsid w:val="00844EE3"/>
    <w:rsid w:val="008450DE"/>
    <w:rsid w:val="0084514A"/>
    <w:rsid w:val="00845539"/>
    <w:rsid w:val="0084572A"/>
    <w:rsid w:val="008458F2"/>
    <w:rsid w:val="00845958"/>
    <w:rsid w:val="00845A91"/>
    <w:rsid w:val="00845AB2"/>
    <w:rsid w:val="00845B4D"/>
    <w:rsid w:val="00845B6E"/>
    <w:rsid w:val="00845B9D"/>
    <w:rsid w:val="00845D9F"/>
    <w:rsid w:val="00845DDE"/>
    <w:rsid w:val="00845E56"/>
    <w:rsid w:val="00845E91"/>
    <w:rsid w:val="00845FB2"/>
    <w:rsid w:val="0084636F"/>
    <w:rsid w:val="008464B5"/>
    <w:rsid w:val="00846776"/>
    <w:rsid w:val="008468B2"/>
    <w:rsid w:val="008468F1"/>
    <w:rsid w:val="00846B18"/>
    <w:rsid w:val="00846ECE"/>
    <w:rsid w:val="00846EFE"/>
    <w:rsid w:val="008470E5"/>
    <w:rsid w:val="008472B1"/>
    <w:rsid w:val="00847320"/>
    <w:rsid w:val="00847385"/>
    <w:rsid w:val="008473FB"/>
    <w:rsid w:val="00847426"/>
    <w:rsid w:val="0084768E"/>
    <w:rsid w:val="008476F0"/>
    <w:rsid w:val="00847903"/>
    <w:rsid w:val="00847974"/>
    <w:rsid w:val="00847ABA"/>
    <w:rsid w:val="00847BFC"/>
    <w:rsid w:val="00847C81"/>
    <w:rsid w:val="00847EBD"/>
    <w:rsid w:val="00850352"/>
    <w:rsid w:val="008505B3"/>
    <w:rsid w:val="0085085F"/>
    <w:rsid w:val="00850971"/>
    <w:rsid w:val="00850BBC"/>
    <w:rsid w:val="00850C40"/>
    <w:rsid w:val="00850FBD"/>
    <w:rsid w:val="008511BB"/>
    <w:rsid w:val="008513F7"/>
    <w:rsid w:val="0085150A"/>
    <w:rsid w:val="0085166A"/>
    <w:rsid w:val="00851863"/>
    <w:rsid w:val="0085192E"/>
    <w:rsid w:val="00851B36"/>
    <w:rsid w:val="00851E68"/>
    <w:rsid w:val="00851E7C"/>
    <w:rsid w:val="00851F1A"/>
    <w:rsid w:val="008522D4"/>
    <w:rsid w:val="0085238C"/>
    <w:rsid w:val="0085257D"/>
    <w:rsid w:val="00852622"/>
    <w:rsid w:val="00852676"/>
    <w:rsid w:val="008527BA"/>
    <w:rsid w:val="00852BBB"/>
    <w:rsid w:val="00852BFE"/>
    <w:rsid w:val="00852DA5"/>
    <w:rsid w:val="0085309F"/>
    <w:rsid w:val="008531B8"/>
    <w:rsid w:val="00853249"/>
    <w:rsid w:val="00853303"/>
    <w:rsid w:val="008535CC"/>
    <w:rsid w:val="008536E4"/>
    <w:rsid w:val="0085381E"/>
    <w:rsid w:val="008538BC"/>
    <w:rsid w:val="008539C9"/>
    <w:rsid w:val="00853B11"/>
    <w:rsid w:val="00853B19"/>
    <w:rsid w:val="00853DB5"/>
    <w:rsid w:val="00853F7B"/>
    <w:rsid w:val="00853F99"/>
    <w:rsid w:val="00853FBE"/>
    <w:rsid w:val="00854153"/>
    <w:rsid w:val="008541E5"/>
    <w:rsid w:val="00854456"/>
    <w:rsid w:val="008547E1"/>
    <w:rsid w:val="0085497D"/>
    <w:rsid w:val="00854E36"/>
    <w:rsid w:val="008552FF"/>
    <w:rsid w:val="008553AC"/>
    <w:rsid w:val="00855864"/>
    <w:rsid w:val="00855AE3"/>
    <w:rsid w:val="0085619D"/>
    <w:rsid w:val="008561B5"/>
    <w:rsid w:val="00856241"/>
    <w:rsid w:val="0085661A"/>
    <w:rsid w:val="00856624"/>
    <w:rsid w:val="00856D1E"/>
    <w:rsid w:val="00856D6E"/>
    <w:rsid w:val="00857002"/>
    <w:rsid w:val="00857128"/>
    <w:rsid w:val="0085753B"/>
    <w:rsid w:val="00857A14"/>
    <w:rsid w:val="00857B30"/>
    <w:rsid w:val="00857D1B"/>
    <w:rsid w:val="00857D43"/>
    <w:rsid w:val="0086045A"/>
    <w:rsid w:val="00860848"/>
    <w:rsid w:val="0086099B"/>
    <w:rsid w:val="00860AAC"/>
    <w:rsid w:val="00860ABE"/>
    <w:rsid w:val="00860BAB"/>
    <w:rsid w:val="00860C56"/>
    <w:rsid w:val="00861258"/>
    <w:rsid w:val="0086133F"/>
    <w:rsid w:val="008614BD"/>
    <w:rsid w:val="00861500"/>
    <w:rsid w:val="00861A39"/>
    <w:rsid w:val="00861B94"/>
    <w:rsid w:val="00861DA5"/>
    <w:rsid w:val="0086225F"/>
    <w:rsid w:val="00862404"/>
    <w:rsid w:val="008626E4"/>
    <w:rsid w:val="00862A4A"/>
    <w:rsid w:val="00862FB7"/>
    <w:rsid w:val="00862FBD"/>
    <w:rsid w:val="00863027"/>
    <w:rsid w:val="008630DF"/>
    <w:rsid w:val="00863254"/>
    <w:rsid w:val="008632F4"/>
    <w:rsid w:val="00863340"/>
    <w:rsid w:val="00863420"/>
    <w:rsid w:val="00863563"/>
    <w:rsid w:val="0086362E"/>
    <w:rsid w:val="00863964"/>
    <w:rsid w:val="00863ABE"/>
    <w:rsid w:val="00863DD7"/>
    <w:rsid w:val="00863FFF"/>
    <w:rsid w:val="0086419A"/>
    <w:rsid w:val="00864229"/>
    <w:rsid w:val="00864245"/>
    <w:rsid w:val="0086427F"/>
    <w:rsid w:val="00864480"/>
    <w:rsid w:val="00864534"/>
    <w:rsid w:val="0086478B"/>
    <w:rsid w:val="00864898"/>
    <w:rsid w:val="00864922"/>
    <w:rsid w:val="00864A3B"/>
    <w:rsid w:val="00864A57"/>
    <w:rsid w:val="00864B1E"/>
    <w:rsid w:val="0086502A"/>
    <w:rsid w:val="00865357"/>
    <w:rsid w:val="00865438"/>
    <w:rsid w:val="008656B6"/>
    <w:rsid w:val="00865765"/>
    <w:rsid w:val="00865CFD"/>
    <w:rsid w:val="00865DE3"/>
    <w:rsid w:val="0086639C"/>
    <w:rsid w:val="008664D5"/>
    <w:rsid w:val="008665A7"/>
    <w:rsid w:val="00866644"/>
    <w:rsid w:val="008666FA"/>
    <w:rsid w:val="0086681F"/>
    <w:rsid w:val="00866AE2"/>
    <w:rsid w:val="00866F94"/>
    <w:rsid w:val="008670EB"/>
    <w:rsid w:val="0086711F"/>
    <w:rsid w:val="008672ED"/>
    <w:rsid w:val="00867A49"/>
    <w:rsid w:val="00867B51"/>
    <w:rsid w:val="00867C40"/>
    <w:rsid w:val="00867CB2"/>
    <w:rsid w:val="00867D72"/>
    <w:rsid w:val="00867E9F"/>
    <w:rsid w:val="00870144"/>
    <w:rsid w:val="0087023B"/>
    <w:rsid w:val="00870328"/>
    <w:rsid w:val="00870359"/>
    <w:rsid w:val="008704C4"/>
    <w:rsid w:val="008708BD"/>
    <w:rsid w:val="00870996"/>
    <w:rsid w:val="00871207"/>
    <w:rsid w:val="008713EC"/>
    <w:rsid w:val="008713F0"/>
    <w:rsid w:val="0087149A"/>
    <w:rsid w:val="008715AC"/>
    <w:rsid w:val="00871615"/>
    <w:rsid w:val="0087174E"/>
    <w:rsid w:val="0087177A"/>
    <w:rsid w:val="00871840"/>
    <w:rsid w:val="00871872"/>
    <w:rsid w:val="00871A2A"/>
    <w:rsid w:val="00871A80"/>
    <w:rsid w:val="00871BB3"/>
    <w:rsid w:val="00871F66"/>
    <w:rsid w:val="00872278"/>
    <w:rsid w:val="008727DD"/>
    <w:rsid w:val="00872AA6"/>
    <w:rsid w:val="00872B82"/>
    <w:rsid w:val="00872BEA"/>
    <w:rsid w:val="00872C15"/>
    <w:rsid w:val="00872C26"/>
    <w:rsid w:val="00872DE3"/>
    <w:rsid w:val="00872EB9"/>
    <w:rsid w:val="00872F3B"/>
    <w:rsid w:val="008730C0"/>
    <w:rsid w:val="008731A5"/>
    <w:rsid w:val="00873312"/>
    <w:rsid w:val="008734B2"/>
    <w:rsid w:val="008735D9"/>
    <w:rsid w:val="00873A14"/>
    <w:rsid w:val="00873C06"/>
    <w:rsid w:val="00874107"/>
    <w:rsid w:val="00874164"/>
    <w:rsid w:val="0087454A"/>
    <w:rsid w:val="00874725"/>
    <w:rsid w:val="00874AD7"/>
    <w:rsid w:val="00874BAB"/>
    <w:rsid w:val="00874C9B"/>
    <w:rsid w:val="00874CA3"/>
    <w:rsid w:val="00874D3A"/>
    <w:rsid w:val="00874D9D"/>
    <w:rsid w:val="00874E0D"/>
    <w:rsid w:val="00874E11"/>
    <w:rsid w:val="00874F9F"/>
    <w:rsid w:val="008753DA"/>
    <w:rsid w:val="00875595"/>
    <w:rsid w:val="0087586C"/>
    <w:rsid w:val="008758A9"/>
    <w:rsid w:val="00875AF9"/>
    <w:rsid w:val="00876061"/>
    <w:rsid w:val="008760AD"/>
    <w:rsid w:val="008760B3"/>
    <w:rsid w:val="008760DF"/>
    <w:rsid w:val="0087613D"/>
    <w:rsid w:val="00876324"/>
    <w:rsid w:val="00876507"/>
    <w:rsid w:val="0087654D"/>
    <w:rsid w:val="0087659B"/>
    <w:rsid w:val="0087673D"/>
    <w:rsid w:val="00876899"/>
    <w:rsid w:val="00876A68"/>
    <w:rsid w:val="00876AF1"/>
    <w:rsid w:val="00876C6A"/>
    <w:rsid w:val="00876C71"/>
    <w:rsid w:val="00876F5B"/>
    <w:rsid w:val="00876F9C"/>
    <w:rsid w:val="008771C4"/>
    <w:rsid w:val="008772C2"/>
    <w:rsid w:val="0087782C"/>
    <w:rsid w:val="00877976"/>
    <w:rsid w:val="008779A4"/>
    <w:rsid w:val="00877B89"/>
    <w:rsid w:val="00877BE7"/>
    <w:rsid w:val="00877C84"/>
    <w:rsid w:val="00877FCF"/>
    <w:rsid w:val="0088009C"/>
    <w:rsid w:val="008800D2"/>
    <w:rsid w:val="0088027B"/>
    <w:rsid w:val="008802B0"/>
    <w:rsid w:val="00880371"/>
    <w:rsid w:val="00880A56"/>
    <w:rsid w:val="00880AD0"/>
    <w:rsid w:val="00880E93"/>
    <w:rsid w:val="00880FE0"/>
    <w:rsid w:val="008810BF"/>
    <w:rsid w:val="00881255"/>
    <w:rsid w:val="00881285"/>
    <w:rsid w:val="00881604"/>
    <w:rsid w:val="008816AB"/>
    <w:rsid w:val="0088173B"/>
    <w:rsid w:val="008817DB"/>
    <w:rsid w:val="008818EF"/>
    <w:rsid w:val="00881BE8"/>
    <w:rsid w:val="00881CBE"/>
    <w:rsid w:val="00881DE6"/>
    <w:rsid w:val="0088210C"/>
    <w:rsid w:val="008822CA"/>
    <w:rsid w:val="008825F9"/>
    <w:rsid w:val="008825FD"/>
    <w:rsid w:val="0088262E"/>
    <w:rsid w:val="008826E1"/>
    <w:rsid w:val="008826EE"/>
    <w:rsid w:val="0088284C"/>
    <w:rsid w:val="008828E4"/>
    <w:rsid w:val="00882925"/>
    <w:rsid w:val="008829E1"/>
    <w:rsid w:val="00882C27"/>
    <w:rsid w:val="00882C48"/>
    <w:rsid w:val="008832E8"/>
    <w:rsid w:val="00883342"/>
    <w:rsid w:val="00883496"/>
    <w:rsid w:val="0088389E"/>
    <w:rsid w:val="008839BA"/>
    <w:rsid w:val="00883A15"/>
    <w:rsid w:val="00883D67"/>
    <w:rsid w:val="00883EB2"/>
    <w:rsid w:val="008840C9"/>
    <w:rsid w:val="0088467F"/>
    <w:rsid w:val="00884891"/>
    <w:rsid w:val="00884C2E"/>
    <w:rsid w:val="00884D7E"/>
    <w:rsid w:val="00884F2E"/>
    <w:rsid w:val="008851C1"/>
    <w:rsid w:val="008851DE"/>
    <w:rsid w:val="008852AD"/>
    <w:rsid w:val="008853FF"/>
    <w:rsid w:val="00885451"/>
    <w:rsid w:val="0088557F"/>
    <w:rsid w:val="0088559F"/>
    <w:rsid w:val="008855F2"/>
    <w:rsid w:val="0088566A"/>
    <w:rsid w:val="00885940"/>
    <w:rsid w:val="00885944"/>
    <w:rsid w:val="00885CD4"/>
    <w:rsid w:val="00885D9A"/>
    <w:rsid w:val="0088634F"/>
    <w:rsid w:val="008864AF"/>
    <w:rsid w:val="008864CE"/>
    <w:rsid w:val="008864E8"/>
    <w:rsid w:val="00886541"/>
    <w:rsid w:val="0088661F"/>
    <w:rsid w:val="008867B8"/>
    <w:rsid w:val="008867BD"/>
    <w:rsid w:val="0088697B"/>
    <w:rsid w:val="00886A44"/>
    <w:rsid w:val="00886BE0"/>
    <w:rsid w:val="00886C19"/>
    <w:rsid w:val="00886C98"/>
    <w:rsid w:val="00886D82"/>
    <w:rsid w:val="00886D92"/>
    <w:rsid w:val="008873C3"/>
    <w:rsid w:val="008875F3"/>
    <w:rsid w:val="00887648"/>
    <w:rsid w:val="00887B90"/>
    <w:rsid w:val="00887BDE"/>
    <w:rsid w:val="00887C9A"/>
    <w:rsid w:val="00887FEC"/>
    <w:rsid w:val="00890063"/>
    <w:rsid w:val="00890235"/>
    <w:rsid w:val="00890A2F"/>
    <w:rsid w:val="00890C53"/>
    <w:rsid w:val="0089101C"/>
    <w:rsid w:val="008913DD"/>
    <w:rsid w:val="0089145D"/>
    <w:rsid w:val="00891468"/>
    <w:rsid w:val="00891C85"/>
    <w:rsid w:val="00891F65"/>
    <w:rsid w:val="008920F5"/>
    <w:rsid w:val="00892127"/>
    <w:rsid w:val="00892259"/>
    <w:rsid w:val="00892424"/>
    <w:rsid w:val="00892478"/>
    <w:rsid w:val="008925C8"/>
    <w:rsid w:val="00892B28"/>
    <w:rsid w:val="00892B81"/>
    <w:rsid w:val="00892E5B"/>
    <w:rsid w:val="00892E6D"/>
    <w:rsid w:val="00892F13"/>
    <w:rsid w:val="008930C6"/>
    <w:rsid w:val="0089322C"/>
    <w:rsid w:val="00893361"/>
    <w:rsid w:val="008935BE"/>
    <w:rsid w:val="00893605"/>
    <w:rsid w:val="00893827"/>
    <w:rsid w:val="0089392A"/>
    <w:rsid w:val="008939EB"/>
    <w:rsid w:val="00893B0A"/>
    <w:rsid w:val="00893C5E"/>
    <w:rsid w:val="00893C75"/>
    <w:rsid w:val="00893E23"/>
    <w:rsid w:val="00893F0D"/>
    <w:rsid w:val="00893F1E"/>
    <w:rsid w:val="0089420C"/>
    <w:rsid w:val="0089425E"/>
    <w:rsid w:val="008942E0"/>
    <w:rsid w:val="0089468E"/>
    <w:rsid w:val="00894761"/>
    <w:rsid w:val="0089478C"/>
    <w:rsid w:val="00894BB4"/>
    <w:rsid w:val="00894DA1"/>
    <w:rsid w:val="0089512F"/>
    <w:rsid w:val="008952FE"/>
    <w:rsid w:val="00895355"/>
    <w:rsid w:val="00895990"/>
    <w:rsid w:val="00895F94"/>
    <w:rsid w:val="00895FD2"/>
    <w:rsid w:val="00896268"/>
    <w:rsid w:val="00896628"/>
    <w:rsid w:val="00896BA1"/>
    <w:rsid w:val="00896BF7"/>
    <w:rsid w:val="00896C84"/>
    <w:rsid w:val="00896F68"/>
    <w:rsid w:val="00896F7C"/>
    <w:rsid w:val="008971A3"/>
    <w:rsid w:val="0089730B"/>
    <w:rsid w:val="00897483"/>
    <w:rsid w:val="00897544"/>
    <w:rsid w:val="0089759D"/>
    <w:rsid w:val="008976AC"/>
    <w:rsid w:val="00897780"/>
    <w:rsid w:val="00897894"/>
    <w:rsid w:val="00897E7A"/>
    <w:rsid w:val="00897E7C"/>
    <w:rsid w:val="008A01FB"/>
    <w:rsid w:val="008A02AA"/>
    <w:rsid w:val="008A039B"/>
    <w:rsid w:val="008A053D"/>
    <w:rsid w:val="008A06EB"/>
    <w:rsid w:val="008A0893"/>
    <w:rsid w:val="008A08BF"/>
    <w:rsid w:val="008A0993"/>
    <w:rsid w:val="008A0CC0"/>
    <w:rsid w:val="008A0CD8"/>
    <w:rsid w:val="008A0CE7"/>
    <w:rsid w:val="008A127F"/>
    <w:rsid w:val="008A141F"/>
    <w:rsid w:val="008A1452"/>
    <w:rsid w:val="008A150C"/>
    <w:rsid w:val="008A15B6"/>
    <w:rsid w:val="008A1776"/>
    <w:rsid w:val="008A179F"/>
    <w:rsid w:val="008A1D41"/>
    <w:rsid w:val="008A1D52"/>
    <w:rsid w:val="008A1D67"/>
    <w:rsid w:val="008A1DE1"/>
    <w:rsid w:val="008A1E8B"/>
    <w:rsid w:val="008A22CB"/>
    <w:rsid w:val="008A255A"/>
    <w:rsid w:val="008A2CB8"/>
    <w:rsid w:val="008A2D82"/>
    <w:rsid w:val="008A33FA"/>
    <w:rsid w:val="008A3498"/>
    <w:rsid w:val="008A35E9"/>
    <w:rsid w:val="008A36F1"/>
    <w:rsid w:val="008A36FD"/>
    <w:rsid w:val="008A380E"/>
    <w:rsid w:val="008A3936"/>
    <w:rsid w:val="008A3E7E"/>
    <w:rsid w:val="008A3ECF"/>
    <w:rsid w:val="008A452D"/>
    <w:rsid w:val="008A46EA"/>
    <w:rsid w:val="008A478E"/>
    <w:rsid w:val="008A4990"/>
    <w:rsid w:val="008A4D4C"/>
    <w:rsid w:val="008A4D8A"/>
    <w:rsid w:val="008A5303"/>
    <w:rsid w:val="008A5F56"/>
    <w:rsid w:val="008A5FCA"/>
    <w:rsid w:val="008A6140"/>
    <w:rsid w:val="008A6188"/>
    <w:rsid w:val="008A626B"/>
    <w:rsid w:val="008A636E"/>
    <w:rsid w:val="008A65F9"/>
    <w:rsid w:val="008A6677"/>
    <w:rsid w:val="008A67BB"/>
    <w:rsid w:val="008A6D4A"/>
    <w:rsid w:val="008A6D87"/>
    <w:rsid w:val="008A6FD5"/>
    <w:rsid w:val="008A75D9"/>
    <w:rsid w:val="008A7671"/>
    <w:rsid w:val="008A7BCC"/>
    <w:rsid w:val="008A7C44"/>
    <w:rsid w:val="008AFC3A"/>
    <w:rsid w:val="008B026A"/>
    <w:rsid w:val="008B0445"/>
    <w:rsid w:val="008B06AB"/>
    <w:rsid w:val="008B0761"/>
    <w:rsid w:val="008B07A2"/>
    <w:rsid w:val="008B0836"/>
    <w:rsid w:val="008B0859"/>
    <w:rsid w:val="008B0864"/>
    <w:rsid w:val="008B0B2E"/>
    <w:rsid w:val="008B0B81"/>
    <w:rsid w:val="008B11A6"/>
    <w:rsid w:val="008B1218"/>
    <w:rsid w:val="008B1229"/>
    <w:rsid w:val="008B1627"/>
    <w:rsid w:val="008B175A"/>
    <w:rsid w:val="008B18DE"/>
    <w:rsid w:val="008B19FF"/>
    <w:rsid w:val="008B1CD2"/>
    <w:rsid w:val="008B1D86"/>
    <w:rsid w:val="008B211C"/>
    <w:rsid w:val="008B2180"/>
    <w:rsid w:val="008B2386"/>
    <w:rsid w:val="008B24C9"/>
    <w:rsid w:val="008B25FA"/>
    <w:rsid w:val="008B2609"/>
    <w:rsid w:val="008B2677"/>
    <w:rsid w:val="008B272C"/>
    <w:rsid w:val="008B293F"/>
    <w:rsid w:val="008B2AC4"/>
    <w:rsid w:val="008B2BC8"/>
    <w:rsid w:val="008B2CFF"/>
    <w:rsid w:val="008B311B"/>
    <w:rsid w:val="008B32F1"/>
    <w:rsid w:val="008B337F"/>
    <w:rsid w:val="008B39C8"/>
    <w:rsid w:val="008B3AFD"/>
    <w:rsid w:val="008B3FA1"/>
    <w:rsid w:val="008B3FA4"/>
    <w:rsid w:val="008B4101"/>
    <w:rsid w:val="008B44A8"/>
    <w:rsid w:val="008B44ED"/>
    <w:rsid w:val="008B45FB"/>
    <w:rsid w:val="008B481A"/>
    <w:rsid w:val="008B4A08"/>
    <w:rsid w:val="008B4D17"/>
    <w:rsid w:val="008B4EAE"/>
    <w:rsid w:val="008B5003"/>
    <w:rsid w:val="008B50BF"/>
    <w:rsid w:val="008B51E3"/>
    <w:rsid w:val="008B5291"/>
    <w:rsid w:val="008B52D7"/>
    <w:rsid w:val="008B52FF"/>
    <w:rsid w:val="008B531F"/>
    <w:rsid w:val="008B53A1"/>
    <w:rsid w:val="008B53A9"/>
    <w:rsid w:val="008B559B"/>
    <w:rsid w:val="008B5831"/>
    <w:rsid w:val="008B5836"/>
    <w:rsid w:val="008B5899"/>
    <w:rsid w:val="008B58AE"/>
    <w:rsid w:val="008B5915"/>
    <w:rsid w:val="008B597B"/>
    <w:rsid w:val="008B5A8E"/>
    <w:rsid w:val="008B5B80"/>
    <w:rsid w:val="008B5EF1"/>
    <w:rsid w:val="008B5FA9"/>
    <w:rsid w:val="008B6109"/>
    <w:rsid w:val="008B62C0"/>
    <w:rsid w:val="008B636A"/>
    <w:rsid w:val="008B67EB"/>
    <w:rsid w:val="008B6959"/>
    <w:rsid w:val="008B6A35"/>
    <w:rsid w:val="008B6FB2"/>
    <w:rsid w:val="008B7887"/>
    <w:rsid w:val="008B7893"/>
    <w:rsid w:val="008B79E3"/>
    <w:rsid w:val="008B7B0A"/>
    <w:rsid w:val="008B7B82"/>
    <w:rsid w:val="008B7BAB"/>
    <w:rsid w:val="008B7BEB"/>
    <w:rsid w:val="008B7DEF"/>
    <w:rsid w:val="008C00C7"/>
    <w:rsid w:val="008C025A"/>
    <w:rsid w:val="008C02D2"/>
    <w:rsid w:val="008C06BF"/>
    <w:rsid w:val="008C07E0"/>
    <w:rsid w:val="008C082B"/>
    <w:rsid w:val="008C08A6"/>
    <w:rsid w:val="008C0957"/>
    <w:rsid w:val="008C0C59"/>
    <w:rsid w:val="008C0F1C"/>
    <w:rsid w:val="008C12BC"/>
    <w:rsid w:val="008C1546"/>
    <w:rsid w:val="008C156F"/>
    <w:rsid w:val="008C172B"/>
    <w:rsid w:val="008C177A"/>
    <w:rsid w:val="008C18D7"/>
    <w:rsid w:val="008C19A2"/>
    <w:rsid w:val="008C1BF6"/>
    <w:rsid w:val="008C1E29"/>
    <w:rsid w:val="008C1F70"/>
    <w:rsid w:val="008C24AD"/>
    <w:rsid w:val="008C2553"/>
    <w:rsid w:val="008C2968"/>
    <w:rsid w:val="008C2C96"/>
    <w:rsid w:val="008C2E53"/>
    <w:rsid w:val="008C2EBB"/>
    <w:rsid w:val="008C301B"/>
    <w:rsid w:val="008C3052"/>
    <w:rsid w:val="008C3136"/>
    <w:rsid w:val="008C3199"/>
    <w:rsid w:val="008C31E6"/>
    <w:rsid w:val="008C3295"/>
    <w:rsid w:val="008C330E"/>
    <w:rsid w:val="008C3380"/>
    <w:rsid w:val="008C3431"/>
    <w:rsid w:val="008C3658"/>
    <w:rsid w:val="008C36ED"/>
    <w:rsid w:val="008C38D4"/>
    <w:rsid w:val="008C3A2A"/>
    <w:rsid w:val="008C3AEB"/>
    <w:rsid w:val="008C3AF5"/>
    <w:rsid w:val="008C3B2D"/>
    <w:rsid w:val="008C3CB7"/>
    <w:rsid w:val="008C3E2D"/>
    <w:rsid w:val="008C40D4"/>
    <w:rsid w:val="008C45C7"/>
    <w:rsid w:val="008C4603"/>
    <w:rsid w:val="008C468C"/>
    <w:rsid w:val="008C4807"/>
    <w:rsid w:val="008C4B6D"/>
    <w:rsid w:val="008C4F5C"/>
    <w:rsid w:val="008C50CC"/>
    <w:rsid w:val="008C51A6"/>
    <w:rsid w:val="008C532B"/>
    <w:rsid w:val="008C53DA"/>
    <w:rsid w:val="008C54DE"/>
    <w:rsid w:val="008C5742"/>
    <w:rsid w:val="008C5874"/>
    <w:rsid w:val="008C596D"/>
    <w:rsid w:val="008C5AD1"/>
    <w:rsid w:val="008C5C63"/>
    <w:rsid w:val="008C5D2E"/>
    <w:rsid w:val="008C5E40"/>
    <w:rsid w:val="008C6296"/>
    <w:rsid w:val="008C63BF"/>
    <w:rsid w:val="008C63E5"/>
    <w:rsid w:val="008C6B04"/>
    <w:rsid w:val="008C6BF8"/>
    <w:rsid w:val="008C6D5D"/>
    <w:rsid w:val="008C6E2E"/>
    <w:rsid w:val="008C6EAE"/>
    <w:rsid w:val="008C7413"/>
    <w:rsid w:val="008C7422"/>
    <w:rsid w:val="008C74AF"/>
    <w:rsid w:val="008C75FA"/>
    <w:rsid w:val="008C7C9C"/>
    <w:rsid w:val="008C7DA9"/>
    <w:rsid w:val="008C7E68"/>
    <w:rsid w:val="008D041C"/>
    <w:rsid w:val="008D041D"/>
    <w:rsid w:val="008D04A6"/>
    <w:rsid w:val="008D0755"/>
    <w:rsid w:val="008D08B3"/>
    <w:rsid w:val="008D0B10"/>
    <w:rsid w:val="008D0C23"/>
    <w:rsid w:val="008D0D5B"/>
    <w:rsid w:val="008D0F06"/>
    <w:rsid w:val="008D0F19"/>
    <w:rsid w:val="008D100D"/>
    <w:rsid w:val="008D10DD"/>
    <w:rsid w:val="008D111D"/>
    <w:rsid w:val="008D13FE"/>
    <w:rsid w:val="008D14D6"/>
    <w:rsid w:val="008D1601"/>
    <w:rsid w:val="008D16B7"/>
    <w:rsid w:val="008D1792"/>
    <w:rsid w:val="008D179B"/>
    <w:rsid w:val="008D1898"/>
    <w:rsid w:val="008D1978"/>
    <w:rsid w:val="008D1EF9"/>
    <w:rsid w:val="008D1F68"/>
    <w:rsid w:val="008D204A"/>
    <w:rsid w:val="008D2388"/>
    <w:rsid w:val="008D240A"/>
    <w:rsid w:val="008D280D"/>
    <w:rsid w:val="008D2827"/>
    <w:rsid w:val="008D2E46"/>
    <w:rsid w:val="008D2F56"/>
    <w:rsid w:val="008D307B"/>
    <w:rsid w:val="008D3639"/>
    <w:rsid w:val="008D3711"/>
    <w:rsid w:val="008D3834"/>
    <w:rsid w:val="008D3837"/>
    <w:rsid w:val="008D38CB"/>
    <w:rsid w:val="008D3AE5"/>
    <w:rsid w:val="008D3DAB"/>
    <w:rsid w:val="008D3EEA"/>
    <w:rsid w:val="008D3F06"/>
    <w:rsid w:val="008D4020"/>
    <w:rsid w:val="008D434A"/>
    <w:rsid w:val="008D4482"/>
    <w:rsid w:val="008D44A8"/>
    <w:rsid w:val="008D46E9"/>
    <w:rsid w:val="008D47F5"/>
    <w:rsid w:val="008D4965"/>
    <w:rsid w:val="008D4C45"/>
    <w:rsid w:val="008D4D44"/>
    <w:rsid w:val="008D4D7A"/>
    <w:rsid w:val="008D5177"/>
    <w:rsid w:val="008D5652"/>
    <w:rsid w:val="008D57E6"/>
    <w:rsid w:val="008D5A45"/>
    <w:rsid w:val="008D5AEE"/>
    <w:rsid w:val="008D5BD3"/>
    <w:rsid w:val="008D5E0C"/>
    <w:rsid w:val="008D5E26"/>
    <w:rsid w:val="008D6155"/>
    <w:rsid w:val="008D627D"/>
    <w:rsid w:val="008D6A81"/>
    <w:rsid w:val="008D71CF"/>
    <w:rsid w:val="008D743A"/>
    <w:rsid w:val="008D752F"/>
    <w:rsid w:val="008D7535"/>
    <w:rsid w:val="008D779B"/>
    <w:rsid w:val="008D77FE"/>
    <w:rsid w:val="008D7952"/>
    <w:rsid w:val="008D7A74"/>
    <w:rsid w:val="008D7C26"/>
    <w:rsid w:val="008D7D44"/>
    <w:rsid w:val="008E012A"/>
    <w:rsid w:val="008E028E"/>
    <w:rsid w:val="008E03B7"/>
    <w:rsid w:val="008E04EE"/>
    <w:rsid w:val="008E0650"/>
    <w:rsid w:val="008E074D"/>
    <w:rsid w:val="008E08F9"/>
    <w:rsid w:val="008E0B84"/>
    <w:rsid w:val="008E0BDA"/>
    <w:rsid w:val="008E0CC3"/>
    <w:rsid w:val="008E0F38"/>
    <w:rsid w:val="008E1046"/>
    <w:rsid w:val="008E13CA"/>
    <w:rsid w:val="008E1437"/>
    <w:rsid w:val="008E14C5"/>
    <w:rsid w:val="008E1834"/>
    <w:rsid w:val="008E18D1"/>
    <w:rsid w:val="008E1ED6"/>
    <w:rsid w:val="008E246B"/>
    <w:rsid w:val="008E2AFD"/>
    <w:rsid w:val="008E2FD9"/>
    <w:rsid w:val="008E30C6"/>
    <w:rsid w:val="008E313F"/>
    <w:rsid w:val="008E349B"/>
    <w:rsid w:val="008E384F"/>
    <w:rsid w:val="008E3E02"/>
    <w:rsid w:val="008E3E1E"/>
    <w:rsid w:val="008E4042"/>
    <w:rsid w:val="008E4125"/>
    <w:rsid w:val="008E42FD"/>
    <w:rsid w:val="008E432D"/>
    <w:rsid w:val="008E4351"/>
    <w:rsid w:val="008E437E"/>
    <w:rsid w:val="008E44BF"/>
    <w:rsid w:val="008E469C"/>
    <w:rsid w:val="008E47B3"/>
    <w:rsid w:val="008E48A4"/>
    <w:rsid w:val="008E4A55"/>
    <w:rsid w:val="008E4B22"/>
    <w:rsid w:val="008E4C1D"/>
    <w:rsid w:val="008E4C3E"/>
    <w:rsid w:val="008E4E0E"/>
    <w:rsid w:val="008E4F5E"/>
    <w:rsid w:val="008E5550"/>
    <w:rsid w:val="008E5669"/>
    <w:rsid w:val="008E5949"/>
    <w:rsid w:val="008E5C22"/>
    <w:rsid w:val="008E5C89"/>
    <w:rsid w:val="008E5D77"/>
    <w:rsid w:val="008E6104"/>
    <w:rsid w:val="008E6200"/>
    <w:rsid w:val="008E635E"/>
    <w:rsid w:val="008E653D"/>
    <w:rsid w:val="008E6577"/>
    <w:rsid w:val="008E674A"/>
    <w:rsid w:val="008E683F"/>
    <w:rsid w:val="008E688C"/>
    <w:rsid w:val="008E6AE6"/>
    <w:rsid w:val="008E6BC7"/>
    <w:rsid w:val="008E6CE8"/>
    <w:rsid w:val="008E6F86"/>
    <w:rsid w:val="008E7042"/>
    <w:rsid w:val="008E76DA"/>
    <w:rsid w:val="008E7EAA"/>
    <w:rsid w:val="008F0021"/>
    <w:rsid w:val="008F0116"/>
    <w:rsid w:val="008F01CD"/>
    <w:rsid w:val="008F02C0"/>
    <w:rsid w:val="008F0476"/>
    <w:rsid w:val="008F091A"/>
    <w:rsid w:val="008F0973"/>
    <w:rsid w:val="008F09AB"/>
    <w:rsid w:val="008F09CE"/>
    <w:rsid w:val="008F0A7F"/>
    <w:rsid w:val="008F0B84"/>
    <w:rsid w:val="008F0DC3"/>
    <w:rsid w:val="008F0E42"/>
    <w:rsid w:val="008F0EA9"/>
    <w:rsid w:val="008F1027"/>
    <w:rsid w:val="008F1280"/>
    <w:rsid w:val="008F1283"/>
    <w:rsid w:val="008F143D"/>
    <w:rsid w:val="008F1890"/>
    <w:rsid w:val="008F190E"/>
    <w:rsid w:val="008F19AB"/>
    <w:rsid w:val="008F1D34"/>
    <w:rsid w:val="008F1F86"/>
    <w:rsid w:val="008F1FE2"/>
    <w:rsid w:val="008F200D"/>
    <w:rsid w:val="008F2115"/>
    <w:rsid w:val="008F2170"/>
    <w:rsid w:val="008F218B"/>
    <w:rsid w:val="008F2218"/>
    <w:rsid w:val="008F2233"/>
    <w:rsid w:val="008F2372"/>
    <w:rsid w:val="008F2379"/>
    <w:rsid w:val="008F275B"/>
    <w:rsid w:val="008F28E1"/>
    <w:rsid w:val="008F295A"/>
    <w:rsid w:val="008F2A09"/>
    <w:rsid w:val="008F2CA1"/>
    <w:rsid w:val="008F2D52"/>
    <w:rsid w:val="008F346C"/>
    <w:rsid w:val="008F3915"/>
    <w:rsid w:val="008F3B2C"/>
    <w:rsid w:val="008F3BFC"/>
    <w:rsid w:val="008F3C5C"/>
    <w:rsid w:val="008F3C66"/>
    <w:rsid w:val="008F3C80"/>
    <w:rsid w:val="008F3E5B"/>
    <w:rsid w:val="008F3F8C"/>
    <w:rsid w:val="008F3FE9"/>
    <w:rsid w:val="008F4134"/>
    <w:rsid w:val="008F431A"/>
    <w:rsid w:val="008F44B5"/>
    <w:rsid w:val="008F4934"/>
    <w:rsid w:val="008F49E5"/>
    <w:rsid w:val="008F4E21"/>
    <w:rsid w:val="008F5A9E"/>
    <w:rsid w:val="008F5B17"/>
    <w:rsid w:val="008F5B72"/>
    <w:rsid w:val="008F5E40"/>
    <w:rsid w:val="008F5E9D"/>
    <w:rsid w:val="008F5F47"/>
    <w:rsid w:val="008F61AC"/>
    <w:rsid w:val="008F6480"/>
    <w:rsid w:val="008F661C"/>
    <w:rsid w:val="008F6809"/>
    <w:rsid w:val="008F6831"/>
    <w:rsid w:val="008F6AB1"/>
    <w:rsid w:val="008F6AD7"/>
    <w:rsid w:val="008F6B60"/>
    <w:rsid w:val="008F6D0C"/>
    <w:rsid w:val="008F6E58"/>
    <w:rsid w:val="008F6E5B"/>
    <w:rsid w:val="008F700C"/>
    <w:rsid w:val="008F7282"/>
    <w:rsid w:val="008F7592"/>
    <w:rsid w:val="008F7761"/>
    <w:rsid w:val="008F7791"/>
    <w:rsid w:val="008F77A7"/>
    <w:rsid w:val="008F781A"/>
    <w:rsid w:val="008F7D13"/>
    <w:rsid w:val="008F7D78"/>
    <w:rsid w:val="00900061"/>
    <w:rsid w:val="00900083"/>
    <w:rsid w:val="009001EC"/>
    <w:rsid w:val="009006E1"/>
    <w:rsid w:val="00900A12"/>
    <w:rsid w:val="00900E52"/>
    <w:rsid w:val="00900E86"/>
    <w:rsid w:val="00900F12"/>
    <w:rsid w:val="009010FC"/>
    <w:rsid w:val="00901228"/>
    <w:rsid w:val="0090122D"/>
    <w:rsid w:val="00901288"/>
    <w:rsid w:val="009016D0"/>
    <w:rsid w:val="0090177B"/>
    <w:rsid w:val="009017BE"/>
    <w:rsid w:val="00901D0A"/>
    <w:rsid w:val="00901D6E"/>
    <w:rsid w:val="00901FB9"/>
    <w:rsid w:val="0090202E"/>
    <w:rsid w:val="00902033"/>
    <w:rsid w:val="009021A4"/>
    <w:rsid w:val="00902456"/>
    <w:rsid w:val="00902813"/>
    <w:rsid w:val="00902E89"/>
    <w:rsid w:val="00902FD9"/>
    <w:rsid w:val="0090310E"/>
    <w:rsid w:val="00903189"/>
    <w:rsid w:val="00903286"/>
    <w:rsid w:val="0090355C"/>
    <w:rsid w:val="009036A6"/>
    <w:rsid w:val="009036B0"/>
    <w:rsid w:val="009039C1"/>
    <w:rsid w:val="00903A3D"/>
    <w:rsid w:val="00903F3B"/>
    <w:rsid w:val="00903FDC"/>
    <w:rsid w:val="009041D1"/>
    <w:rsid w:val="00904497"/>
    <w:rsid w:val="009044D3"/>
    <w:rsid w:val="009045FB"/>
    <w:rsid w:val="0090482B"/>
    <w:rsid w:val="009048CA"/>
    <w:rsid w:val="009049EB"/>
    <w:rsid w:val="00904C5E"/>
    <w:rsid w:val="00904CF5"/>
    <w:rsid w:val="00904D1C"/>
    <w:rsid w:val="00904D86"/>
    <w:rsid w:val="00904E62"/>
    <w:rsid w:val="00904EA7"/>
    <w:rsid w:val="00905790"/>
    <w:rsid w:val="009057AA"/>
    <w:rsid w:val="009057DE"/>
    <w:rsid w:val="009057F6"/>
    <w:rsid w:val="00905A67"/>
    <w:rsid w:val="00905C69"/>
    <w:rsid w:val="00905D32"/>
    <w:rsid w:val="00905ED8"/>
    <w:rsid w:val="009060CD"/>
    <w:rsid w:val="0090617B"/>
    <w:rsid w:val="009063F1"/>
    <w:rsid w:val="0090686A"/>
    <w:rsid w:val="009069FC"/>
    <w:rsid w:val="00906C25"/>
    <w:rsid w:val="009070AF"/>
    <w:rsid w:val="0090763D"/>
    <w:rsid w:val="0090771A"/>
    <w:rsid w:val="009077CF"/>
    <w:rsid w:val="00907891"/>
    <w:rsid w:val="00907B67"/>
    <w:rsid w:val="00907BEF"/>
    <w:rsid w:val="00907CAA"/>
    <w:rsid w:val="00907E96"/>
    <w:rsid w:val="00907EAA"/>
    <w:rsid w:val="00910196"/>
    <w:rsid w:val="00910226"/>
    <w:rsid w:val="00910614"/>
    <w:rsid w:val="009106A0"/>
    <w:rsid w:val="009106E5"/>
    <w:rsid w:val="00910AD4"/>
    <w:rsid w:val="00910B3A"/>
    <w:rsid w:val="0091101A"/>
    <w:rsid w:val="00911183"/>
    <w:rsid w:val="00911505"/>
    <w:rsid w:val="0091193E"/>
    <w:rsid w:val="00911C33"/>
    <w:rsid w:val="00911CEA"/>
    <w:rsid w:val="00911D2E"/>
    <w:rsid w:val="00911EA0"/>
    <w:rsid w:val="00912071"/>
    <w:rsid w:val="00912456"/>
    <w:rsid w:val="009125AA"/>
    <w:rsid w:val="00912633"/>
    <w:rsid w:val="009127F1"/>
    <w:rsid w:val="00912802"/>
    <w:rsid w:val="00912C0B"/>
    <w:rsid w:val="00912C10"/>
    <w:rsid w:val="00912CBA"/>
    <w:rsid w:val="00912D64"/>
    <w:rsid w:val="00912DA1"/>
    <w:rsid w:val="00912E60"/>
    <w:rsid w:val="00913373"/>
    <w:rsid w:val="00913407"/>
    <w:rsid w:val="0091341B"/>
    <w:rsid w:val="00913501"/>
    <w:rsid w:val="00913801"/>
    <w:rsid w:val="00913827"/>
    <w:rsid w:val="0091393F"/>
    <w:rsid w:val="009139AB"/>
    <w:rsid w:val="00913B61"/>
    <w:rsid w:val="00913F11"/>
    <w:rsid w:val="00914098"/>
    <w:rsid w:val="009140FF"/>
    <w:rsid w:val="009141C0"/>
    <w:rsid w:val="0091421C"/>
    <w:rsid w:val="0091421E"/>
    <w:rsid w:val="00914355"/>
    <w:rsid w:val="009143E6"/>
    <w:rsid w:val="00914423"/>
    <w:rsid w:val="009146D2"/>
    <w:rsid w:val="00914808"/>
    <w:rsid w:val="00914D22"/>
    <w:rsid w:val="00914D27"/>
    <w:rsid w:val="00914ED2"/>
    <w:rsid w:val="00914F36"/>
    <w:rsid w:val="009152BE"/>
    <w:rsid w:val="0091538C"/>
    <w:rsid w:val="00915637"/>
    <w:rsid w:val="009157FE"/>
    <w:rsid w:val="00915AAD"/>
    <w:rsid w:val="00915C07"/>
    <w:rsid w:val="00915C2D"/>
    <w:rsid w:val="00915F3B"/>
    <w:rsid w:val="00916167"/>
    <w:rsid w:val="009161E6"/>
    <w:rsid w:val="009165AA"/>
    <w:rsid w:val="009166CC"/>
    <w:rsid w:val="009169A8"/>
    <w:rsid w:val="00916A08"/>
    <w:rsid w:val="00916C9F"/>
    <w:rsid w:val="00916D2D"/>
    <w:rsid w:val="00916FB3"/>
    <w:rsid w:val="00917311"/>
    <w:rsid w:val="00917813"/>
    <w:rsid w:val="00917AAF"/>
    <w:rsid w:val="00917AEB"/>
    <w:rsid w:val="00917BBB"/>
    <w:rsid w:val="00917CD1"/>
    <w:rsid w:val="00917FBA"/>
    <w:rsid w:val="00917FC5"/>
    <w:rsid w:val="00920114"/>
    <w:rsid w:val="009203F2"/>
    <w:rsid w:val="00920431"/>
    <w:rsid w:val="009204F6"/>
    <w:rsid w:val="00920880"/>
    <w:rsid w:val="0092098E"/>
    <w:rsid w:val="00920C94"/>
    <w:rsid w:val="00920D74"/>
    <w:rsid w:val="00921418"/>
    <w:rsid w:val="0092169C"/>
    <w:rsid w:val="00921A06"/>
    <w:rsid w:val="00921BC0"/>
    <w:rsid w:val="00921CF8"/>
    <w:rsid w:val="00921E94"/>
    <w:rsid w:val="00922173"/>
    <w:rsid w:val="00922191"/>
    <w:rsid w:val="00922304"/>
    <w:rsid w:val="00922327"/>
    <w:rsid w:val="00922494"/>
    <w:rsid w:val="009224CD"/>
    <w:rsid w:val="0092266B"/>
    <w:rsid w:val="009229D4"/>
    <w:rsid w:val="00922A51"/>
    <w:rsid w:val="00922C28"/>
    <w:rsid w:val="00922CBC"/>
    <w:rsid w:val="00922E95"/>
    <w:rsid w:val="0092303B"/>
    <w:rsid w:val="009230EF"/>
    <w:rsid w:val="00923580"/>
    <w:rsid w:val="00923722"/>
    <w:rsid w:val="009237FD"/>
    <w:rsid w:val="0092389B"/>
    <w:rsid w:val="009239FE"/>
    <w:rsid w:val="00923C59"/>
    <w:rsid w:val="00923CA2"/>
    <w:rsid w:val="00923E0C"/>
    <w:rsid w:val="00923EEF"/>
    <w:rsid w:val="009240A7"/>
    <w:rsid w:val="009240CA"/>
    <w:rsid w:val="009242FA"/>
    <w:rsid w:val="0092431D"/>
    <w:rsid w:val="00924496"/>
    <w:rsid w:val="009244CF"/>
    <w:rsid w:val="00924588"/>
    <w:rsid w:val="00924742"/>
    <w:rsid w:val="009249F9"/>
    <w:rsid w:val="00924B53"/>
    <w:rsid w:val="00924C11"/>
    <w:rsid w:val="00925449"/>
    <w:rsid w:val="00925612"/>
    <w:rsid w:val="0092571D"/>
    <w:rsid w:val="009258A7"/>
    <w:rsid w:val="00925AAC"/>
    <w:rsid w:val="00925B24"/>
    <w:rsid w:val="00925BD7"/>
    <w:rsid w:val="00925BDB"/>
    <w:rsid w:val="00925DDE"/>
    <w:rsid w:val="00925F7E"/>
    <w:rsid w:val="0092609F"/>
    <w:rsid w:val="009260A7"/>
    <w:rsid w:val="0092685D"/>
    <w:rsid w:val="00926A4C"/>
    <w:rsid w:val="00926B09"/>
    <w:rsid w:val="00926CCF"/>
    <w:rsid w:val="00926D69"/>
    <w:rsid w:val="0092731B"/>
    <w:rsid w:val="009276FD"/>
    <w:rsid w:val="009277CC"/>
    <w:rsid w:val="009279A9"/>
    <w:rsid w:val="00927A7A"/>
    <w:rsid w:val="00927A91"/>
    <w:rsid w:val="00927AB7"/>
    <w:rsid w:val="00927B4E"/>
    <w:rsid w:val="00927B70"/>
    <w:rsid w:val="00927C31"/>
    <w:rsid w:val="0093039D"/>
    <w:rsid w:val="00930496"/>
    <w:rsid w:val="00930C7C"/>
    <w:rsid w:val="00930CC9"/>
    <w:rsid w:val="00930FC5"/>
    <w:rsid w:val="00931226"/>
    <w:rsid w:val="009314E4"/>
    <w:rsid w:val="009317FF"/>
    <w:rsid w:val="00931B30"/>
    <w:rsid w:val="00931B85"/>
    <w:rsid w:val="00931C37"/>
    <w:rsid w:val="00931DAC"/>
    <w:rsid w:val="00931E0A"/>
    <w:rsid w:val="00931E3D"/>
    <w:rsid w:val="00932232"/>
    <w:rsid w:val="009325C9"/>
    <w:rsid w:val="009325E6"/>
    <w:rsid w:val="00932865"/>
    <w:rsid w:val="00932875"/>
    <w:rsid w:val="009328D5"/>
    <w:rsid w:val="009328FC"/>
    <w:rsid w:val="00932953"/>
    <w:rsid w:val="009329BD"/>
    <w:rsid w:val="00932A65"/>
    <w:rsid w:val="00932D97"/>
    <w:rsid w:val="0093318F"/>
    <w:rsid w:val="009335C4"/>
    <w:rsid w:val="009335EB"/>
    <w:rsid w:val="00933A88"/>
    <w:rsid w:val="00933BE4"/>
    <w:rsid w:val="00933C90"/>
    <w:rsid w:val="00933D97"/>
    <w:rsid w:val="00933E5B"/>
    <w:rsid w:val="00933EA5"/>
    <w:rsid w:val="00933F71"/>
    <w:rsid w:val="0093405D"/>
    <w:rsid w:val="009342EE"/>
    <w:rsid w:val="00934527"/>
    <w:rsid w:val="009345EA"/>
    <w:rsid w:val="00934918"/>
    <w:rsid w:val="0093495A"/>
    <w:rsid w:val="00934975"/>
    <w:rsid w:val="00934B7B"/>
    <w:rsid w:val="00934E09"/>
    <w:rsid w:val="00935239"/>
    <w:rsid w:val="0093544D"/>
    <w:rsid w:val="0093564A"/>
    <w:rsid w:val="0093572E"/>
    <w:rsid w:val="00935911"/>
    <w:rsid w:val="009359DE"/>
    <w:rsid w:val="00935CCC"/>
    <w:rsid w:val="0093618E"/>
    <w:rsid w:val="0093624F"/>
    <w:rsid w:val="0093663C"/>
    <w:rsid w:val="0093689A"/>
    <w:rsid w:val="009368A5"/>
    <w:rsid w:val="009369EC"/>
    <w:rsid w:val="00936BD1"/>
    <w:rsid w:val="00936BFC"/>
    <w:rsid w:val="00936D24"/>
    <w:rsid w:val="00936DD0"/>
    <w:rsid w:val="00936E39"/>
    <w:rsid w:val="009378E2"/>
    <w:rsid w:val="00937983"/>
    <w:rsid w:val="00937DE9"/>
    <w:rsid w:val="00937F13"/>
    <w:rsid w:val="009402D2"/>
    <w:rsid w:val="009402EA"/>
    <w:rsid w:val="009405A1"/>
    <w:rsid w:val="009405CE"/>
    <w:rsid w:val="009408C6"/>
    <w:rsid w:val="00940922"/>
    <w:rsid w:val="00940A86"/>
    <w:rsid w:val="00940C9D"/>
    <w:rsid w:val="00940E87"/>
    <w:rsid w:val="00940EC6"/>
    <w:rsid w:val="00940F0D"/>
    <w:rsid w:val="0094129B"/>
    <w:rsid w:val="009415BB"/>
    <w:rsid w:val="00941745"/>
    <w:rsid w:val="009417E2"/>
    <w:rsid w:val="009417F4"/>
    <w:rsid w:val="0094193D"/>
    <w:rsid w:val="00941C65"/>
    <w:rsid w:val="00941D34"/>
    <w:rsid w:val="0094207A"/>
    <w:rsid w:val="0094243F"/>
    <w:rsid w:val="00942702"/>
    <w:rsid w:val="009427F6"/>
    <w:rsid w:val="009427F8"/>
    <w:rsid w:val="00942875"/>
    <w:rsid w:val="0094288B"/>
    <w:rsid w:val="009428F1"/>
    <w:rsid w:val="00942A8D"/>
    <w:rsid w:val="00942DF1"/>
    <w:rsid w:val="00942E02"/>
    <w:rsid w:val="00942F82"/>
    <w:rsid w:val="00943006"/>
    <w:rsid w:val="00943120"/>
    <w:rsid w:val="00943493"/>
    <w:rsid w:val="0094375C"/>
    <w:rsid w:val="00943777"/>
    <w:rsid w:val="00943B12"/>
    <w:rsid w:val="00943C85"/>
    <w:rsid w:val="00943F6E"/>
    <w:rsid w:val="00944025"/>
    <w:rsid w:val="00944064"/>
    <w:rsid w:val="00944088"/>
    <w:rsid w:val="00944340"/>
    <w:rsid w:val="00944942"/>
    <w:rsid w:val="00944D3D"/>
    <w:rsid w:val="00944F07"/>
    <w:rsid w:val="00944FD5"/>
    <w:rsid w:val="009451C4"/>
    <w:rsid w:val="00945295"/>
    <w:rsid w:val="009454DD"/>
    <w:rsid w:val="009456A1"/>
    <w:rsid w:val="00945AC1"/>
    <w:rsid w:val="00945CC1"/>
    <w:rsid w:val="00945ED0"/>
    <w:rsid w:val="00946071"/>
    <w:rsid w:val="0094608E"/>
    <w:rsid w:val="00946090"/>
    <w:rsid w:val="009461D9"/>
    <w:rsid w:val="00946401"/>
    <w:rsid w:val="00946601"/>
    <w:rsid w:val="009466B9"/>
    <w:rsid w:val="009468D9"/>
    <w:rsid w:val="009468F3"/>
    <w:rsid w:val="009469D1"/>
    <w:rsid w:val="00946A57"/>
    <w:rsid w:val="00946B2D"/>
    <w:rsid w:val="00946B8C"/>
    <w:rsid w:val="00946C18"/>
    <w:rsid w:val="00946D42"/>
    <w:rsid w:val="00946D46"/>
    <w:rsid w:val="00946E5A"/>
    <w:rsid w:val="00946ED9"/>
    <w:rsid w:val="00946FFF"/>
    <w:rsid w:val="0094701D"/>
    <w:rsid w:val="0094717E"/>
    <w:rsid w:val="009474F8"/>
    <w:rsid w:val="00947616"/>
    <w:rsid w:val="009476A5"/>
    <w:rsid w:val="0094774D"/>
    <w:rsid w:val="00947865"/>
    <w:rsid w:val="00947B5C"/>
    <w:rsid w:val="00947C84"/>
    <w:rsid w:val="00947E0F"/>
    <w:rsid w:val="00947F30"/>
    <w:rsid w:val="0095002A"/>
    <w:rsid w:val="00950206"/>
    <w:rsid w:val="009506D5"/>
    <w:rsid w:val="00950921"/>
    <w:rsid w:val="00950AAF"/>
    <w:rsid w:val="00950AC3"/>
    <w:rsid w:val="00950B66"/>
    <w:rsid w:val="00950C34"/>
    <w:rsid w:val="00950E80"/>
    <w:rsid w:val="00950E93"/>
    <w:rsid w:val="009515DC"/>
    <w:rsid w:val="009516FF"/>
    <w:rsid w:val="009517E8"/>
    <w:rsid w:val="0095187A"/>
    <w:rsid w:val="00951AA8"/>
    <w:rsid w:val="00951B97"/>
    <w:rsid w:val="00951C6C"/>
    <w:rsid w:val="00951C84"/>
    <w:rsid w:val="00951D90"/>
    <w:rsid w:val="00951D9E"/>
    <w:rsid w:val="00952311"/>
    <w:rsid w:val="009524AD"/>
    <w:rsid w:val="0095263D"/>
    <w:rsid w:val="00952708"/>
    <w:rsid w:val="009528E0"/>
    <w:rsid w:val="0095291E"/>
    <w:rsid w:val="00952B35"/>
    <w:rsid w:val="00952B9D"/>
    <w:rsid w:val="00952D60"/>
    <w:rsid w:val="00952EF3"/>
    <w:rsid w:val="00952FE6"/>
    <w:rsid w:val="009532A0"/>
    <w:rsid w:val="009533C3"/>
    <w:rsid w:val="009534A8"/>
    <w:rsid w:val="009538BD"/>
    <w:rsid w:val="00953A37"/>
    <w:rsid w:val="00953A7F"/>
    <w:rsid w:val="00953A8C"/>
    <w:rsid w:val="00953D18"/>
    <w:rsid w:val="00953F2B"/>
    <w:rsid w:val="0095406F"/>
    <w:rsid w:val="00954309"/>
    <w:rsid w:val="0095443D"/>
    <w:rsid w:val="009545A4"/>
    <w:rsid w:val="009545ED"/>
    <w:rsid w:val="00954804"/>
    <w:rsid w:val="009548DA"/>
    <w:rsid w:val="00954937"/>
    <w:rsid w:val="00954A27"/>
    <w:rsid w:val="00954B4C"/>
    <w:rsid w:val="00954FEB"/>
    <w:rsid w:val="00955111"/>
    <w:rsid w:val="0095559F"/>
    <w:rsid w:val="00955672"/>
    <w:rsid w:val="00955995"/>
    <w:rsid w:val="00955AF9"/>
    <w:rsid w:val="00955C79"/>
    <w:rsid w:val="00955F60"/>
    <w:rsid w:val="0095640A"/>
    <w:rsid w:val="009564B0"/>
    <w:rsid w:val="00956860"/>
    <w:rsid w:val="00956AE0"/>
    <w:rsid w:val="00956DDA"/>
    <w:rsid w:val="00956EAC"/>
    <w:rsid w:val="00956EC6"/>
    <w:rsid w:val="00956EF5"/>
    <w:rsid w:val="00956FED"/>
    <w:rsid w:val="00957012"/>
    <w:rsid w:val="009571D5"/>
    <w:rsid w:val="0095746E"/>
    <w:rsid w:val="00957621"/>
    <w:rsid w:val="0095773B"/>
    <w:rsid w:val="009577A2"/>
    <w:rsid w:val="00957870"/>
    <w:rsid w:val="009578D0"/>
    <w:rsid w:val="00957911"/>
    <w:rsid w:val="009579C6"/>
    <w:rsid w:val="009579E2"/>
    <w:rsid w:val="00960292"/>
    <w:rsid w:val="009602D5"/>
    <w:rsid w:val="00960526"/>
    <w:rsid w:val="00960A50"/>
    <w:rsid w:val="00960AC9"/>
    <w:rsid w:val="00960B68"/>
    <w:rsid w:val="00960D76"/>
    <w:rsid w:val="0096108B"/>
    <w:rsid w:val="00961258"/>
    <w:rsid w:val="009615D0"/>
    <w:rsid w:val="00961840"/>
    <w:rsid w:val="00961927"/>
    <w:rsid w:val="00961B0C"/>
    <w:rsid w:val="00961B1E"/>
    <w:rsid w:val="00961B20"/>
    <w:rsid w:val="00961DD0"/>
    <w:rsid w:val="00961DD1"/>
    <w:rsid w:val="009629AE"/>
    <w:rsid w:val="00962F6F"/>
    <w:rsid w:val="0096316B"/>
    <w:rsid w:val="00963306"/>
    <w:rsid w:val="00963393"/>
    <w:rsid w:val="00963404"/>
    <w:rsid w:val="0096352E"/>
    <w:rsid w:val="00963643"/>
    <w:rsid w:val="00963B26"/>
    <w:rsid w:val="00963CEA"/>
    <w:rsid w:val="00964017"/>
    <w:rsid w:val="0096406F"/>
    <w:rsid w:val="009641B1"/>
    <w:rsid w:val="0096454C"/>
    <w:rsid w:val="00964688"/>
    <w:rsid w:val="00964A4A"/>
    <w:rsid w:val="00964C48"/>
    <w:rsid w:val="00964CF9"/>
    <w:rsid w:val="00964D39"/>
    <w:rsid w:val="00964F8E"/>
    <w:rsid w:val="00964F9D"/>
    <w:rsid w:val="00965266"/>
    <w:rsid w:val="009653B3"/>
    <w:rsid w:val="009653CB"/>
    <w:rsid w:val="00965427"/>
    <w:rsid w:val="00965A01"/>
    <w:rsid w:val="00965A14"/>
    <w:rsid w:val="00965B70"/>
    <w:rsid w:val="00965BCC"/>
    <w:rsid w:val="00965BD7"/>
    <w:rsid w:val="00965F8E"/>
    <w:rsid w:val="00965FE7"/>
    <w:rsid w:val="00966043"/>
    <w:rsid w:val="00966310"/>
    <w:rsid w:val="00966546"/>
    <w:rsid w:val="0096656B"/>
    <w:rsid w:val="009665FC"/>
    <w:rsid w:val="0096676B"/>
    <w:rsid w:val="009668CA"/>
    <w:rsid w:val="009669AA"/>
    <w:rsid w:val="00966A00"/>
    <w:rsid w:val="00966AC3"/>
    <w:rsid w:val="00966BCF"/>
    <w:rsid w:val="009671F7"/>
    <w:rsid w:val="0096762F"/>
    <w:rsid w:val="0096792C"/>
    <w:rsid w:val="009679BD"/>
    <w:rsid w:val="00967B26"/>
    <w:rsid w:val="00967BDC"/>
    <w:rsid w:val="00967D90"/>
    <w:rsid w:val="00967E2E"/>
    <w:rsid w:val="00967EFA"/>
    <w:rsid w:val="00967FE3"/>
    <w:rsid w:val="00970470"/>
    <w:rsid w:val="0097073E"/>
    <w:rsid w:val="0097074D"/>
    <w:rsid w:val="0097098B"/>
    <w:rsid w:val="00970996"/>
    <w:rsid w:val="00970ABC"/>
    <w:rsid w:val="00970CCC"/>
    <w:rsid w:val="0097143D"/>
    <w:rsid w:val="00971954"/>
    <w:rsid w:val="00971B1A"/>
    <w:rsid w:val="00971BCF"/>
    <w:rsid w:val="00971D36"/>
    <w:rsid w:val="00971D71"/>
    <w:rsid w:val="00971FC5"/>
    <w:rsid w:val="0097240F"/>
    <w:rsid w:val="00972487"/>
    <w:rsid w:val="009724E8"/>
    <w:rsid w:val="0097251C"/>
    <w:rsid w:val="00972635"/>
    <w:rsid w:val="009726E4"/>
    <w:rsid w:val="00972762"/>
    <w:rsid w:val="00972977"/>
    <w:rsid w:val="00972BFE"/>
    <w:rsid w:val="00972C42"/>
    <w:rsid w:val="00972E86"/>
    <w:rsid w:val="00972FDE"/>
    <w:rsid w:val="009730C1"/>
    <w:rsid w:val="00973594"/>
    <w:rsid w:val="0097381F"/>
    <w:rsid w:val="009739B2"/>
    <w:rsid w:val="009739D2"/>
    <w:rsid w:val="00973C93"/>
    <w:rsid w:val="00973DA5"/>
    <w:rsid w:val="00973F36"/>
    <w:rsid w:val="009740AD"/>
    <w:rsid w:val="0097419F"/>
    <w:rsid w:val="0097439D"/>
    <w:rsid w:val="009743CC"/>
    <w:rsid w:val="00974489"/>
    <w:rsid w:val="00974624"/>
    <w:rsid w:val="00974783"/>
    <w:rsid w:val="00974813"/>
    <w:rsid w:val="00974B2D"/>
    <w:rsid w:val="00974F33"/>
    <w:rsid w:val="00974F4E"/>
    <w:rsid w:val="00974FFD"/>
    <w:rsid w:val="0097540B"/>
    <w:rsid w:val="0097550D"/>
    <w:rsid w:val="00975BD2"/>
    <w:rsid w:val="00976614"/>
    <w:rsid w:val="00976652"/>
    <w:rsid w:val="009766C1"/>
    <w:rsid w:val="00976856"/>
    <w:rsid w:val="009768B3"/>
    <w:rsid w:val="00976C86"/>
    <w:rsid w:val="00976DDE"/>
    <w:rsid w:val="00976FF5"/>
    <w:rsid w:val="0097735C"/>
    <w:rsid w:val="0097744E"/>
    <w:rsid w:val="009775F4"/>
    <w:rsid w:val="009776FC"/>
    <w:rsid w:val="009778E4"/>
    <w:rsid w:val="009778FA"/>
    <w:rsid w:val="00977BDD"/>
    <w:rsid w:val="0098007D"/>
    <w:rsid w:val="009800E5"/>
    <w:rsid w:val="00980370"/>
    <w:rsid w:val="009804EA"/>
    <w:rsid w:val="0098069C"/>
    <w:rsid w:val="009808B3"/>
    <w:rsid w:val="009809EB"/>
    <w:rsid w:val="00980DEB"/>
    <w:rsid w:val="00980E40"/>
    <w:rsid w:val="00980EB0"/>
    <w:rsid w:val="009811D1"/>
    <w:rsid w:val="009812B2"/>
    <w:rsid w:val="009812E1"/>
    <w:rsid w:val="00981313"/>
    <w:rsid w:val="0098133E"/>
    <w:rsid w:val="0098138E"/>
    <w:rsid w:val="00981580"/>
    <w:rsid w:val="00981747"/>
    <w:rsid w:val="00981AB0"/>
    <w:rsid w:val="00981AEF"/>
    <w:rsid w:val="00981CBE"/>
    <w:rsid w:val="00981DAE"/>
    <w:rsid w:val="00981EDC"/>
    <w:rsid w:val="00981F07"/>
    <w:rsid w:val="00981FBC"/>
    <w:rsid w:val="009822BC"/>
    <w:rsid w:val="009828C3"/>
    <w:rsid w:val="009829DD"/>
    <w:rsid w:val="00983059"/>
    <w:rsid w:val="00983133"/>
    <w:rsid w:val="00983142"/>
    <w:rsid w:val="0098330D"/>
    <w:rsid w:val="0098368D"/>
    <w:rsid w:val="009838F5"/>
    <w:rsid w:val="00983C79"/>
    <w:rsid w:val="00983DAD"/>
    <w:rsid w:val="00983DF9"/>
    <w:rsid w:val="0098408D"/>
    <w:rsid w:val="00984116"/>
    <w:rsid w:val="009841BA"/>
    <w:rsid w:val="009846AC"/>
    <w:rsid w:val="009848F1"/>
    <w:rsid w:val="009849FE"/>
    <w:rsid w:val="00985141"/>
    <w:rsid w:val="00985269"/>
    <w:rsid w:val="0098533E"/>
    <w:rsid w:val="009854CC"/>
    <w:rsid w:val="009855CE"/>
    <w:rsid w:val="0098562C"/>
    <w:rsid w:val="009856C0"/>
    <w:rsid w:val="0098579E"/>
    <w:rsid w:val="00985933"/>
    <w:rsid w:val="00985960"/>
    <w:rsid w:val="00985B3A"/>
    <w:rsid w:val="00985CA5"/>
    <w:rsid w:val="00985CFC"/>
    <w:rsid w:val="00985DA6"/>
    <w:rsid w:val="00985E5D"/>
    <w:rsid w:val="00985EE1"/>
    <w:rsid w:val="009860C3"/>
    <w:rsid w:val="00986106"/>
    <w:rsid w:val="00986154"/>
    <w:rsid w:val="0098645C"/>
    <w:rsid w:val="0098650C"/>
    <w:rsid w:val="0098655A"/>
    <w:rsid w:val="00986829"/>
    <w:rsid w:val="009869FA"/>
    <w:rsid w:val="00986B9D"/>
    <w:rsid w:val="00986EE4"/>
    <w:rsid w:val="00987137"/>
    <w:rsid w:val="0098716D"/>
    <w:rsid w:val="009871A9"/>
    <w:rsid w:val="00987336"/>
    <w:rsid w:val="00987582"/>
    <w:rsid w:val="009875B2"/>
    <w:rsid w:val="00987780"/>
    <w:rsid w:val="00987942"/>
    <w:rsid w:val="009879B4"/>
    <w:rsid w:val="00987A3F"/>
    <w:rsid w:val="00987CDE"/>
    <w:rsid w:val="00987DAD"/>
    <w:rsid w:val="0099012A"/>
    <w:rsid w:val="00990610"/>
    <w:rsid w:val="009907B4"/>
    <w:rsid w:val="0099084D"/>
    <w:rsid w:val="009908FA"/>
    <w:rsid w:val="0099090C"/>
    <w:rsid w:val="00990960"/>
    <w:rsid w:val="009909E2"/>
    <w:rsid w:val="00990D5D"/>
    <w:rsid w:val="00990DF4"/>
    <w:rsid w:val="00990FD7"/>
    <w:rsid w:val="00991004"/>
    <w:rsid w:val="00991010"/>
    <w:rsid w:val="009913CA"/>
    <w:rsid w:val="0099150F"/>
    <w:rsid w:val="00991533"/>
    <w:rsid w:val="00991581"/>
    <w:rsid w:val="00991668"/>
    <w:rsid w:val="009917C8"/>
    <w:rsid w:val="00991900"/>
    <w:rsid w:val="009919D7"/>
    <w:rsid w:val="00991B50"/>
    <w:rsid w:val="00991D0B"/>
    <w:rsid w:val="00991DA1"/>
    <w:rsid w:val="00991DCE"/>
    <w:rsid w:val="009922FF"/>
    <w:rsid w:val="00992448"/>
    <w:rsid w:val="009926C1"/>
    <w:rsid w:val="0099279A"/>
    <w:rsid w:val="009928B0"/>
    <w:rsid w:val="0099293E"/>
    <w:rsid w:val="00992B27"/>
    <w:rsid w:val="00992CC7"/>
    <w:rsid w:val="00992ED1"/>
    <w:rsid w:val="00992F58"/>
    <w:rsid w:val="00992FA8"/>
    <w:rsid w:val="00993344"/>
    <w:rsid w:val="009933A4"/>
    <w:rsid w:val="0099340D"/>
    <w:rsid w:val="00993575"/>
    <w:rsid w:val="00993829"/>
    <w:rsid w:val="00993A7E"/>
    <w:rsid w:val="00993FBB"/>
    <w:rsid w:val="0099406B"/>
    <w:rsid w:val="009941EB"/>
    <w:rsid w:val="00994540"/>
    <w:rsid w:val="00994939"/>
    <w:rsid w:val="00994BAC"/>
    <w:rsid w:val="00994F28"/>
    <w:rsid w:val="00994FC8"/>
    <w:rsid w:val="00995021"/>
    <w:rsid w:val="00995217"/>
    <w:rsid w:val="009953EF"/>
    <w:rsid w:val="009955D7"/>
    <w:rsid w:val="00995C2A"/>
    <w:rsid w:val="00995CC9"/>
    <w:rsid w:val="00995E92"/>
    <w:rsid w:val="0099627A"/>
    <w:rsid w:val="009966C7"/>
    <w:rsid w:val="009967F4"/>
    <w:rsid w:val="00996A4B"/>
    <w:rsid w:val="00996CD3"/>
    <w:rsid w:val="00996DA5"/>
    <w:rsid w:val="009972A5"/>
    <w:rsid w:val="00997ABB"/>
    <w:rsid w:val="00997BDF"/>
    <w:rsid w:val="00997D02"/>
    <w:rsid w:val="009A00E6"/>
    <w:rsid w:val="009A02D1"/>
    <w:rsid w:val="009A03B0"/>
    <w:rsid w:val="009A0436"/>
    <w:rsid w:val="009A0563"/>
    <w:rsid w:val="009A0591"/>
    <w:rsid w:val="009A05CD"/>
    <w:rsid w:val="009A0702"/>
    <w:rsid w:val="009A0848"/>
    <w:rsid w:val="009A09DA"/>
    <w:rsid w:val="009A0ADA"/>
    <w:rsid w:val="009A0AFD"/>
    <w:rsid w:val="009A0E10"/>
    <w:rsid w:val="009A1087"/>
    <w:rsid w:val="009A11FD"/>
    <w:rsid w:val="009A15E3"/>
    <w:rsid w:val="009A1604"/>
    <w:rsid w:val="009A1608"/>
    <w:rsid w:val="009A1BD3"/>
    <w:rsid w:val="009A1C27"/>
    <w:rsid w:val="009A1C88"/>
    <w:rsid w:val="009A1D92"/>
    <w:rsid w:val="009A1D98"/>
    <w:rsid w:val="009A1E22"/>
    <w:rsid w:val="009A1E2F"/>
    <w:rsid w:val="009A2215"/>
    <w:rsid w:val="009A2514"/>
    <w:rsid w:val="009A2667"/>
    <w:rsid w:val="009A26ED"/>
    <w:rsid w:val="009A277F"/>
    <w:rsid w:val="009A2796"/>
    <w:rsid w:val="009A2802"/>
    <w:rsid w:val="009A294B"/>
    <w:rsid w:val="009A2EB8"/>
    <w:rsid w:val="009A2FE0"/>
    <w:rsid w:val="009A3342"/>
    <w:rsid w:val="009A3361"/>
    <w:rsid w:val="009A36BA"/>
    <w:rsid w:val="009A37BE"/>
    <w:rsid w:val="009A3B41"/>
    <w:rsid w:val="009A3B85"/>
    <w:rsid w:val="009A3BF1"/>
    <w:rsid w:val="009A3E9B"/>
    <w:rsid w:val="009A3EF2"/>
    <w:rsid w:val="009A3FD2"/>
    <w:rsid w:val="009A41FC"/>
    <w:rsid w:val="009A42A7"/>
    <w:rsid w:val="009A440D"/>
    <w:rsid w:val="009A447B"/>
    <w:rsid w:val="009A45A2"/>
    <w:rsid w:val="009A4A3D"/>
    <w:rsid w:val="009A4D1F"/>
    <w:rsid w:val="009A4E8C"/>
    <w:rsid w:val="009A500D"/>
    <w:rsid w:val="009A53F3"/>
    <w:rsid w:val="009A5812"/>
    <w:rsid w:val="009A59D1"/>
    <w:rsid w:val="009A5B27"/>
    <w:rsid w:val="009A5FC7"/>
    <w:rsid w:val="009A638C"/>
    <w:rsid w:val="009A64CA"/>
    <w:rsid w:val="009A6535"/>
    <w:rsid w:val="009A659A"/>
    <w:rsid w:val="009A6865"/>
    <w:rsid w:val="009A69AD"/>
    <w:rsid w:val="009A6A95"/>
    <w:rsid w:val="009A6B91"/>
    <w:rsid w:val="009A6C66"/>
    <w:rsid w:val="009A6DEE"/>
    <w:rsid w:val="009A6E36"/>
    <w:rsid w:val="009A6F46"/>
    <w:rsid w:val="009A718C"/>
    <w:rsid w:val="009A71D3"/>
    <w:rsid w:val="009A721E"/>
    <w:rsid w:val="009A723B"/>
    <w:rsid w:val="009A724D"/>
    <w:rsid w:val="009A734E"/>
    <w:rsid w:val="009A7645"/>
    <w:rsid w:val="009A78DA"/>
    <w:rsid w:val="009A79A8"/>
    <w:rsid w:val="009A7C2F"/>
    <w:rsid w:val="009A7C4E"/>
    <w:rsid w:val="009A7E22"/>
    <w:rsid w:val="009A7ECD"/>
    <w:rsid w:val="009A7FA3"/>
    <w:rsid w:val="009B0252"/>
    <w:rsid w:val="009B071D"/>
    <w:rsid w:val="009B088D"/>
    <w:rsid w:val="009B0893"/>
    <w:rsid w:val="009B08A6"/>
    <w:rsid w:val="009B08F5"/>
    <w:rsid w:val="009B0BF8"/>
    <w:rsid w:val="009B0C30"/>
    <w:rsid w:val="009B0ECB"/>
    <w:rsid w:val="009B1253"/>
    <w:rsid w:val="009B133E"/>
    <w:rsid w:val="009B1347"/>
    <w:rsid w:val="009B13B6"/>
    <w:rsid w:val="009B13CC"/>
    <w:rsid w:val="009B16B0"/>
    <w:rsid w:val="009B19B1"/>
    <w:rsid w:val="009B19DB"/>
    <w:rsid w:val="009B1A8D"/>
    <w:rsid w:val="009B1ABF"/>
    <w:rsid w:val="009B1BBF"/>
    <w:rsid w:val="009B1BFA"/>
    <w:rsid w:val="009B1C61"/>
    <w:rsid w:val="009B1C95"/>
    <w:rsid w:val="009B204E"/>
    <w:rsid w:val="009B229A"/>
    <w:rsid w:val="009B2609"/>
    <w:rsid w:val="009B2AEC"/>
    <w:rsid w:val="009B2B10"/>
    <w:rsid w:val="009B2C46"/>
    <w:rsid w:val="009B2D36"/>
    <w:rsid w:val="009B2D39"/>
    <w:rsid w:val="009B2F06"/>
    <w:rsid w:val="009B302B"/>
    <w:rsid w:val="009B30B8"/>
    <w:rsid w:val="009B33CC"/>
    <w:rsid w:val="009B36B6"/>
    <w:rsid w:val="009B38C0"/>
    <w:rsid w:val="009B39C9"/>
    <w:rsid w:val="009B3BE3"/>
    <w:rsid w:val="009B3CFE"/>
    <w:rsid w:val="009B3DD4"/>
    <w:rsid w:val="009B3FFB"/>
    <w:rsid w:val="009B4402"/>
    <w:rsid w:val="009B4789"/>
    <w:rsid w:val="009B4960"/>
    <w:rsid w:val="009B4C12"/>
    <w:rsid w:val="009B4C81"/>
    <w:rsid w:val="009B5059"/>
    <w:rsid w:val="009B5154"/>
    <w:rsid w:val="009B519F"/>
    <w:rsid w:val="009B5303"/>
    <w:rsid w:val="009B538E"/>
    <w:rsid w:val="009B5517"/>
    <w:rsid w:val="009B5546"/>
    <w:rsid w:val="009B55F8"/>
    <w:rsid w:val="009B56DA"/>
    <w:rsid w:val="009B5758"/>
    <w:rsid w:val="009B5791"/>
    <w:rsid w:val="009B5D9D"/>
    <w:rsid w:val="009B5E7A"/>
    <w:rsid w:val="009B5F57"/>
    <w:rsid w:val="009B5F77"/>
    <w:rsid w:val="009B5FC4"/>
    <w:rsid w:val="009B5FD1"/>
    <w:rsid w:val="009B5FFB"/>
    <w:rsid w:val="009B6067"/>
    <w:rsid w:val="009B60C1"/>
    <w:rsid w:val="009B6278"/>
    <w:rsid w:val="009B6384"/>
    <w:rsid w:val="009B6439"/>
    <w:rsid w:val="009B6458"/>
    <w:rsid w:val="009B64D2"/>
    <w:rsid w:val="009B6599"/>
    <w:rsid w:val="009B6687"/>
    <w:rsid w:val="009B67A0"/>
    <w:rsid w:val="009B6949"/>
    <w:rsid w:val="009B6960"/>
    <w:rsid w:val="009B6A31"/>
    <w:rsid w:val="009B6AFD"/>
    <w:rsid w:val="009B6CAC"/>
    <w:rsid w:val="009B6F1F"/>
    <w:rsid w:val="009B6F7E"/>
    <w:rsid w:val="009B6FBA"/>
    <w:rsid w:val="009B7196"/>
    <w:rsid w:val="009B7280"/>
    <w:rsid w:val="009B72F2"/>
    <w:rsid w:val="009B73B0"/>
    <w:rsid w:val="009B7A94"/>
    <w:rsid w:val="009B7E9C"/>
    <w:rsid w:val="009B7F6E"/>
    <w:rsid w:val="009C0170"/>
    <w:rsid w:val="009C024F"/>
    <w:rsid w:val="009C0278"/>
    <w:rsid w:val="009C06BF"/>
    <w:rsid w:val="009C0877"/>
    <w:rsid w:val="009C08B2"/>
    <w:rsid w:val="009C09A7"/>
    <w:rsid w:val="009C09C0"/>
    <w:rsid w:val="009C0A0A"/>
    <w:rsid w:val="009C0A23"/>
    <w:rsid w:val="009C0D40"/>
    <w:rsid w:val="009C0E62"/>
    <w:rsid w:val="009C1105"/>
    <w:rsid w:val="009C11CF"/>
    <w:rsid w:val="009C132E"/>
    <w:rsid w:val="009C1335"/>
    <w:rsid w:val="009C139E"/>
    <w:rsid w:val="009C14D3"/>
    <w:rsid w:val="009C186A"/>
    <w:rsid w:val="009C1933"/>
    <w:rsid w:val="009C1CD6"/>
    <w:rsid w:val="009C1DB3"/>
    <w:rsid w:val="009C22EE"/>
    <w:rsid w:val="009C2473"/>
    <w:rsid w:val="009C24E7"/>
    <w:rsid w:val="009C2759"/>
    <w:rsid w:val="009C27B8"/>
    <w:rsid w:val="009C2B4B"/>
    <w:rsid w:val="009C2BA5"/>
    <w:rsid w:val="009C2C23"/>
    <w:rsid w:val="009C2C3B"/>
    <w:rsid w:val="009C2DBB"/>
    <w:rsid w:val="009C30CC"/>
    <w:rsid w:val="009C328F"/>
    <w:rsid w:val="009C33F3"/>
    <w:rsid w:val="009C384E"/>
    <w:rsid w:val="009C389E"/>
    <w:rsid w:val="009C3910"/>
    <w:rsid w:val="009C3BEA"/>
    <w:rsid w:val="009C3FC8"/>
    <w:rsid w:val="009C41C0"/>
    <w:rsid w:val="009C41D8"/>
    <w:rsid w:val="009C441C"/>
    <w:rsid w:val="009C44FB"/>
    <w:rsid w:val="009C45DA"/>
    <w:rsid w:val="009C497F"/>
    <w:rsid w:val="009C4A75"/>
    <w:rsid w:val="009C4D4E"/>
    <w:rsid w:val="009C5007"/>
    <w:rsid w:val="009C5172"/>
    <w:rsid w:val="009C5356"/>
    <w:rsid w:val="009C55F2"/>
    <w:rsid w:val="009C5714"/>
    <w:rsid w:val="009C5731"/>
    <w:rsid w:val="009C5961"/>
    <w:rsid w:val="009C5997"/>
    <w:rsid w:val="009C5E42"/>
    <w:rsid w:val="009C5EA7"/>
    <w:rsid w:val="009C60D7"/>
    <w:rsid w:val="009C624F"/>
    <w:rsid w:val="009C62D5"/>
    <w:rsid w:val="009C630E"/>
    <w:rsid w:val="009C64DE"/>
    <w:rsid w:val="009C6E65"/>
    <w:rsid w:val="009C6E76"/>
    <w:rsid w:val="009C6E96"/>
    <w:rsid w:val="009C6F9F"/>
    <w:rsid w:val="009C7180"/>
    <w:rsid w:val="009C71A4"/>
    <w:rsid w:val="009C745E"/>
    <w:rsid w:val="009C7532"/>
    <w:rsid w:val="009C7782"/>
    <w:rsid w:val="009C785A"/>
    <w:rsid w:val="009C78A1"/>
    <w:rsid w:val="009C78DB"/>
    <w:rsid w:val="009C7DB9"/>
    <w:rsid w:val="009D00D2"/>
    <w:rsid w:val="009D04CA"/>
    <w:rsid w:val="009D069C"/>
    <w:rsid w:val="009D06BE"/>
    <w:rsid w:val="009D0945"/>
    <w:rsid w:val="009D0D34"/>
    <w:rsid w:val="009D14D5"/>
    <w:rsid w:val="009D14DF"/>
    <w:rsid w:val="009D16DC"/>
    <w:rsid w:val="009D183A"/>
    <w:rsid w:val="009D1927"/>
    <w:rsid w:val="009D19AE"/>
    <w:rsid w:val="009D1AA3"/>
    <w:rsid w:val="009D1D5D"/>
    <w:rsid w:val="009D1EB3"/>
    <w:rsid w:val="009D1FA7"/>
    <w:rsid w:val="009D21E3"/>
    <w:rsid w:val="009D223A"/>
    <w:rsid w:val="009D27E0"/>
    <w:rsid w:val="009D2E62"/>
    <w:rsid w:val="009D2EF8"/>
    <w:rsid w:val="009D2F55"/>
    <w:rsid w:val="009D3295"/>
    <w:rsid w:val="009D365D"/>
    <w:rsid w:val="009D3667"/>
    <w:rsid w:val="009D37FD"/>
    <w:rsid w:val="009D3ABD"/>
    <w:rsid w:val="009D3AF0"/>
    <w:rsid w:val="009D3AFB"/>
    <w:rsid w:val="009D3C25"/>
    <w:rsid w:val="009D3F3A"/>
    <w:rsid w:val="009D40D5"/>
    <w:rsid w:val="009D419C"/>
    <w:rsid w:val="009D45CF"/>
    <w:rsid w:val="009D4766"/>
    <w:rsid w:val="009D4876"/>
    <w:rsid w:val="009D488D"/>
    <w:rsid w:val="009D4C5E"/>
    <w:rsid w:val="009D4FC0"/>
    <w:rsid w:val="009D4FFC"/>
    <w:rsid w:val="009D51FC"/>
    <w:rsid w:val="009D52F1"/>
    <w:rsid w:val="009D55F6"/>
    <w:rsid w:val="009D5653"/>
    <w:rsid w:val="009D590D"/>
    <w:rsid w:val="009D5A5B"/>
    <w:rsid w:val="009D5D66"/>
    <w:rsid w:val="009D5D81"/>
    <w:rsid w:val="009D6141"/>
    <w:rsid w:val="009D61DC"/>
    <w:rsid w:val="009D6328"/>
    <w:rsid w:val="009D66D0"/>
    <w:rsid w:val="009D6857"/>
    <w:rsid w:val="009D6A12"/>
    <w:rsid w:val="009D6B84"/>
    <w:rsid w:val="009D6B92"/>
    <w:rsid w:val="009D6BE7"/>
    <w:rsid w:val="009D6C60"/>
    <w:rsid w:val="009D6D3D"/>
    <w:rsid w:val="009D7070"/>
    <w:rsid w:val="009D73E7"/>
    <w:rsid w:val="009D7475"/>
    <w:rsid w:val="009D75E8"/>
    <w:rsid w:val="009D7706"/>
    <w:rsid w:val="009D79CB"/>
    <w:rsid w:val="009D7E56"/>
    <w:rsid w:val="009D7F47"/>
    <w:rsid w:val="009E049D"/>
    <w:rsid w:val="009E04CB"/>
    <w:rsid w:val="009E0571"/>
    <w:rsid w:val="009E05BA"/>
    <w:rsid w:val="009E09B4"/>
    <w:rsid w:val="009E0B69"/>
    <w:rsid w:val="009E0BA7"/>
    <w:rsid w:val="009E0EC4"/>
    <w:rsid w:val="009E0F37"/>
    <w:rsid w:val="009E1033"/>
    <w:rsid w:val="009E1107"/>
    <w:rsid w:val="009E12EF"/>
    <w:rsid w:val="009E1359"/>
    <w:rsid w:val="009E139A"/>
    <w:rsid w:val="009E14F6"/>
    <w:rsid w:val="009E1698"/>
    <w:rsid w:val="009E1886"/>
    <w:rsid w:val="009E1948"/>
    <w:rsid w:val="009E1BEB"/>
    <w:rsid w:val="009E1E07"/>
    <w:rsid w:val="009E1E77"/>
    <w:rsid w:val="009E202F"/>
    <w:rsid w:val="009E216E"/>
    <w:rsid w:val="009E2296"/>
    <w:rsid w:val="009E2629"/>
    <w:rsid w:val="009E2714"/>
    <w:rsid w:val="009E2CF6"/>
    <w:rsid w:val="009E2F42"/>
    <w:rsid w:val="009E310D"/>
    <w:rsid w:val="009E33B9"/>
    <w:rsid w:val="009E35D5"/>
    <w:rsid w:val="009E391C"/>
    <w:rsid w:val="009E3937"/>
    <w:rsid w:val="009E393C"/>
    <w:rsid w:val="009E39F5"/>
    <w:rsid w:val="009E3B65"/>
    <w:rsid w:val="009E3C6A"/>
    <w:rsid w:val="009E41FE"/>
    <w:rsid w:val="009E4761"/>
    <w:rsid w:val="009E487D"/>
    <w:rsid w:val="009E4AAD"/>
    <w:rsid w:val="009E4ADE"/>
    <w:rsid w:val="009E4DD2"/>
    <w:rsid w:val="009E4FED"/>
    <w:rsid w:val="009E53E0"/>
    <w:rsid w:val="009E56DA"/>
    <w:rsid w:val="009E5971"/>
    <w:rsid w:val="009E5AA6"/>
    <w:rsid w:val="009E5B0E"/>
    <w:rsid w:val="009E5B53"/>
    <w:rsid w:val="009E5CA6"/>
    <w:rsid w:val="009E5CB0"/>
    <w:rsid w:val="009E5D07"/>
    <w:rsid w:val="009E6052"/>
    <w:rsid w:val="009E6353"/>
    <w:rsid w:val="009E63C2"/>
    <w:rsid w:val="009E65B9"/>
    <w:rsid w:val="009E6993"/>
    <w:rsid w:val="009E69AE"/>
    <w:rsid w:val="009E6ADC"/>
    <w:rsid w:val="009E6B96"/>
    <w:rsid w:val="009E6C09"/>
    <w:rsid w:val="009E6C4D"/>
    <w:rsid w:val="009E6C7B"/>
    <w:rsid w:val="009E6FC3"/>
    <w:rsid w:val="009E7139"/>
    <w:rsid w:val="009E780D"/>
    <w:rsid w:val="009E7953"/>
    <w:rsid w:val="009E7984"/>
    <w:rsid w:val="009E79D9"/>
    <w:rsid w:val="009E7C1F"/>
    <w:rsid w:val="009E7C7E"/>
    <w:rsid w:val="009E7C7F"/>
    <w:rsid w:val="009E7D81"/>
    <w:rsid w:val="009E7D93"/>
    <w:rsid w:val="009F0326"/>
    <w:rsid w:val="009F0379"/>
    <w:rsid w:val="009F05DA"/>
    <w:rsid w:val="009F0887"/>
    <w:rsid w:val="009F0B04"/>
    <w:rsid w:val="009F0BE1"/>
    <w:rsid w:val="009F0D7C"/>
    <w:rsid w:val="009F0DED"/>
    <w:rsid w:val="009F0DFC"/>
    <w:rsid w:val="009F117E"/>
    <w:rsid w:val="009F12DB"/>
    <w:rsid w:val="009F155A"/>
    <w:rsid w:val="009F1707"/>
    <w:rsid w:val="009F1876"/>
    <w:rsid w:val="009F1B29"/>
    <w:rsid w:val="009F1BB4"/>
    <w:rsid w:val="009F1DCA"/>
    <w:rsid w:val="009F2180"/>
    <w:rsid w:val="009F220E"/>
    <w:rsid w:val="009F2231"/>
    <w:rsid w:val="009F2311"/>
    <w:rsid w:val="009F2400"/>
    <w:rsid w:val="009F2477"/>
    <w:rsid w:val="009F24EC"/>
    <w:rsid w:val="009F2683"/>
    <w:rsid w:val="009F26D4"/>
    <w:rsid w:val="009F29B6"/>
    <w:rsid w:val="009F2AEE"/>
    <w:rsid w:val="009F2DD5"/>
    <w:rsid w:val="009F2E2D"/>
    <w:rsid w:val="009F3517"/>
    <w:rsid w:val="009F3690"/>
    <w:rsid w:val="009F3800"/>
    <w:rsid w:val="009F387C"/>
    <w:rsid w:val="009F3A00"/>
    <w:rsid w:val="009F3BEC"/>
    <w:rsid w:val="009F3D42"/>
    <w:rsid w:val="009F3EDC"/>
    <w:rsid w:val="009F3F01"/>
    <w:rsid w:val="009F3F3F"/>
    <w:rsid w:val="009F3FB3"/>
    <w:rsid w:val="009F40F1"/>
    <w:rsid w:val="009F46D1"/>
    <w:rsid w:val="009F493B"/>
    <w:rsid w:val="009F4993"/>
    <w:rsid w:val="009F4C8A"/>
    <w:rsid w:val="009F4D60"/>
    <w:rsid w:val="009F4D88"/>
    <w:rsid w:val="009F4F08"/>
    <w:rsid w:val="009F4F11"/>
    <w:rsid w:val="009F4FF8"/>
    <w:rsid w:val="009F5258"/>
    <w:rsid w:val="009F5474"/>
    <w:rsid w:val="009F5786"/>
    <w:rsid w:val="009F5BED"/>
    <w:rsid w:val="009F5CDA"/>
    <w:rsid w:val="009F5D9D"/>
    <w:rsid w:val="009F5E42"/>
    <w:rsid w:val="009F5F2B"/>
    <w:rsid w:val="009F63B5"/>
    <w:rsid w:val="009F6659"/>
    <w:rsid w:val="009F6CEE"/>
    <w:rsid w:val="009F6EE1"/>
    <w:rsid w:val="009F6F62"/>
    <w:rsid w:val="009F6FB9"/>
    <w:rsid w:val="009F7160"/>
    <w:rsid w:val="009F71DC"/>
    <w:rsid w:val="009F7476"/>
    <w:rsid w:val="009F751C"/>
    <w:rsid w:val="009F7568"/>
    <w:rsid w:val="009F7754"/>
    <w:rsid w:val="009F7825"/>
    <w:rsid w:val="009F7890"/>
    <w:rsid w:val="009F78A9"/>
    <w:rsid w:val="009F794F"/>
    <w:rsid w:val="009F7981"/>
    <w:rsid w:val="009F7B89"/>
    <w:rsid w:val="009F7D3B"/>
    <w:rsid w:val="009F7EC5"/>
    <w:rsid w:val="00A00670"/>
    <w:rsid w:val="00A00864"/>
    <w:rsid w:val="00A008ED"/>
    <w:rsid w:val="00A0097C"/>
    <w:rsid w:val="00A00FA4"/>
    <w:rsid w:val="00A00FBA"/>
    <w:rsid w:val="00A00FDC"/>
    <w:rsid w:val="00A0101E"/>
    <w:rsid w:val="00A0119C"/>
    <w:rsid w:val="00A012BB"/>
    <w:rsid w:val="00A016BE"/>
    <w:rsid w:val="00A01891"/>
    <w:rsid w:val="00A018B0"/>
    <w:rsid w:val="00A01E39"/>
    <w:rsid w:val="00A01F30"/>
    <w:rsid w:val="00A02022"/>
    <w:rsid w:val="00A0202B"/>
    <w:rsid w:val="00A0205B"/>
    <w:rsid w:val="00A021B7"/>
    <w:rsid w:val="00A02AB8"/>
    <w:rsid w:val="00A02B21"/>
    <w:rsid w:val="00A03316"/>
    <w:rsid w:val="00A0346A"/>
    <w:rsid w:val="00A034A5"/>
    <w:rsid w:val="00A0359A"/>
    <w:rsid w:val="00A035B0"/>
    <w:rsid w:val="00A03624"/>
    <w:rsid w:val="00A03676"/>
    <w:rsid w:val="00A036D3"/>
    <w:rsid w:val="00A03B42"/>
    <w:rsid w:val="00A03CE3"/>
    <w:rsid w:val="00A03E81"/>
    <w:rsid w:val="00A03ED4"/>
    <w:rsid w:val="00A03F4B"/>
    <w:rsid w:val="00A04274"/>
    <w:rsid w:val="00A0427E"/>
    <w:rsid w:val="00A04581"/>
    <w:rsid w:val="00A045F8"/>
    <w:rsid w:val="00A0481F"/>
    <w:rsid w:val="00A04DC2"/>
    <w:rsid w:val="00A0501D"/>
    <w:rsid w:val="00A05066"/>
    <w:rsid w:val="00A050C7"/>
    <w:rsid w:val="00A0510B"/>
    <w:rsid w:val="00A053C8"/>
    <w:rsid w:val="00A053FF"/>
    <w:rsid w:val="00A056D2"/>
    <w:rsid w:val="00A05713"/>
    <w:rsid w:val="00A057AF"/>
    <w:rsid w:val="00A05A4D"/>
    <w:rsid w:val="00A05C0B"/>
    <w:rsid w:val="00A05E38"/>
    <w:rsid w:val="00A064B7"/>
    <w:rsid w:val="00A06525"/>
    <w:rsid w:val="00A06BCD"/>
    <w:rsid w:val="00A07165"/>
    <w:rsid w:val="00A07417"/>
    <w:rsid w:val="00A0754D"/>
    <w:rsid w:val="00A07A4A"/>
    <w:rsid w:val="00A07BBA"/>
    <w:rsid w:val="00A07C5A"/>
    <w:rsid w:val="00A07D91"/>
    <w:rsid w:val="00A07F02"/>
    <w:rsid w:val="00A10054"/>
    <w:rsid w:val="00A100DA"/>
    <w:rsid w:val="00A101F1"/>
    <w:rsid w:val="00A104D7"/>
    <w:rsid w:val="00A10625"/>
    <w:rsid w:val="00A10973"/>
    <w:rsid w:val="00A10990"/>
    <w:rsid w:val="00A10A34"/>
    <w:rsid w:val="00A10A94"/>
    <w:rsid w:val="00A10BF5"/>
    <w:rsid w:val="00A11027"/>
    <w:rsid w:val="00A110AA"/>
    <w:rsid w:val="00A11235"/>
    <w:rsid w:val="00A11394"/>
    <w:rsid w:val="00A11539"/>
    <w:rsid w:val="00A11547"/>
    <w:rsid w:val="00A11B2A"/>
    <w:rsid w:val="00A11B4A"/>
    <w:rsid w:val="00A11D0C"/>
    <w:rsid w:val="00A11ECE"/>
    <w:rsid w:val="00A11F7A"/>
    <w:rsid w:val="00A11FF1"/>
    <w:rsid w:val="00A121E9"/>
    <w:rsid w:val="00A12461"/>
    <w:rsid w:val="00A12501"/>
    <w:rsid w:val="00A12783"/>
    <w:rsid w:val="00A128C5"/>
    <w:rsid w:val="00A129C3"/>
    <w:rsid w:val="00A12BA4"/>
    <w:rsid w:val="00A12D66"/>
    <w:rsid w:val="00A12DCC"/>
    <w:rsid w:val="00A12FAB"/>
    <w:rsid w:val="00A13412"/>
    <w:rsid w:val="00A13447"/>
    <w:rsid w:val="00A136CB"/>
    <w:rsid w:val="00A13CC4"/>
    <w:rsid w:val="00A14111"/>
    <w:rsid w:val="00A142B5"/>
    <w:rsid w:val="00A142E8"/>
    <w:rsid w:val="00A14686"/>
    <w:rsid w:val="00A147D5"/>
    <w:rsid w:val="00A14807"/>
    <w:rsid w:val="00A148EE"/>
    <w:rsid w:val="00A14C0A"/>
    <w:rsid w:val="00A14E50"/>
    <w:rsid w:val="00A14EBA"/>
    <w:rsid w:val="00A15060"/>
    <w:rsid w:val="00A1507C"/>
    <w:rsid w:val="00A150D9"/>
    <w:rsid w:val="00A15206"/>
    <w:rsid w:val="00A1526A"/>
    <w:rsid w:val="00A152CC"/>
    <w:rsid w:val="00A15610"/>
    <w:rsid w:val="00A15B8D"/>
    <w:rsid w:val="00A16007"/>
    <w:rsid w:val="00A163FE"/>
    <w:rsid w:val="00A164CB"/>
    <w:rsid w:val="00A1654F"/>
    <w:rsid w:val="00A16A76"/>
    <w:rsid w:val="00A16C79"/>
    <w:rsid w:val="00A16F51"/>
    <w:rsid w:val="00A170E9"/>
    <w:rsid w:val="00A17218"/>
    <w:rsid w:val="00A17535"/>
    <w:rsid w:val="00A175A4"/>
    <w:rsid w:val="00A1760B"/>
    <w:rsid w:val="00A1768C"/>
    <w:rsid w:val="00A176F6"/>
    <w:rsid w:val="00A17B83"/>
    <w:rsid w:val="00A17C68"/>
    <w:rsid w:val="00A17CE0"/>
    <w:rsid w:val="00A17CEC"/>
    <w:rsid w:val="00A17D84"/>
    <w:rsid w:val="00A17DCD"/>
    <w:rsid w:val="00A17FE9"/>
    <w:rsid w:val="00A17FF3"/>
    <w:rsid w:val="00A20241"/>
    <w:rsid w:val="00A20288"/>
    <w:rsid w:val="00A203B3"/>
    <w:rsid w:val="00A2048F"/>
    <w:rsid w:val="00A20500"/>
    <w:rsid w:val="00A20562"/>
    <w:rsid w:val="00A205EB"/>
    <w:rsid w:val="00A209C4"/>
    <w:rsid w:val="00A20AEE"/>
    <w:rsid w:val="00A20CB4"/>
    <w:rsid w:val="00A20E36"/>
    <w:rsid w:val="00A20E59"/>
    <w:rsid w:val="00A20F1C"/>
    <w:rsid w:val="00A20F45"/>
    <w:rsid w:val="00A20FD2"/>
    <w:rsid w:val="00A20FFF"/>
    <w:rsid w:val="00A2116B"/>
    <w:rsid w:val="00A213D3"/>
    <w:rsid w:val="00A21485"/>
    <w:rsid w:val="00A2171F"/>
    <w:rsid w:val="00A21765"/>
    <w:rsid w:val="00A217DD"/>
    <w:rsid w:val="00A220CC"/>
    <w:rsid w:val="00A22296"/>
    <w:rsid w:val="00A222CE"/>
    <w:rsid w:val="00A22387"/>
    <w:rsid w:val="00A223CA"/>
    <w:rsid w:val="00A224E4"/>
    <w:rsid w:val="00A23423"/>
    <w:rsid w:val="00A234AE"/>
    <w:rsid w:val="00A23570"/>
    <w:rsid w:val="00A23AFB"/>
    <w:rsid w:val="00A23B92"/>
    <w:rsid w:val="00A23C1E"/>
    <w:rsid w:val="00A23CF8"/>
    <w:rsid w:val="00A23D48"/>
    <w:rsid w:val="00A23D7D"/>
    <w:rsid w:val="00A242EE"/>
    <w:rsid w:val="00A2443E"/>
    <w:rsid w:val="00A24761"/>
    <w:rsid w:val="00A24823"/>
    <w:rsid w:val="00A24828"/>
    <w:rsid w:val="00A24A0A"/>
    <w:rsid w:val="00A24A7A"/>
    <w:rsid w:val="00A24B28"/>
    <w:rsid w:val="00A24C2F"/>
    <w:rsid w:val="00A24CDD"/>
    <w:rsid w:val="00A24D41"/>
    <w:rsid w:val="00A24E18"/>
    <w:rsid w:val="00A250AB"/>
    <w:rsid w:val="00A2514C"/>
    <w:rsid w:val="00A25196"/>
    <w:rsid w:val="00A25268"/>
    <w:rsid w:val="00A2532F"/>
    <w:rsid w:val="00A259FC"/>
    <w:rsid w:val="00A25C5B"/>
    <w:rsid w:val="00A25DA3"/>
    <w:rsid w:val="00A26221"/>
    <w:rsid w:val="00A262C4"/>
    <w:rsid w:val="00A266E3"/>
    <w:rsid w:val="00A26A5C"/>
    <w:rsid w:val="00A26C15"/>
    <w:rsid w:val="00A26E9B"/>
    <w:rsid w:val="00A26EF5"/>
    <w:rsid w:val="00A26FD5"/>
    <w:rsid w:val="00A2716C"/>
    <w:rsid w:val="00A2726F"/>
    <w:rsid w:val="00A275D1"/>
    <w:rsid w:val="00A2777E"/>
    <w:rsid w:val="00A27812"/>
    <w:rsid w:val="00A27A94"/>
    <w:rsid w:val="00A300E7"/>
    <w:rsid w:val="00A302CE"/>
    <w:rsid w:val="00A304A1"/>
    <w:rsid w:val="00A304C4"/>
    <w:rsid w:val="00A305A5"/>
    <w:rsid w:val="00A30972"/>
    <w:rsid w:val="00A30CA4"/>
    <w:rsid w:val="00A30DA6"/>
    <w:rsid w:val="00A310A7"/>
    <w:rsid w:val="00A31B0B"/>
    <w:rsid w:val="00A31B56"/>
    <w:rsid w:val="00A31BC1"/>
    <w:rsid w:val="00A31E1D"/>
    <w:rsid w:val="00A31E59"/>
    <w:rsid w:val="00A31F27"/>
    <w:rsid w:val="00A3200F"/>
    <w:rsid w:val="00A32231"/>
    <w:rsid w:val="00A322AE"/>
    <w:rsid w:val="00A32311"/>
    <w:rsid w:val="00A32379"/>
    <w:rsid w:val="00A3252B"/>
    <w:rsid w:val="00A325B9"/>
    <w:rsid w:val="00A32641"/>
    <w:rsid w:val="00A327C3"/>
    <w:rsid w:val="00A3298C"/>
    <w:rsid w:val="00A32A03"/>
    <w:rsid w:val="00A32BB8"/>
    <w:rsid w:val="00A32D26"/>
    <w:rsid w:val="00A32D5C"/>
    <w:rsid w:val="00A32EA1"/>
    <w:rsid w:val="00A32F04"/>
    <w:rsid w:val="00A33510"/>
    <w:rsid w:val="00A337A1"/>
    <w:rsid w:val="00A33998"/>
    <w:rsid w:val="00A33AAB"/>
    <w:rsid w:val="00A33D14"/>
    <w:rsid w:val="00A33D78"/>
    <w:rsid w:val="00A3482E"/>
    <w:rsid w:val="00A348A6"/>
    <w:rsid w:val="00A34AAA"/>
    <w:rsid w:val="00A34C43"/>
    <w:rsid w:val="00A34C69"/>
    <w:rsid w:val="00A34EE6"/>
    <w:rsid w:val="00A34FDD"/>
    <w:rsid w:val="00A35192"/>
    <w:rsid w:val="00A35393"/>
    <w:rsid w:val="00A353AD"/>
    <w:rsid w:val="00A35472"/>
    <w:rsid w:val="00A3591F"/>
    <w:rsid w:val="00A359B6"/>
    <w:rsid w:val="00A35CDD"/>
    <w:rsid w:val="00A35D6F"/>
    <w:rsid w:val="00A35F71"/>
    <w:rsid w:val="00A35F92"/>
    <w:rsid w:val="00A363DB"/>
    <w:rsid w:val="00A36528"/>
    <w:rsid w:val="00A36594"/>
    <w:rsid w:val="00A365E2"/>
    <w:rsid w:val="00A36A7F"/>
    <w:rsid w:val="00A36B7B"/>
    <w:rsid w:val="00A36F4E"/>
    <w:rsid w:val="00A37214"/>
    <w:rsid w:val="00A37282"/>
    <w:rsid w:val="00A372F8"/>
    <w:rsid w:val="00A3735B"/>
    <w:rsid w:val="00A374F5"/>
    <w:rsid w:val="00A37605"/>
    <w:rsid w:val="00A37692"/>
    <w:rsid w:val="00A37987"/>
    <w:rsid w:val="00A37E63"/>
    <w:rsid w:val="00A37FD0"/>
    <w:rsid w:val="00A4000A"/>
    <w:rsid w:val="00A400A8"/>
    <w:rsid w:val="00A40719"/>
    <w:rsid w:val="00A40D08"/>
    <w:rsid w:val="00A40E10"/>
    <w:rsid w:val="00A4142F"/>
    <w:rsid w:val="00A414A4"/>
    <w:rsid w:val="00A415C7"/>
    <w:rsid w:val="00A41618"/>
    <w:rsid w:val="00A41698"/>
    <w:rsid w:val="00A416FE"/>
    <w:rsid w:val="00A417A7"/>
    <w:rsid w:val="00A41827"/>
    <w:rsid w:val="00A418E1"/>
    <w:rsid w:val="00A41924"/>
    <w:rsid w:val="00A41AE8"/>
    <w:rsid w:val="00A41C84"/>
    <w:rsid w:val="00A41CA7"/>
    <w:rsid w:val="00A41E8C"/>
    <w:rsid w:val="00A41ED0"/>
    <w:rsid w:val="00A4200E"/>
    <w:rsid w:val="00A42110"/>
    <w:rsid w:val="00A421F9"/>
    <w:rsid w:val="00A4221D"/>
    <w:rsid w:val="00A42306"/>
    <w:rsid w:val="00A42369"/>
    <w:rsid w:val="00A42449"/>
    <w:rsid w:val="00A4245F"/>
    <w:rsid w:val="00A425FF"/>
    <w:rsid w:val="00A4268A"/>
    <w:rsid w:val="00A42919"/>
    <w:rsid w:val="00A429DB"/>
    <w:rsid w:val="00A42B67"/>
    <w:rsid w:val="00A42C03"/>
    <w:rsid w:val="00A42C86"/>
    <w:rsid w:val="00A42E31"/>
    <w:rsid w:val="00A42E58"/>
    <w:rsid w:val="00A42E77"/>
    <w:rsid w:val="00A432DA"/>
    <w:rsid w:val="00A4351F"/>
    <w:rsid w:val="00A436B7"/>
    <w:rsid w:val="00A43A18"/>
    <w:rsid w:val="00A43AC6"/>
    <w:rsid w:val="00A43AE2"/>
    <w:rsid w:val="00A43BE3"/>
    <w:rsid w:val="00A43C8E"/>
    <w:rsid w:val="00A43D45"/>
    <w:rsid w:val="00A43DB1"/>
    <w:rsid w:val="00A43EDC"/>
    <w:rsid w:val="00A43F61"/>
    <w:rsid w:val="00A44245"/>
    <w:rsid w:val="00A44258"/>
    <w:rsid w:val="00A44373"/>
    <w:rsid w:val="00A443CA"/>
    <w:rsid w:val="00A444EF"/>
    <w:rsid w:val="00A446AC"/>
    <w:rsid w:val="00A44851"/>
    <w:rsid w:val="00A44AB2"/>
    <w:rsid w:val="00A44DCA"/>
    <w:rsid w:val="00A44E8D"/>
    <w:rsid w:val="00A45022"/>
    <w:rsid w:val="00A45192"/>
    <w:rsid w:val="00A45293"/>
    <w:rsid w:val="00A4549A"/>
    <w:rsid w:val="00A454FC"/>
    <w:rsid w:val="00A455A2"/>
    <w:rsid w:val="00A456D4"/>
    <w:rsid w:val="00A457A5"/>
    <w:rsid w:val="00A459D6"/>
    <w:rsid w:val="00A46224"/>
    <w:rsid w:val="00A4623A"/>
    <w:rsid w:val="00A4630E"/>
    <w:rsid w:val="00A467A0"/>
    <w:rsid w:val="00A46C4D"/>
    <w:rsid w:val="00A46D45"/>
    <w:rsid w:val="00A46EA8"/>
    <w:rsid w:val="00A470A8"/>
    <w:rsid w:val="00A470FD"/>
    <w:rsid w:val="00A47209"/>
    <w:rsid w:val="00A4725D"/>
    <w:rsid w:val="00A47305"/>
    <w:rsid w:val="00A47462"/>
    <w:rsid w:val="00A47469"/>
    <w:rsid w:val="00A47544"/>
    <w:rsid w:val="00A475B4"/>
    <w:rsid w:val="00A4763A"/>
    <w:rsid w:val="00A4766B"/>
    <w:rsid w:val="00A47816"/>
    <w:rsid w:val="00A47929"/>
    <w:rsid w:val="00A479F7"/>
    <w:rsid w:val="00A47A92"/>
    <w:rsid w:val="00A47B82"/>
    <w:rsid w:val="00A47BFF"/>
    <w:rsid w:val="00A47C4E"/>
    <w:rsid w:val="00A47D91"/>
    <w:rsid w:val="00A47EB0"/>
    <w:rsid w:val="00A47EB3"/>
    <w:rsid w:val="00A47F3B"/>
    <w:rsid w:val="00A5029F"/>
    <w:rsid w:val="00A502C2"/>
    <w:rsid w:val="00A50668"/>
    <w:rsid w:val="00A506BE"/>
    <w:rsid w:val="00A50803"/>
    <w:rsid w:val="00A50B09"/>
    <w:rsid w:val="00A50B54"/>
    <w:rsid w:val="00A50B75"/>
    <w:rsid w:val="00A50F68"/>
    <w:rsid w:val="00A511D6"/>
    <w:rsid w:val="00A512DE"/>
    <w:rsid w:val="00A51393"/>
    <w:rsid w:val="00A51561"/>
    <w:rsid w:val="00A516C7"/>
    <w:rsid w:val="00A51AAF"/>
    <w:rsid w:val="00A51D58"/>
    <w:rsid w:val="00A52037"/>
    <w:rsid w:val="00A52178"/>
    <w:rsid w:val="00A52225"/>
    <w:rsid w:val="00A52479"/>
    <w:rsid w:val="00A52750"/>
    <w:rsid w:val="00A528BB"/>
    <w:rsid w:val="00A52BD6"/>
    <w:rsid w:val="00A52D8B"/>
    <w:rsid w:val="00A52DB2"/>
    <w:rsid w:val="00A53185"/>
    <w:rsid w:val="00A53278"/>
    <w:rsid w:val="00A5346A"/>
    <w:rsid w:val="00A534E4"/>
    <w:rsid w:val="00A5358D"/>
    <w:rsid w:val="00A53687"/>
    <w:rsid w:val="00A53720"/>
    <w:rsid w:val="00A5378E"/>
    <w:rsid w:val="00A53797"/>
    <w:rsid w:val="00A5388C"/>
    <w:rsid w:val="00A53AD8"/>
    <w:rsid w:val="00A53F18"/>
    <w:rsid w:val="00A53FF1"/>
    <w:rsid w:val="00A54035"/>
    <w:rsid w:val="00A5440A"/>
    <w:rsid w:val="00A548D0"/>
    <w:rsid w:val="00A54A28"/>
    <w:rsid w:val="00A54AC0"/>
    <w:rsid w:val="00A54B28"/>
    <w:rsid w:val="00A54C95"/>
    <w:rsid w:val="00A54CAA"/>
    <w:rsid w:val="00A54CC1"/>
    <w:rsid w:val="00A550B0"/>
    <w:rsid w:val="00A554CE"/>
    <w:rsid w:val="00A55571"/>
    <w:rsid w:val="00A558A8"/>
    <w:rsid w:val="00A55A91"/>
    <w:rsid w:val="00A55ABD"/>
    <w:rsid w:val="00A55ACD"/>
    <w:rsid w:val="00A55C59"/>
    <w:rsid w:val="00A56035"/>
    <w:rsid w:val="00A56114"/>
    <w:rsid w:val="00A56183"/>
    <w:rsid w:val="00A5654D"/>
    <w:rsid w:val="00A566AD"/>
    <w:rsid w:val="00A56873"/>
    <w:rsid w:val="00A5693B"/>
    <w:rsid w:val="00A56982"/>
    <w:rsid w:val="00A569B9"/>
    <w:rsid w:val="00A569C5"/>
    <w:rsid w:val="00A569F4"/>
    <w:rsid w:val="00A56AEB"/>
    <w:rsid w:val="00A56D37"/>
    <w:rsid w:val="00A57020"/>
    <w:rsid w:val="00A57687"/>
    <w:rsid w:val="00A57892"/>
    <w:rsid w:val="00A5793F"/>
    <w:rsid w:val="00A57996"/>
    <w:rsid w:val="00A57A04"/>
    <w:rsid w:val="00A57A1B"/>
    <w:rsid w:val="00A57AC1"/>
    <w:rsid w:val="00A57C4E"/>
    <w:rsid w:val="00A57EDE"/>
    <w:rsid w:val="00A60115"/>
    <w:rsid w:val="00A60406"/>
    <w:rsid w:val="00A608FE"/>
    <w:rsid w:val="00A60A7E"/>
    <w:rsid w:val="00A60F16"/>
    <w:rsid w:val="00A6106E"/>
    <w:rsid w:val="00A610BB"/>
    <w:rsid w:val="00A611A2"/>
    <w:rsid w:val="00A6120C"/>
    <w:rsid w:val="00A612D3"/>
    <w:rsid w:val="00A61401"/>
    <w:rsid w:val="00A61432"/>
    <w:rsid w:val="00A614FE"/>
    <w:rsid w:val="00A61636"/>
    <w:rsid w:val="00A61795"/>
    <w:rsid w:val="00A61924"/>
    <w:rsid w:val="00A61B99"/>
    <w:rsid w:val="00A6209C"/>
    <w:rsid w:val="00A6216C"/>
    <w:rsid w:val="00A6226F"/>
    <w:rsid w:val="00A62536"/>
    <w:rsid w:val="00A62554"/>
    <w:rsid w:val="00A6261A"/>
    <w:rsid w:val="00A62827"/>
    <w:rsid w:val="00A629AC"/>
    <w:rsid w:val="00A62A98"/>
    <w:rsid w:val="00A62C8F"/>
    <w:rsid w:val="00A62DA0"/>
    <w:rsid w:val="00A62E44"/>
    <w:rsid w:val="00A62EC6"/>
    <w:rsid w:val="00A62FD4"/>
    <w:rsid w:val="00A62FF6"/>
    <w:rsid w:val="00A630BF"/>
    <w:rsid w:val="00A630FD"/>
    <w:rsid w:val="00A63202"/>
    <w:rsid w:val="00A632C2"/>
    <w:rsid w:val="00A632CB"/>
    <w:rsid w:val="00A63647"/>
    <w:rsid w:val="00A636A4"/>
    <w:rsid w:val="00A6371E"/>
    <w:rsid w:val="00A638DF"/>
    <w:rsid w:val="00A63B11"/>
    <w:rsid w:val="00A63B84"/>
    <w:rsid w:val="00A63B9E"/>
    <w:rsid w:val="00A63C8A"/>
    <w:rsid w:val="00A63E7E"/>
    <w:rsid w:val="00A63F67"/>
    <w:rsid w:val="00A6425C"/>
    <w:rsid w:val="00A64337"/>
    <w:rsid w:val="00A64687"/>
    <w:rsid w:val="00A64BC0"/>
    <w:rsid w:val="00A64D6A"/>
    <w:rsid w:val="00A64E6B"/>
    <w:rsid w:val="00A64E86"/>
    <w:rsid w:val="00A6500B"/>
    <w:rsid w:val="00A65126"/>
    <w:rsid w:val="00A65178"/>
    <w:rsid w:val="00A657A5"/>
    <w:rsid w:val="00A65BDE"/>
    <w:rsid w:val="00A65C2D"/>
    <w:rsid w:val="00A66071"/>
    <w:rsid w:val="00A66171"/>
    <w:rsid w:val="00A66266"/>
    <w:rsid w:val="00A665B4"/>
    <w:rsid w:val="00A666C5"/>
    <w:rsid w:val="00A66A61"/>
    <w:rsid w:val="00A66D3A"/>
    <w:rsid w:val="00A67247"/>
    <w:rsid w:val="00A67411"/>
    <w:rsid w:val="00A6782D"/>
    <w:rsid w:val="00A67998"/>
    <w:rsid w:val="00A679E6"/>
    <w:rsid w:val="00A67A0E"/>
    <w:rsid w:val="00A67E06"/>
    <w:rsid w:val="00A700BF"/>
    <w:rsid w:val="00A70127"/>
    <w:rsid w:val="00A7022E"/>
    <w:rsid w:val="00A7028F"/>
    <w:rsid w:val="00A7039E"/>
    <w:rsid w:val="00A703CC"/>
    <w:rsid w:val="00A70470"/>
    <w:rsid w:val="00A70523"/>
    <w:rsid w:val="00A70747"/>
    <w:rsid w:val="00A70AA6"/>
    <w:rsid w:val="00A70AF0"/>
    <w:rsid w:val="00A71238"/>
    <w:rsid w:val="00A712F9"/>
    <w:rsid w:val="00A71511"/>
    <w:rsid w:val="00A715E6"/>
    <w:rsid w:val="00A71949"/>
    <w:rsid w:val="00A71A57"/>
    <w:rsid w:val="00A71B68"/>
    <w:rsid w:val="00A71F60"/>
    <w:rsid w:val="00A71F61"/>
    <w:rsid w:val="00A71FA9"/>
    <w:rsid w:val="00A7209F"/>
    <w:rsid w:val="00A72251"/>
    <w:rsid w:val="00A72367"/>
    <w:rsid w:val="00A7243E"/>
    <w:rsid w:val="00A725DB"/>
    <w:rsid w:val="00A7261F"/>
    <w:rsid w:val="00A726E0"/>
    <w:rsid w:val="00A72800"/>
    <w:rsid w:val="00A72DA9"/>
    <w:rsid w:val="00A72E24"/>
    <w:rsid w:val="00A72EF6"/>
    <w:rsid w:val="00A72F3C"/>
    <w:rsid w:val="00A72FA7"/>
    <w:rsid w:val="00A72FD6"/>
    <w:rsid w:val="00A736B4"/>
    <w:rsid w:val="00A73786"/>
    <w:rsid w:val="00A739F2"/>
    <w:rsid w:val="00A73AA8"/>
    <w:rsid w:val="00A73D99"/>
    <w:rsid w:val="00A74088"/>
    <w:rsid w:val="00A744A4"/>
    <w:rsid w:val="00A748AF"/>
    <w:rsid w:val="00A74AA1"/>
    <w:rsid w:val="00A74EB2"/>
    <w:rsid w:val="00A74EDB"/>
    <w:rsid w:val="00A75107"/>
    <w:rsid w:val="00A75B55"/>
    <w:rsid w:val="00A75D25"/>
    <w:rsid w:val="00A75D5C"/>
    <w:rsid w:val="00A75E23"/>
    <w:rsid w:val="00A7610D"/>
    <w:rsid w:val="00A76450"/>
    <w:rsid w:val="00A76714"/>
    <w:rsid w:val="00A76822"/>
    <w:rsid w:val="00A76984"/>
    <w:rsid w:val="00A76B2E"/>
    <w:rsid w:val="00A76BC3"/>
    <w:rsid w:val="00A76DC1"/>
    <w:rsid w:val="00A76EA3"/>
    <w:rsid w:val="00A770A2"/>
    <w:rsid w:val="00A770E1"/>
    <w:rsid w:val="00A7716B"/>
    <w:rsid w:val="00A77250"/>
    <w:rsid w:val="00A772C7"/>
    <w:rsid w:val="00A7759A"/>
    <w:rsid w:val="00A77657"/>
    <w:rsid w:val="00A776F5"/>
    <w:rsid w:val="00A77C1A"/>
    <w:rsid w:val="00A77D21"/>
    <w:rsid w:val="00A77DE5"/>
    <w:rsid w:val="00A80A93"/>
    <w:rsid w:val="00A80BC2"/>
    <w:rsid w:val="00A80F37"/>
    <w:rsid w:val="00A8108D"/>
    <w:rsid w:val="00A810E8"/>
    <w:rsid w:val="00A812BB"/>
    <w:rsid w:val="00A81339"/>
    <w:rsid w:val="00A813E1"/>
    <w:rsid w:val="00A8189F"/>
    <w:rsid w:val="00A819FC"/>
    <w:rsid w:val="00A81C8B"/>
    <w:rsid w:val="00A81E29"/>
    <w:rsid w:val="00A81FF6"/>
    <w:rsid w:val="00A823AE"/>
    <w:rsid w:val="00A82472"/>
    <w:rsid w:val="00A824E3"/>
    <w:rsid w:val="00A825B1"/>
    <w:rsid w:val="00A825F7"/>
    <w:rsid w:val="00A82782"/>
    <w:rsid w:val="00A82812"/>
    <w:rsid w:val="00A82961"/>
    <w:rsid w:val="00A82978"/>
    <w:rsid w:val="00A82AB2"/>
    <w:rsid w:val="00A82ADA"/>
    <w:rsid w:val="00A82BF9"/>
    <w:rsid w:val="00A82D08"/>
    <w:rsid w:val="00A82E4E"/>
    <w:rsid w:val="00A82EE5"/>
    <w:rsid w:val="00A830D7"/>
    <w:rsid w:val="00A83122"/>
    <w:rsid w:val="00A8363E"/>
    <w:rsid w:val="00A836C8"/>
    <w:rsid w:val="00A83BC9"/>
    <w:rsid w:val="00A83D21"/>
    <w:rsid w:val="00A83DD6"/>
    <w:rsid w:val="00A83E60"/>
    <w:rsid w:val="00A83E6E"/>
    <w:rsid w:val="00A83F74"/>
    <w:rsid w:val="00A840DE"/>
    <w:rsid w:val="00A840EC"/>
    <w:rsid w:val="00A8411A"/>
    <w:rsid w:val="00A841B9"/>
    <w:rsid w:val="00A84444"/>
    <w:rsid w:val="00A845E2"/>
    <w:rsid w:val="00A8493F"/>
    <w:rsid w:val="00A84990"/>
    <w:rsid w:val="00A84E1F"/>
    <w:rsid w:val="00A84E70"/>
    <w:rsid w:val="00A84FB5"/>
    <w:rsid w:val="00A85203"/>
    <w:rsid w:val="00A85204"/>
    <w:rsid w:val="00A8554E"/>
    <w:rsid w:val="00A85800"/>
    <w:rsid w:val="00A8585A"/>
    <w:rsid w:val="00A85A91"/>
    <w:rsid w:val="00A85BD5"/>
    <w:rsid w:val="00A85BED"/>
    <w:rsid w:val="00A85D27"/>
    <w:rsid w:val="00A85E1B"/>
    <w:rsid w:val="00A85E1E"/>
    <w:rsid w:val="00A85F54"/>
    <w:rsid w:val="00A865F6"/>
    <w:rsid w:val="00A867F2"/>
    <w:rsid w:val="00A86A01"/>
    <w:rsid w:val="00A86F3B"/>
    <w:rsid w:val="00A871F7"/>
    <w:rsid w:val="00A8785B"/>
    <w:rsid w:val="00A879D7"/>
    <w:rsid w:val="00A879EB"/>
    <w:rsid w:val="00A87A48"/>
    <w:rsid w:val="00A87A8E"/>
    <w:rsid w:val="00A87AFC"/>
    <w:rsid w:val="00A87BF2"/>
    <w:rsid w:val="00A87C30"/>
    <w:rsid w:val="00A87D8C"/>
    <w:rsid w:val="00A87DC5"/>
    <w:rsid w:val="00A87FE7"/>
    <w:rsid w:val="00A8E965"/>
    <w:rsid w:val="00A900AF"/>
    <w:rsid w:val="00A907A7"/>
    <w:rsid w:val="00A909DD"/>
    <w:rsid w:val="00A90BA2"/>
    <w:rsid w:val="00A90C23"/>
    <w:rsid w:val="00A9100A"/>
    <w:rsid w:val="00A910D6"/>
    <w:rsid w:val="00A915D4"/>
    <w:rsid w:val="00A91600"/>
    <w:rsid w:val="00A91880"/>
    <w:rsid w:val="00A91C90"/>
    <w:rsid w:val="00A92588"/>
    <w:rsid w:val="00A926D1"/>
    <w:rsid w:val="00A9278B"/>
    <w:rsid w:val="00A92804"/>
    <w:rsid w:val="00A92C4E"/>
    <w:rsid w:val="00A92E0D"/>
    <w:rsid w:val="00A92EFE"/>
    <w:rsid w:val="00A92FE2"/>
    <w:rsid w:val="00A931BB"/>
    <w:rsid w:val="00A93339"/>
    <w:rsid w:val="00A933C1"/>
    <w:rsid w:val="00A934F0"/>
    <w:rsid w:val="00A9376D"/>
    <w:rsid w:val="00A9382B"/>
    <w:rsid w:val="00A93AF3"/>
    <w:rsid w:val="00A93EF8"/>
    <w:rsid w:val="00A942B8"/>
    <w:rsid w:val="00A947C9"/>
    <w:rsid w:val="00A948CA"/>
    <w:rsid w:val="00A94C5B"/>
    <w:rsid w:val="00A94EFC"/>
    <w:rsid w:val="00A94F6F"/>
    <w:rsid w:val="00A95081"/>
    <w:rsid w:val="00A95394"/>
    <w:rsid w:val="00A953E9"/>
    <w:rsid w:val="00A9592A"/>
    <w:rsid w:val="00A9596D"/>
    <w:rsid w:val="00A95AE3"/>
    <w:rsid w:val="00A95D35"/>
    <w:rsid w:val="00A95D4D"/>
    <w:rsid w:val="00A95D8E"/>
    <w:rsid w:val="00A95DAE"/>
    <w:rsid w:val="00A95EF5"/>
    <w:rsid w:val="00A95F5B"/>
    <w:rsid w:val="00A962A0"/>
    <w:rsid w:val="00A963F1"/>
    <w:rsid w:val="00A96726"/>
    <w:rsid w:val="00A9678A"/>
    <w:rsid w:val="00A96838"/>
    <w:rsid w:val="00A96924"/>
    <w:rsid w:val="00A969F7"/>
    <w:rsid w:val="00A96B51"/>
    <w:rsid w:val="00A96B90"/>
    <w:rsid w:val="00A96E06"/>
    <w:rsid w:val="00A97043"/>
    <w:rsid w:val="00A973E4"/>
    <w:rsid w:val="00A974CF"/>
    <w:rsid w:val="00A97574"/>
    <w:rsid w:val="00A97639"/>
    <w:rsid w:val="00A97851"/>
    <w:rsid w:val="00A9788F"/>
    <w:rsid w:val="00A978BF"/>
    <w:rsid w:val="00A9799F"/>
    <w:rsid w:val="00A97A1E"/>
    <w:rsid w:val="00A97F46"/>
    <w:rsid w:val="00AA0186"/>
    <w:rsid w:val="00AA0190"/>
    <w:rsid w:val="00AA0246"/>
    <w:rsid w:val="00AA072A"/>
    <w:rsid w:val="00AA07B5"/>
    <w:rsid w:val="00AA08E2"/>
    <w:rsid w:val="00AA0BDA"/>
    <w:rsid w:val="00AA0EE8"/>
    <w:rsid w:val="00AA0F87"/>
    <w:rsid w:val="00AA1082"/>
    <w:rsid w:val="00AA10C3"/>
    <w:rsid w:val="00AA1239"/>
    <w:rsid w:val="00AA12E5"/>
    <w:rsid w:val="00AA1468"/>
    <w:rsid w:val="00AA1799"/>
    <w:rsid w:val="00AA1A0A"/>
    <w:rsid w:val="00AA1A36"/>
    <w:rsid w:val="00AA1B54"/>
    <w:rsid w:val="00AA1CF4"/>
    <w:rsid w:val="00AA1E98"/>
    <w:rsid w:val="00AA2138"/>
    <w:rsid w:val="00AA2254"/>
    <w:rsid w:val="00AA23CE"/>
    <w:rsid w:val="00AA250A"/>
    <w:rsid w:val="00AA251F"/>
    <w:rsid w:val="00AA2547"/>
    <w:rsid w:val="00AA2591"/>
    <w:rsid w:val="00AA260A"/>
    <w:rsid w:val="00AA2841"/>
    <w:rsid w:val="00AA293C"/>
    <w:rsid w:val="00AA295D"/>
    <w:rsid w:val="00AA2A59"/>
    <w:rsid w:val="00AA2C42"/>
    <w:rsid w:val="00AA2C82"/>
    <w:rsid w:val="00AA2E4F"/>
    <w:rsid w:val="00AA30B4"/>
    <w:rsid w:val="00AA3111"/>
    <w:rsid w:val="00AA31A4"/>
    <w:rsid w:val="00AA3522"/>
    <w:rsid w:val="00AA375A"/>
    <w:rsid w:val="00AA39E2"/>
    <w:rsid w:val="00AA3ABD"/>
    <w:rsid w:val="00AA3D3E"/>
    <w:rsid w:val="00AA427A"/>
    <w:rsid w:val="00AA430A"/>
    <w:rsid w:val="00AA441B"/>
    <w:rsid w:val="00AA44B4"/>
    <w:rsid w:val="00AA4913"/>
    <w:rsid w:val="00AA4CD8"/>
    <w:rsid w:val="00AA4D35"/>
    <w:rsid w:val="00AA4ED4"/>
    <w:rsid w:val="00AA4ED9"/>
    <w:rsid w:val="00AA512E"/>
    <w:rsid w:val="00AA5940"/>
    <w:rsid w:val="00AA5981"/>
    <w:rsid w:val="00AA59DA"/>
    <w:rsid w:val="00AA5A6A"/>
    <w:rsid w:val="00AA5F66"/>
    <w:rsid w:val="00AA5F69"/>
    <w:rsid w:val="00AA6170"/>
    <w:rsid w:val="00AA6408"/>
    <w:rsid w:val="00AA67B6"/>
    <w:rsid w:val="00AA6867"/>
    <w:rsid w:val="00AA6871"/>
    <w:rsid w:val="00AA6897"/>
    <w:rsid w:val="00AA6926"/>
    <w:rsid w:val="00AA6A6B"/>
    <w:rsid w:val="00AA6ACF"/>
    <w:rsid w:val="00AA6D6C"/>
    <w:rsid w:val="00AA6DA3"/>
    <w:rsid w:val="00AA6EF6"/>
    <w:rsid w:val="00AA6F4D"/>
    <w:rsid w:val="00AA7119"/>
    <w:rsid w:val="00AA71BB"/>
    <w:rsid w:val="00AA75BD"/>
    <w:rsid w:val="00AA78D8"/>
    <w:rsid w:val="00AA792C"/>
    <w:rsid w:val="00AA7968"/>
    <w:rsid w:val="00AA7970"/>
    <w:rsid w:val="00AA7990"/>
    <w:rsid w:val="00AA79DC"/>
    <w:rsid w:val="00AA7BF3"/>
    <w:rsid w:val="00AA7ED9"/>
    <w:rsid w:val="00AA7F01"/>
    <w:rsid w:val="00AA7F1B"/>
    <w:rsid w:val="00AA7FB4"/>
    <w:rsid w:val="00AB00FF"/>
    <w:rsid w:val="00AB0248"/>
    <w:rsid w:val="00AB0361"/>
    <w:rsid w:val="00AB07AF"/>
    <w:rsid w:val="00AB0842"/>
    <w:rsid w:val="00AB08C3"/>
    <w:rsid w:val="00AB0D22"/>
    <w:rsid w:val="00AB0D63"/>
    <w:rsid w:val="00AB0E1A"/>
    <w:rsid w:val="00AB0F12"/>
    <w:rsid w:val="00AB0F83"/>
    <w:rsid w:val="00AB0FDC"/>
    <w:rsid w:val="00AB1040"/>
    <w:rsid w:val="00AB10FA"/>
    <w:rsid w:val="00AB1387"/>
    <w:rsid w:val="00AB1463"/>
    <w:rsid w:val="00AB14D6"/>
    <w:rsid w:val="00AB15EE"/>
    <w:rsid w:val="00AB162A"/>
    <w:rsid w:val="00AB181C"/>
    <w:rsid w:val="00AB1947"/>
    <w:rsid w:val="00AB1ABB"/>
    <w:rsid w:val="00AB1D29"/>
    <w:rsid w:val="00AB1F2D"/>
    <w:rsid w:val="00AB1FD3"/>
    <w:rsid w:val="00AB244B"/>
    <w:rsid w:val="00AB2504"/>
    <w:rsid w:val="00AB271B"/>
    <w:rsid w:val="00AB2AF4"/>
    <w:rsid w:val="00AB2BCB"/>
    <w:rsid w:val="00AB2E4F"/>
    <w:rsid w:val="00AB31C3"/>
    <w:rsid w:val="00AB32F4"/>
    <w:rsid w:val="00AB3B7B"/>
    <w:rsid w:val="00AB3CB7"/>
    <w:rsid w:val="00AB3CEF"/>
    <w:rsid w:val="00AB3EB5"/>
    <w:rsid w:val="00AB3FA2"/>
    <w:rsid w:val="00AB404D"/>
    <w:rsid w:val="00AB4197"/>
    <w:rsid w:val="00AB475E"/>
    <w:rsid w:val="00AB490C"/>
    <w:rsid w:val="00AB49B9"/>
    <w:rsid w:val="00AB49D2"/>
    <w:rsid w:val="00AB4A7F"/>
    <w:rsid w:val="00AB4C54"/>
    <w:rsid w:val="00AB4CA5"/>
    <w:rsid w:val="00AB4DBB"/>
    <w:rsid w:val="00AB4DC9"/>
    <w:rsid w:val="00AB4E1E"/>
    <w:rsid w:val="00AB4E61"/>
    <w:rsid w:val="00AB4EF8"/>
    <w:rsid w:val="00AB4F68"/>
    <w:rsid w:val="00AB51B7"/>
    <w:rsid w:val="00AB52E6"/>
    <w:rsid w:val="00AB5792"/>
    <w:rsid w:val="00AB5A8C"/>
    <w:rsid w:val="00AB5C94"/>
    <w:rsid w:val="00AB5CD8"/>
    <w:rsid w:val="00AB5F62"/>
    <w:rsid w:val="00AB6012"/>
    <w:rsid w:val="00AB615B"/>
    <w:rsid w:val="00AB6203"/>
    <w:rsid w:val="00AB641B"/>
    <w:rsid w:val="00AB6466"/>
    <w:rsid w:val="00AB6689"/>
    <w:rsid w:val="00AB66A0"/>
    <w:rsid w:val="00AB69D9"/>
    <w:rsid w:val="00AB6B5C"/>
    <w:rsid w:val="00AB7343"/>
    <w:rsid w:val="00AB779C"/>
    <w:rsid w:val="00AB7831"/>
    <w:rsid w:val="00AB7875"/>
    <w:rsid w:val="00AB797A"/>
    <w:rsid w:val="00AB7A26"/>
    <w:rsid w:val="00AB7B06"/>
    <w:rsid w:val="00AB7D6D"/>
    <w:rsid w:val="00AB7DFB"/>
    <w:rsid w:val="00AC002C"/>
    <w:rsid w:val="00AC0178"/>
    <w:rsid w:val="00AC031D"/>
    <w:rsid w:val="00AC0596"/>
    <w:rsid w:val="00AC05BA"/>
    <w:rsid w:val="00AC0771"/>
    <w:rsid w:val="00AC0CF5"/>
    <w:rsid w:val="00AC0E5C"/>
    <w:rsid w:val="00AC0FBA"/>
    <w:rsid w:val="00AC1016"/>
    <w:rsid w:val="00AC10E1"/>
    <w:rsid w:val="00AC129C"/>
    <w:rsid w:val="00AC12D3"/>
    <w:rsid w:val="00AC14C8"/>
    <w:rsid w:val="00AC14CD"/>
    <w:rsid w:val="00AC1701"/>
    <w:rsid w:val="00AC1A61"/>
    <w:rsid w:val="00AC1B7E"/>
    <w:rsid w:val="00AC1CC3"/>
    <w:rsid w:val="00AC1E9A"/>
    <w:rsid w:val="00AC1F0A"/>
    <w:rsid w:val="00AC2061"/>
    <w:rsid w:val="00AC2116"/>
    <w:rsid w:val="00AC22B0"/>
    <w:rsid w:val="00AC25AA"/>
    <w:rsid w:val="00AC26DC"/>
    <w:rsid w:val="00AC2998"/>
    <w:rsid w:val="00AC2EC4"/>
    <w:rsid w:val="00AC303C"/>
    <w:rsid w:val="00AC31BE"/>
    <w:rsid w:val="00AC35F2"/>
    <w:rsid w:val="00AC3787"/>
    <w:rsid w:val="00AC38EA"/>
    <w:rsid w:val="00AC3946"/>
    <w:rsid w:val="00AC39D2"/>
    <w:rsid w:val="00AC39E2"/>
    <w:rsid w:val="00AC3A1C"/>
    <w:rsid w:val="00AC3A3A"/>
    <w:rsid w:val="00AC3B76"/>
    <w:rsid w:val="00AC3D7B"/>
    <w:rsid w:val="00AC3E8C"/>
    <w:rsid w:val="00AC3FA9"/>
    <w:rsid w:val="00AC41FF"/>
    <w:rsid w:val="00AC4265"/>
    <w:rsid w:val="00AC42FA"/>
    <w:rsid w:val="00AC43B9"/>
    <w:rsid w:val="00AC43BC"/>
    <w:rsid w:val="00AC4419"/>
    <w:rsid w:val="00AC49E9"/>
    <w:rsid w:val="00AC4C10"/>
    <w:rsid w:val="00AC4C54"/>
    <w:rsid w:val="00AC4E2F"/>
    <w:rsid w:val="00AC515D"/>
    <w:rsid w:val="00AC5364"/>
    <w:rsid w:val="00AC54D3"/>
    <w:rsid w:val="00AC566A"/>
    <w:rsid w:val="00AC5670"/>
    <w:rsid w:val="00AC5910"/>
    <w:rsid w:val="00AC5AEF"/>
    <w:rsid w:val="00AC5C9E"/>
    <w:rsid w:val="00AC5D4C"/>
    <w:rsid w:val="00AC6175"/>
    <w:rsid w:val="00AC61DA"/>
    <w:rsid w:val="00AC6396"/>
    <w:rsid w:val="00AC6666"/>
    <w:rsid w:val="00AC6673"/>
    <w:rsid w:val="00AC68EE"/>
    <w:rsid w:val="00AC6902"/>
    <w:rsid w:val="00AC6B13"/>
    <w:rsid w:val="00AC6C2F"/>
    <w:rsid w:val="00AC6F07"/>
    <w:rsid w:val="00AC71A2"/>
    <w:rsid w:val="00AC71F4"/>
    <w:rsid w:val="00AC71FD"/>
    <w:rsid w:val="00AC7428"/>
    <w:rsid w:val="00AC7609"/>
    <w:rsid w:val="00AC7740"/>
    <w:rsid w:val="00AC7870"/>
    <w:rsid w:val="00AC792B"/>
    <w:rsid w:val="00AC7A40"/>
    <w:rsid w:val="00AC7DF3"/>
    <w:rsid w:val="00AC7F8D"/>
    <w:rsid w:val="00AD0132"/>
    <w:rsid w:val="00AD01BC"/>
    <w:rsid w:val="00AD0278"/>
    <w:rsid w:val="00AD04C5"/>
    <w:rsid w:val="00AD0858"/>
    <w:rsid w:val="00AD086A"/>
    <w:rsid w:val="00AD08E5"/>
    <w:rsid w:val="00AD0C1B"/>
    <w:rsid w:val="00AD102F"/>
    <w:rsid w:val="00AD1093"/>
    <w:rsid w:val="00AD12A2"/>
    <w:rsid w:val="00AD14E5"/>
    <w:rsid w:val="00AD1600"/>
    <w:rsid w:val="00AD1683"/>
    <w:rsid w:val="00AD16B2"/>
    <w:rsid w:val="00AD1C03"/>
    <w:rsid w:val="00AD1C77"/>
    <w:rsid w:val="00AD1D51"/>
    <w:rsid w:val="00AD1F9B"/>
    <w:rsid w:val="00AD1FFF"/>
    <w:rsid w:val="00AD2150"/>
    <w:rsid w:val="00AD2387"/>
    <w:rsid w:val="00AD252F"/>
    <w:rsid w:val="00AD2537"/>
    <w:rsid w:val="00AD268C"/>
    <w:rsid w:val="00AD26E6"/>
    <w:rsid w:val="00AD281E"/>
    <w:rsid w:val="00AD28D1"/>
    <w:rsid w:val="00AD2922"/>
    <w:rsid w:val="00AD2BE9"/>
    <w:rsid w:val="00AD2C11"/>
    <w:rsid w:val="00AD2EFF"/>
    <w:rsid w:val="00AD2FDE"/>
    <w:rsid w:val="00AD31F2"/>
    <w:rsid w:val="00AD336C"/>
    <w:rsid w:val="00AD3AC5"/>
    <w:rsid w:val="00AD3D26"/>
    <w:rsid w:val="00AD3E39"/>
    <w:rsid w:val="00AD4439"/>
    <w:rsid w:val="00AD449A"/>
    <w:rsid w:val="00AD44CB"/>
    <w:rsid w:val="00AD464F"/>
    <w:rsid w:val="00AD47B5"/>
    <w:rsid w:val="00AD4878"/>
    <w:rsid w:val="00AD495E"/>
    <w:rsid w:val="00AD49A3"/>
    <w:rsid w:val="00AD4BAA"/>
    <w:rsid w:val="00AD4C22"/>
    <w:rsid w:val="00AD4D84"/>
    <w:rsid w:val="00AD5145"/>
    <w:rsid w:val="00AD5380"/>
    <w:rsid w:val="00AD53E2"/>
    <w:rsid w:val="00AD5614"/>
    <w:rsid w:val="00AD57F5"/>
    <w:rsid w:val="00AD5B43"/>
    <w:rsid w:val="00AD5B97"/>
    <w:rsid w:val="00AD5BCA"/>
    <w:rsid w:val="00AD5CC4"/>
    <w:rsid w:val="00AD5DA2"/>
    <w:rsid w:val="00AD5DDF"/>
    <w:rsid w:val="00AD61E6"/>
    <w:rsid w:val="00AD642B"/>
    <w:rsid w:val="00AD6847"/>
    <w:rsid w:val="00AD68CC"/>
    <w:rsid w:val="00AD6966"/>
    <w:rsid w:val="00AD6BFA"/>
    <w:rsid w:val="00AD6C9E"/>
    <w:rsid w:val="00AD6D96"/>
    <w:rsid w:val="00AD6F01"/>
    <w:rsid w:val="00AD6F8C"/>
    <w:rsid w:val="00AD740D"/>
    <w:rsid w:val="00AD747C"/>
    <w:rsid w:val="00AD74D8"/>
    <w:rsid w:val="00AD7560"/>
    <w:rsid w:val="00AD7687"/>
    <w:rsid w:val="00AD775D"/>
    <w:rsid w:val="00AD7853"/>
    <w:rsid w:val="00AD78B1"/>
    <w:rsid w:val="00AD7D94"/>
    <w:rsid w:val="00AD7EDA"/>
    <w:rsid w:val="00AD7F32"/>
    <w:rsid w:val="00AE0074"/>
    <w:rsid w:val="00AE02F0"/>
    <w:rsid w:val="00AE045F"/>
    <w:rsid w:val="00AE0480"/>
    <w:rsid w:val="00AE06A6"/>
    <w:rsid w:val="00AE08E4"/>
    <w:rsid w:val="00AE0A8D"/>
    <w:rsid w:val="00AE0DBB"/>
    <w:rsid w:val="00AE0FD8"/>
    <w:rsid w:val="00AE1062"/>
    <w:rsid w:val="00AE10B9"/>
    <w:rsid w:val="00AE166D"/>
    <w:rsid w:val="00AE17AA"/>
    <w:rsid w:val="00AE18B7"/>
    <w:rsid w:val="00AE18E5"/>
    <w:rsid w:val="00AE1988"/>
    <w:rsid w:val="00AE1D0E"/>
    <w:rsid w:val="00AE1D91"/>
    <w:rsid w:val="00AE214A"/>
    <w:rsid w:val="00AE22F2"/>
    <w:rsid w:val="00AE256E"/>
    <w:rsid w:val="00AE277C"/>
    <w:rsid w:val="00AE2B52"/>
    <w:rsid w:val="00AE2B99"/>
    <w:rsid w:val="00AE2D19"/>
    <w:rsid w:val="00AE3010"/>
    <w:rsid w:val="00AE31AF"/>
    <w:rsid w:val="00AE323B"/>
    <w:rsid w:val="00AE3377"/>
    <w:rsid w:val="00AE348F"/>
    <w:rsid w:val="00AE357B"/>
    <w:rsid w:val="00AE380F"/>
    <w:rsid w:val="00AE38CC"/>
    <w:rsid w:val="00AE3BCC"/>
    <w:rsid w:val="00AE3EB4"/>
    <w:rsid w:val="00AE40F5"/>
    <w:rsid w:val="00AE4148"/>
    <w:rsid w:val="00AE4230"/>
    <w:rsid w:val="00AE43D2"/>
    <w:rsid w:val="00AE4433"/>
    <w:rsid w:val="00AE4503"/>
    <w:rsid w:val="00AE450F"/>
    <w:rsid w:val="00AE45AC"/>
    <w:rsid w:val="00AE4649"/>
    <w:rsid w:val="00AE4919"/>
    <w:rsid w:val="00AE4A33"/>
    <w:rsid w:val="00AE4F47"/>
    <w:rsid w:val="00AE504B"/>
    <w:rsid w:val="00AE53C7"/>
    <w:rsid w:val="00AE53F6"/>
    <w:rsid w:val="00AE54B1"/>
    <w:rsid w:val="00AE54E6"/>
    <w:rsid w:val="00AE5545"/>
    <w:rsid w:val="00AE57C1"/>
    <w:rsid w:val="00AE5AD0"/>
    <w:rsid w:val="00AE5ADA"/>
    <w:rsid w:val="00AE5F52"/>
    <w:rsid w:val="00AE5F73"/>
    <w:rsid w:val="00AE60BD"/>
    <w:rsid w:val="00AE6154"/>
    <w:rsid w:val="00AE655C"/>
    <w:rsid w:val="00AE6561"/>
    <w:rsid w:val="00AE65E5"/>
    <w:rsid w:val="00AE67DD"/>
    <w:rsid w:val="00AE69E3"/>
    <w:rsid w:val="00AE6B66"/>
    <w:rsid w:val="00AE6CF1"/>
    <w:rsid w:val="00AE7005"/>
    <w:rsid w:val="00AE721F"/>
    <w:rsid w:val="00AE72E5"/>
    <w:rsid w:val="00AE73D5"/>
    <w:rsid w:val="00AE7743"/>
    <w:rsid w:val="00AE7B68"/>
    <w:rsid w:val="00AE7D1E"/>
    <w:rsid w:val="00AE7D6E"/>
    <w:rsid w:val="00AE7E5E"/>
    <w:rsid w:val="00AE7E8F"/>
    <w:rsid w:val="00AF00EF"/>
    <w:rsid w:val="00AF0206"/>
    <w:rsid w:val="00AF027F"/>
    <w:rsid w:val="00AF0504"/>
    <w:rsid w:val="00AF0648"/>
    <w:rsid w:val="00AF087E"/>
    <w:rsid w:val="00AF099D"/>
    <w:rsid w:val="00AF09DA"/>
    <w:rsid w:val="00AF09EE"/>
    <w:rsid w:val="00AF0AE5"/>
    <w:rsid w:val="00AF0B17"/>
    <w:rsid w:val="00AF0F37"/>
    <w:rsid w:val="00AF0FD4"/>
    <w:rsid w:val="00AF1025"/>
    <w:rsid w:val="00AF1160"/>
    <w:rsid w:val="00AF1599"/>
    <w:rsid w:val="00AF1960"/>
    <w:rsid w:val="00AF1BD5"/>
    <w:rsid w:val="00AF2087"/>
    <w:rsid w:val="00AF2108"/>
    <w:rsid w:val="00AF23CF"/>
    <w:rsid w:val="00AF23D5"/>
    <w:rsid w:val="00AF2401"/>
    <w:rsid w:val="00AF2402"/>
    <w:rsid w:val="00AF26B6"/>
    <w:rsid w:val="00AF2BAC"/>
    <w:rsid w:val="00AF2C10"/>
    <w:rsid w:val="00AF3037"/>
    <w:rsid w:val="00AF3176"/>
    <w:rsid w:val="00AF3201"/>
    <w:rsid w:val="00AF3337"/>
    <w:rsid w:val="00AF3969"/>
    <w:rsid w:val="00AF39C3"/>
    <w:rsid w:val="00AF3A4D"/>
    <w:rsid w:val="00AF3B34"/>
    <w:rsid w:val="00AF3C7F"/>
    <w:rsid w:val="00AF3EA6"/>
    <w:rsid w:val="00AF3F10"/>
    <w:rsid w:val="00AF3F7E"/>
    <w:rsid w:val="00AF3FC0"/>
    <w:rsid w:val="00AF41B1"/>
    <w:rsid w:val="00AF42E2"/>
    <w:rsid w:val="00AF46B1"/>
    <w:rsid w:val="00AF493D"/>
    <w:rsid w:val="00AF49E4"/>
    <w:rsid w:val="00AF4B6B"/>
    <w:rsid w:val="00AF4C55"/>
    <w:rsid w:val="00AF5469"/>
    <w:rsid w:val="00AF559D"/>
    <w:rsid w:val="00AF594E"/>
    <w:rsid w:val="00AF59DF"/>
    <w:rsid w:val="00AF5AD1"/>
    <w:rsid w:val="00AF5C1A"/>
    <w:rsid w:val="00AF5DBE"/>
    <w:rsid w:val="00AF5E57"/>
    <w:rsid w:val="00AF612A"/>
    <w:rsid w:val="00AF6555"/>
    <w:rsid w:val="00AF66FD"/>
    <w:rsid w:val="00AF67D9"/>
    <w:rsid w:val="00AF680B"/>
    <w:rsid w:val="00AF69C1"/>
    <w:rsid w:val="00AF6CC0"/>
    <w:rsid w:val="00AF6D19"/>
    <w:rsid w:val="00AF6D27"/>
    <w:rsid w:val="00AF6F14"/>
    <w:rsid w:val="00AF7120"/>
    <w:rsid w:val="00AF72DE"/>
    <w:rsid w:val="00AF72FE"/>
    <w:rsid w:val="00AF7507"/>
    <w:rsid w:val="00AF7550"/>
    <w:rsid w:val="00AF7704"/>
    <w:rsid w:val="00AF7BD1"/>
    <w:rsid w:val="00AF7E23"/>
    <w:rsid w:val="00AF7EEA"/>
    <w:rsid w:val="00B0019A"/>
    <w:rsid w:val="00B0024B"/>
    <w:rsid w:val="00B003A3"/>
    <w:rsid w:val="00B003B5"/>
    <w:rsid w:val="00B005B6"/>
    <w:rsid w:val="00B0064E"/>
    <w:rsid w:val="00B00A54"/>
    <w:rsid w:val="00B00AC2"/>
    <w:rsid w:val="00B00B46"/>
    <w:rsid w:val="00B00DF6"/>
    <w:rsid w:val="00B01022"/>
    <w:rsid w:val="00B012AB"/>
    <w:rsid w:val="00B0156E"/>
    <w:rsid w:val="00B0163C"/>
    <w:rsid w:val="00B01696"/>
    <w:rsid w:val="00B01746"/>
    <w:rsid w:val="00B019F4"/>
    <w:rsid w:val="00B01E19"/>
    <w:rsid w:val="00B01F7E"/>
    <w:rsid w:val="00B020F0"/>
    <w:rsid w:val="00B0214F"/>
    <w:rsid w:val="00B0216F"/>
    <w:rsid w:val="00B02266"/>
    <w:rsid w:val="00B022C8"/>
    <w:rsid w:val="00B0250C"/>
    <w:rsid w:val="00B0297E"/>
    <w:rsid w:val="00B02A63"/>
    <w:rsid w:val="00B02AB4"/>
    <w:rsid w:val="00B02B17"/>
    <w:rsid w:val="00B02BEC"/>
    <w:rsid w:val="00B02C47"/>
    <w:rsid w:val="00B02CA7"/>
    <w:rsid w:val="00B03137"/>
    <w:rsid w:val="00B03537"/>
    <w:rsid w:val="00B03583"/>
    <w:rsid w:val="00B035D7"/>
    <w:rsid w:val="00B03611"/>
    <w:rsid w:val="00B03662"/>
    <w:rsid w:val="00B03664"/>
    <w:rsid w:val="00B0369A"/>
    <w:rsid w:val="00B03702"/>
    <w:rsid w:val="00B03791"/>
    <w:rsid w:val="00B037A7"/>
    <w:rsid w:val="00B0390F"/>
    <w:rsid w:val="00B03A41"/>
    <w:rsid w:val="00B03F3B"/>
    <w:rsid w:val="00B03F4A"/>
    <w:rsid w:val="00B03F51"/>
    <w:rsid w:val="00B04011"/>
    <w:rsid w:val="00B040CE"/>
    <w:rsid w:val="00B04664"/>
    <w:rsid w:val="00B049B5"/>
    <w:rsid w:val="00B04A70"/>
    <w:rsid w:val="00B05140"/>
    <w:rsid w:val="00B0527D"/>
    <w:rsid w:val="00B054DE"/>
    <w:rsid w:val="00B05601"/>
    <w:rsid w:val="00B05693"/>
    <w:rsid w:val="00B057D7"/>
    <w:rsid w:val="00B05873"/>
    <w:rsid w:val="00B058AA"/>
    <w:rsid w:val="00B05AD9"/>
    <w:rsid w:val="00B05B31"/>
    <w:rsid w:val="00B0619E"/>
    <w:rsid w:val="00B061B1"/>
    <w:rsid w:val="00B064D0"/>
    <w:rsid w:val="00B06767"/>
    <w:rsid w:val="00B06CBD"/>
    <w:rsid w:val="00B06D46"/>
    <w:rsid w:val="00B06EBA"/>
    <w:rsid w:val="00B06F49"/>
    <w:rsid w:val="00B071BA"/>
    <w:rsid w:val="00B0721A"/>
    <w:rsid w:val="00B072F9"/>
    <w:rsid w:val="00B0739D"/>
    <w:rsid w:val="00B07494"/>
    <w:rsid w:val="00B07521"/>
    <w:rsid w:val="00B0758A"/>
    <w:rsid w:val="00B07772"/>
    <w:rsid w:val="00B0783E"/>
    <w:rsid w:val="00B078DD"/>
    <w:rsid w:val="00B079A9"/>
    <w:rsid w:val="00B07B15"/>
    <w:rsid w:val="00B07CE3"/>
    <w:rsid w:val="00B07DE0"/>
    <w:rsid w:val="00B103FA"/>
    <w:rsid w:val="00B104E6"/>
    <w:rsid w:val="00B10560"/>
    <w:rsid w:val="00B105B1"/>
    <w:rsid w:val="00B106C2"/>
    <w:rsid w:val="00B106C3"/>
    <w:rsid w:val="00B10721"/>
    <w:rsid w:val="00B10D61"/>
    <w:rsid w:val="00B10E85"/>
    <w:rsid w:val="00B11559"/>
    <w:rsid w:val="00B117F8"/>
    <w:rsid w:val="00B119FC"/>
    <w:rsid w:val="00B11A40"/>
    <w:rsid w:val="00B11F32"/>
    <w:rsid w:val="00B11F74"/>
    <w:rsid w:val="00B11FC7"/>
    <w:rsid w:val="00B12080"/>
    <w:rsid w:val="00B12180"/>
    <w:rsid w:val="00B12474"/>
    <w:rsid w:val="00B128E2"/>
    <w:rsid w:val="00B129D7"/>
    <w:rsid w:val="00B12AA5"/>
    <w:rsid w:val="00B12C05"/>
    <w:rsid w:val="00B12C09"/>
    <w:rsid w:val="00B12D85"/>
    <w:rsid w:val="00B12EF7"/>
    <w:rsid w:val="00B12EFD"/>
    <w:rsid w:val="00B12F41"/>
    <w:rsid w:val="00B1319E"/>
    <w:rsid w:val="00B1336A"/>
    <w:rsid w:val="00B133CA"/>
    <w:rsid w:val="00B1360B"/>
    <w:rsid w:val="00B13678"/>
    <w:rsid w:val="00B136B8"/>
    <w:rsid w:val="00B13812"/>
    <w:rsid w:val="00B1384F"/>
    <w:rsid w:val="00B13916"/>
    <w:rsid w:val="00B13919"/>
    <w:rsid w:val="00B13A35"/>
    <w:rsid w:val="00B13E3A"/>
    <w:rsid w:val="00B13FBC"/>
    <w:rsid w:val="00B14190"/>
    <w:rsid w:val="00B142C5"/>
    <w:rsid w:val="00B14390"/>
    <w:rsid w:val="00B14478"/>
    <w:rsid w:val="00B14525"/>
    <w:rsid w:val="00B147B1"/>
    <w:rsid w:val="00B14A0F"/>
    <w:rsid w:val="00B14AC6"/>
    <w:rsid w:val="00B14B5A"/>
    <w:rsid w:val="00B14CD0"/>
    <w:rsid w:val="00B14CEC"/>
    <w:rsid w:val="00B14DA2"/>
    <w:rsid w:val="00B14E97"/>
    <w:rsid w:val="00B14EB9"/>
    <w:rsid w:val="00B15083"/>
    <w:rsid w:val="00B151A8"/>
    <w:rsid w:val="00B15265"/>
    <w:rsid w:val="00B15581"/>
    <w:rsid w:val="00B15F83"/>
    <w:rsid w:val="00B16030"/>
    <w:rsid w:val="00B160C2"/>
    <w:rsid w:val="00B1626A"/>
    <w:rsid w:val="00B1638E"/>
    <w:rsid w:val="00B16446"/>
    <w:rsid w:val="00B16592"/>
    <w:rsid w:val="00B1668B"/>
    <w:rsid w:val="00B1670C"/>
    <w:rsid w:val="00B1684E"/>
    <w:rsid w:val="00B1685B"/>
    <w:rsid w:val="00B168B9"/>
    <w:rsid w:val="00B16BCB"/>
    <w:rsid w:val="00B16BFC"/>
    <w:rsid w:val="00B16C2A"/>
    <w:rsid w:val="00B16CD2"/>
    <w:rsid w:val="00B16D90"/>
    <w:rsid w:val="00B16DD4"/>
    <w:rsid w:val="00B17033"/>
    <w:rsid w:val="00B17593"/>
    <w:rsid w:val="00B175A2"/>
    <w:rsid w:val="00B176B1"/>
    <w:rsid w:val="00B17873"/>
    <w:rsid w:val="00B17942"/>
    <w:rsid w:val="00B17ABD"/>
    <w:rsid w:val="00B17BC8"/>
    <w:rsid w:val="00B17CD2"/>
    <w:rsid w:val="00B17CE1"/>
    <w:rsid w:val="00B17D0D"/>
    <w:rsid w:val="00B17D14"/>
    <w:rsid w:val="00B17F06"/>
    <w:rsid w:val="00B20033"/>
    <w:rsid w:val="00B20231"/>
    <w:rsid w:val="00B20273"/>
    <w:rsid w:val="00B202C1"/>
    <w:rsid w:val="00B203DD"/>
    <w:rsid w:val="00B203E4"/>
    <w:rsid w:val="00B2054B"/>
    <w:rsid w:val="00B206EE"/>
    <w:rsid w:val="00B208F4"/>
    <w:rsid w:val="00B20919"/>
    <w:rsid w:val="00B20EB5"/>
    <w:rsid w:val="00B20FB7"/>
    <w:rsid w:val="00B2123A"/>
    <w:rsid w:val="00B2127D"/>
    <w:rsid w:val="00B21337"/>
    <w:rsid w:val="00B213C2"/>
    <w:rsid w:val="00B21532"/>
    <w:rsid w:val="00B215DD"/>
    <w:rsid w:val="00B2168F"/>
    <w:rsid w:val="00B21782"/>
    <w:rsid w:val="00B21903"/>
    <w:rsid w:val="00B219A6"/>
    <w:rsid w:val="00B21C25"/>
    <w:rsid w:val="00B21D9D"/>
    <w:rsid w:val="00B22058"/>
    <w:rsid w:val="00B222C5"/>
    <w:rsid w:val="00B22375"/>
    <w:rsid w:val="00B223F2"/>
    <w:rsid w:val="00B22624"/>
    <w:rsid w:val="00B226FF"/>
    <w:rsid w:val="00B22981"/>
    <w:rsid w:val="00B229EC"/>
    <w:rsid w:val="00B22A90"/>
    <w:rsid w:val="00B22CC5"/>
    <w:rsid w:val="00B22F6F"/>
    <w:rsid w:val="00B2306A"/>
    <w:rsid w:val="00B23495"/>
    <w:rsid w:val="00B2352F"/>
    <w:rsid w:val="00B23945"/>
    <w:rsid w:val="00B23FB1"/>
    <w:rsid w:val="00B2417A"/>
    <w:rsid w:val="00B24315"/>
    <w:rsid w:val="00B24361"/>
    <w:rsid w:val="00B24440"/>
    <w:rsid w:val="00B244A6"/>
    <w:rsid w:val="00B24506"/>
    <w:rsid w:val="00B2489D"/>
    <w:rsid w:val="00B249B8"/>
    <w:rsid w:val="00B24A15"/>
    <w:rsid w:val="00B24B40"/>
    <w:rsid w:val="00B24CB3"/>
    <w:rsid w:val="00B24CB6"/>
    <w:rsid w:val="00B24CFC"/>
    <w:rsid w:val="00B24E80"/>
    <w:rsid w:val="00B252E4"/>
    <w:rsid w:val="00B25334"/>
    <w:rsid w:val="00B254FC"/>
    <w:rsid w:val="00B25817"/>
    <w:rsid w:val="00B259CA"/>
    <w:rsid w:val="00B25CF4"/>
    <w:rsid w:val="00B25E7A"/>
    <w:rsid w:val="00B25FEC"/>
    <w:rsid w:val="00B25FF7"/>
    <w:rsid w:val="00B261B6"/>
    <w:rsid w:val="00B26397"/>
    <w:rsid w:val="00B263E0"/>
    <w:rsid w:val="00B26569"/>
    <w:rsid w:val="00B268BD"/>
    <w:rsid w:val="00B26C9B"/>
    <w:rsid w:val="00B26E18"/>
    <w:rsid w:val="00B271DA"/>
    <w:rsid w:val="00B27246"/>
    <w:rsid w:val="00B27512"/>
    <w:rsid w:val="00B2778D"/>
    <w:rsid w:val="00B278C4"/>
    <w:rsid w:val="00B27980"/>
    <w:rsid w:val="00B279BD"/>
    <w:rsid w:val="00B30094"/>
    <w:rsid w:val="00B30106"/>
    <w:rsid w:val="00B301D3"/>
    <w:rsid w:val="00B3044B"/>
    <w:rsid w:val="00B304B4"/>
    <w:rsid w:val="00B30613"/>
    <w:rsid w:val="00B3087D"/>
    <w:rsid w:val="00B309DA"/>
    <w:rsid w:val="00B30B77"/>
    <w:rsid w:val="00B30CEE"/>
    <w:rsid w:val="00B314B4"/>
    <w:rsid w:val="00B315DF"/>
    <w:rsid w:val="00B316DD"/>
    <w:rsid w:val="00B3175E"/>
    <w:rsid w:val="00B31ADE"/>
    <w:rsid w:val="00B321EC"/>
    <w:rsid w:val="00B32449"/>
    <w:rsid w:val="00B324CE"/>
    <w:rsid w:val="00B325F4"/>
    <w:rsid w:val="00B32A26"/>
    <w:rsid w:val="00B32C15"/>
    <w:rsid w:val="00B32D31"/>
    <w:rsid w:val="00B32DD8"/>
    <w:rsid w:val="00B3347C"/>
    <w:rsid w:val="00B335D7"/>
    <w:rsid w:val="00B3371D"/>
    <w:rsid w:val="00B33D57"/>
    <w:rsid w:val="00B33D91"/>
    <w:rsid w:val="00B33EED"/>
    <w:rsid w:val="00B33F61"/>
    <w:rsid w:val="00B33F80"/>
    <w:rsid w:val="00B34034"/>
    <w:rsid w:val="00B3448B"/>
    <w:rsid w:val="00B344E0"/>
    <w:rsid w:val="00B346D4"/>
    <w:rsid w:val="00B34794"/>
    <w:rsid w:val="00B347D8"/>
    <w:rsid w:val="00B347DF"/>
    <w:rsid w:val="00B34B78"/>
    <w:rsid w:val="00B34BE7"/>
    <w:rsid w:val="00B34CA1"/>
    <w:rsid w:val="00B352B1"/>
    <w:rsid w:val="00B35650"/>
    <w:rsid w:val="00B3567A"/>
    <w:rsid w:val="00B358BD"/>
    <w:rsid w:val="00B35B11"/>
    <w:rsid w:val="00B35E34"/>
    <w:rsid w:val="00B35E60"/>
    <w:rsid w:val="00B36971"/>
    <w:rsid w:val="00B36B52"/>
    <w:rsid w:val="00B36CB9"/>
    <w:rsid w:val="00B36D9C"/>
    <w:rsid w:val="00B36FDE"/>
    <w:rsid w:val="00B3709F"/>
    <w:rsid w:val="00B37200"/>
    <w:rsid w:val="00B37245"/>
    <w:rsid w:val="00B37270"/>
    <w:rsid w:val="00B37404"/>
    <w:rsid w:val="00B3788C"/>
    <w:rsid w:val="00B378C1"/>
    <w:rsid w:val="00B37EC7"/>
    <w:rsid w:val="00B37FEF"/>
    <w:rsid w:val="00B40188"/>
    <w:rsid w:val="00B40638"/>
    <w:rsid w:val="00B40B68"/>
    <w:rsid w:val="00B40B89"/>
    <w:rsid w:val="00B40BBF"/>
    <w:rsid w:val="00B40CDA"/>
    <w:rsid w:val="00B41028"/>
    <w:rsid w:val="00B411DD"/>
    <w:rsid w:val="00B411FD"/>
    <w:rsid w:val="00B4155B"/>
    <w:rsid w:val="00B4155E"/>
    <w:rsid w:val="00B415A7"/>
    <w:rsid w:val="00B41643"/>
    <w:rsid w:val="00B41B80"/>
    <w:rsid w:val="00B41CF8"/>
    <w:rsid w:val="00B41D08"/>
    <w:rsid w:val="00B41D86"/>
    <w:rsid w:val="00B41FD1"/>
    <w:rsid w:val="00B41FFB"/>
    <w:rsid w:val="00B4207C"/>
    <w:rsid w:val="00B420D9"/>
    <w:rsid w:val="00B42295"/>
    <w:rsid w:val="00B423CA"/>
    <w:rsid w:val="00B42484"/>
    <w:rsid w:val="00B424AB"/>
    <w:rsid w:val="00B426E6"/>
    <w:rsid w:val="00B42723"/>
    <w:rsid w:val="00B42AA9"/>
    <w:rsid w:val="00B42DF3"/>
    <w:rsid w:val="00B43131"/>
    <w:rsid w:val="00B43675"/>
    <w:rsid w:val="00B436E0"/>
    <w:rsid w:val="00B43773"/>
    <w:rsid w:val="00B43CB0"/>
    <w:rsid w:val="00B43F67"/>
    <w:rsid w:val="00B44163"/>
    <w:rsid w:val="00B44175"/>
    <w:rsid w:val="00B441B5"/>
    <w:rsid w:val="00B4432E"/>
    <w:rsid w:val="00B4446D"/>
    <w:rsid w:val="00B444B8"/>
    <w:rsid w:val="00B444FA"/>
    <w:rsid w:val="00B4478A"/>
    <w:rsid w:val="00B447BF"/>
    <w:rsid w:val="00B447EA"/>
    <w:rsid w:val="00B4488F"/>
    <w:rsid w:val="00B448C1"/>
    <w:rsid w:val="00B44A33"/>
    <w:rsid w:val="00B44A40"/>
    <w:rsid w:val="00B44C4A"/>
    <w:rsid w:val="00B44CB9"/>
    <w:rsid w:val="00B454FD"/>
    <w:rsid w:val="00B457A3"/>
    <w:rsid w:val="00B458F7"/>
    <w:rsid w:val="00B4597B"/>
    <w:rsid w:val="00B45B0A"/>
    <w:rsid w:val="00B45BAF"/>
    <w:rsid w:val="00B45BDE"/>
    <w:rsid w:val="00B45BED"/>
    <w:rsid w:val="00B45DE5"/>
    <w:rsid w:val="00B45E08"/>
    <w:rsid w:val="00B46948"/>
    <w:rsid w:val="00B46A1C"/>
    <w:rsid w:val="00B46A2F"/>
    <w:rsid w:val="00B46AB5"/>
    <w:rsid w:val="00B46B31"/>
    <w:rsid w:val="00B46D43"/>
    <w:rsid w:val="00B46D68"/>
    <w:rsid w:val="00B46F77"/>
    <w:rsid w:val="00B47377"/>
    <w:rsid w:val="00B4746E"/>
    <w:rsid w:val="00B47499"/>
    <w:rsid w:val="00B47550"/>
    <w:rsid w:val="00B475B6"/>
    <w:rsid w:val="00B47601"/>
    <w:rsid w:val="00B4760E"/>
    <w:rsid w:val="00B47831"/>
    <w:rsid w:val="00B47973"/>
    <w:rsid w:val="00B47A30"/>
    <w:rsid w:val="00B47C17"/>
    <w:rsid w:val="00B47D11"/>
    <w:rsid w:val="00B47DF0"/>
    <w:rsid w:val="00B47E33"/>
    <w:rsid w:val="00B47F6D"/>
    <w:rsid w:val="00B5016D"/>
    <w:rsid w:val="00B501BB"/>
    <w:rsid w:val="00B50216"/>
    <w:rsid w:val="00B50513"/>
    <w:rsid w:val="00B50713"/>
    <w:rsid w:val="00B50757"/>
    <w:rsid w:val="00B508C5"/>
    <w:rsid w:val="00B50C61"/>
    <w:rsid w:val="00B50CB0"/>
    <w:rsid w:val="00B50EE7"/>
    <w:rsid w:val="00B519B5"/>
    <w:rsid w:val="00B51B8E"/>
    <w:rsid w:val="00B51BF3"/>
    <w:rsid w:val="00B51CCB"/>
    <w:rsid w:val="00B51D2A"/>
    <w:rsid w:val="00B51E0D"/>
    <w:rsid w:val="00B521D5"/>
    <w:rsid w:val="00B527DC"/>
    <w:rsid w:val="00B52AB1"/>
    <w:rsid w:val="00B52BF4"/>
    <w:rsid w:val="00B530BA"/>
    <w:rsid w:val="00B5362E"/>
    <w:rsid w:val="00B53707"/>
    <w:rsid w:val="00B5389A"/>
    <w:rsid w:val="00B53B36"/>
    <w:rsid w:val="00B53DD1"/>
    <w:rsid w:val="00B53EDD"/>
    <w:rsid w:val="00B53F59"/>
    <w:rsid w:val="00B5406F"/>
    <w:rsid w:val="00B54327"/>
    <w:rsid w:val="00B54922"/>
    <w:rsid w:val="00B54D54"/>
    <w:rsid w:val="00B54D94"/>
    <w:rsid w:val="00B54F8E"/>
    <w:rsid w:val="00B54FB8"/>
    <w:rsid w:val="00B54FE0"/>
    <w:rsid w:val="00B55105"/>
    <w:rsid w:val="00B5519D"/>
    <w:rsid w:val="00B551A4"/>
    <w:rsid w:val="00B551EA"/>
    <w:rsid w:val="00B551FD"/>
    <w:rsid w:val="00B55353"/>
    <w:rsid w:val="00B55378"/>
    <w:rsid w:val="00B553A3"/>
    <w:rsid w:val="00B553D5"/>
    <w:rsid w:val="00B5567D"/>
    <w:rsid w:val="00B55696"/>
    <w:rsid w:val="00B557D9"/>
    <w:rsid w:val="00B557E6"/>
    <w:rsid w:val="00B55B3C"/>
    <w:rsid w:val="00B55C27"/>
    <w:rsid w:val="00B55CC5"/>
    <w:rsid w:val="00B55DAF"/>
    <w:rsid w:val="00B55E80"/>
    <w:rsid w:val="00B55FF3"/>
    <w:rsid w:val="00B56159"/>
    <w:rsid w:val="00B562E9"/>
    <w:rsid w:val="00B564C6"/>
    <w:rsid w:val="00B56735"/>
    <w:rsid w:val="00B5680D"/>
    <w:rsid w:val="00B56882"/>
    <w:rsid w:val="00B5699D"/>
    <w:rsid w:val="00B56E46"/>
    <w:rsid w:val="00B57303"/>
    <w:rsid w:val="00B5736F"/>
    <w:rsid w:val="00B573E2"/>
    <w:rsid w:val="00B57837"/>
    <w:rsid w:val="00B57A82"/>
    <w:rsid w:val="00B6007E"/>
    <w:rsid w:val="00B600EF"/>
    <w:rsid w:val="00B60421"/>
    <w:rsid w:val="00B60600"/>
    <w:rsid w:val="00B60703"/>
    <w:rsid w:val="00B60A48"/>
    <w:rsid w:val="00B60D26"/>
    <w:rsid w:val="00B60F00"/>
    <w:rsid w:val="00B61082"/>
    <w:rsid w:val="00B6119C"/>
    <w:rsid w:val="00B61392"/>
    <w:rsid w:val="00B613CB"/>
    <w:rsid w:val="00B613F0"/>
    <w:rsid w:val="00B6149A"/>
    <w:rsid w:val="00B614EF"/>
    <w:rsid w:val="00B61513"/>
    <w:rsid w:val="00B61736"/>
    <w:rsid w:val="00B61A27"/>
    <w:rsid w:val="00B61B27"/>
    <w:rsid w:val="00B61CF7"/>
    <w:rsid w:val="00B61D6A"/>
    <w:rsid w:val="00B61EBF"/>
    <w:rsid w:val="00B61FF7"/>
    <w:rsid w:val="00B623B7"/>
    <w:rsid w:val="00B62998"/>
    <w:rsid w:val="00B62D51"/>
    <w:rsid w:val="00B62EB3"/>
    <w:rsid w:val="00B62EE7"/>
    <w:rsid w:val="00B6303F"/>
    <w:rsid w:val="00B6310B"/>
    <w:rsid w:val="00B6310F"/>
    <w:rsid w:val="00B632A9"/>
    <w:rsid w:val="00B63348"/>
    <w:rsid w:val="00B63497"/>
    <w:rsid w:val="00B63799"/>
    <w:rsid w:val="00B63939"/>
    <w:rsid w:val="00B639FE"/>
    <w:rsid w:val="00B63BC4"/>
    <w:rsid w:val="00B63DC3"/>
    <w:rsid w:val="00B64005"/>
    <w:rsid w:val="00B640D8"/>
    <w:rsid w:val="00B643D5"/>
    <w:rsid w:val="00B643D7"/>
    <w:rsid w:val="00B648B1"/>
    <w:rsid w:val="00B64B53"/>
    <w:rsid w:val="00B64C76"/>
    <w:rsid w:val="00B65032"/>
    <w:rsid w:val="00B65054"/>
    <w:rsid w:val="00B650B3"/>
    <w:rsid w:val="00B65361"/>
    <w:rsid w:val="00B654E5"/>
    <w:rsid w:val="00B65504"/>
    <w:rsid w:val="00B65577"/>
    <w:rsid w:val="00B6596B"/>
    <w:rsid w:val="00B659A9"/>
    <w:rsid w:val="00B65AD9"/>
    <w:rsid w:val="00B65B24"/>
    <w:rsid w:val="00B65C99"/>
    <w:rsid w:val="00B65D73"/>
    <w:rsid w:val="00B66427"/>
    <w:rsid w:val="00B6649C"/>
    <w:rsid w:val="00B66550"/>
    <w:rsid w:val="00B6668C"/>
    <w:rsid w:val="00B66865"/>
    <w:rsid w:val="00B66997"/>
    <w:rsid w:val="00B66B2A"/>
    <w:rsid w:val="00B66CFF"/>
    <w:rsid w:val="00B66D63"/>
    <w:rsid w:val="00B66E3B"/>
    <w:rsid w:val="00B66E53"/>
    <w:rsid w:val="00B66F39"/>
    <w:rsid w:val="00B670A1"/>
    <w:rsid w:val="00B670E2"/>
    <w:rsid w:val="00B671B8"/>
    <w:rsid w:val="00B67252"/>
    <w:rsid w:val="00B675E1"/>
    <w:rsid w:val="00B67604"/>
    <w:rsid w:val="00B67861"/>
    <w:rsid w:val="00B67924"/>
    <w:rsid w:val="00B679D7"/>
    <w:rsid w:val="00B67B2F"/>
    <w:rsid w:val="00B67BE2"/>
    <w:rsid w:val="00B67EAC"/>
    <w:rsid w:val="00B67FCC"/>
    <w:rsid w:val="00B70146"/>
    <w:rsid w:val="00B7052C"/>
    <w:rsid w:val="00B708D6"/>
    <w:rsid w:val="00B70936"/>
    <w:rsid w:val="00B70939"/>
    <w:rsid w:val="00B70BE9"/>
    <w:rsid w:val="00B70C0B"/>
    <w:rsid w:val="00B71048"/>
    <w:rsid w:val="00B7114C"/>
    <w:rsid w:val="00B71174"/>
    <w:rsid w:val="00B71206"/>
    <w:rsid w:val="00B71210"/>
    <w:rsid w:val="00B71353"/>
    <w:rsid w:val="00B713C1"/>
    <w:rsid w:val="00B716BE"/>
    <w:rsid w:val="00B7176B"/>
    <w:rsid w:val="00B717EC"/>
    <w:rsid w:val="00B71865"/>
    <w:rsid w:val="00B718CA"/>
    <w:rsid w:val="00B7194F"/>
    <w:rsid w:val="00B71BF2"/>
    <w:rsid w:val="00B71CCE"/>
    <w:rsid w:val="00B71D29"/>
    <w:rsid w:val="00B71DCB"/>
    <w:rsid w:val="00B72335"/>
    <w:rsid w:val="00B7270F"/>
    <w:rsid w:val="00B7279E"/>
    <w:rsid w:val="00B72CE3"/>
    <w:rsid w:val="00B72FA9"/>
    <w:rsid w:val="00B7308E"/>
    <w:rsid w:val="00B73093"/>
    <w:rsid w:val="00B7309A"/>
    <w:rsid w:val="00B73192"/>
    <w:rsid w:val="00B733EC"/>
    <w:rsid w:val="00B734E4"/>
    <w:rsid w:val="00B73583"/>
    <w:rsid w:val="00B736A5"/>
    <w:rsid w:val="00B7377F"/>
    <w:rsid w:val="00B73B9D"/>
    <w:rsid w:val="00B73D2D"/>
    <w:rsid w:val="00B7414B"/>
    <w:rsid w:val="00B742AE"/>
    <w:rsid w:val="00B743C1"/>
    <w:rsid w:val="00B7443D"/>
    <w:rsid w:val="00B74485"/>
    <w:rsid w:val="00B74579"/>
    <w:rsid w:val="00B74813"/>
    <w:rsid w:val="00B74817"/>
    <w:rsid w:val="00B748EC"/>
    <w:rsid w:val="00B74963"/>
    <w:rsid w:val="00B74A96"/>
    <w:rsid w:val="00B74CBB"/>
    <w:rsid w:val="00B74E4C"/>
    <w:rsid w:val="00B74E6E"/>
    <w:rsid w:val="00B75217"/>
    <w:rsid w:val="00B755BA"/>
    <w:rsid w:val="00B7595A"/>
    <w:rsid w:val="00B759F1"/>
    <w:rsid w:val="00B75B48"/>
    <w:rsid w:val="00B75C7F"/>
    <w:rsid w:val="00B75CC5"/>
    <w:rsid w:val="00B762EA"/>
    <w:rsid w:val="00B76567"/>
    <w:rsid w:val="00B76839"/>
    <w:rsid w:val="00B768E0"/>
    <w:rsid w:val="00B76945"/>
    <w:rsid w:val="00B76A60"/>
    <w:rsid w:val="00B76AB8"/>
    <w:rsid w:val="00B76B9E"/>
    <w:rsid w:val="00B76C0B"/>
    <w:rsid w:val="00B76C68"/>
    <w:rsid w:val="00B76D7D"/>
    <w:rsid w:val="00B76DD1"/>
    <w:rsid w:val="00B76EC0"/>
    <w:rsid w:val="00B76F76"/>
    <w:rsid w:val="00B76FBA"/>
    <w:rsid w:val="00B77005"/>
    <w:rsid w:val="00B770BA"/>
    <w:rsid w:val="00B77441"/>
    <w:rsid w:val="00B7751A"/>
    <w:rsid w:val="00B775A8"/>
    <w:rsid w:val="00B777AB"/>
    <w:rsid w:val="00B779A1"/>
    <w:rsid w:val="00B77B4D"/>
    <w:rsid w:val="00B77BDB"/>
    <w:rsid w:val="00B77C3C"/>
    <w:rsid w:val="00B77F5B"/>
    <w:rsid w:val="00B802CD"/>
    <w:rsid w:val="00B804D8"/>
    <w:rsid w:val="00B80580"/>
    <w:rsid w:val="00B80676"/>
    <w:rsid w:val="00B8079A"/>
    <w:rsid w:val="00B808CD"/>
    <w:rsid w:val="00B80A44"/>
    <w:rsid w:val="00B80A6F"/>
    <w:rsid w:val="00B80D98"/>
    <w:rsid w:val="00B8115D"/>
    <w:rsid w:val="00B81191"/>
    <w:rsid w:val="00B8122B"/>
    <w:rsid w:val="00B8142A"/>
    <w:rsid w:val="00B815DF"/>
    <w:rsid w:val="00B81720"/>
    <w:rsid w:val="00B8184A"/>
    <w:rsid w:val="00B81C74"/>
    <w:rsid w:val="00B81E18"/>
    <w:rsid w:val="00B81EB6"/>
    <w:rsid w:val="00B8228A"/>
    <w:rsid w:val="00B82368"/>
    <w:rsid w:val="00B824F9"/>
    <w:rsid w:val="00B827C2"/>
    <w:rsid w:val="00B82F58"/>
    <w:rsid w:val="00B83005"/>
    <w:rsid w:val="00B8309B"/>
    <w:rsid w:val="00B83147"/>
    <w:rsid w:val="00B8329A"/>
    <w:rsid w:val="00B832DF"/>
    <w:rsid w:val="00B83312"/>
    <w:rsid w:val="00B833BC"/>
    <w:rsid w:val="00B83634"/>
    <w:rsid w:val="00B837DE"/>
    <w:rsid w:val="00B83815"/>
    <w:rsid w:val="00B83875"/>
    <w:rsid w:val="00B83A9A"/>
    <w:rsid w:val="00B83C0C"/>
    <w:rsid w:val="00B83D0E"/>
    <w:rsid w:val="00B84093"/>
    <w:rsid w:val="00B840F4"/>
    <w:rsid w:val="00B847C6"/>
    <w:rsid w:val="00B84967"/>
    <w:rsid w:val="00B849AA"/>
    <w:rsid w:val="00B849BF"/>
    <w:rsid w:val="00B84A44"/>
    <w:rsid w:val="00B84B57"/>
    <w:rsid w:val="00B84BE9"/>
    <w:rsid w:val="00B84C81"/>
    <w:rsid w:val="00B84CC8"/>
    <w:rsid w:val="00B84CD1"/>
    <w:rsid w:val="00B84D25"/>
    <w:rsid w:val="00B84D44"/>
    <w:rsid w:val="00B84D54"/>
    <w:rsid w:val="00B84F45"/>
    <w:rsid w:val="00B8522C"/>
    <w:rsid w:val="00B852CF"/>
    <w:rsid w:val="00B8536A"/>
    <w:rsid w:val="00B854AD"/>
    <w:rsid w:val="00B855AA"/>
    <w:rsid w:val="00B8567D"/>
    <w:rsid w:val="00B8580B"/>
    <w:rsid w:val="00B85942"/>
    <w:rsid w:val="00B85C9F"/>
    <w:rsid w:val="00B85F42"/>
    <w:rsid w:val="00B86111"/>
    <w:rsid w:val="00B86131"/>
    <w:rsid w:val="00B863D5"/>
    <w:rsid w:val="00B86474"/>
    <w:rsid w:val="00B8651F"/>
    <w:rsid w:val="00B866AC"/>
    <w:rsid w:val="00B86732"/>
    <w:rsid w:val="00B86865"/>
    <w:rsid w:val="00B86B78"/>
    <w:rsid w:val="00B86C9A"/>
    <w:rsid w:val="00B86CB4"/>
    <w:rsid w:val="00B86F3C"/>
    <w:rsid w:val="00B874D4"/>
    <w:rsid w:val="00B8774F"/>
    <w:rsid w:val="00B8787B"/>
    <w:rsid w:val="00B87EA0"/>
    <w:rsid w:val="00B902FE"/>
    <w:rsid w:val="00B90424"/>
    <w:rsid w:val="00B90566"/>
    <w:rsid w:val="00B9064C"/>
    <w:rsid w:val="00B90674"/>
    <w:rsid w:val="00B90BFD"/>
    <w:rsid w:val="00B90D01"/>
    <w:rsid w:val="00B90D5E"/>
    <w:rsid w:val="00B9102E"/>
    <w:rsid w:val="00B9103C"/>
    <w:rsid w:val="00B9115B"/>
    <w:rsid w:val="00B911BF"/>
    <w:rsid w:val="00B913CB"/>
    <w:rsid w:val="00B914C4"/>
    <w:rsid w:val="00B914D9"/>
    <w:rsid w:val="00B916BB"/>
    <w:rsid w:val="00B91704"/>
    <w:rsid w:val="00B9186A"/>
    <w:rsid w:val="00B91A67"/>
    <w:rsid w:val="00B91C94"/>
    <w:rsid w:val="00B920DA"/>
    <w:rsid w:val="00B921A4"/>
    <w:rsid w:val="00B9223E"/>
    <w:rsid w:val="00B922ED"/>
    <w:rsid w:val="00B923FA"/>
    <w:rsid w:val="00B92443"/>
    <w:rsid w:val="00B927D2"/>
    <w:rsid w:val="00B928B9"/>
    <w:rsid w:val="00B92A35"/>
    <w:rsid w:val="00B92E87"/>
    <w:rsid w:val="00B93114"/>
    <w:rsid w:val="00B9324D"/>
    <w:rsid w:val="00B9329F"/>
    <w:rsid w:val="00B93325"/>
    <w:rsid w:val="00B93385"/>
    <w:rsid w:val="00B93603"/>
    <w:rsid w:val="00B93766"/>
    <w:rsid w:val="00B939EC"/>
    <w:rsid w:val="00B93C14"/>
    <w:rsid w:val="00B9414F"/>
    <w:rsid w:val="00B941BA"/>
    <w:rsid w:val="00B9436A"/>
    <w:rsid w:val="00B94798"/>
    <w:rsid w:val="00B94845"/>
    <w:rsid w:val="00B9491A"/>
    <w:rsid w:val="00B949D6"/>
    <w:rsid w:val="00B94C92"/>
    <w:rsid w:val="00B94D8F"/>
    <w:rsid w:val="00B95174"/>
    <w:rsid w:val="00B952CC"/>
    <w:rsid w:val="00B95769"/>
    <w:rsid w:val="00B957D6"/>
    <w:rsid w:val="00B95C08"/>
    <w:rsid w:val="00B95C83"/>
    <w:rsid w:val="00B95E44"/>
    <w:rsid w:val="00B9644F"/>
    <w:rsid w:val="00B9649D"/>
    <w:rsid w:val="00B967DA"/>
    <w:rsid w:val="00B96A82"/>
    <w:rsid w:val="00B96D3B"/>
    <w:rsid w:val="00B96E3A"/>
    <w:rsid w:val="00B96F03"/>
    <w:rsid w:val="00B96F6C"/>
    <w:rsid w:val="00B9766A"/>
    <w:rsid w:val="00B97BDE"/>
    <w:rsid w:val="00B97E9E"/>
    <w:rsid w:val="00BA07CE"/>
    <w:rsid w:val="00BA08BB"/>
    <w:rsid w:val="00BA0A66"/>
    <w:rsid w:val="00BA0DBE"/>
    <w:rsid w:val="00BA0F36"/>
    <w:rsid w:val="00BA102C"/>
    <w:rsid w:val="00BA1132"/>
    <w:rsid w:val="00BA122F"/>
    <w:rsid w:val="00BA12E0"/>
    <w:rsid w:val="00BA1374"/>
    <w:rsid w:val="00BA141C"/>
    <w:rsid w:val="00BA173C"/>
    <w:rsid w:val="00BA1B99"/>
    <w:rsid w:val="00BA1C0E"/>
    <w:rsid w:val="00BA1CDD"/>
    <w:rsid w:val="00BA1F11"/>
    <w:rsid w:val="00BA1FD1"/>
    <w:rsid w:val="00BA20C0"/>
    <w:rsid w:val="00BA2167"/>
    <w:rsid w:val="00BA2179"/>
    <w:rsid w:val="00BA225B"/>
    <w:rsid w:val="00BA2303"/>
    <w:rsid w:val="00BA2312"/>
    <w:rsid w:val="00BA243B"/>
    <w:rsid w:val="00BA2694"/>
    <w:rsid w:val="00BA2803"/>
    <w:rsid w:val="00BA29D5"/>
    <w:rsid w:val="00BA2AB9"/>
    <w:rsid w:val="00BA2B2B"/>
    <w:rsid w:val="00BA2BB2"/>
    <w:rsid w:val="00BA2CBB"/>
    <w:rsid w:val="00BA2EE3"/>
    <w:rsid w:val="00BA3315"/>
    <w:rsid w:val="00BA34AB"/>
    <w:rsid w:val="00BA34F6"/>
    <w:rsid w:val="00BA350F"/>
    <w:rsid w:val="00BA35B1"/>
    <w:rsid w:val="00BA3919"/>
    <w:rsid w:val="00BA399E"/>
    <w:rsid w:val="00BA3B7B"/>
    <w:rsid w:val="00BA3DF1"/>
    <w:rsid w:val="00BA3F92"/>
    <w:rsid w:val="00BA4015"/>
    <w:rsid w:val="00BA41FB"/>
    <w:rsid w:val="00BA4442"/>
    <w:rsid w:val="00BA461D"/>
    <w:rsid w:val="00BA48D9"/>
    <w:rsid w:val="00BA4D8B"/>
    <w:rsid w:val="00BA4DFD"/>
    <w:rsid w:val="00BA4E72"/>
    <w:rsid w:val="00BA53BD"/>
    <w:rsid w:val="00BA54BA"/>
    <w:rsid w:val="00BA54E9"/>
    <w:rsid w:val="00BA565B"/>
    <w:rsid w:val="00BA5812"/>
    <w:rsid w:val="00BA584A"/>
    <w:rsid w:val="00BA5CDF"/>
    <w:rsid w:val="00BA5DD8"/>
    <w:rsid w:val="00BA607A"/>
    <w:rsid w:val="00BA6578"/>
    <w:rsid w:val="00BA6672"/>
    <w:rsid w:val="00BA66C3"/>
    <w:rsid w:val="00BA675C"/>
    <w:rsid w:val="00BA6B76"/>
    <w:rsid w:val="00BA6CEF"/>
    <w:rsid w:val="00BA6D91"/>
    <w:rsid w:val="00BA6DF3"/>
    <w:rsid w:val="00BA6E4B"/>
    <w:rsid w:val="00BA6E91"/>
    <w:rsid w:val="00BA704B"/>
    <w:rsid w:val="00BA72B3"/>
    <w:rsid w:val="00BA77B6"/>
    <w:rsid w:val="00BA7878"/>
    <w:rsid w:val="00BA78B7"/>
    <w:rsid w:val="00BA794B"/>
    <w:rsid w:val="00BA7BB0"/>
    <w:rsid w:val="00BA7C04"/>
    <w:rsid w:val="00BA7C32"/>
    <w:rsid w:val="00BA7DDF"/>
    <w:rsid w:val="00BB0081"/>
    <w:rsid w:val="00BB01C6"/>
    <w:rsid w:val="00BB0243"/>
    <w:rsid w:val="00BB038B"/>
    <w:rsid w:val="00BB0476"/>
    <w:rsid w:val="00BB04BF"/>
    <w:rsid w:val="00BB04FD"/>
    <w:rsid w:val="00BB0504"/>
    <w:rsid w:val="00BB0581"/>
    <w:rsid w:val="00BB060D"/>
    <w:rsid w:val="00BB0617"/>
    <w:rsid w:val="00BB07EF"/>
    <w:rsid w:val="00BB08A0"/>
    <w:rsid w:val="00BB09DC"/>
    <w:rsid w:val="00BB0A0A"/>
    <w:rsid w:val="00BB0A6E"/>
    <w:rsid w:val="00BB0A8A"/>
    <w:rsid w:val="00BB0BCE"/>
    <w:rsid w:val="00BB0CAF"/>
    <w:rsid w:val="00BB0D7B"/>
    <w:rsid w:val="00BB0E40"/>
    <w:rsid w:val="00BB0E6F"/>
    <w:rsid w:val="00BB1097"/>
    <w:rsid w:val="00BB11B0"/>
    <w:rsid w:val="00BB1313"/>
    <w:rsid w:val="00BB1803"/>
    <w:rsid w:val="00BB1805"/>
    <w:rsid w:val="00BB189B"/>
    <w:rsid w:val="00BB18E5"/>
    <w:rsid w:val="00BB1A58"/>
    <w:rsid w:val="00BB1D53"/>
    <w:rsid w:val="00BB222B"/>
    <w:rsid w:val="00BB260E"/>
    <w:rsid w:val="00BB2711"/>
    <w:rsid w:val="00BB271E"/>
    <w:rsid w:val="00BB2767"/>
    <w:rsid w:val="00BB2A50"/>
    <w:rsid w:val="00BB2CAD"/>
    <w:rsid w:val="00BB2D8E"/>
    <w:rsid w:val="00BB2D94"/>
    <w:rsid w:val="00BB2DA6"/>
    <w:rsid w:val="00BB2EE2"/>
    <w:rsid w:val="00BB2FFD"/>
    <w:rsid w:val="00BB31B6"/>
    <w:rsid w:val="00BB3247"/>
    <w:rsid w:val="00BB3354"/>
    <w:rsid w:val="00BB392C"/>
    <w:rsid w:val="00BB3A8D"/>
    <w:rsid w:val="00BB3ADF"/>
    <w:rsid w:val="00BB3DC1"/>
    <w:rsid w:val="00BB3EC0"/>
    <w:rsid w:val="00BB4232"/>
    <w:rsid w:val="00BB43A6"/>
    <w:rsid w:val="00BB457C"/>
    <w:rsid w:val="00BB49A0"/>
    <w:rsid w:val="00BB4A6D"/>
    <w:rsid w:val="00BB4D1E"/>
    <w:rsid w:val="00BB4E10"/>
    <w:rsid w:val="00BB4F2E"/>
    <w:rsid w:val="00BB5204"/>
    <w:rsid w:val="00BB5540"/>
    <w:rsid w:val="00BB5AF6"/>
    <w:rsid w:val="00BB5C1C"/>
    <w:rsid w:val="00BB5D88"/>
    <w:rsid w:val="00BB5F4B"/>
    <w:rsid w:val="00BB604D"/>
    <w:rsid w:val="00BB60E6"/>
    <w:rsid w:val="00BB61FC"/>
    <w:rsid w:val="00BB6326"/>
    <w:rsid w:val="00BB649B"/>
    <w:rsid w:val="00BB661C"/>
    <w:rsid w:val="00BB6823"/>
    <w:rsid w:val="00BB6832"/>
    <w:rsid w:val="00BB6AF7"/>
    <w:rsid w:val="00BB72DA"/>
    <w:rsid w:val="00BB737B"/>
    <w:rsid w:val="00BB76B6"/>
    <w:rsid w:val="00BB7776"/>
    <w:rsid w:val="00BB7833"/>
    <w:rsid w:val="00BB7A3D"/>
    <w:rsid w:val="00BB7B0A"/>
    <w:rsid w:val="00BB7B23"/>
    <w:rsid w:val="00BB7C71"/>
    <w:rsid w:val="00BC00C9"/>
    <w:rsid w:val="00BC03D4"/>
    <w:rsid w:val="00BC0828"/>
    <w:rsid w:val="00BC0979"/>
    <w:rsid w:val="00BC09DE"/>
    <w:rsid w:val="00BC0A41"/>
    <w:rsid w:val="00BC0CEE"/>
    <w:rsid w:val="00BC0F23"/>
    <w:rsid w:val="00BC1438"/>
    <w:rsid w:val="00BC186B"/>
    <w:rsid w:val="00BC196D"/>
    <w:rsid w:val="00BC1C00"/>
    <w:rsid w:val="00BC1DB0"/>
    <w:rsid w:val="00BC1DC8"/>
    <w:rsid w:val="00BC20C4"/>
    <w:rsid w:val="00BC213D"/>
    <w:rsid w:val="00BC23BD"/>
    <w:rsid w:val="00BC259D"/>
    <w:rsid w:val="00BC2605"/>
    <w:rsid w:val="00BC26AF"/>
    <w:rsid w:val="00BC274F"/>
    <w:rsid w:val="00BC27AA"/>
    <w:rsid w:val="00BC2B38"/>
    <w:rsid w:val="00BC2B9E"/>
    <w:rsid w:val="00BC3234"/>
    <w:rsid w:val="00BC339B"/>
    <w:rsid w:val="00BC3452"/>
    <w:rsid w:val="00BC35FB"/>
    <w:rsid w:val="00BC3722"/>
    <w:rsid w:val="00BC375D"/>
    <w:rsid w:val="00BC3D1B"/>
    <w:rsid w:val="00BC3F34"/>
    <w:rsid w:val="00BC4059"/>
    <w:rsid w:val="00BC4104"/>
    <w:rsid w:val="00BC423B"/>
    <w:rsid w:val="00BC4296"/>
    <w:rsid w:val="00BC4514"/>
    <w:rsid w:val="00BC4552"/>
    <w:rsid w:val="00BC4554"/>
    <w:rsid w:val="00BC45CF"/>
    <w:rsid w:val="00BC45FF"/>
    <w:rsid w:val="00BC46F5"/>
    <w:rsid w:val="00BC4953"/>
    <w:rsid w:val="00BC4B38"/>
    <w:rsid w:val="00BC4CB6"/>
    <w:rsid w:val="00BC4CE3"/>
    <w:rsid w:val="00BC52C4"/>
    <w:rsid w:val="00BC544C"/>
    <w:rsid w:val="00BC574D"/>
    <w:rsid w:val="00BC5996"/>
    <w:rsid w:val="00BC5AB1"/>
    <w:rsid w:val="00BC5D3F"/>
    <w:rsid w:val="00BC5E0E"/>
    <w:rsid w:val="00BC6055"/>
    <w:rsid w:val="00BC618A"/>
    <w:rsid w:val="00BC61F9"/>
    <w:rsid w:val="00BC6219"/>
    <w:rsid w:val="00BC6355"/>
    <w:rsid w:val="00BC635B"/>
    <w:rsid w:val="00BC6410"/>
    <w:rsid w:val="00BC6443"/>
    <w:rsid w:val="00BC646D"/>
    <w:rsid w:val="00BC6515"/>
    <w:rsid w:val="00BC676A"/>
    <w:rsid w:val="00BC678B"/>
    <w:rsid w:val="00BC69AB"/>
    <w:rsid w:val="00BC6B7C"/>
    <w:rsid w:val="00BC6BD1"/>
    <w:rsid w:val="00BC6CA6"/>
    <w:rsid w:val="00BC6CDF"/>
    <w:rsid w:val="00BC6D00"/>
    <w:rsid w:val="00BC6F1A"/>
    <w:rsid w:val="00BC6F5F"/>
    <w:rsid w:val="00BC70D2"/>
    <w:rsid w:val="00BC71C9"/>
    <w:rsid w:val="00BC722A"/>
    <w:rsid w:val="00BC72AB"/>
    <w:rsid w:val="00BC76E4"/>
    <w:rsid w:val="00BC78F2"/>
    <w:rsid w:val="00BC7AB8"/>
    <w:rsid w:val="00BC7CEB"/>
    <w:rsid w:val="00BD031F"/>
    <w:rsid w:val="00BD0687"/>
    <w:rsid w:val="00BD088F"/>
    <w:rsid w:val="00BD09A2"/>
    <w:rsid w:val="00BD0C1B"/>
    <w:rsid w:val="00BD108C"/>
    <w:rsid w:val="00BD1247"/>
    <w:rsid w:val="00BD12AE"/>
    <w:rsid w:val="00BD1641"/>
    <w:rsid w:val="00BD17C1"/>
    <w:rsid w:val="00BD192E"/>
    <w:rsid w:val="00BD1A98"/>
    <w:rsid w:val="00BD1DAE"/>
    <w:rsid w:val="00BD1F72"/>
    <w:rsid w:val="00BD2158"/>
    <w:rsid w:val="00BD2168"/>
    <w:rsid w:val="00BD2238"/>
    <w:rsid w:val="00BD2794"/>
    <w:rsid w:val="00BD2824"/>
    <w:rsid w:val="00BD2C62"/>
    <w:rsid w:val="00BD2D32"/>
    <w:rsid w:val="00BD2E16"/>
    <w:rsid w:val="00BD2F9F"/>
    <w:rsid w:val="00BD3083"/>
    <w:rsid w:val="00BD3194"/>
    <w:rsid w:val="00BD3455"/>
    <w:rsid w:val="00BD34EF"/>
    <w:rsid w:val="00BD353C"/>
    <w:rsid w:val="00BD3663"/>
    <w:rsid w:val="00BD381C"/>
    <w:rsid w:val="00BD386E"/>
    <w:rsid w:val="00BD3873"/>
    <w:rsid w:val="00BD396D"/>
    <w:rsid w:val="00BD3B89"/>
    <w:rsid w:val="00BD3CBC"/>
    <w:rsid w:val="00BD3F43"/>
    <w:rsid w:val="00BD3F94"/>
    <w:rsid w:val="00BD3FFD"/>
    <w:rsid w:val="00BD4101"/>
    <w:rsid w:val="00BD419E"/>
    <w:rsid w:val="00BD4497"/>
    <w:rsid w:val="00BD4502"/>
    <w:rsid w:val="00BD4582"/>
    <w:rsid w:val="00BD45A2"/>
    <w:rsid w:val="00BD4840"/>
    <w:rsid w:val="00BD485D"/>
    <w:rsid w:val="00BD4A1C"/>
    <w:rsid w:val="00BD4D8D"/>
    <w:rsid w:val="00BD4DFC"/>
    <w:rsid w:val="00BD4E4B"/>
    <w:rsid w:val="00BD5151"/>
    <w:rsid w:val="00BD5476"/>
    <w:rsid w:val="00BD5554"/>
    <w:rsid w:val="00BD5645"/>
    <w:rsid w:val="00BD5828"/>
    <w:rsid w:val="00BD598A"/>
    <w:rsid w:val="00BD5D36"/>
    <w:rsid w:val="00BD6070"/>
    <w:rsid w:val="00BD62C0"/>
    <w:rsid w:val="00BD6371"/>
    <w:rsid w:val="00BD64BE"/>
    <w:rsid w:val="00BD65F0"/>
    <w:rsid w:val="00BD66D4"/>
    <w:rsid w:val="00BD6717"/>
    <w:rsid w:val="00BD6731"/>
    <w:rsid w:val="00BD67BE"/>
    <w:rsid w:val="00BD6A80"/>
    <w:rsid w:val="00BD6BDB"/>
    <w:rsid w:val="00BD6C2B"/>
    <w:rsid w:val="00BD6F69"/>
    <w:rsid w:val="00BD6FD0"/>
    <w:rsid w:val="00BD707B"/>
    <w:rsid w:val="00BD740B"/>
    <w:rsid w:val="00BD7615"/>
    <w:rsid w:val="00BE0048"/>
    <w:rsid w:val="00BE01E1"/>
    <w:rsid w:val="00BE0684"/>
    <w:rsid w:val="00BE080F"/>
    <w:rsid w:val="00BE085F"/>
    <w:rsid w:val="00BE09F2"/>
    <w:rsid w:val="00BE0B0C"/>
    <w:rsid w:val="00BE0C67"/>
    <w:rsid w:val="00BE0DAD"/>
    <w:rsid w:val="00BE115F"/>
    <w:rsid w:val="00BE1749"/>
    <w:rsid w:val="00BE17DF"/>
    <w:rsid w:val="00BE1A0D"/>
    <w:rsid w:val="00BE1AF3"/>
    <w:rsid w:val="00BE1E63"/>
    <w:rsid w:val="00BE207A"/>
    <w:rsid w:val="00BE23A1"/>
    <w:rsid w:val="00BE2571"/>
    <w:rsid w:val="00BE2624"/>
    <w:rsid w:val="00BE264B"/>
    <w:rsid w:val="00BE27C2"/>
    <w:rsid w:val="00BE2880"/>
    <w:rsid w:val="00BE2A21"/>
    <w:rsid w:val="00BE2BAA"/>
    <w:rsid w:val="00BE2CD0"/>
    <w:rsid w:val="00BE2CD1"/>
    <w:rsid w:val="00BE2D04"/>
    <w:rsid w:val="00BE3023"/>
    <w:rsid w:val="00BE326E"/>
    <w:rsid w:val="00BE3341"/>
    <w:rsid w:val="00BE337E"/>
    <w:rsid w:val="00BE33DB"/>
    <w:rsid w:val="00BE3411"/>
    <w:rsid w:val="00BE343C"/>
    <w:rsid w:val="00BE354B"/>
    <w:rsid w:val="00BE37CD"/>
    <w:rsid w:val="00BE397F"/>
    <w:rsid w:val="00BE3F44"/>
    <w:rsid w:val="00BE40BB"/>
    <w:rsid w:val="00BE41F1"/>
    <w:rsid w:val="00BE4552"/>
    <w:rsid w:val="00BE45A2"/>
    <w:rsid w:val="00BE45AB"/>
    <w:rsid w:val="00BE45BB"/>
    <w:rsid w:val="00BE4B7F"/>
    <w:rsid w:val="00BE4C3A"/>
    <w:rsid w:val="00BE4DD1"/>
    <w:rsid w:val="00BE5341"/>
    <w:rsid w:val="00BE5845"/>
    <w:rsid w:val="00BE5925"/>
    <w:rsid w:val="00BE59CD"/>
    <w:rsid w:val="00BE5B81"/>
    <w:rsid w:val="00BE5EE4"/>
    <w:rsid w:val="00BE6211"/>
    <w:rsid w:val="00BE628E"/>
    <w:rsid w:val="00BE63E7"/>
    <w:rsid w:val="00BE69DC"/>
    <w:rsid w:val="00BE6D36"/>
    <w:rsid w:val="00BE6DDD"/>
    <w:rsid w:val="00BE7076"/>
    <w:rsid w:val="00BE7232"/>
    <w:rsid w:val="00BE72AE"/>
    <w:rsid w:val="00BE73A7"/>
    <w:rsid w:val="00BE78A6"/>
    <w:rsid w:val="00BE79E6"/>
    <w:rsid w:val="00BE7CB8"/>
    <w:rsid w:val="00BE7F9A"/>
    <w:rsid w:val="00BF0099"/>
    <w:rsid w:val="00BF0168"/>
    <w:rsid w:val="00BF019E"/>
    <w:rsid w:val="00BF0297"/>
    <w:rsid w:val="00BF06A9"/>
    <w:rsid w:val="00BF09AE"/>
    <w:rsid w:val="00BF0EBB"/>
    <w:rsid w:val="00BF1111"/>
    <w:rsid w:val="00BF1341"/>
    <w:rsid w:val="00BF153B"/>
    <w:rsid w:val="00BF159A"/>
    <w:rsid w:val="00BF15DB"/>
    <w:rsid w:val="00BF16C9"/>
    <w:rsid w:val="00BF195C"/>
    <w:rsid w:val="00BF1971"/>
    <w:rsid w:val="00BF1991"/>
    <w:rsid w:val="00BF19DE"/>
    <w:rsid w:val="00BF1C35"/>
    <w:rsid w:val="00BF1D9C"/>
    <w:rsid w:val="00BF2074"/>
    <w:rsid w:val="00BF229A"/>
    <w:rsid w:val="00BF230B"/>
    <w:rsid w:val="00BF2365"/>
    <w:rsid w:val="00BF24C9"/>
    <w:rsid w:val="00BF25F2"/>
    <w:rsid w:val="00BF2A19"/>
    <w:rsid w:val="00BF2CB6"/>
    <w:rsid w:val="00BF2DE8"/>
    <w:rsid w:val="00BF2F1F"/>
    <w:rsid w:val="00BF2FF6"/>
    <w:rsid w:val="00BF3035"/>
    <w:rsid w:val="00BF3157"/>
    <w:rsid w:val="00BF3805"/>
    <w:rsid w:val="00BF3817"/>
    <w:rsid w:val="00BF3C09"/>
    <w:rsid w:val="00BF3C9A"/>
    <w:rsid w:val="00BF3DD6"/>
    <w:rsid w:val="00BF40FA"/>
    <w:rsid w:val="00BF4126"/>
    <w:rsid w:val="00BF43DF"/>
    <w:rsid w:val="00BF490D"/>
    <w:rsid w:val="00BF4AFF"/>
    <w:rsid w:val="00BF4D4B"/>
    <w:rsid w:val="00BF4D83"/>
    <w:rsid w:val="00BF5002"/>
    <w:rsid w:val="00BF55F7"/>
    <w:rsid w:val="00BF55FD"/>
    <w:rsid w:val="00BF5677"/>
    <w:rsid w:val="00BF57EE"/>
    <w:rsid w:val="00BF58EF"/>
    <w:rsid w:val="00BF5986"/>
    <w:rsid w:val="00BF5E9A"/>
    <w:rsid w:val="00BF5FC4"/>
    <w:rsid w:val="00BF6014"/>
    <w:rsid w:val="00BF6496"/>
    <w:rsid w:val="00BF673C"/>
    <w:rsid w:val="00BF675F"/>
    <w:rsid w:val="00BF682A"/>
    <w:rsid w:val="00BF69CA"/>
    <w:rsid w:val="00BF6A0D"/>
    <w:rsid w:val="00BF6CD1"/>
    <w:rsid w:val="00BF6D29"/>
    <w:rsid w:val="00BF6DD5"/>
    <w:rsid w:val="00BF6E60"/>
    <w:rsid w:val="00BF6EF3"/>
    <w:rsid w:val="00BF6FF5"/>
    <w:rsid w:val="00BF7112"/>
    <w:rsid w:val="00BF719A"/>
    <w:rsid w:val="00BF7642"/>
    <w:rsid w:val="00BF79D1"/>
    <w:rsid w:val="00BF7A3A"/>
    <w:rsid w:val="00BF7A86"/>
    <w:rsid w:val="00BF7B27"/>
    <w:rsid w:val="00BF7B84"/>
    <w:rsid w:val="00BF7BC9"/>
    <w:rsid w:val="00BF7D36"/>
    <w:rsid w:val="00C000DF"/>
    <w:rsid w:val="00C00132"/>
    <w:rsid w:val="00C00153"/>
    <w:rsid w:val="00C0027E"/>
    <w:rsid w:val="00C00542"/>
    <w:rsid w:val="00C0076A"/>
    <w:rsid w:val="00C00855"/>
    <w:rsid w:val="00C00946"/>
    <w:rsid w:val="00C00F5B"/>
    <w:rsid w:val="00C011E1"/>
    <w:rsid w:val="00C01A4C"/>
    <w:rsid w:val="00C01B32"/>
    <w:rsid w:val="00C01BB8"/>
    <w:rsid w:val="00C01C02"/>
    <w:rsid w:val="00C02716"/>
    <w:rsid w:val="00C02998"/>
    <w:rsid w:val="00C02C7E"/>
    <w:rsid w:val="00C02CE0"/>
    <w:rsid w:val="00C02D09"/>
    <w:rsid w:val="00C02F4B"/>
    <w:rsid w:val="00C0306E"/>
    <w:rsid w:val="00C0321F"/>
    <w:rsid w:val="00C0325D"/>
    <w:rsid w:val="00C03544"/>
    <w:rsid w:val="00C0386E"/>
    <w:rsid w:val="00C038F7"/>
    <w:rsid w:val="00C03B67"/>
    <w:rsid w:val="00C03BA5"/>
    <w:rsid w:val="00C03C3E"/>
    <w:rsid w:val="00C03EDB"/>
    <w:rsid w:val="00C0406F"/>
    <w:rsid w:val="00C04135"/>
    <w:rsid w:val="00C04646"/>
    <w:rsid w:val="00C04850"/>
    <w:rsid w:val="00C048EE"/>
    <w:rsid w:val="00C0498D"/>
    <w:rsid w:val="00C04B4F"/>
    <w:rsid w:val="00C04BA2"/>
    <w:rsid w:val="00C04E53"/>
    <w:rsid w:val="00C04F34"/>
    <w:rsid w:val="00C04FA0"/>
    <w:rsid w:val="00C050F6"/>
    <w:rsid w:val="00C05218"/>
    <w:rsid w:val="00C05336"/>
    <w:rsid w:val="00C054E6"/>
    <w:rsid w:val="00C055B4"/>
    <w:rsid w:val="00C0562F"/>
    <w:rsid w:val="00C057C7"/>
    <w:rsid w:val="00C0584C"/>
    <w:rsid w:val="00C05A90"/>
    <w:rsid w:val="00C05BC9"/>
    <w:rsid w:val="00C05DDF"/>
    <w:rsid w:val="00C06008"/>
    <w:rsid w:val="00C06089"/>
    <w:rsid w:val="00C062E6"/>
    <w:rsid w:val="00C06464"/>
    <w:rsid w:val="00C06761"/>
    <w:rsid w:val="00C0677C"/>
    <w:rsid w:val="00C0692B"/>
    <w:rsid w:val="00C06B06"/>
    <w:rsid w:val="00C06B40"/>
    <w:rsid w:val="00C06B62"/>
    <w:rsid w:val="00C06B7D"/>
    <w:rsid w:val="00C06E2D"/>
    <w:rsid w:val="00C07158"/>
    <w:rsid w:val="00C07243"/>
    <w:rsid w:val="00C07496"/>
    <w:rsid w:val="00C07732"/>
    <w:rsid w:val="00C07A1D"/>
    <w:rsid w:val="00C07A87"/>
    <w:rsid w:val="00C07AF7"/>
    <w:rsid w:val="00C07D38"/>
    <w:rsid w:val="00C07EE2"/>
    <w:rsid w:val="00C07FBE"/>
    <w:rsid w:val="00C10032"/>
    <w:rsid w:val="00C1013F"/>
    <w:rsid w:val="00C101AE"/>
    <w:rsid w:val="00C1044E"/>
    <w:rsid w:val="00C10512"/>
    <w:rsid w:val="00C10969"/>
    <w:rsid w:val="00C109D3"/>
    <w:rsid w:val="00C10B5F"/>
    <w:rsid w:val="00C10D69"/>
    <w:rsid w:val="00C10D88"/>
    <w:rsid w:val="00C10E89"/>
    <w:rsid w:val="00C1122D"/>
    <w:rsid w:val="00C11292"/>
    <w:rsid w:val="00C11373"/>
    <w:rsid w:val="00C1196A"/>
    <w:rsid w:val="00C11A87"/>
    <w:rsid w:val="00C11B76"/>
    <w:rsid w:val="00C11BCA"/>
    <w:rsid w:val="00C11C38"/>
    <w:rsid w:val="00C11EFF"/>
    <w:rsid w:val="00C11F21"/>
    <w:rsid w:val="00C11FA2"/>
    <w:rsid w:val="00C12056"/>
    <w:rsid w:val="00C12153"/>
    <w:rsid w:val="00C12235"/>
    <w:rsid w:val="00C1223A"/>
    <w:rsid w:val="00C12511"/>
    <w:rsid w:val="00C1297C"/>
    <w:rsid w:val="00C12D0D"/>
    <w:rsid w:val="00C130D1"/>
    <w:rsid w:val="00C131CF"/>
    <w:rsid w:val="00C13215"/>
    <w:rsid w:val="00C13296"/>
    <w:rsid w:val="00C134E6"/>
    <w:rsid w:val="00C135BA"/>
    <w:rsid w:val="00C1382E"/>
    <w:rsid w:val="00C138BD"/>
    <w:rsid w:val="00C13954"/>
    <w:rsid w:val="00C13A03"/>
    <w:rsid w:val="00C13B4E"/>
    <w:rsid w:val="00C13B99"/>
    <w:rsid w:val="00C13BBB"/>
    <w:rsid w:val="00C13D27"/>
    <w:rsid w:val="00C14407"/>
    <w:rsid w:val="00C1445C"/>
    <w:rsid w:val="00C146C7"/>
    <w:rsid w:val="00C146E9"/>
    <w:rsid w:val="00C14741"/>
    <w:rsid w:val="00C14A37"/>
    <w:rsid w:val="00C154F8"/>
    <w:rsid w:val="00C15542"/>
    <w:rsid w:val="00C1563B"/>
    <w:rsid w:val="00C157D8"/>
    <w:rsid w:val="00C159C5"/>
    <w:rsid w:val="00C15AAF"/>
    <w:rsid w:val="00C15B76"/>
    <w:rsid w:val="00C160DD"/>
    <w:rsid w:val="00C160E5"/>
    <w:rsid w:val="00C1618A"/>
    <w:rsid w:val="00C1628B"/>
    <w:rsid w:val="00C1657F"/>
    <w:rsid w:val="00C166BE"/>
    <w:rsid w:val="00C166C4"/>
    <w:rsid w:val="00C16828"/>
    <w:rsid w:val="00C16968"/>
    <w:rsid w:val="00C17005"/>
    <w:rsid w:val="00C171EA"/>
    <w:rsid w:val="00C17361"/>
    <w:rsid w:val="00C173EB"/>
    <w:rsid w:val="00C175CD"/>
    <w:rsid w:val="00C176B0"/>
    <w:rsid w:val="00C17821"/>
    <w:rsid w:val="00C178E1"/>
    <w:rsid w:val="00C17A8B"/>
    <w:rsid w:val="00C17ABC"/>
    <w:rsid w:val="00C17ADA"/>
    <w:rsid w:val="00C17BBD"/>
    <w:rsid w:val="00C17BCC"/>
    <w:rsid w:val="00C17DCE"/>
    <w:rsid w:val="00C17EEA"/>
    <w:rsid w:val="00C200E3"/>
    <w:rsid w:val="00C20383"/>
    <w:rsid w:val="00C203F4"/>
    <w:rsid w:val="00C20644"/>
    <w:rsid w:val="00C20A04"/>
    <w:rsid w:val="00C20D04"/>
    <w:rsid w:val="00C20DB0"/>
    <w:rsid w:val="00C20FAF"/>
    <w:rsid w:val="00C20FE7"/>
    <w:rsid w:val="00C21134"/>
    <w:rsid w:val="00C21165"/>
    <w:rsid w:val="00C216EE"/>
    <w:rsid w:val="00C216FB"/>
    <w:rsid w:val="00C2170A"/>
    <w:rsid w:val="00C21753"/>
    <w:rsid w:val="00C2181D"/>
    <w:rsid w:val="00C21828"/>
    <w:rsid w:val="00C218E5"/>
    <w:rsid w:val="00C21AC7"/>
    <w:rsid w:val="00C21B51"/>
    <w:rsid w:val="00C21CCD"/>
    <w:rsid w:val="00C21D7A"/>
    <w:rsid w:val="00C21F06"/>
    <w:rsid w:val="00C22062"/>
    <w:rsid w:val="00C22195"/>
    <w:rsid w:val="00C22334"/>
    <w:rsid w:val="00C2236F"/>
    <w:rsid w:val="00C22491"/>
    <w:rsid w:val="00C2260B"/>
    <w:rsid w:val="00C22776"/>
    <w:rsid w:val="00C22781"/>
    <w:rsid w:val="00C22A52"/>
    <w:rsid w:val="00C22B52"/>
    <w:rsid w:val="00C22B71"/>
    <w:rsid w:val="00C22C96"/>
    <w:rsid w:val="00C22F6B"/>
    <w:rsid w:val="00C2309C"/>
    <w:rsid w:val="00C23244"/>
    <w:rsid w:val="00C232C5"/>
    <w:rsid w:val="00C23323"/>
    <w:rsid w:val="00C233CF"/>
    <w:rsid w:val="00C235AA"/>
    <w:rsid w:val="00C235F1"/>
    <w:rsid w:val="00C235F9"/>
    <w:rsid w:val="00C23601"/>
    <w:rsid w:val="00C23715"/>
    <w:rsid w:val="00C2374E"/>
    <w:rsid w:val="00C23958"/>
    <w:rsid w:val="00C239E7"/>
    <w:rsid w:val="00C23D76"/>
    <w:rsid w:val="00C242C1"/>
    <w:rsid w:val="00C24374"/>
    <w:rsid w:val="00C243D5"/>
    <w:rsid w:val="00C244A6"/>
    <w:rsid w:val="00C24572"/>
    <w:rsid w:val="00C24696"/>
    <w:rsid w:val="00C2487C"/>
    <w:rsid w:val="00C248A8"/>
    <w:rsid w:val="00C24A50"/>
    <w:rsid w:val="00C24B84"/>
    <w:rsid w:val="00C2506B"/>
    <w:rsid w:val="00C250E2"/>
    <w:rsid w:val="00C25274"/>
    <w:rsid w:val="00C2531A"/>
    <w:rsid w:val="00C254C4"/>
    <w:rsid w:val="00C255F8"/>
    <w:rsid w:val="00C25A38"/>
    <w:rsid w:val="00C25A79"/>
    <w:rsid w:val="00C25C14"/>
    <w:rsid w:val="00C25F11"/>
    <w:rsid w:val="00C25F32"/>
    <w:rsid w:val="00C265E3"/>
    <w:rsid w:val="00C26694"/>
    <w:rsid w:val="00C26983"/>
    <w:rsid w:val="00C26C56"/>
    <w:rsid w:val="00C26DAE"/>
    <w:rsid w:val="00C270EF"/>
    <w:rsid w:val="00C27342"/>
    <w:rsid w:val="00C27372"/>
    <w:rsid w:val="00C2737C"/>
    <w:rsid w:val="00C27728"/>
    <w:rsid w:val="00C27787"/>
    <w:rsid w:val="00C27A47"/>
    <w:rsid w:val="00C27C99"/>
    <w:rsid w:val="00C27CB9"/>
    <w:rsid w:val="00C27E0D"/>
    <w:rsid w:val="00C27E26"/>
    <w:rsid w:val="00C30138"/>
    <w:rsid w:val="00C301C5"/>
    <w:rsid w:val="00C305A1"/>
    <w:rsid w:val="00C30DBB"/>
    <w:rsid w:val="00C30E5C"/>
    <w:rsid w:val="00C30E90"/>
    <w:rsid w:val="00C31244"/>
    <w:rsid w:val="00C313E5"/>
    <w:rsid w:val="00C317D4"/>
    <w:rsid w:val="00C31AA9"/>
    <w:rsid w:val="00C31ED7"/>
    <w:rsid w:val="00C321FD"/>
    <w:rsid w:val="00C3298C"/>
    <w:rsid w:val="00C329F4"/>
    <w:rsid w:val="00C32A65"/>
    <w:rsid w:val="00C32B85"/>
    <w:rsid w:val="00C32E3F"/>
    <w:rsid w:val="00C32ED6"/>
    <w:rsid w:val="00C33079"/>
    <w:rsid w:val="00C33195"/>
    <w:rsid w:val="00C33250"/>
    <w:rsid w:val="00C33383"/>
    <w:rsid w:val="00C333CC"/>
    <w:rsid w:val="00C33431"/>
    <w:rsid w:val="00C335CF"/>
    <w:rsid w:val="00C3361B"/>
    <w:rsid w:val="00C33ACE"/>
    <w:rsid w:val="00C33B0D"/>
    <w:rsid w:val="00C33B62"/>
    <w:rsid w:val="00C33CD6"/>
    <w:rsid w:val="00C33FA7"/>
    <w:rsid w:val="00C341A1"/>
    <w:rsid w:val="00C342CC"/>
    <w:rsid w:val="00C343D1"/>
    <w:rsid w:val="00C34478"/>
    <w:rsid w:val="00C345A3"/>
    <w:rsid w:val="00C346B5"/>
    <w:rsid w:val="00C34810"/>
    <w:rsid w:val="00C34879"/>
    <w:rsid w:val="00C34FEE"/>
    <w:rsid w:val="00C35419"/>
    <w:rsid w:val="00C3542A"/>
    <w:rsid w:val="00C35475"/>
    <w:rsid w:val="00C354DB"/>
    <w:rsid w:val="00C354FF"/>
    <w:rsid w:val="00C35626"/>
    <w:rsid w:val="00C3575A"/>
    <w:rsid w:val="00C3587C"/>
    <w:rsid w:val="00C358B3"/>
    <w:rsid w:val="00C3597D"/>
    <w:rsid w:val="00C359F2"/>
    <w:rsid w:val="00C35A0B"/>
    <w:rsid w:val="00C35A98"/>
    <w:rsid w:val="00C35AC2"/>
    <w:rsid w:val="00C35B3A"/>
    <w:rsid w:val="00C36032"/>
    <w:rsid w:val="00C36040"/>
    <w:rsid w:val="00C3637E"/>
    <w:rsid w:val="00C36488"/>
    <w:rsid w:val="00C36576"/>
    <w:rsid w:val="00C3668B"/>
    <w:rsid w:val="00C36712"/>
    <w:rsid w:val="00C36734"/>
    <w:rsid w:val="00C36CB4"/>
    <w:rsid w:val="00C36D7D"/>
    <w:rsid w:val="00C370D9"/>
    <w:rsid w:val="00C37500"/>
    <w:rsid w:val="00C3761F"/>
    <w:rsid w:val="00C3764E"/>
    <w:rsid w:val="00C37683"/>
    <w:rsid w:val="00C3784D"/>
    <w:rsid w:val="00C37A95"/>
    <w:rsid w:val="00C37B49"/>
    <w:rsid w:val="00C4000D"/>
    <w:rsid w:val="00C40223"/>
    <w:rsid w:val="00C402C9"/>
    <w:rsid w:val="00C404D6"/>
    <w:rsid w:val="00C406E2"/>
    <w:rsid w:val="00C4073A"/>
    <w:rsid w:val="00C4075D"/>
    <w:rsid w:val="00C40B00"/>
    <w:rsid w:val="00C40C05"/>
    <w:rsid w:val="00C40DC1"/>
    <w:rsid w:val="00C40F9E"/>
    <w:rsid w:val="00C4131A"/>
    <w:rsid w:val="00C4131C"/>
    <w:rsid w:val="00C4174D"/>
    <w:rsid w:val="00C4175F"/>
    <w:rsid w:val="00C4194F"/>
    <w:rsid w:val="00C41A0E"/>
    <w:rsid w:val="00C41BA2"/>
    <w:rsid w:val="00C41BD7"/>
    <w:rsid w:val="00C41D8D"/>
    <w:rsid w:val="00C42125"/>
    <w:rsid w:val="00C4232C"/>
    <w:rsid w:val="00C424A5"/>
    <w:rsid w:val="00C42704"/>
    <w:rsid w:val="00C4278A"/>
    <w:rsid w:val="00C42B19"/>
    <w:rsid w:val="00C42B5B"/>
    <w:rsid w:val="00C42B78"/>
    <w:rsid w:val="00C42E56"/>
    <w:rsid w:val="00C4319F"/>
    <w:rsid w:val="00C433E2"/>
    <w:rsid w:val="00C43574"/>
    <w:rsid w:val="00C43587"/>
    <w:rsid w:val="00C43764"/>
    <w:rsid w:val="00C439A0"/>
    <w:rsid w:val="00C43AC5"/>
    <w:rsid w:val="00C43E6B"/>
    <w:rsid w:val="00C4414E"/>
    <w:rsid w:val="00C44340"/>
    <w:rsid w:val="00C44419"/>
    <w:rsid w:val="00C4463D"/>
    <w:rsid w:val="00C447AF"/>
    <w:rsid w:val="00C44961"/>
    <w:rsid w:val="00C44E8E"/>
    <w:rsid w:val="00C44EAE"/>
    <w:rsid w:val="00C44EB7"/>
    <w:rsid w:val="00C44FE2"/>
    <w:rsid w:val="00C450C2"/>
    <w:rsid w:val="00C45154"/>
    <w:rsid w:val="00C45265"/>
    <w:rsid w:val="00C4547A"/>
    <w:rsid w:val="00C4562B"/>
    <w:rsid w:val="00C45664"/>
    <w:rsid w:val="00C45BDE"/>
    <w:rsid w:val="00C45DDB"/>
    <w:rsid w:val="00C45E66"/>
    <w:rsid w:val="00C45F31"/>
    <w:rsid w:val="00C46031"/>
    <w:rsid w:val="00C460D4"/>
    <w:rsid w:val="00C461C3"/>
    <w:rsid w:val="00C4645C"/>
    <w:rsid w:val="00C464A3"/>
    <w:rsid w:val="00C465F3"/>
    <w:rsid w:val="00C46649"/>
    <w:rsid w:val="00C46A49"/>
    <w:rsid w:val="00C46A9C"/>
    <w:rsid w:val="00C46D27"/>
    <w:rsid w:val="00C46E1A"/>
    <w:rsid w:val="00C46EB0"/>
    <w:rsid w:val="00C46FD5"/>
    <w:rsid w:val="00C471BB"/>
    <w:rsid w:val="00C47266"/>
    <w:rsid w:val="00C474E2"/>
    <w:rsid w:val="00C4774B"/>
    <w:rsid w:val="00C477F3"/>
    <w:rsid w:val="00C479F3"/>
    <w:rsid w:val="00C47B72"/>
    <w:rsid w:val="00C47E11"/>
    <w:rsid w:val="00C47F4D"/>
    <w:rsid w:val="00C47F71"/>
    <w:rsid w:val="00C47F83"/>
    <w:rsid w:val="00C48727"/>
    <w:rsid w:val="00C4F03A"/>
    <w:rsid w:val="00C500E3"/>
    <w:rsid w:val="00C503D4"/>
    <w:rsid w:val="00C5049A"/>
    <w:rsid w:val="00C504AC"/>
    <w:rsid w:val="00C50549"/>
    <w:rsid w:val="00C505D3"/>
    <w:rsid w:val="00C50621"/>
    <w:rsid w:val="00C507F9"/>
    <w:rsid w:val="00C507FE"/>
    <w:rsid w:val="00C5082F"/>
    <w:rsid w:val="00C508B9"/>
    <w:rsid w:val="00C50B5A"/>
    <w:rsid w:val="00C50BE2"/>
    <w:rsid w:val="00C50CFE"/>
    <w:rsid w:val="00C50F8E"/>
    <w:rsid w:val="00C51309"/>
    <w:rsid w:val="00C51363"/>
    <w:rsid w:val="00C5148B"/>
    <w:rsid w:val="00C51791"/>
    <w:rsid w:val="00C517B8"/>
    <w:rsid w:val="00C51B72"/>
    <w:rsid w:val="00C51D73"/>
    <w:rsid w:val="00C51FF2"/>
    <w:rsid w:val="00C521F8"/>
    <w:rsid w:val="00C5289D"/>
    <w:rsid w:val="00C528C0"/>
    <w:rsid w:val="00C529A5"/>
    <w:rsid w:val="00C52B3C"/>
    <w:rsid w:val="00C52F4C"/>
    <w:rsid w:val="00C532F8"/>
    <w:rsid w:val="00C5331F"/>
    <w:rsid w:val="00C533A1"/>
    <w:rsid w:val="00C533E8"/>
    <w:rsid w:val="00C537D9"/>
    <w:rsid w:val="00C53A4B"/>
    <w:rsid w:val="00C53B91"/>
    <w:rsid w:val="00C53DA0"/>
    <w:rsid w:val="00C53E31"/>
    <w:rsid w:val="00C5413F"/>
    <w:rsid w:val="00C54365"/>
    <w:rsid w:val="00C54739"/>
    <w:rsid w:val="00C547E1"/>
    <w:rsid w:val="00C54947"/>
    <w:rsid w:val="00C54B76"/>
    <w:rsid w:val="00C550D0"/>
    <w:rsid w:val="00C55275"/>
    <w:rsid w:val="00C552BD"/>
    <w:rsid w:val="00C5537C"/>
    <w:rsid w:val="00C55577"/>
    <w:rsid w:val="00C556BD"/>
    <w:rsid w:val="00C556C9"/>
    <w:rsid w:val="00C559EB"/>
    <w:rsid w:val="00C55E5C"/>
    <w:rsid w:val="00C55FB3"/>
    <w:rsid w:val="00C561F8"/>
    <w:rsid w:val="00C56310"/>
    <w:rsid w:val="00C5636C"/>
    <w:rsid w:val="00C5658D"/>
    <w:rsid w:val="00C56599"/>
    <w:rsid w:val="00C5666D"/>
    <w:rsid w:val="00C566EB"/>
    <w:rsid w:val="00C567C9"/>
    <w:rsid w:val="00C567D7"/>
    <w:rsid w:val="00C56826"/>
    <w:rsid w:val="00C56A70"/>
    <w:rsid w:val="00C56EBC"/>
    <w:rsid w:val="00C56F71"/>
    <w:rsid w:val="00C570C8"/>
    <w:rsid w:val="00C57439"/>
    <w:rsid w:val="00C57649"/>
    <w:rsid w:val="00C5771F"/>
    <w:rsid w:val="00C577EF"/>
    <w:rsid w:val="00C57846"/>
    <w:rsid w:val="00C578D7"/>
    <w:rsid w:val="00C5790D"/>
    <w:rsid w:val="00C5792C"/>
    <w:rsid w:val="00C5793C"/>
    <w:rsid w:val="00C57B5B"/>
    <w:rsid w:val="00C57B5F"/>
    <w:rsid w:val="00C57BEF"/>
    <w:rsid w:val="00C57F4E"/>
    <w:rsid w:val="00C60049"/>
    <w:rsid w:val="00C6033A"/>
    <w:rsid w:val="00C60354"/>
    <w:rsid w:val="00C60500"/>
    <w:rsid w:val="00C6070E"/>
    <w:rsid w:val="00C60A0E"/>
    <w:rsid w:val="00C60C2F"/>
    <w:rsid w:val="00C60C3D"/>
    <w:rsid w:val="00C60D7B"/>
    <w:rsid w:val="00C60F1A"/>
    <w:rsid w:val="00C61033"/>
    <w:rsid w:val="00C61726"/>
    <w:rsid w:val="00C618EA"/>
    <w:rsid w:val="00C6194F"/>
    <w:rsid w:val="00C61A5F"/>
    <w:rsid w:val="00C61D05"/>
    <w:rsid w:val="00C61DA4"/>
    <w:rsid w:val="00C61EEF"/>
    <w:rsid w:val="00C61F2F"/>
    <w:rsid w:val="00C62059"/>
    <w:rsid w:val="00C6213F"/>
    <w:rsid w:val="00C62534"/>
    <w:rsid w:val="00C62580"/>
    <w:rsid w:val="00C62B1D"/>
    <w:rsid w:val="00C62EAF"/>
    <w:rsid w:val="00C63054"/>
    <w:rsid w:val="00C630C9"/>
    <w:rsid w:val="00C6342F"/>
    <w:rsid w:val="00C63646"/>
    <w:rsid w:val="00C63827"/>
    <w:rsid w:val="00C6390C"/>
    <w:rsid w:val="00C63A08"/>
    <w:rsid w:val="00C63B25"/>
    <w:rsid w:val="00C63B45"/>
    <w:rsid w:val="00C63C0F"/>
    <w:rsid w:val="00C63D68"/>
    <w:rsid w:val="00C63DAB"/>
    <w:rsid w:val="00C64751"/>
    <w:rsid w:val="00C6475B"/>
    <w:rsid w:val="00C6487A"/>
    <w:rsid w:val="00C64916"/>
    <w:rsid w:val="00C64997"/>
    <w:rsid w:val="00C64BCA"/>
    <w:rsid w:val="00C64D8F"/>
    <w:rsid w:val="00C65337"/>
    <w:rsid w:val="00C65419"/>
    <w:rsid w:val="00C655BE"/>
    <w:rsid w:val="00C65A7C"/>
    <w:rsid w:val="00C65AE8"/>
    <w:rsid w:val="00C65B0A"/>
    <w:rsid w:val="00C65B6C"/>
    <w:rsid w:val="00C65BEC"/>
    <w:rsid w:val="00C65D33"/>
    <w:rsid w:val="00C65DDF"/>
    <w:rsid w:val="00C65E5C"/>
    <w:rsid w:val="00C65EF5"/>
    <w:rsid w:val="00C65F08"/>
    <w:rsid w:val="00C65F8B"/>
    <w:rsid w:val="00C65FA0"/>
    <w:rsid w:val="00C66097"/>
    <w:rsid w:val="00C665E6"/>
    <w:rsid w:val="00C666F8"/>
    <w:rsid w:val="00C66D31"/>
    <w:rsid w:val="00C66E45"/>
    <w:rsid w:val="00C66F9D"/>
    <w:rsid w:val="00C670CB"/>
    <w:rsid w:val="00C670E1"/>
    <w:rsid w:val="00C6747A"/>
    <w:rsid w:val="00C674AB"/>
    <w:rsid w:val="00C676E9"/>
    <w:rsid w:val="00C677A6"/>
    <w:rsid w:val="00C678ED"/>
    <w:rsid w:val="00C679E7"/>
    <w:rsid w:val="00C67A53"/>
    <w:rsid w:val="00C67AEA"/>
    <w:rsid w:val="00C67CC5"/>
    <w:rsid w:val="00C67D51"/>
    <w:rsid w:val="00C67E18"/>
    <w:rsid w:val="00C67E6C"/>
    <w:rsid w:val="00C67FAA"/>
    <w:rsid w:val="00C70104"/>
    <w:rsid w:val="00C703A0"/>
    <w:rsid w:val="00C70615"/>
    <w:rsid w:val="00C70808"/>
    <w:rsid w:val="00C708FF"/>
    <w:rsid w:val="00C70CCA"/>
    <w:rsid w:val="00C70FD5"/>
    <w:rsid w:val="00C7104E"/>
    <w:rsid w:val="00C7107F"/>
    <w:rsid w:val="00C711B1"/>
    <w:rsid w:val="00C71306"/>
    <w:rsid w:val="00C713C9"/>
    <w:rsid w:val="00C713F2"/>
    <w:rsid w:val="00C71482"/>
    <w:rsid w:val="00C715FA"/>
    <w:rsid w:val="00C7171C"/>
    <w:rsid w:val="00C7182B"/>
    <w:rsid w:val="00C71A84"/>
    <w:rsid w:val="00C7201D"/>
    <w:rsid w:val="00C720B5"/>
    <w:rsid w:val="00C7261E"/>
    <w:rsid w:val="00C726DC"/>
    <w:rsid w:val="00C729DF"/>
    <w:rsid w:val="00C72A03"/>
    <w:rsid w:val="00C72DCE"/>
    <w:rsid w:val="00C73358"/>
    <w:rsid w:val="00C734B1"/>
    <w:rsid w:val="00C73993"/>
    <w:rsid w:val="00C739D5"/>
    <w:rsid w:val="00C73B24"/>
    <w:rsid w:val="00C73E2B"/>
    <w:rsid w:val="00C73EAC"/>
    <w:rsid w:val="00C740CE"/>
    <w:rsid w:val="00C74163"/>
    <w:rsid w:val="00C7430F"/>
    <w:rsid w:val="00C74441"/>
    <w:rsid w:val="00C74451"/>
    <w:rsid w:val="00C74617"/>
    <w:rsid w:val="00C74685"/>
    <w:rsid w:val="00C746F2"/>
    <w:rsid w:val="00C748D2"/>
    <w:rsid w:val="00C74B5E"/>
    <w:rsid w:val="00C74DE0"/>
    <w:rsid w:val="00C74FF8"/>
    <w:rsid w:val="00C75002"/>
    <w:rsid w:val="00C75041"/>
    <w:rsid w:val="00C750A0"/>
    <w:rsid w:val="00C7538A"/>
    <w:rsid w:val="00C7543C"/>
    <w:rsid w:val="00C758B2"/>
    <w:rsid w:val="00C762DC"/>
    <w:rsid w:val="00C762EF"/>
    <w:rsid w:val="00C76344"/>
    <w:rsid w:val="00C76656"/>
    <w:rsid w:val="00C766BD"/>
    <w:rsid w:val="00C768D1"/>
    <w:rsid w:val="00C76A60"/>
    <w:rsid w:val="00C76B56"/>
    <w:rsid w:val="00C76E1C"/>
    <w:rsid w:val="00C76E2D"/>
    <w:rsid w:val="00C770FA"/>
    <w:rsid w:val="00C7710A"/>
    <w:rsid w:val="00C7737D"/>
    <w:rsid w:val="00C77389"/>
    <w:rsid w:val="00C7748D"/>
    <w:rsid w:val="00C774B5"/>
    <w:rsid w:val="00C779CC"/>
    <w:rsid w:val="00C77B44"/>
    <w:rsid w:val="00C77D4A"/>
    <w:rsid w:val="00C77D53"/>
    <w:rsid w:val="00C77D84"/>
    <w:rsid w:val="00C77E68"/>
    <w:rsid w:val="00C8016A"/>
    <w:rsid w:val="00C801DB"/>
    <w:rsid w:val="00C802D4"/>
    <w:rsid w:val="00C803A2"/>
    <w:rsid w:val="00C804BB"/>
    <w:rsid w:val="00C80533"/>
    <w:rsid w:val="00C80615"/>
    <w:rsid w:val="00C80950"/>
    <w:rsid w:val="00C80A2E"/>
    <w:rsid w:val="00C80F94"/>
    <w:rsid w:val="00C8107C"/>
    <w:rsid w:val="00C81372"/>
    <w:rsid w:val="00C81480"/>
    <w:rsid w:val="00C81625"/>
    <w:rsid w:val="00C81902"/>
    <w:rsid w:val="00C81B64"/>
    <w:rsid w:val="00C8219E"/>
    <w:rsid w:val="00C82260"/>
    <w:rsid w:val="00C82475"/>
    <w:rsid w:val="00C82791"/>
    <w:rsid w:val="00C82BA6"/>
    <w:rsid w:val="00C82C69"/>
    <w:rsid w:val="00C82E5F"/>
    <w:rsid w:val="00C830BF"/>
    <w:rsid w:val="00C8311B"/>
    <w:rsid w:val="00C8325E"/>
    <w:rsid w:val="00C834B1"/>
    <w:rsid w:val="00C834CC"/>
    <w:rsid w:val="00C8371F"/>
    <w:rsid w:val="00C837C1"/>
    <w:rsid w:val="00C83B1C"/>
    <w:rsid w:val="00C83C80"/>
    <w:rsid w:val="00C83E3A"/>
    <w:rsid w:val="00C84009"/>
    <w:rsid w:val="00C8400F"/>
    <w:rsid w:val="00C8429A"/>
    <w:rsid w:val="00C84407"/>
    <w:rsid w:val="00C844D2"/>
    <w:rsid w:val="00C846FB"/>
    <w:rsid w:val="00C847EC"/>
    <w:rsid w:val="00C848C3"/>
    <w:rsid w:val="00C848E4"/>
    <w:rsid w:val="00C84C98"/>
    <w:rsid w:val="00C84D4B"/>
    <w:rsid w:val="00C850CA"/>
    <w:rsid w:val="00C85112"/>
    <w:rsid w:val="00C85321"/>
    <w:rsid w:val="00C859A0"/>
    <w:rsid w:val="00C85AF2"/>
    <w:rsid w:val="00C860C9"/>
    <w:rsid w:val="00C860F4"/>
    <w:rsid w:val="00C863E9"/>
    <w:rsid w:val="00C864FD"/>
    <w:rsid w:val="00C865E8"/>
    <w:rsid w:val="00C86688"/>
    <w:rsid w:val="00C868AD"/>
    <w:rsid w:val="00C8691D"/>
    <w:rsid w:val="00C8691E"/>
    <w:rsid w:val="00C86B1B"/>
    <w:rsid w:val="00C86C27"/>
    <w:rsid w:val="00C86C4D"/>
    <w:rsid w:val="00C87090"/>
    <w:rsid w:val="00C871C9"/>
    <w:rsid w:val="00C8744E"/>
    <w:rsid w:val="00C875DA"/>
    <w:rsid w:val="00C876F1"/>
    <w:rsid w:val="00C87784"/>
    <w:rsid w:val="00C877A9"/>
    <w:rsid w:val="00C878D5"/>
    <w:rsid w:val="00C87AB1"/>
    <w:rsid w:val="00C87ADB"/>
    <w:rsid w:val="00C87B03"/>
    <w:rsid w:val="00C87B78"/>
    <w:rsid w:val="00C87D75"/>
    <w:rsid w:val="00C87E2E"/>
    <w:rsid w:val="00C9001A"/>
    <w:rsid w:val="00C9033B"/>
    <w:rsid w:val="00C903F5"/>
    <w:rsid w:val="00C90A67"/>
    <w:rsid w:val="00C90B0E"/>
    <w:rsid w:val="00C90B32"/>
    <w:rsid w:val="00C90C99"/>
    <w:rsid w:val="00C90CAB"/>
    <w:rsid w:val="00C90D72"/>
    <w:rsid w:val="00C90E07"/>
    <w:rsid w:val="00C90E57"/>
    <w:rsid w:val="00C913A1"/>
    <w:rsid w:val="00C91650"/>
    <w:rsid w:val="00C9165E"/>
    <w:rsid w:val="00C9183A"/>
    <w:rsid w:val="00C919A5"/>
    <w:rsid w:val="00C91C4B"/>
    <w:rsid w:val="00C91D20"/>
    <w:rsid w:val="00C91DAE"/>
    <w:rsid w:val="00C9200D"/>
    <w:rsid w:val="00C9214A"/>
    <w:rsid w:val="00C9220E"/>
    <w:rsid w:val="00C92417"/>
    <w:rsid w:val="00C92426"/>
    <w:rsid w:val="00C92612"/>
    <w:rsid w:val="00C92AE7"/>
    <w:rsid w:val="00C92BBB"/>
    <w:rsid w:val="00C92ECA"/>
    <w:rsid w:val="00C930B8"/>
    <w:rsid w:val="00C931D7"/>
    <w:rsid w:val="00C93325"/>
    <w:rsid w:val="00C933C1"/>
    <w:rsid w:val="00C93431"/>
    <w:rsid w:val="00C93581"/>
    <w:rsid w:val="00C93612"/>
    <w:rsid w:val="00C93A8A"/>
    <w:rsid w:val="00C93E20"/>
    <w:rsid w:val="00C93F79"/>
    <w:rsid w:val="00C9420B"/>
    <w:rsid w:val="00C9451D"/>
    <w:rsid w:val="00C94679"/>
    <w:rsid w:val="00C9493C"/>
    <w:rsid w:val="00C94BD4"/>
    <w:rsid w:val="00C94C64"/>
    <w:rsid w:val="00C94D76"/>
    <w:rsid w:val="00C94E48"/>
    <w:rsid w:val="00C94EB4"/>
    <w:rsid w:val="00C94F1A"/>
    <w:rsid w:val="00C950EE"/>
    <w:rsid w:val="00C950F6"/>
    <w:rsid w:val="00C95579"/>
    <w:rsid w:val="00C955B6"/>
    <w:rsid w:val="00C9560F"/>
    <w:rsid w:val="00C9569F"/>
    <w:rsid w:val="00C95AB5"/>
    <w:rsid w:val="00C95B5E"/>
    <w:rsid w:val="00C95B87"/>
    <w:rsid w:val="00C95B97"/>
    <w:rsid w:val="00C96112"/>
    <w:rsid w:val="00C9619E"/>
    <w:rsid w:val="00C96418"/>
    <w:rsid w:val="00C9647F"/>
    <w:rsid w:val="00C9696B"/>
    <w:rsid w:val="00C96A7E"/>
    <w:rsid w:val="00C96AE6"/>
    <w:rsid w:val="00C96B60"/>
    <w:rsid w:val="00C971BE"/>
    <w:rsid w:val="00C9749C"/>
    <w:rsid w:val="00C974D1"/>
    <w:rsid w:val="00C974EB"/>
    <w:rsid w:val="00C9770F"/>
    <w:rsid w:val="00C97806"/>
    <w:rsid w:val="00C97828"/>
    <w:rsid w:val="00C9784F"/>
    <w:rsid w:val="00C97D16"/>
    <w:rsid w:val="00C97E7C"/>
    <w:rsid w:val="00CA0093"/>
    <w:rsid w:val="00CA009D"/>
    <w:rsid w:val="00CA0320"/>
    <w:rsid w:val="00CA0337"/>
    <w:rsid w:val="00CA04F9"/>
    <w:rsid w:val="00CA0738"/>
    <w:rsid w:val="00CA0A5C"/>
    <w:rsid w:val="00CA0B33"/>
    <w:rsid w:val="00CA0DC5"/>
    <w:rsid w:val="00CA0F49"/>
    <w:rsid w:val="00CA1148"/>
    <w:rsid w:val="00CA144C"/>
    <w:rsid w:val="00CA158A"/>
    <w:rsid w:val="00CA17B7"/>
    <w:rsid w:val="00CA188B"/>
    <w:rsid w:val="00CA18ED"/>
    <w:rsid w:val="00CA1ADC"/>
    <w:rsid w:val="00CA1C00"/>
    <w:rsid w:val="00CA1D6D"/>
    <w:rsid w:val="00CA1D80"/>
    <w:rsid w:val="00CA1DC6"/>
    <w:rsid w:val="00CA20C5"/>
    <w:rsid w:val="00CA24D7"/>
    <w:rsid w:val="00CA24E3"/>
    <w:rsid w:val="00CA26EF"/>
    <w:rsid w:val="00CA291C"/>
    <w:rsid w:val="00CA299F"/>
    <w:rsid w:val="00CA2A70"/>
    <w:rsid w:val="00CA2C16"/>
    <w:rsid w:val="00CA2ED5"/>
    <w:rsid w:val="00CA2F66"/>
    <w:rsid w:val="00CA304E"/>
    <w:rsid w:val="00CA31F2"/>
    <w:rsid w:val="00CA32F9"/>
    <w:rsid w:val="00CA34F8"/>
    <w:rsid w:val="00CA397F"/>
    <w:rsid w:val="00CA3B86"/>
    <w:rsid w:val="00CA40DB"/>
    <w:rsid w:val="00CA410A"/>
    <w:rsid w:val="00CA45F9"/>
    <w:rsid w:val="00CA4609"/>
    <w:rsid w:val="00CA4707"/>
    <w:rsid w:val="00CA4862"/>
    <w:rsid w:val="00CA48BA"/>
    <w:rsid w:val="00CA49C6"/>
    <w:rsid w:val="00CA49D9"/>
    <w:rsid w:val="00CA4A2B"/>
    <w:rsid w:val="00CA4E21"/>
    <w:rsid w:val="00CA4EBB"/>
    <w:rsid w:val="00CA5345"/>
    <w:rsid w:val="00CA53EC"/>
    <w:rsid w:val="00CA54A0"/>
    <w:rsid w:val="00CA57FE"/>
    <w:rsid w:val="00CA5826"/>
    <w:rsid w:val="00CA5B4C"/>
    <w:rsid w:val="00CA5D24"/>
    <w:rsid w:val="00CA6003"/>
    <w:rsid w:val="00CA604E"/>
    <w:rsid w:val="00CA6463"/>
    <w:rsid w:val="00CA6576"/>
    <w:rsid w:val="00CA68BD"/>
    <w:rsid w:val="00CA6A63"/>
    <w:rsid w:val="00CA6C23"/>
    <w:rsid w:val="00CA6D06"/>
    <w:rsid w:val="00CA6D6E"/>
    <w:rsid w:val="00CA6ED6"/>
    <w:rsid w:val="00CA6F3C"/>
    <w:rsid w:val="00CA734B"/>
    <w:rsid w:val="00CA74EC"/>
    <w:rsid w:val="00CA7509"/>
    <w:rsid w:val="00CA7677"/>
    <w:rsid w:val="00CA76DC"/>
    <w:rsid w:val="00CA78FD"/>
    <w:rsid w:val="00CA7986"/>
    <w:rsid w:val="00CA7AD7"/>
    <w:rsid w:val="00CA7C17"/>
    <w:rsid w:val="00CA7CDB"/>
    <w:rsid w:val="00CB003E"/>
    <w:rsid w:val="00CB0065"/>
    <w:rsid w:val="00CB0140"/>
    <w:rsid w:val="00CB01F4"/>
    <w:rsid w:val="00CB02AE"/>
    <w:rsid w:val="00CB02B7"/>
    <w:rsid w:val="00CB0305"/>
    <w:rsid w:val="00CB0556"/>
    <w:rsid w:val="00CB06B0"/>
    <w:rsid w:val="00CB097A"/>
    <w:rsid w:val="00CB0B22"/>
    <w:rsid w:val="00CB0B87"/>
    <w:rsid w:val="00CB0CCD"/>
    <w:rsid w:val="00CB0CE5"/>
    <w:rsid w:val="00CB0D24"/>
    <w:rsid w:val="00CB0D82"/>
    <w:rsid w:val="00CB0E3C"/>
    <w:rsid w:val="00CB1261"/>
    <w:rsid w:val="00CB12A6"/>
    <w:rsid w:val="00CB150B"/>
    <w:rsid w:val="00CB1616"/>
    <w:rsid w:val="00CB1733"/>
    <w:rsid w:val="00CB1749"/>
    <w:rsid w:val="00CB19D7"/>
    <w:rsid w:val="00CB1A04"/>
    <w:rsid w:val="00CB1A67"/>
    <w:rsid w:val="00CB1C55"/>
    <w:rsid w:val="00CB20E5"/>
    <w:rsid w:val="00CB23B7"/>
    <w:rsid w:val="00CB26F3"/>
    <w:rsid w:val="00CB270A"/>
    <w:rsid w:val="00CB2711"/>
    <w:rsid w:val="00CB2988"/>
    <w:rsid w:val="00CB2A19"/>
    <w:rsid w:val="00CB2D4F"/>
    <w:rsid w:val="00CB2D96"/>
    <w:rsid w:val="00CB2DA5"/>
    <w:rsid w:val="00CB3016"/>
    <w:rsid w:val="00CB3091"/>
    <w:rsid w:val="00CB31DD"/>
    <w:rsid w:val="00CB3E4D"/>
    <w:rsid w:val="00CB42B9"/>
    <w:rsid w:val="00CB4ACA"/>
    <w:rsid w:val="00CB4C6D"/>
    <w:rsid w:val="00CB4FFA"/>
    <w:rsid w:val="00CB5018"/>
    <w:rsid w:val="00CB5421"/>
    <w:rsid w:val="00CB5733"/>
    <w:rsid w:val="00CB57F7"/>
    <w:rsid w:val="00CB5BF9"/>
    <w:rsid w:val="00CB61BD"/>
    <w:rsid w:val="00CB61CC"/>
    <w:rsid w:val="00CB63B3"/>
    <w:rsid w:val="00CB63DD"/>
    <w:rsid w:val="00CB6711"/>
    <w:rsid w:val="00CB6CA3"/>
    <w:rsid w:val="00CB6EDA"/>
    <w:rsid w:val="00CB716B"/>
    <w:rsid w:val="00CB7230"/>
    <w:rsid w:val="00CB73A4"/>
    <w:rsid w:val="00CB75BA"/>
    <w:rsid w:val="00CB7812"/>
    <w:rsid w:val="00CB78C9"/>
    <w:rsid w:val="00CB7DE7"/>
    <w:rsid w:val="00CB7EA6"/>
    <w:rsid w:val="00CB7EAA"/>
    <w:rsid w:val="00CB7F4C"/>
    <w:rsid w:val="00CC009F"/>
    <w:rsid w:val="00CC02E2"/>
    <w:rsid w:val="00CC0350"/>
    <w:rsid w:val="00CC08E7"/>
    <w:rsid w:val="00CC0942"/>
    <w:rsid w:val="00CC09AF"/>
    <w:rsid w:val="00CC0BB1"/>
    <w:rsid w:val="00CC0BF4"/>
    <w:rsid w:val="00CC0EEA"/>
    <w:rsid w:val="00CC0F96"/>
    <w:rsid w:val="00CC0FF5"/>
    <w:rsid w:val="00CC102D"/>
    <w:rsid w:val="00CC110B"/>
    <w:rsid w:val="00CC11EA"/>
    <w:rsid w:val="00CC13A6"/>
    <w:rsid w:val="00CC153D"/>
    <w:rsid w:val="00CC169A"/>
    <w:rsid w:val="00CC1769"/>
    <w:rsid w:val="00CC1BD6"/>
    <w:rsid w:val="00CC1CB3"/>
    <w:rsid w:val="00CC1DC5"/>
    <w:rsid w:val="00CC20DD"/>
    <w:rsid w:val="00CC22B7"/>
    <w:rsid w:val="00CC267E"/>
    <w:rsid w:val="00CC275C"/>
    <w:rsid w:val="00CC2794"/>
    <w:rsid w:val="00CC29A5"/>
    <w:rsid w:val="00CC2A3F"/>
    <w:rsid w:val="00CC2C65"/>
    <w:rsid w:val="00CC2EFD"/>
    <w:rsid w:val="00CC307C"/>
    <w:rsid w:val="00CC30C8"/>
    <w:rsid w:val="00CC333D"/>
    <w:rsid w:val="00CC34B2"/>
    <w:rsid w:val="00CC3651"/>
    <w:rsid w:val="00CC3768"/>
    <w:rsid w:val="00CC3790"/>
    <w:rsid w:val="00CC3854"/>
    <w:rsid w:val="00CC385A"/>
    <w:rsid w:val="00CC3E43"/>
    <w:rsid w:val="00CC4167"/>
    <w:rsid w:val="00CC45AA"/>
    <w:rsid w:val="00CC465D"/>
    <w:rsid w:val="00CC4892"/>
    <w:rsid w:val="00CC4B8C"/>
    <w:rsid w:val="00CC4BF8"/>
    <w:rsid w:val="00CC4C90"/>
    <w:rsid w:val="00CC4D91"/>
    <w:rsid w:val="00CC4E8E"/>
    <w:rsid w:val="00CC4EB9"/>
    <w:rsid w:val="00CC4F9F"/>
    <w:rsid w:val="00CC4FDC"/>
    <w:rsid w:val="00CC5159"/>
    <w:rsid w:val="00CC518D"/>
    <w:rsid w:val="00CC5393"/>
    <w:rsid w:val="00CC53EE"/>
    <w:rsid w:val="00CC5524"/>
    <w:rsid w:val="00CC57B5"/>
    <w:rsid w:val="00CC58E1"/>
    <w:rsid w:val="00CC59F5"/>
    <w:rsid w:val="00CC5D08"/>
    <w:rsid w:val="00CC622D"/>
    <w:rsid w:val="00CC6262"/>
    <w:rsid w:val="00CC628A"/>
    <w:rsid w:val="00CC650B"/>
    <w:rsid w:val="00CC65B3"/>
    <w:rsid w:val="00CC65DD"/>
    <w:rsid w:val="00CC65F4"/>
    <w:rsid w:val="00CC684D"/>
    <w:rsid w:val="00CC6A53"/>
    <w:rsid w:val="00CC6A99"/>
    <w:rsid w:val="00CC7064"/>
    <w:rsid w:val="00CC71E5"/>
    <w:rsid w:val="00CC7309"/>
    <w:rsid w:val="00CC7436"/>
    <w:rsid w:val="00CC79AD"/>
    <w:rsid w:val="00CC7ACC"/>
    <w:rsid w:val="00CC7BA5"/>
    <w:rsid w:val="00CC7E00"/>
    <w:rsid w:val="00CD005D"/>
    <w:rsid w:val="00CD056C"/>
    <w:rsid w:val="00CD069F"/>
    <w:rsid w:val="00CD06AF"/>
    <w:rsid w:val="00CD0842"/>
    <w:rsid w:val="00CD095D"/>
    <w:rsid w:val="00CD0CBA"/>
    <w:rsid w:val="00CD1010"/>
    <w:rsid w:val="00CD1755"/>
    <w:rsid w:val="00CD1867"/>
    <w:rsid w:val="00CD1D76"/>
    <w:rsid w:val="00CD1E12"/>
    <w:rsid w:val="00CD1F08"/>
    <w:rsid w:val="00CD1FFE"/>
    <w:rsid w:val="00CD2196"/>
    <w:rsid w:val="00CD21F8"/>
    <w:rsid w:val="00CD2278"/>
    <w:rsid w:val="00CD22FB"/>
    <w:rsid w:val="00CD2408"/>
    <w:rsid w:val="00CD2529"/>
    <w:rsid w:val="00CD2610"/>
    <w:rsid w:val="00CD2800"/>
    <w:rsid w:val="00CD297A"/>
    <w:rsid w:val="00CD2A86"/>
    <w:rsid w:val="00CD2AC0"/>
    <w:rsid w:val="00CD2B48"/>
    <w:rsid w:val="00CD2F3E"/>
    <w:rsid w:val="00CD306B"/>
    <w:rsid w:val="00CD31D1"/>
    <w:rsid w:val="00CD31DE"/>
    <w:rsid w:val="00CD31F3"/>
    <w:rsid w:val="00CD3277"/>
    <w:rsid w:val="00CD339E"/>
    <w:rsid w:val="00CD33F1"/>
    <w:rsid w:val="00CD377D"/>
    <w:rsid w:val="00CD3879"/>
    <w:rsid w:val="00CD3D8E"/>
    <w:rsid w:val="00CD443F"/>
    <w:rsid w:val="00CD4499"/>
    <w:rsid w:val="00CD45A2"/>
    <w:rsid w:val="00CD472B"/>
    <w:rsid w:val="00CD4D85"/>
    <w:rsid w:val="00CD4E2F"/>
    <w:rsid w:val="00CD52EC"/>
    <w:rsid w:val="00CD5423"/>
    <w:rsid w:val="00CD551D"/>
    <w:rsid w:val="00CD5575"/>
    <w:rsid w:val="00CD5A64"/>
    <w:rsid w:val="00CD5E38"/>
    <w:rsid w:val="00CD5F10"/>
    <w:rsid w:val="00CD5FF1"/>
    <w:rsid w:val="00CD60AE"/>
    <w:rsid w:val="00CD6172"/>
    <w:rsid w:val="00CD6252"/>
    <w:rsid w:val="00CD642C"/>
    <w:rsid w:val="00CD654C"/>
    <w:rsid w:val="00CD687E"/>
    <w:rsid w:val="00CD697E"/>
    <w:rsid w:val="00CD6A1C"/>
    <w:rsid w:val="00CD6BDC"/>
    <w:rsid w:val="00CD6E39"/>
    <w:rsid w:val="00CD6EC6"/>
    <w:rsid w:val="00CD6F2C"/>
    <w:rsid w:val="00CD6F3A"/>
    <w:rsid w:val="00CD6F91"/>
    <w:rsid w:val="00CD6FFF"/>
    <w:rsid w:val="00CD70D2"/>
    <w:rsid w:val="00CD71FA"/>
    <w:rsid w:val="00CD77A7"/>
    <w:rsid w:val="00CD7936"/>
    <w:rsid w:val="00CD7ABA"/>
    <w:rsid w:val="00CD7C7B"/>
    <w:rsid w:val="00CE04DC"/>
    <w:rsid w:val="00CE05B3"/>
    <w:rsid w:val="00CE092D"/>
    <w:rsid w:val="00CE0AC0"/>
    <w:rsid w:val="00CE0AEA"/>
    <w:rsid w:val="00CE0C29"/>
    <w:rsid w:val="00CE0D0D"/>
    <w:rsid w:val="00CE0D6F"/>
    <w:rsid w:val="00CE0E53"/>
    <w:rsid w:val="00CE107B"/>
    <w:rsid w:val="00CE12CB"/>
    <w:rsid w:val="00CE12CF"/>
    <w:rsid w:val="00CE14AB"/>
    <w:rsid w:val="00CE1503"/>
    <w:rsid w:val="00CE188B"/>
    <w:rsid w:val="00CE1ACE"/>
    <w:rsid w:val="00CE1C77"/>
    <w:rsid w:val="00CE1CBF"/>
    <w:rsid w:val="00CE1F02"/>
    <w:rsid w:val="00CE1FC1"/>
    <w:rsid w:val="00CE2348"/>
    <w:rsid w:val="00CE23C1"/>
    <w:rsid w:val="00CE23E3"/>
    <w:rsid w:val="00CE2997"/>
    <w:rsid w:val="00CE2CC5"/>
    <w:rsid w:val="00CE2DC1"/>
    <w:rsid w:val="00CE2EA9"/>
    <w:rsid w:val="00CE315F"/>
    <w:rsid w:val="00CE3287"/>
    <w:rsid w:val="00CE3434"/>
    <w:rsid w:val="00CE36A0"/>
    <w:rsid w:val="00CE3713"/>
    <w:rsid w:val="00CE378E"/>
    <w:rsid w:val="00CE3B16"/>
    <w:rsid w:val="00CE3B9C"/>
    <w:rsid w:val="00CE3BAD"/>
    <w:rsid w:val="00CE3D57"/>
    <w:rsid w:val="00CE3DB3"/>
    <w:rsid w:val="00CE3DC1"/>
    <w:rsid w:val="00CE3E2F"/>
    <w:rsid w:val="00CE4121"/>
    <w:rsid w:val="00CE437C"/>
    <w:rsid w:val="00CE454A"/>
    <w:rsid w:val="00CE4556"/>
    <w:rsid w:val="00CE46F9"/>
    <w:rsid w:val="00CE48DF"/>
    <w:rsid w:val="00CE4E02"/>
    <w:rsid w:val="00CE4F08"/>
    <w:rsid w:val="00CE4FA8"/>
    <w:rsid w:val="00CE50D6"/>
    <w:rsid w:val="00CE5105"/>
    <w:rsid w:val="00CE535D"/>
    <w:rsid w:val="00CE567E"/>
    <w:rsid w:val="00CE5D68"/>
    <w:rsid w:val="00CE5F3A"/>
    <w:rsid w:val="00CE5F3F"/>
    <w:rsid w:val="00CE6018"/>
    <w:rsid w:val="00CE622E"/>
    <w:rsid w:val="00CE63CF"/>
    <w:rsid w:val="00CE6527"/>
    <w:rsid w:val="00CE6595"/>
    <w:rsid w:val="00CE661F"/>
    <w:rsid w:val="00CE6AD8"/>
    <w:rsid w:val="00CE6CD2"/>
    <w:rsid w:val="00CE6D16"/>
    <w:rsid w:val="00CE6D3C"/>
    <w:rsid w:val="00CE6E73"/>
    <w:rsid w:val="00CE6F32"/>
    <w:rsid w:val="00CE73D9"/>
    <w:rsid w:val="00CE7527"/>
    <w:rsid w:val="00CE7570"/>
    <w:rsid w:val="00CE7579"/>
    <w:rsid w:val="00CE770E"/>
    <w:rsid w:val="00CE7778"/>
    <w:rsid w:val="00CE7800"/>
    <w:rsid w:val="00CE7B52"/>
    <w:rsid w:val="00CE7E3A"/>
    <w:rsid w:val="00CE7F30"/>
    <w:rsid w:val="00CF0132"/>
    <w:rsid w:val="00CF015D"/>
    <w:rsid w:val="00CF0262"/>
    <w:rsid w:val="00CF03AC"/>
    <w:rsid w:val="00CF0495"/>
    <w:rsid w:val="00CF0527"/>
    <w:rsid w:val="00CF05B1"/>
    <w:rsid w:val="00CF068A"/>
    <w:rsid w:val="00CF079D"/>
    <w:rsid w:val="00CF07C2"/>
    <w:rsid w:val="00CF08C2"/>
    <w:rsid w:val="00CF0946"/>
    <w:rsid w:val="00CF0947"/>
    <w:rsid w:val="00CF0AC5"/>
    <w:rsid w:val="00CF0E54"/>
    <w:rsid w:val="00CF0F18"/>
    <w:rsid w:val="00CF1188"/>
    <w:rsid w:val="00CF16F8"/>
    <w:rsid w:val="00CF1745"/>
    <w:rsid w:val="00CF1816"/>
    <w:rsid w:val="00CF1B73"/>
    <w:rsid w:val="00CF1D7F"/>
    <w:rsid w:val="00CF1D8F"/>
    <w:rsid w:val="00CF1F89"/>
    <w:rsid w:val="00CF27E9"/>
    <w:rsid w:val="00CF2854"/>
    <w:rsid w:val="00CF28C2"/>
    <w:rsid w:val="00CF29EF"/>
    <w:rsid w:val="00CF2CF2"/>
    <w:rsid w:val="00CF2D7D"/>
    <w:rsid w:val="00CF2E84"/>
    <w:rsid w:val="00CF3166"/>
    <w:rsid w:val="00CF323E"/>
    <w:rsid w:val="00CF329C"/>
    <w:rsid w:val="00CF341F"/>
    <w:rsid w:val="00CF34AF"/>
    <w:rsid w:val="00CF3522"/>
    <w:rsid w:val="00CF365E"/>
    <w:rsid w:val="00CF3BCF"/>
    <w:rsid w:val="00CF3D9D"/>
    <w:rsid w:val="00CF4046"/>
    <w:rsid w:val="00CF445F"/>
    <w:rsid w:val="00CF4590"/>
    <w:rsid w:val="00CF46FC"/>
    <w:rsid w:val="00CF4A9B"/>
    <w:rsid w:val="00CF4B5D"/>
    <w:rsid w:val="00CF4CA8"/>
    <w:rsid w:val="00CF5150"/>
    <w:rsid w:val="00CF530A"/>
    <w:rsid w:val="00CF53C3"/>
    <w:rsid w:val="00CF5407"/>
    <w:rsid w:val="00CF597B"/>
    <w:rsid w:val="00CF5A57"/>
    <w:rsid w:val="00CF5D9C"/>
    <w:rsid w:val="00CF604B"/>
    <w:rsid w:val="00CF6197"/>
    <w:rsid w:val="00CF624A"/>
    <w:rsid w:val="00CF66C1"/>
    <w:rsid w:val="00CF66FC"/>
    <w:rsid w:val="00CF6D39"/>
    <w:rsid w:val="00CF7374"/>
    <w:rsid w:val="00CF73E9"/>
    <w:rsid w:val="00CF7471"/>
    <w:rsid w:val="00CF752E"/>
    <w:rsid w:val="00CF764F"/>
    <w:rsid w:val="00CF7782"/>
    <w:rsid w:val="00CF7C5A"/>
    <w:rsid w:val="00CF7EC3"/>
    <w:rsid w:val="00CF7FBE"/>
    <w:rsid w:val="00D00103"/>
    <w:rsid w:val="00D004B1"/>
    <w:rsid w:val="00D006E0"/>
    <w:rsid w:val="00D00704"/>
    <w:rsid w:val="00D00829"/>
    <w:rsid w:val="00D00AA3"/>
    <w:rsid w:val="00D00ADA"/>
    <w:rsid w:val="00D00B33"/>
    <w:rsid w:val="00D00DAE"/>
    <w:rsid w:val="00D01230"/>
    <w:rsid w:val="00D0144A"/>
    <w:rsid w:val="00D01503"/>
    <w:rsid w:val="00D0177C"/>
    <w:rsid w:val="00D0180E"/>
    <w:rsid w:val="00D018CC"/>
    <w:rsid w:val="00D01C04"/>
    <w:rsid w:val="00D01C9B"/>
    <w:rsid w:val="00D01D1E"/>
    <w:rsid w:val="00D01F00"/>
    <w:rsid w:val="00D01F81"/>
    <w:rsid w:val="00D020DB"/>
    <w:rsid w:val="00D021E4"/>
    <w:rsid w:val="00D0231E"/>
    <w:rsid w:val="00D0244D"/>
    <w:rsid w:val="00D024C4"/>
    <w:rsid w:val="00D02795"/>
    <w:rsid w:val="00D027B0"/>
    <w:rsid w:val="00D028FF"/>
    <w:rsid w:val="00D02951"/>
    <w:rsid w:val="00D02A4F"/>
    <w:rsid w:val="00D02C20"/>
    <w:rsid w:val="00D032EE"/>
    <w:rsid w:val="00D03424"/>
    <w:rsid w:val="00D035BF"/>
    <w:rsid w:val="00D0364E"/>
    <w:rsid w:val="00D038D0"/>
    <w:rsid w:val="00D03959"/>
    <w:rsid w:val="00D03A16"/>
    <w:rsid w:val="00D040DE"/>
    <w:rsid w:val="00D041B9"/>
    <w:rsid w:val="00D041BE"/>
    <w:rsid w:val="00D042FA"/>
    <w:rsid w:val="00D0451D"/>
    <w:rsid w:val="00D045A2"/>
    <w:rsid w:val="00D04730"/>
    <w:rsid w:val="00D0493A"/>
    <w:rsid w:val="00D04D83"/>
    <w:rsid w:val="00D04DDE"/>
    <w:rsid w:val="00D04E24"/>
    <w:rsid w:val="00D04EBC"/>
    <w:rsid w:val="00D04FF5"/>
    <w:rsid w:val="00D05000"/>
    <w:rsid w:val="00D0504E"/>
    <w:rsid w:val="00D05124"/>
    <w:rsid w:val="00D05169"/>
    <w:rsid w:val="00D052DF"/>
    <w:rsid w:val="00D05408"/>
    <w:rsid w:val="00D05433"/>
    <w:rsid w:val="00D05455"/>
    <w:rsid w:val="00D058EB"/>
    <w:rsid w:val="00D05BD9"/>
    <w:rsid w:val="00D05D54"/>
    <w:rsid w:val="00D05D6A"/>
    <w:rsid w:val="00D05D9D"/>
    <w:rsid w:val="00D05E12"/>
    <w:rsid w:val="00D05EF7"/>
    <w:rsid w:val="00D060FA"/>
    <w:rsid w:val="00D062D5"/>
    <w:rsid w:val="00D06342"/>
    <w:rsid w:val="00D06379"/>
    <w:rsid w:val="00D063D8"/>
    <w:rsid w:val="00D063D9"/>
    <w:rsid w:val="00D0648D"/>
    <w:rsid w:val="00D06634"/>
    <w:rsid w:val="00D066A1"/>
    <w:rsid w:val="00D06B5C"/>
    <w:rsid w:val="00D06BEE"/>
    <w:rsid w:val="00D06C04"/>
    <w:rsid w:val="00D06D7A"/>
    <w:rsid w:val="00D06DC4"/>
    <w:rsid w:val="00D06F6D"/>
    <w:rsid w:val="00D070AA"/>
    <w:rsid w:val="00D071B4"/>
    <w:rsid w:val="00D07405"/>
    <w:rsid w:val="00D0754F"/>
    <w:rsid w:val="00D075E9"/>
    <w:rsid w:val="00D07803"/>
    <w:rsid w:val="00D07848"/>
    <w:rsid w:val="00D079C7"/>
    <w:rsid w:val="00D07A00"/>
    <w:rsid w:val="00D07A36"/>
    <w:rsid w:val="00D07AE2"/>
    <w:rsid w:val="00D07B27"/>
    <w:rsid w:val="00D07B5E"/>
    <w:rsid w:val="00D07BF9"/>
    <w:rsid w:val="00D07EF7"/>
    <w:rsid w:val="00D07F73"/>
    <w:rsid w:val="00D10071"/>
    <w:rsid w:val="00D10102"/>
    <w:rsid w:val="00D10297"/>
    <w:rsid w:val="00D1051A"/>
    <w:rsid w:val="00D10A02"/>
    <w:rsid w:val="00D10A20"/>
    <w:rsid w:val="00D10AFA"/>
    <w:rsid w:val="00D10DE2"/>
    <w:rsid w:val="00D10EBA"/>
    <w:rsid w:val="00D11211"/>
    <w:rsid w:val="00D11583"/>
    <w:rsid w:val="00D116F0"/>
    <w:rsid w:val="00D11953"/>
    <w:rsid w:val="00D11A9E"/>
    <w:rsid w:val="00D11C4B"/>
    <w:rsid w:val="00D11DCE"/>
    <w:rsid w:val="00D12269"/>
    <w:rsid w:val="00D1229D"/>
    <w:rsid w:val="00D1234F"/>
    <w:rsid w:val="00D123EB"/>
    <w:rsid w:val="00D12485"/>
    <w:rsid w:val="00D124DC"/>
    <w:rsid w:val="00D128BE"/>
    <w:rsid w:val="00D12910"/>
    <w:rsid w:val="00D12BA1"/>
    <w:rsid w:val="00D13135"/>
    <w:rsid w:val="00D13251"/>
    <w:rsid w:val="00D133C8"/>
    <w:rsid w:val="00D13475"/>
    <w:rsid w:val="00D13618"/>
    <w:rsid w:val="00D1394C"/>
    <w:rsid w:val="00D13C15"/>
    <w:rsid w:val="00D13F6B"/>
    <w:rsid w:val="00D1409D"/>
    <w:rsid w:val="00D141BC"/>
    <w:rsid w:val="00D14355"/>
    <w:rsid w:val="00D14361"/>
    <w:rsid w:val="00D14592"/>
    <w:rsid w:val="00D14770"/>
    <w:rsid w:val="00D14844"/>
    <w:rsid w:val="00D1492A"/>
    <w:rsid w:val="00D14C1B"/>
    <w:rsid w:val="00D14D19"/>
    <w:rsid w:val="00D14E41"/>
    <w:rsid w:val="00D14F91"/>
    <w:rsid w:val="00D14FB1"/>
    <w:rsid w:val="00D1515B"/>
    <w:rsid w:val="00D15260"/>
    <w:rsid w:val="00D152A9"/>
    <w:rsid w:val="00D152B9"/>
    <w:rsid w:val="00D15411"/>
    <w:rsid w:val="00D15533"/>
    <w:rsid w:val="00D1556D"/>
    <w:rsid w:val="00D155E3"/>
    <w:rsid w:val="00D156BE"/>
    <w:rsid w:val="00D15836"/>
    <w:rsid w:val="00D15A6D"/>
    <w:rsid w:val="00D15B4F"/>
    <w:rsid w:val="00D15B57"/>
    <w:rsid w:val="00D15D71"/>
    <w:rsid w:val="00D15EBA"/>
    <w:rsid w:val="00D1637C"/>
    <w:rsid w:val="00D16593"/>
    <w:rsid w:val="00D165C4"/>
    <w:rsid w:val="00D16628"/>
    <w:rsid w:val="00D1682F"/>
    <w:rsid w:val="00D16A3C"/>
    <w:rsid w:val="00D16AAF"/>
    <w:rsid w:val="00D16C3F"/>
    <w:rsid w:val="00D16C54"/>
    <w:rsid w:val="00D1702F"/>
    <w:rsid w:val="00D170EB"/>
    <w:rsid w:val="00D17282"/>
    <w:rsid w:val="00D1744D"/>
    <w:rsid w:val="00D17460"/>
    <w:rsid w:val="00D17503"/>
    <w:rsid w:val="00D1792E"/>
    <w:rsid w:val="00D179F1"/>
    <w:rsid w:val="00D17AFC"/>
    <w:rsid w:val="00D17B7D"/>
    <w:rsid w:val="00D17D43"/>
    <w:rsid w:val="00D200B5"/>
    <w:rsid w:val="00D203A4"/>
    <w:rsid w:val="00D2041C"/>
    <w:rsid w:val="00D204DD"/>
    <w:rsid w:val="00D20783"/>
    <w:rsid w:val="00D209E1"/>
    <w:rsid w:val="00D20C78"/>
    <w:rsid w:val="00D20E0F"/>
    <w:rsid w:val="00D20E17"/>
    <w:rsid w:val="00D2109B"/>
    <w:rsid w:val="00D211A0"/>
    <w:rsid w:val="00D21470"/>
    <w:rsid w:val="00D2183E"/>
    <w:rsid w:val="00D218F5"/>
    <w:rsid w:val="00D21D53"/>
    <w:rsid w:val="00D21DAA"/>
    <w:rsid w:val="00D22148"/>
    <w:rsid w:val="00D22829"/>
    <w:rsid w:val="00D228E5"/>
    <w:rsid w:val="00D22DD8"/>
    <w:rsid w:val="00D230FD"/>
    <w:rsid w:val="00D23128"/>
    <w:rsid w:val="00D2329F"/>
    <w:rsid w:val="00D23446"/>
    <w:rsid w:val="00D23574"/>
    <w:rsid w:val="00D23E22"/>
    <w:rsid w:val="00D241FF"/>
    <w:rsid w:val="00D24325"/>
    <w:rsid w:val="00D2438A"/>
    <w:rsid w:val="00D244BD"/>
    <w:rsid w:val="00D24523"/>
    <w:rsid w:val="00D246A7"/>
    <w:rsid w:val="00D246AF"/>
    <w:rsid w:val="00D24764"/>
    <w:rsid w:val="00D24775"/>
    <w:rsid w:val="00D2490C"/>
    <w:rsid w:val="00D24A9E"/>
    <w:rsid w:val="00D24B78"/>
    <w:rsid w:val="00D24C16"/>
    <w:rsid w:val="00D24FDA"/>
    <w:rsid w:val="00D25050"/>
    <w:rsid w:val="00D2505F"/>
    <w:rsid w:val="00D250F1"/>
    <w:rsid w:val="00D25336"/>
    <w:rsid w:val="00D253B8"/>
    <w:rsid w:val="00D25703"/>
    <w:rsid w:val="00D259B6"/>
    <w:rsid w:val="00D25A0A"/>
    <w:rsid w:val="00D25A39"/>
    <w:rsid w:val="00D25A91"/>
    <w:rsid w:val="00D25ADE"/>
    <w:rsid w:val="00D25E48"/>
    <w:rsid w:val="00D2614A"/>
    <w:rsid w:val="00D2622F"/>
    <w:rsid w:val="00D264C1"/>
    <w:rsid w:val="00D26634"/>
    <w:rsid w:val="00D268DC"/>
    <w:rsid w:val="00D26C4D"/>
    <w:rsid w:val="00D26C5B"/>
    <w:rsid w:val="00D26C9C"/>
    <w:rsid w:val="00D26EC8"/>
    <w:rsid w:val="00D27123"/>
    <w:rsid w:val="00D2720B"/>
    <w:rsid w:val="00D2745B"/>
    <w:rsid w:val="00D27572"/>
    <w:rsid w:val="00D27595"/>
    <w:rsid w:val="00D27A51"/>
    <w:rsid w:val="00D27AA8"/>
    <w:rsid w:val="00D27EC9"/>
    <w:rsid w:val="00D3008B"/>
    <w:rsid w:val="00D302E3"/>
    <w:rsid w:val="00D30331"/>
    <w:rsid w:val="00D30432"/>
    <w:rsid w:val="00D307AC"/>
    <w:rsid w:val="00D30BA2"/>
    <w:rsid w:val="00D30BE5"/>
    <w:rsid w:val="00D30CF4"/>
    <w:rsid w:val="00D30E75"/>
    <w:rsid w:val="00D310BF"/>
    <w:rsid w:val="00D31172"/>
    <w:rsid w:val="00D314D0"/>
    <w:rsid w:val="00D3190B"/>
    <w:rsid w:val="00D32012"/>
    <w:rsid w:val="00D32735"/>
    <w:rsid w:val="00D328B6"/>
    <w:rsid w:val="00D3297F"/>
    <w:rsid w:val="00D32BEA"/>
    <w:rsid w:val="00D32CEC"/>
    <w:rsid w:val="00D33078"/>
    <w:rsid w:val="00D332C4"/>
    <w:rsid w:val="00D335F2"/>
    <w:rsid w:val="00D33669"/>
    <w:rsid w:val="00D33939"/>
    <w:rsid w:val="00D34322"/>
    <w:rsid w:val="00D345DC"/>
    <w:rsid w:val="00D346B2"/>
    <w:rsid w:val="00D3489F"/>
    <w:rsid w:val="00D34A80"/>
    <w:rsid w:val="00D34B26"/>
    <w:rsid w:val="00D34F11"/>
    <w:rsid w:val="00D34F19"/>
    <w:rsid w:val="00D34FA8"/>
    <w:rsid w:val="00D353A9"/>
    <w:rsid w:val="00D35562"/>
    <w:rsid w:val="00D359B0"/>
    <w:rsid w:val="00D35A49"/>
    <w:rsid w:val="00D35B80"/>
    <w:rsid w:val="00D35C09"/>
    <w:rsid w:val="00D361CA"/>
    <w:rsid w:val="00D36325"/>
    <w:rsid w:val="00D3640E"/>
    <w:rsid w:val="00D3655E"/>
    <w:rsid w:val="00D3675A"/>
    <w:rsid w:val="00D3693D"/>
    <w:rsid w:val="00D36A46"/>
    <w:rsid w:val="00D36AFC"/>
    <w:rsid w:val="00D36F4A"/>
    <w:rsid w:val="00D37001"/>
    <w:rsid w:val="00D374BC"/>
    <w:rsid w:val="00D37637"/>
    <w:rsid w:val="00D37838"/>
    <w:rsid w:val="00D37858"/>
    <w:rsid w:val="00D37D38"/>
    <w:rsid w:val="00D4005E"/>
    <w:rsid w:val="00D4022F"/>
    <w:rsid w:val="00D403D5"/>
    <w:rsid w:val="00D403FA"/>
    <w:rsid w:val="00D40409"/>
    <w:rsid w:val="00D4084C"/>
    <w:rsid w:val="00D40AC7"/>
    <w:rsid w:val="00D40B21"/>
    <w:rsid w:val="00D40C7D"/>
    <w:rsid w:val="00D410E6"/>
    <w:rsid w:val="00D415F5"/>
    <w:rsid w:val="00D41674"/>
    <w:rsid w:val="00D417A2"/>
    <w:rsid w:val="00D41878"/>
    <w:rsid w:val="00D41919"/>
    <w:rsid w:val="00D419C1"/>
    <w:rsid w:val="00D41D41"/>
    <w:rsid w:val="00D41E28"/>
    <w:rsid w:val="00D41FDD"/>
    <w:rsid w:val="00D421DF"/>
    <w:rsid w:val="00D42443"/>
    <w:rsid w:val="00D426FD"/>
    <w:rsid w:val="00D42733"/>
    <w:rsid w:val="00D42982"/>
    <w:rsid w:val="00D42B40"/>
    <w:rsid w:val="00D42BA0"/>
    <w:rsid w:val="00D42DF4"/>
    <w:rsid w:val="00D42E10"/>
    <w:rsid w:val="00D42ED0"/>
    <w:rsid w:val="00D430CB"/>
    <w:rsid w:val="00D431D6"/>
    <w:rsid w:val="00D43297"/>
    <w:rsid w:val="00D432B6"/>
    <w:rsid w:val="00D43765"/>
    <w:rsid w:val="00D438C3"/>
    <w:rsid w:val="00D43BAD"/>
    <w:rsid w:val="00D43F66"/>
    <w:rsid w:val="00D44463"/>
    <w:rsid w:val="00D448D0"/>
    <w:rsid w:val="00D44925"/>
    <w:rsid w:val="00D449A7"/>
    <w:rsid w:val="00D449C5"/>
    <w:rsid w:val="00D44CE0"/>
    <w:rsid w:val="00D44DB6"/>
    <w:rsid w:val="00D44E59"/>
    <w:rsid w:val="00D44EF7"/>
    <w:rsid w:val="00D45027"/>
    <w:rsid w:val="00D4506A"/>
    <w:rsid w:val="00D450FA"/>
    <w:rsid w:val="00D451EA"/>
    <w:rsid w:val="00D45285"/>
    <w:rsid w:val="00D453CA"/>
    <w:rsid w:val="00D45430"/>
    <w:rsid w:val="00D45593"/>
    <w:rsid w:val="00D45704"/>
    <w:rsid w:val="00D4575F"/>
    <w:rsid w:val="00D45979"/>
    <w:rsid w:val="00D45B86"/>
    <w:rsid w:val="00D45C68"/>
    <w:rsid w:val="00D45D97"/>
    <w:rsid w:val="00D45E5A"/>
    <w:rsid w:val="00D4627B"/>
    <w:rsid w:val="00D464FB"/>
    <w:rsid w:val="00D46516"/>
    <w:rsid w:val="00D465A2"/>
    <w:rsid w:val="00D4662C"/>
    <w:rsid w:val="00D46940"/>
    <w:rsid w:val="00D46AB9"/>
    <w:rsid w:val="00D475C4"/>
    <w:rsid w:val="00D47F36"/>
    <w:rsid w:val="00D47FC2"/>
    <w:rsid w:val="00D50040"/>
    <w:rsid w:val="00D50119"/>
    <w:rsid w:val="00D5017F"/>
    <w:rsid w:val="00D5033B"/>
    <w:rsid w:val="00D5043C"/>
    <w:rsid w:val="00D50481"/>
    <w:rsid w:val="00D50580"/>
    <w:rsid w:val="00D505E1"/>
    <w:rsid w:val="00D507A0"/>
    <w:rsid w:val="00D50876"/>
    <w:rsid w:val="00D5089C"/>
    <w:rsid w:val="00D5094E"/>
    <w:rsid w:val="00D5098F"/>
    <w:rsid w:val="00D509B2"/>
    <w:rsid w:val="00D50B8F"/>
    <w:rsid w:val="00D50BB1"/>
    <w:rsid w:val="00D50F6A"/>
    <w:rsid w:val="00D50FB2"/>
    <w:rsid w:val="00D511A0"/>
    <w:rsid w:val="00D51422"/>
    <w:rsid w:val="00D5150E"/>
    <w:rsid w:val="00D517B1"/>
    <w:rsid w:val="00D51835"/>
    <w:rsid w:val="00D51850"/>
    <w:rsid w:val="00D51A35"/>
    <w:rsid w:val="00D51A63"/>
    <w:rsid w:val="00D51ADC"/>
    <w:rsid w:val="00D51BC1"/>
    <w:rsid w:val="00D51BDD"/>
    <w:rsid w:val="00D51F23"/>
    <w:rsid w:val="00D51FD5"/>
    <w:rsid w:val="00D520AD"/>
    <w:rsid w:val="00D5211A"/>
    <w:rsid w:val="00D52185"/>
    <w:rsid w:val="00D521EA"/>
    <w:rsid w:val="00D52420"/>
    <w:rsid w:val="00D52431"/>
    <w:rsid w:val="00D5274A"/>
    <w:rsid w:val="00D527BE"/>
    <w:rsid w:val="00D52ADB"/>
    <w:rsid w:val="00D52B3B"/>
    <w:rsid w:val="00D52B5F"/>
    <w:rsid w:val="00D52C8C"/>
    <w:rsid w:val="00D52DFE"/>
    <w:rsid w:val="00D53020"/>
    <w:rsid w:val="00D5312A"/>
    <w:rsid w:val="00D533E2"/>
    <w:rsid w:val="00D5342D"/>
    <w:rsid w:val="00D53575"/>
    <w:rsid w:val="00D535F4"/>
    <w:rsid w:val="00D53681"/>
    <w:rsid w:val="00D53960"/>
    <w:rsid w:val="00D539E0"/>
    <w:rsid w:val="00D53C96"/>
    <w:rsid w:val="00D53EB4"/>
    <w:rsid w:val="00D540AA"/>
    <w:rsid w:val="00D5423E"/>
    <w:rsid w:val="00D54262"/>
    <w:rsid w:val="00D5448A"/>
    <w:rsid w:val="00D544D0"/>
    <w:rsid w:val="00D548A6"/>
    <w:rsid w:val="00D54918"/>
    <w:rsid w:val="00D54A29"/>
    <w:rsid w:val="00D54A68"/>
    <w:rsid w:val="00D54BAD"/>
    <w:rsid w:val="00D54DB4"/>
    <w:rsid w:val="00D54E41"/>
    <w:rsid w:val="00D55079"/>
    <w:rsid w:val="00D55143"/>
    <w:rsid w:val="00D55680"/>
    <w:rsid w:val="00D557CB"/>
    <w:rsid w:val="00D55A37"/>
    <w:rsid w:val="00D55A6D"/>
    <w:rsid w:val="00D55B10"/>
    <w:rsid w:val="00D55C4F"/>
    <w:rsid w:val="00D55CBA"/>
    <w:rsid w:val="00D55F3A"/>
    <w:rsid w:val="00D560DB"/>
    <w:rsid w:val="00D567E8"/>
    <w:rsid w:val="00D568D8"/>
    <w:rsid w:val="00D569B5"/>
    <w:rsid w:val="00D56ABB"/>
    <w:rsid w:val="00D56BB8"/>
    <w:rsid w:val="00D56C89"/>
    <w:rsid w:val="00D56D06"/>
    <w:rsid w:val="00D56DD1"/>
    <w:rsid w:val="00D56E10"/>
    <w:rsid w:val="00D56E50"/>
    <w:rsid w:val="00D57143"/>
    <w:rsid w:val="00D571F8"/>
    <w:rsid w:val="00D5725C"/>
    <w:rsid w:val="00D5727C"/>
    <w:rsid w:val="00D574D3"/>
    <w:rsid w:val="00D57B64"/>
    <w:rsid w:val="00D57B7E"/>
    <w:rsid w:val="00D57B8F"/>
    <w:rsid w:val="00D57D01"/>
    <w:rsid w:val="00D57D1B"/>
    <w:rsid w:val="00D57D5C"/>
    <w:rsid w:val="00D60195"/>
    <w:rsid w:val="00D60285"/>
    <w:rsid w:val="00D60A06"/>
    <w:rsid w:val="00D60A7D"/>
    <w:rsid w:val="00D60BB8"/>
    <w:rsid w:val="00D60C0D"/>
    <w:rsid w:val="00D60D3D"/>
    <w:rsid w:val="00D60DB0"/>
    <w:rsid w:val="00D610F6"/>
    <w:rsid w:val="00D61294"/>
    <w:rsid w:val="00D6137B"/>
    <w:rsid w:val="00D61497"/>
    <w:rsid w:val="00D6160F"/>
    <w:rsid w:val="00D6162B"/>
    <w:rsid w:val="00D61666"/>
    <w:rsid w:val="00D616FC"/>
    <w:rsid w:val="00D618CC"/>
    <w:rsid w:val="00D61990"/>
    <w:rsid w:val="00D619B1"/>
    <w:rsid w:val="00D61B30"/>
    <w:rsid w:val="00D61F8C"/>
    <w:rsid w:val="00D61FFD"/>
    <w:rsid w:val="00D62217"/>
    <w:rsid w:val="00D6242C"/>
    <w:rsid w:val="00D624B9"/>
    <w:rsid w:val="00D624E2"/>
    <w:rsid w:val="00D627A1"/>
    <w:rsid w:val="00D627AC"/>
    <w:rsid w:val="00D629D6"/>
    <w:rsid w:val="00D62B9C"/>
    <w:rsid w:val="00D62D74"/>
    <w:rsid w:val="00D62FBB"/>
    <w:rsid w:val="00D62FE5"/>
    <w:rsid w:val="00D63207"/>
    <w:rsid w:val="00D63363"/>
    <w:rsid w:val="00D6346C"/>
    <w:rsid w:val="00D634DA"/>
    <w:rsid w:val="00D635C5"/>
    <w:rsid w:val="00D636CC"/>
    <w:rsid w:val="00D638EE"/>
    <w:rsid w:val="00D63B14"/>
    <w:rsid w:val="00D63E55"/>
    <w:rsid w:val="00D64005"/>
    <w:rsid w:val="00D64014"/>
    <w:rsid w:val="00D64237"/>
    <w:rsid w:val="00D642C6"/>
    <w:rsid w:val="00D648DD"/>
    <w:rsid w:val="00D648FF"/>
    <w:rsid w:val="00D64B51"/>
    <w:rsid w:val="00D64D23"/>
    <w:rsid w:val="00D64D79"/>
    <w:rsid w:val="00D64F1B"/>
    <w:rsid w:val="00D65135"/>
    <w:rsid w:val="00D65183"/>
    <w:rsid w:val="00D65210"/>
    <w:rsid w:val="00D6527D"/>
    <w:rsid w:val="00D653CE"/>
    <w:rsid w:val="00D659C4"/>
    <w:rsid w:val="00D65D5E"/>
    <w:rsid w:val="00D66534"/>
    <w:rsid w:val="00D668B5"/>
    <w:rsid w:val="00D66BC5"/>
    <w:rsid w:val="00D66BDC"/>
    <w:rsid w:val="00D66BF6"/>
    <w:rsid w:val="00D66C46"/>
    <w:rsid w:val="00D66CCD"/>
    <w:rsid w:val="00D66DCF"/>
    <w:rsid w:val="00D66F4A"/>
    <w:rsid w:val="00D67058"/>
    <w:rsid w:val="00D670C6"/>
    <w:rsid w:val="00D6714E"/>
    <w:rsid w:val="00D671CB"/>
    <w:rsid w:val="00D6723F"/>
    <w:rsid w:val="00D6725D"/>
    <w:rsid w:val="00D673F7"/>
    <w:rsid w:val="00D67724"/>
    <w:rsid w:val="00D6778A"/>
    <w:rsid w:val="00D67ADD"/>
    <w:rsid w:val="00D67B3F"/>
    <w:rsid w:val="00D67B43"/>
    <w:rsid w:val="00D67CE2"/>
    <w:rsid w:val="00D67D4F"/>
    <w:rsid w:val="00D67D94"/>
    <w:rsid w:val="00D67ED8"/>
    <w:rsid w:val="00D70253"/>
    <w:rsid w:val="00D7026E"/>
    <w:rsid w:val="00D7045C"/>
    <w:rsid w:val="00D70461"/>
    <w:rsid w:val="00D70493"/>
    <w:rsid w:val="00D704BB"/>
    <w:rsid w:val="00D70583"/>
    <w:rsid w:val="00D7061E"/>
    <w:rsid w:val="00D70731"/>
    <w:rsid w:val="00D70822"/>
    <w:rsid w:val="00D70829"/>
    <w:rsid w:val="00D7089D"/>
    <w:rsid w:val="00D7092B"/>
    <w:rsid w:val="00D70A42"/>
    <w:rsid w:val="00D70A55"/>
    <w:rsid w:val="00D70E0E"/>
    <w:rsid w:val="00D70FA1"/>
    <w:rsid w:val="00D71883"/>
    <w:rsid w:val="00D7188D"/>
    <w:rsid w:val="00D71B67"/>
    <w:rsid w:val="00D71BD5"/>
    <w:rsid w:val="00D71D36"/>
    <w:rsid w:val="00D72287"/>
    <w:rsid w:val="00D722ED"/>
    <w:rsid w:val="00D72334"/>
    <w:rsid w:val="00D72580"/>
    <w:rsid w:val="00D72673"/>
    <w:rsid w:val="00D726D7"/>
    <w:rsid w:val="00D72A46"/>
    <w:rsid w:val="00D72B3A"/>
    <w:rsid w:val="00D72C19"/>
    <w:rsid w:val="00D72DD7"/>
    <w:rsid w:val="00D72FB9"/>
    <w:rsid w:val="00D7317E"/>
    <w:rsid w:val="00D736B6"/>
    <w:rsid w:val="00D739F8"/>
    <w:rsid w:val="00D73D4F"/>
    <w:rsid w:val="00D73EF1"/>
    <w:rsid w:val="00D73F69"/>
    <w:rsid w:val="00D73F9B"/>
    <w:rsid w:val="00D74024"/>
    <w:rsid w:val="00D7408A"/>
    <w:rsid w:val="00D7419C"/>
    <w:rsid w:val="00D7449B"/>
    <w:rsid w:val="00D7453D"/>
    <w:rsid w:val="00D7465C"/>
    <w:rsid w:val="00D7478C"/>
    <w:rsid w:val="00D749DB"/>
    <w:rsid w:val="00D74BA0"/>
    <w:rsid w:val="00D75299"/>
    <w:rsid w:val="00D752C8"/>
    <w:rsid w:val="00D755E2"/>
    <w:rsid w:val="00D75604"/>
    <w:rsid w:val="00D756C6"/>
    <w:rsid w:val="00D75704"/>
    <w:rsid w:val="00D75870"/>
    <w:rsid w:val="00D75AD2"/>
    <w:rsid w:val="00D75BAD"/>
    <w:rsid w:val="00D75BD2"/>
    <w:rsid w:val="00D75EB3"/>
    <w:rsid w:val="00D75FD4"/>
    <w:rsid w:val="00D76486"/>
    <w:rsid w:val="00D765B9"/>
    <w:rsid w:val="00D76630"/>
    <w:rsid w:val="00D7664B"/>
    <w:rsid w:val="00D766D2"/>
    <w:rsid w:val="00D76776"/>
    <w:rsid w:val="00D76BA6"/>
    <w:rsid w:val="00D76C84"/>
    <w:rsid w:val="00D76DBD"/>
    <w:rsid w:val="00D76DD0"/>
    <w:rsid w:val="00D76EA7"/>
    <w:rsid w:val="00D76F57"/>
    <w:rsid w:val="00D76F7B"/>
    <w:rsid w:val="00D76FD8"/>
    <w:rsid w:val="00D770ED"/>
    <w:rsid w:val="00D773E2"/>
    <w:rsid w:val="00D775F6"/>
    <w:rsid w:val="00D7760E"/>
    <w:rsid w:val="00D77613"/>
    <w:rsid w:val="00D77677"/>
    <w:rsid w:val="00D77770"/>
    <w:rsid w:val="00D77B3D"/>
    <w:rsid w:val="00D77B95"/>
    <w:rsid w:val="00D77EDF"/>
    <w:rsid w:val="00D77F5E"/>
    <w:rsid w:val="00D8013A"/>
    <w:rsid w:val="00D802B7"/>
    <w:rsid w:val="00D80727"/>
    <w:rsid w:val="00D808B8"/>
    <w:rsid w:val="00D80979"/>
    <w:rsid w:val="00D809ED"/>
    <w:rsid w:val="00D80A7E"/>
    <w:rsid w:val="00D80BCF"/>
    <w:rsid w:val="00D80E45"/>
    <w:rsid w:val="00D80E86"/>
    <w:rsid w:val="00D80E8E"/>
    <w:rsid w:val="00D8137A"/>
    <w:rsid w:val="00D8143C"/>
    <w:rsid w:val="00D815D5"/>
    <w:rsid w:val="00D81686"/>
    <w:rsid w:val="00D817AC"/>
    <w:rsid w:val="00D81933"/>
    <w:rsid w:val="00D81BEB"/>
    <w:rsid w:val="00D81E4F"/>
    <w:rsid w:val="00D81E97"/>
    <w:rsid w:val="00D82129"/>
    <w:rsid w:val="00D825B5"/>
    <w:rsid w:val="00D82761"/>
    <w:rsid w:val="00D829D5"/>
    <w:rsid w:val="00D82A43"/>
    <w:rsid w:val="00D82C49"/>
    <w:rsid w:val="00D82CB9"/>
    <w:rsid w:val="00D82D6B"/>
    <w:rsid w:val="00D82FB9"/>
    <w:rsid w:val="00D82FC9"/>
    <w:rsid w:val="00D83263"/>
    <w:rsid w:val="00D836CF"/>
    <w:rsid w:val="00D8399B"/>
    <w:rsid w:val="00D83B59"/>
    <w:rsid w:val="00D83C25"/>
    <w:rsid w:val="00D83D5D"/>
    <w:rsid w:val="00D84054"/>
    <w:rsid w:val="00D840CB"/>
    <w:rsid w:val="00D84157"/>
    <w:rsid w:val="00D841B2"/>
    <w:rsid w:val="00D8457A"/>
    <w:rsid w:val="00D8467F"/>
    <w:rsid w:val="00D847C1"/>
    <w:rsid w:val="00D848EE"/>
    <w:rsid w:val="00D84989"/>
    <w:rsid w:val="00D84BE6"/>
    <w:rsid w:val="00D84BEF"/>
    <w:rsid w:val="00D84C82"/>
    <w:rsid w:val="00D85050"/>
    <w:rsid w:val="00D8519B"/>
    <w:rsid w:val="00D8520D"/>
    <w:rsid w:val="00D85211"/>
    <w:rsid w:val="00D852A7"/>
    <w:rsid w:val="00D856D3"/>
    <w:rsid w:val="00D85711"/>
    <w:rsid w:val="00D859FD"/>
    <w:rsid w:val="00D85A9E"/>
    <w:rsid w:val="00D86264"/>
    <w:rsid w:val="00D862E0"/>
    <w:rsid w:val="00D8664A"/>
    <w:rsid w:val="00D8677E"/>
    <w:rsid w:val="00D86835"/>
    <w:rsid w:val="00D86BDD"/>
    <w:rsid w:val="00D86D6B"/>
    <w:rsid w:val="00D86D89"/>
    <w:rsid w:val="00D86F2F"/>
    <w:rsid w:val="00D871B4"/>
    <w:rsid w:val="00D8720F"/>
    <w:rsid w:val="00D87266"/>
    <w:rsid w:val="00D872B7"/>
    <w:rsid w:val="00D8754E"/>
    <w:rsid w:val="00D8763C"/>
    <w:rsid w:val="00D87662"/>
    <w:rsid w:val="00D879E6"/>
    <w:rsid w:val="00D87BA0"/>
    <w:rsid w:val="00D87BF3"/>
    <w:rsid w:val="00D87D2A"/>
    <w:rsid w:val="00D87D69"/>
    <w:rsid w:val="00D8EF56"/>
    <w:rsid w:val="00D905A3"/>
    <w:rsid w:val="00D905B7"/>
    <w:rsid w:val="00D9077E"/>
    <w:rsid w:val="00D90898"/>
    <w:rsid w:val="00D908B7"/>
    <w:rsid w:val="00D908DE"/>
    <w:rsid w:val="00D90BFA"/>
    <w:rsid w:val="00D90DCA"/>
    <w:rsid w:val="00D91122"/>
    <w:rsid w:val="00D9136F"/>
    <w:rsid w:val="00D91427"/>
    <w:rsid w:val="00D91590"/>
    <w:rsid w:val="00D917DA"/>
    <w:rsid w:val="00D91AD5"/>
    <w:rsid w:val="00D91ADA"/>
    <w:rsid w:val="00D91D1D"/>
    <w:rsid w:val="00D91FE4"/>
    <w:rsid w:val="00D9202D"/>
    <w:rsid w:val="00D9203B"/>
    <w:rsid w:val="00D92059"/>
    <w:rsid w:val="00D92093"/>
    <w:rsid w:val="00D92434"/>
    <w:rsid w:val="00D9249C"/>
    <w:rsid w:val="00D92508"/>
    <w:rsid w:val="00D925D0"/>
    <w:rsid w:val="00D9283A"/>
    <w:rsid w:val="00D92986"/>
    <w:rsid w:val="00D92A80"/>
    <w:rsid w:val="00D92C17"/>
    <w:rsid w:val="00D92DFE"/>
    <w:rsid w:val="00D92E79"/>
    <w:rsid w:val="00D92E86"/>
    <w:rsid w:val="00D930EE"/>
    <w:rsid w:val="00D93205"/>
    <w:rsid w:val="00D93280"/>
    <w:rsid w:val="00D932AD"/>
    <w:rsid w:val="00D9362A"/>
    <w:rsid w:val="00D93635"/>
    <w:rsid w:val="00D93702"/>
    <w:rsid w:val="00D93B02"/>
    <w:rsid w:val="00D93B93"/>
    <w:rsid w:val="00D93DF9"/>
    <w:rsid w:val="00D93F30"/>
    <w:rsid w:val="00D94038"/>
    <w:rsid w:val="00D94185"/>
    <w:rsid w:val="00D943E3"/>
    <w:rsid w:val="00D9453A"/>
    <w:rsid w:val="00D9489E"/>
    <w:rsid w:val="00D94993"/>
    <w:rsid w:val="00D94A4C"/>
    <w:rsid w:val="00D94BE2"/>
    <w:rsid w:val="00D94DB5"/>
    <w:rsid w:val="00D94E05"/>
    <w:rsid w:val="00D94EA4"/>
    <w:rsid w:val="00D94EA9"/>
    <w:rsid w:val="00D94F27"/>
    <w:rsid w:val="00D94F65"/>
    <w:rsid w:val="00D94FD8"/>
    <w:rsid w:val="00D94FDF"/>
    <w:rsid w:val="00D95007"/>
    <w:rsid w:val="00D95357"/>
    <w:rsid w:val="00D9560D"/>
    <w:rsid w:val="00D9586F"/>
    <w:rsid w:val="00D958D6"/>
    <w:rsid w:val="00D959F2"/>
    <w:rsid w:val="00D95C09"/>
    <w:rsid w:val="00D95C2A"/>
    <w:rsid w:val="00D95C4F"/>
    <w:rsid w:val="00D95EDD"/>
    <w:rsid w:val="00D95EEF"/>
    <w:rsid w:val="00D9607B"/>
    <w:rsid w:val="00D96310"/>
    <w:rsid w:val="00D9632A"/>
    <w:rsid w:val="00D966B2"/>
    <w:rsid w:val="00D96817"/>
    <w:rsid w:val="00D968CE"/>
    <w:rsid w:val="00D96955"/>
    <w:rsid w:val="00D96C1D"/>
    <w:rsid w:val="00D96C8F"/>
    <w:rsid w:val="00D96DF3"/>
    <w:rsid w:val="00D96F94"/>
    <w:rsid w:val="00D970EF"/>
    <w:rsid w:val="00D9730B"/>
    <w:rsid w:val="00D9761B"/>
    <w:rsid w:val="00D97964"/>
    <w:rsid w:val="00D97EF2"/>
    <w:rsid w:val="00DA001D"/>
    <w:rsid w:val="00DA0425"/>
    <w:rsid w:val="00DA09BE"/>
    <w:rsid w:val="00DA0C4C"/>
    <w:rsid w:val="00DA1147"/>
    <w:rsid w:val="00DA13F7"/>
    <w:rsid w:val="00DA1416"/>
    <w:rsid w:val="00DA1B35"/>
    <w:rsid w:val="00DA1B81"/>
    <w:rsid w:val="00DA1BBB"/>
    <w:rsid w:val="00DA1EEF"/>
    <w:rsid w:val="00DA20BA"/>
    <w:rsid w:val="00DA23F3"/>
    <w:rsid w:val="00DA2419"/>
    <w:rsid w:val="00DA2437"/>
    <w:rsid w:val="00DA25C8"/>
    <w:rsid w:val="00DA2783"/>
    <w:rsid w:val="00DA2DA4"/>
    <w:rsid w:val="00DA2EAB"/>
    <w:rsid w:val="00DA324F"/>
    <w:rsid w:val="00DA32F0"/>
    <w:rsid w:val="00DA3474"/>
    <w:rsid w:val="00DA3866"/>
    <w:rsid w:val="00DA3BD2"/>
    <w:rsid w:val="00DA3EC7"/>
    <w:rsid w:val="00DA4386"/>
    <w:rsid w:val="00DA4517"/>
    <w:rsid w:val="00DA47AA"/>
    <w:rsid w:val="00DA48D1"/>
    <w:rsid w:val="00DA4ACC"/>
    <w:rsid w:val="00DA4BFD"/>
    <w:rsid w:val="00DA4D0A"/>
    <w:rsid w:val="00DA501B"/>
    <w:rsid w:val="00DA509F"/>
    <w:rsid w:val="00DA5714"/>
    <w:rsid w:val="00DA5979"/>
    <w:rsid w:val="00DA5ECD"/>
    <w:rsid w:val="00DA6049"/>
    <w:rsid w:val="00DA60A8"/>
    <w:rsid w:val="00DA6378"/>
    <w:rsid w:val="00DA643B"/>
    <w:rsid w:val="00DA6641"/>
    <w:rsid w:val="00DA6835"/>
    <w:rsid w:val="00DA6944"/>
    <w:rsid w:val="00DA6950"/>
    <w:rsid w:val="00DA6DE5"/>
    <w:rsid w:val="00DA6DEC"/>
    <w:rsid w:val="00DA6EB6"/>
    <w:rsid w:val="00DA6EE3"/>
    <w:rsid w:val="00DA703B"/>
    <w:rsid w:val="00DA725E"/>
    <w:rsid w:val="00DA7275"/>
    <w:rsid w:val="00DA74BB"/>
    <w:rsid w:val="00DA758A"/>
    <w:rsid w:val="00DA76E4"/>
    <w:rsid w:val="00DA770A"/>
    <w:rsid w:val="00DA78CD"/>
    <w:rsid w:val="00DA7910"/>
    <w:rsid w:val="00DA7A9A"/>
    <w:rsid w:val="00DA7AA7"/>
    <w:rsid w:val="00DA7B5D"/>
    <w:rsid w:val="00DB0011"/>
    <w:rsid w:val="00DB02FD"/>
    <w:rsid w:val="00DB056F"/>
    <w:rsid w:val="00DB071D"/>
    <w:rsid w:val="00DB0A83"/>
    <w:rsid w:val="00DB0B1B"/>
    <w:rsid w:val="00DB1215"/>
    <w:rsid w:val="00DB12E6"/>
    <w:rsid w:val="00DB134E"/>
    <w:rsid w:val="00DB13C8"/>
    <w:rsid w:val="00DB14F5"/>
    <w:rsid w:val="00DB15EE"/>
    <w:rsid w:val="00DB17B0"/>
    <w:rsid w:val="00DB1B2B"/>
    <w:rsid w:val="00DB1D36"/>
    <w:rsid w:val="00DB1D81"/>
    <w:rsid w:val="00DB248E"/>
    <w:rsid w:val="00DB2594"/>
    <w:rsid w:val="00DB25E8"/>
    <w:rsid w:val="00DB288C"/>
    <w:rsid w:val="00DB295E"/>
    <w:rsid w:val="00DB2B36"/>
    <w:rsid w:val="00DB2B90"/>
    <w:rsid w:val="00DB2BA8"/>
    <w:rsid w:val="00DB2CCD"/>
    <w:rsid w:val="00DB2F51"/>
    <w:rsid w:val="00DB2FF3"/>
    <w:rsid w:val="00DB3081"/>
    <w:rsid w:val="00DB30F5"/>
    <w:rsid w:val="00DB3323"/>
    <w:rsid w:val="00DB3363"/>
    <w:rsid w:val="00DB3468"/>
    <w:rsid w:val="00DB3487"/>
    <w:rsid w:val="00DB355F"/>
    <w:rsid w:val="00DB3640"/>
    <w:rsid w:val="00DB3734"/>
    <w:rsid w:val="00DB39DB"/>
    <w:rsid w:val="00DB4063"/>
    <w:rsid w:val="00DB43B0"/>
    <w:rsid w:val="00DB43F0"/>
    <w:rsid w:val="00DB499C"/>
    <w:rsid w:val="00DB49D4"/>
    <w:rsid w:val="00DB4B52"/>
    <w:rsid w:val="00DB51B8"/>
    <w:rsid w:val="00DB5648"/>
    <w:rsid w:val="00DB56AD"/>
    <w:rsid w:val="00DB5781"/>
    <w:rsid w:val="00DB57F6"/>
    <w:rsid w:val="00DB582B"/>
    <w:rsid w:val="00DB589E"/>
    <w:rsid w:val="00DB58CC"/>
    <w:rsid w:val="00DB5932"/>
    <w:rsid w:val="00DB5BDE"/>
    <w:rsid w:val="00DB666E"/>
    <w:rsid w:val="00DB6921"/>
    <w:rsid w:val="00DB6A7C"/>
    <w:rsid w:val="00DB6A98"/>
    <w:rsid w:val="00DB6CB3"/>
    <w:rsid w:val="00DB6E84"/>
    <w:rsid w:val="00DB6EC7"/>
    <w:rsid w:val="00DB7184"/>
    <w:rsid w:val="00DB73C6"/>
    <w:rsid w:val="00DB75CC"/>
    <w:rsid w:val="00DB7775"/>
    <w:rsid w:val="00DB7864"/>
    <w:rsid w:val="00DB78A8"/>
    <w:rsid w:val="00DB7A76"/>
    <w:rsid w:val="00DB7BE0"/>
    <w:rsid w:val="00DB7C5C"/>
    <w:rsid w:val="00DC0118"/>
    <w:rsid w:val="00DC0743"/>
    <w:rsid w:val="00DC0931"/>
    <w:rsid w:val="00DC0932"/>
    <w:rsid w:val="00DC0FE3"/>
    <w:rsid w:val="00DC13BE"/>
    <w:rsid w:val="00DC183E"/>
    <w:rsid w:val="00DC1CA4"/>
    <w:rsid w:val="00DC1D4A"/>
    <w:rsid w:val="00DC1D9E"/>
    <w:rsid w:val="00DC1DAD"/>
    <w:rsid w:val="00DC1E82"/>
    <w:rsid w:val="00DC1FA3"/>
    <w:rsid w:val="00DC2059"/>
    <w:rsid w:val="00DC21F8"/>
    <w:rsid w:val="00DC22A6"/>
    <w:rsid w:val="00DC2A37"/>
    <w:rsid w:val="00DC2AB3"/>
    <w:rsid w:val="00DC2B0A"/>
    <w:rsid w:val="00DC2C7E"/>
    <w:rsid w:val="00DC2D1C"/>
    <w:rsid w:val="00DC2E3A"/>
    <w:rsid w:val="00DC331F"/>
    <w:rsid w:val="00DC359C"/>
    <w:rsid w:val="00DC37E3"/>
    <w:rsid w:val="00DC385C"/>
    <w:rsid w:val="00DC3A83"/>
    <w:rsid w:val="00DC3AF4"/>
    <w:rsid w:val="00DC3B9B"/>
    <w:rsid w:val="00DC3D49"/>
    <w:rsid w:val="00DC403B"/>
    <w:rsid w:val="00DC434C"/>
    <w:rsid w:val="00DC43CD"/>
    <w:rsid w:val="00DC4584"/>
    <w:rsid w:val="00DC4644"/>
    <w:rsid w:val="00DC485B"/>
    <w:rsid w:val="00DC4C77"/>
    <w:rsid w:val="00DC4CDD"/>
    <w:rsid w:val="00DC501B"/>
    <w:rsid w:val="00DC5067"/>
    <w:rsid w:val="00DC543D"/>
    <w:rsid w:val="00DC5490"/>
    <w:rsid w:val="00DC54F4"/>
    <w:rsid w:val="00DC5A10"/>
    <w:rsid w:val="00DC600B"/>
    <w:rsid w:val="00DC6212"/>
    <w:rsid w:val="00DC634A"/>
    <w:rsid w:val="00DC64E7"/>
    <w:rsid w:val="00DC6A5B"/>
    <w:rsid w:val="00DC6ADB"/>
    <w:rsid w:val="00DC6C3E"/>
    <w:rsid w:val="00DC6CC8"/>
    <w:rsid w:val="00DC6DC4"/>
    <w:rsid w:val="00DC6DE9"/>
    <w:rsid w:val="00DC6E5D"/>
    <w:rsid w:val="00DC7040"/>
    <w:rsid w:val="00DC7215"/>
    <w:rsid w:val="00DC73C6"/>
    <w:rsid w:val="00DC74BE"/>
    <w:rsid w:val="00DC76A5"/>
    <w:rsid w:val="00DC7954"/>
    <w:rsid w:val="00DC7B1B"/>
    <w:rsid w:val="00DC7B9E"/>
    <w:rsid w:val="00DC7DFD"/>
    <w:rsid w:val="00DC7ED7"/>
    <w:rsid w:val="00DD008C"/>
    <w:rsid w:val="00DD0414"/>
    <w:rsid w:val="00DD044D"/>
    <w:rsid w:val="00DD09CB"/>
    <w:rsid w:val="00DD09E7"/>
    <w:rsid w:val="00DD0A10"/>
    <w:rsid w:val="00DD0A2C"/>
    <w:rsid w:val="00DD0B4D"/>
    <w:rsid w:val="00DD0F4F"/>
    <w:rsid w:val="00DD0FA7"/>
    <w:rsid w:val="00DD159D"/>
    <w:rsid w:val="00DD15E7"/>
    <w:rsid w:val="00DD166E"/>
    <w:rsid w:val="00DD16FA"/>
    <w:rsid w:val="00DD1748"/>
    <w:rsid w:val="00DD1C54"/>
    <w:rsid w:val="00DD1DD9"/>
    <w:rsid w:val="00DD1E1C"/>
    <w:rsid w:val="00DD21E1"/>
    <w:rsid w:val="00DD262A"/>
    <w:rsid w:val="00DD2CB8"/>
    <w:rsid w:val="00DD2D21"/>
    <w:rsid w:val="00DD2D5E"/>
    <w:rsid w:val="00DD2EC7"/>
    <w:rsid w:val="00DD3159"/>
    <w:rsid w:val="00DD3194"/>
    <w:rsid w:val="00DD32BE"/>
    <w:rsid w:val="00DD3600"/>
    <w:rsid w:val="00DD3748"/>
    <w:rsid w:val="00DD39AE"/>
    <w:rsid w:val="00DD3B93"/>
    <w:rsid w:val="00DD3ED8"/>
    <w:rsid w:val="00DD41B5"/>
    <w:rsid w:val="00DD41C2"/>
    <w:rsid w:val="00DD42CC"/>
    <w:rsid w:val="00DD4358"/>
    <w:rsid w:val="00DD4753"/>
    <w:rsid w:val="00DD47AD"/>
    <w:rsid w:val="00DD4835"/>
    <w:rsid w:val="00DD48D9"/>
    <w:rsid w:val="00DD4AA9"/>
    <w:rsid w:val="00DD4BEC"/>
    <w:rsid w:val="00DD504E"/>
    <w:rsid w:val="00DD5133"/>
    <w:rsid w:val="00DD5302"/>
    <w:rsid w:val="00DD54EB"/>
    <w:rsid w:val="00DD573B"/>
    <w:rsid w:val="00DD5838"/>
    <w:rsid w:val="00DD5AAD"/>
    <w:rsid w:val="00DD5C4D"/>
    <w:rsid w:val="00DD5C4F"/>
    <w:rsid w:val="00DD5D1D"/>
    <w:rsid w:val="00DD5DDC"/>
    <w:rsid w:val="00DD5E92"/>
    <w:rsid w:val="00DD626A"/>
    <w:rsid w:val="00DD62BA"/>
    <w:rsid w:val="00DD639F"/>
    <w:rsid w:val="00DD64D4"/>
    <w:rsid w:val="00DD669B"/>
    <w:rsid w:val="00DD6AE5"/>
    <w:rsid w:val="00DD6B24"/>
    <w:rsid w:val="00DD6D9B"/>
    <w:rsid w:val="00DD6D9C"/>
    <w:rsid w:val="00DD6F9F"/>
    <w:rsid w:val="00DD7011"/>
    <w:rsid w:val="00DD72C8"/>
    <w:rsid w:val="00DD756C"/>
    <w:rsid w:val="00DD7610"/>
    <w:rsid w:val="00DD7A34"/>
    <w:rsid w:val="00DD7BAE"/>
    <w:rsid w:val="00DD7C52"/>
    <w:rsid w:val="00DE00B6"/>
    <w:rsid w:val="00DE0405"/>
    <w:rsid w:val="00DE0609"/>
    <w:rsid w:val="00DE0A63"/>
    <w:rsid w:val="00DE0BD9"/>
    <w:rsid w:val="00DE0C1A"/>
    <w:rsid w:val="00DE114F"/>
    <w:rsid w:val="00DE1162"/>
    <w:rsid w:val="00DE12FC"/>
    <w:rsid w:val="00DE1426"/>
    <w:rsid w:val="00DE142D"/>
    <w:rsid w:val="00DE1473"/>
    <w:rsid w:val="00DE1782"/>
    <w:rsid w:val="00DE17BF"/>
    <w:rsid w:val="00DE1A17"/>
    <w:rsid w:val="00DE1A1C"/>
    <w:rsid w:val="00DE1A42"/>
    <w:rsid w:val="00DE1D12"/>
    <w:rsid w:val="00DE1E93"/>
    <w:rsid w:val="00DE1F6C"/>
    <w:rsid w:val="00DE206A"/>
    <w:rsid w:val="00DE2190"/>
    <w:rsid w:val="00DE21FD"/>
    <w:rsid w:val="00DE2236"/>
    <w:rsid w:val="00DE22DB"/>
    <w:rsid w:val="00DE27F4"/>
    <w:rsid w:val="00DE2B8C"/>
    <w:rsid w:val="00DE3077"/>
    <w:rsid w:val="00DE32D2"/>
    <w:rsid w:val="00DE3342"/>
    <w:rsid w:val="00DE3848"/>
    <w:rsid w:val="00DE3C85"/>
    <w:rsid w:val="00DE3DF7"/>
    <w:rsid w:val="00DE3E87"/>
    <w:rsid w:val="00DE3ED3"/>
    <w:rsid w:val="00DE3F41"/>
    <w:rsid w:val="00DE40CB"/>
    <w:rsid w:val="00DE41DD"/>
    <w:rsid w:val="00DE4259"/>
    <w:rsid w:val="00DE431E"/>
    <w:rsid w:val="00DE4360"/>
    <w:rsid w:val="00DE4416"/>
    <w:rsid w:val="00DE454E"/>
    <w:rsid w:val="00DE46B0"/>
    <w:rsid w:val="00DE48EA"/>
    <w:rsid w:val="00DE4B2C"/>
    <w:rsid w:val="00DE4C0C"/>
    <w:rsid w:val="00DE4F0D"/>
    <w:rsid w:val="00DE54F0"/>
    <w:rsid w:val="00DE55E9"/>
    <w:rsid w:val="00DE57E9"/>
    <w:rsid w:val="00DE593D"/>
    <w:rsid w:val="00DE5954"/>
    <w:rsid w:val="00DE5A4E"/>
    <w:rsid w:val="00DE5AD0"/>
    <w:rsid w:val="00DE5E3C"/>
    <w:rsid w:val="00DE5EDB"/>
    <w:rsid w:val="00DE5F9E"/>
    <w:rsid w:val="00DE6139"/>
    <w:rsid w:val="00DE62FF"/>
    <w:rsid w:val="00DE6332"/>
    <w:rsid w:val="00DE6428"/>
    <w:rsid w:val="00DE65BB"/>
    <w:rsid w:val="00DE666C"/>
    <w:rsid w:val="00DE68B3"/>
    <w:rsid w:val="00DE6968"/>
    <w:rsid w:val="00DE6AFD"/>
    <w:rsid w:val="00DE6BBD"/>
    <w:rsid w:val="00DE6C09"/>
    <w:rsid w:val="00DE6CC5"/>
    <w:rsid w:val="00DE6CF2"/>
    <w:rsid w:val="00DE7070"/>
    <w:rsid w:val="00DE7108"/>
    <w:rsid w:val="00DE736E"/>
    <w:rsid w:val="00DE752B"/>
    <w:rsid w:val="00DE7534"/>
    <w:rsid w:val="00DE76A1"/>
    <w:rsid w:val="00DE7887"/>
    <w:rsid w:val="00DE78C7"/>
    <w:rsid w:val="00DE7979"/>
    <w:rsid w:val="00DE7CD8"/>
    <w:rsid w:val="00DEB185"/>
    <w:rsid w:val="00DF004D"/>
    <w:rsid w:val="00DF011E"/>
    <w:rsid w:val="00DF0159"/>
    <w:rsid w:val="00DF01B8"/>
    <w:rsid w:val="00DF0289"/>
    <w:rsid w:val="00DF0507"/>
    <w:rsid w:val="00DF0824"/>
    <w:rsid w:val="00DF0871"/>
    <w:rsid w:val="00DF0879"/>
    <w:rsid w:val="00DF107B"/>
    <w:rsid w:val="00DF10DA"/>
    <w:rsid w:val="00DF127D"/>
    <w:rsid w:val="00DF12F9"/>
    <w:rsid w:val="00DF17C8"/>
    <w:rsid w:val="00DF1859"/>
    <w:rsid w:val="00DF18F5"/>
    <w:rsid w:val="00DF1963"/>
    <w:rsid w:val="00DF19D0"/>
    <w:rsid w:val="00DF1CF5"/>
    <w:rsid w:val="00DF1E49"/>
    <w:rsid w:val="00DF1FD8"/>
    <w:rsid w:val="00DF23EB"/>
    <w:rsid w:val="00DF261F"/>
    <w:rsid w:val="00DF2742"/>
    <w:rsid w:val="00DF27C8"/>
    <w:rsid w:val="00DF28F6"/>
    <w:rsid w:val="00DF292B"/>
    <w:rsid w:val="00DF2AAE"/>
    <w:rsid w:val="00DF2B44"/>
    <w:rsid w:val="00DF2BF9"/>
    <w:rsid w:val="00DF2DED"/>
    <w:rsid w:val="00DF2E7A"/>
    <w:rsid w:val="00DF304E"/>
    <w:rsid w:val="00DF31CA"/>
    <w:rsid w:val="00DF350E"/>
    <w:rsid w:val="00DF3656"/>
    <w:rsid w:val="00DF3666"/>
    <w:rsid w:val="00DF39B8"/>
    <w:rsid w:val="00DF3AF6"/>
    <w:rsid w:val="00DF3C73"/>
    <w:rsid w:val="00DF3F55"/>
    <w:rsid w:val="00DF401D"/>
    <w:rsid w:val="00DF4114"/>
    <w:rsid w:val="00DF41CE"/>
    <w:rsid w:val="00DF42D0"/>
    <w:rsid w:val="00DF454A"/>
    <w:rsid w:val="00DF456C"/>
    <w:rsid w:val="00DF462B"/>
    <w:rsid w:val="00DF4815"/>
    <w:rsid w:val="00DF485F"/>
    <w:rsid w:val="00DF49B9"/>
    <w:rsid w:val="00DF4C43"/>
    <w:rsid w:val="00DF4E30"/>
    <w:rsid w:val="00DF4E71"/>
    <w:rsid w:val="00DF4F59"/>
    <w:rsid w:val="00DF5090"/>
    <w:rsid w:val="00DF544D"/>
    <w:rsid w:val="00DF551D"/>
    <w:rsid w:val="00DF58E7"/>
    <w:rsid w:val="00DF5B64"/>
    <w:rsid w:val="00DF5BCB"/>
    <w:rsid w:val="00DF5C09"/>
    <w:rsid w:val="00DF5C1A"/>
    <w:rsid w:val="00DF5D9E"/>
    <w:rsid w:val="00DF5D9F"/>
    <w:rsid w:val="00DF5E8F"/>
    <w:rsid w:val="00DF6197"/>
    <w:rsid w:val="00DF6241"/>
    <w:rsid w:val="00DF63DA"/>
    <w:rsid w:val="00DF65F7"/>
    <w:rsid w:val="00DF661F"/>
    <w:rsid w:val="00DF6665"/>
    <w:rsid w:val="00DF6714"/>
    <w:rsid w:val="00DF6734"/>
    <w:rsid w:val="00DF674E"/>
    <w:rsid w:val="00DF687D"/>
    <w:rsid w:val="00DF68E7"/>
    <w:rsid w:val="00DF6904"/>
    <w:rsid w:val="00DF6D28"/>
    <w:rsid w:val="00DF708E"/>
    <w:rsid w:val="00DF74C6"/>
    <w:rsid w:val="00DF74FE"/>
    <w:rsid w:val="00DF75E3"/>
    <w:rsid w:val="00DF777A"/>
    <w:rsid w:val="00DF783B"/>
    <w:rsid w:val="00DF7970"/>
    <w:rsid w:val="00DF7C80"/>
    <w:rsid w:val="00DF7CAC"/>
    <w:rsid w:val="00DF7D2A"/>
    <w:rsid w:val="00DF7D79"/>
    <w:rsid w:val="00DF7F6F"/>
    <w:rsid w:val="00DF7FCF"/>
    <w:rsid w:val="00E002E2"/>
    <w:rsid w:val="00E00498"/>
    <w:rsid w:val="00E004C2"/>
    <w:rsid w:val="00E004C4"/>
    <w:rsid w:val="00E00505"/>
    <w:rsid w:val="00E007DA"/>
    <w:rsid w:val="00E00854"/>
    <w:rsid w:val="00E00B9D"/>
    <w:rsid w:val="00E00E09"/>
    <w:rsid w:val="00E012B8"/>
    <w:rsid w:val="00E012D9"/>
    <w:rsid w:val="00E013CD"/>
    <w:rsid w:val="00E0183C"/>
    <w:rsid w:val="00E018FA"/>
    <w:rsid w:val="00E0198D"/>
    <w:rsid w:val="00E01C02"/>
    <w:rsid w:val="00E01CFA"/>
    <w:rsid w:val="00E01D53"/>
    <w:rsid w:val="00E01DA9"/>
    <w:rsid w:val="00E01F08"/>
    <w:rsid w:val="00E01FFE"/>
    <w:rsid w:val="00E02081"/>
    <w:rsid w:val="00E0224B"/>
    <w:rsid w:val="00E022F7"/>
    <w:rsid w:val="00E0232E"/>
    <w:rsid w:val="00E025FA"/>
    <w:rsid w:val="00E026DD"/>
    <w:rsid w:val="00E02888"/>
    <w:rsid w:val="00E02CBF"/>
    <w:rsid w:val="00E02D18"/>
    <w:rsid w:val="00E02EFA"/>
    <w:rsid w:val="00E032E4"/>
    <w:rsid w:val="00E03380"/>
    <w:rsid w:val="00E03592"/>
    <w:rsid w:val="00E037D8"/>
    <w:rsid w:val="00E0380E"/>
    <w:rsid w:val="00E03A3C"/>
    <w:rsid w:val="00E03C37"/>
    <w:rsid w:val="00E03D8B"/>
    <w:rsid w:val="00E03EA0"/>
    <w:rsid w:val="00E040AB"/>
    <w:rsid w:val="00E04239"/>
    <w:rsid w:val="00E042BE"/>
    <w:rsid w:val="00E0446D"/>
    <w:rsid w:val="00E04522"/>
    <w:rsid w:val="00E04578"/>
    <w:rsid w:val="00E04658"/>
    <w:rsid w:val="00E049FF"/>
    <w:rsid w:val="00E04AE5"/>
    <w:rsid w:val="00E04D3C"/>
    <w:rsid w:val="00E04E62"/>
    <w:rsid w:val="00E04FA7"/>
    <w:rsid w:val="00E04FBD"/>
    <w:rsid w:val="00E05223"/>
    <w:rsid w:val="00E05515"/>
    <w:rsid w:val="00E05520"/>
    <w:rsid w:val="00E05689"/>
    <w:rsid w:val="00E0574F"/>
    <w:rsid w:val="00E05B98"/>
    <w:rsid w:val="00E05D76"/>
    <w:rsid w:val="00E06258"/>
    <w:rsid w:val="00E067CD"/>
    <w:rsid w:val="00E072BA"/>
    <w:rsid w:val="00E0737B"/>
    <w:rsid w:val="00E07408"/>
    <w:rsid w:val="00E0761C"/>
    <w:rsid w:val="00E0778D"/>
    <w:rsid w:val="00E07796"/>
    <w:rsid w:val="00E07D3A"/>
    <w:rsid w:val="00E07D6E"/>
    <w:rsid w:val="00E07E9C"/>
    <w:rsid w:val="00E1065A"/>
    <w:rsid w:val="00E107F7"/>
    <w:rsid w:val="00E10934"/>
    <w:rsid w:val="00E10941"/>
    <w:rsid w:val="00E10B1F"/>
    <w:rsid w:val="00E10BF2"/>
    <w:rsid w:val="00E10D4C"/>
    <w:rsid w:val="00E10DBB"/>
    <w:rsid w:val="00E10E2A"/>
    <w:rsid w:val="00E10E75"/>
    <w:rsid w:val="00E10EBF"/>
    <w:rsid w:val="00E110FE"/>
    <w:rsid w:val="00E11598"/>
    <w:rsid w:val="00E115DA"/>
    <w:rsid w:val="00E115DD"/>
    <w:rsid w:val="00E11789"/>
    <w:rsid w:val="00E117AE"/>
    <w:rsid w:val="00E117FA"/>
    <w:rsid w:val="00E11851"/>
    <w:rsid w:val="00E11876"/>
    <w:rsid w:val="00E11989"/>
    <w:rsid w:val="00E11CC5"/>
    <w:rsid w:val="00E121B8"/>
    <w:rsid w:val="00E121D3"/>
    <w:rsid w:val="00E124D4"/>
    <w:rsid w:val="00E126B2"/>
    <w:rsid w:val="00E128A1"/>
    <w:rsid w:val="00E12931"/>
    <w:rsid w:val="00E12A22"/>
    <w:rsid w:val="00E12D92"/>
    <w:rsid w:val="00E132B7"/>
    <w:rsid w:val="00E1342D"/>
    <w:rsid w:val="00E1347E"/>
    <w:rsid w:val="00E1352E"/>
    <w:rsid w:val="00E13934"/>
    <w:rsid w:val="00E13B5B"/>
    <w:rsid w:val="00E13CC6"/>
    <w:rsid w:val="00E13CD8"/>
    <w:rsid w:val="00E13D4E"/>
    <w:rsid w:val="00E13D7D"/>
    <w:rsid w:val="00E13E5C"/>
    <w:rsid w:val="00E14393"/>
    <w:rsid w:val="00E14427"/>
    <w:rsid w:val="00E1447E"/>
    <w:rsid w:val="00E14613"/>
    <w:rsid w:val="00E14759"/>
    <w:rsid w:val="00E148CA"/>
    <w:rsid w:val="00E14925"/>
    <w:rsid w:val="00E14AE3"/>
    <w:rsid w:val="00E14AF3"/>
    <w:rsid w:val="00E14C26"/>
    <w:rsid w:val="00E15022"/>
    <w:rsid w:val="00E15032"/>
    <w:rsid w:val="00E15176"/>
    <w:rsid w:val="00E152BB"/>
    <w:rsid w:val="00E153A0"/>
    <w:rsid w:val="00E15402"/>
    <w:rsid w:val="00E1549D"/>
    <w:rsid w:val="00E15731"/>
    <w:rsid w:val="00E15A95"/>
    <w:rsid w:val="00E15B49"/>
    <w:rsid w:val="00E15D34"/>
    <w:rsid w:val="00E16282"/>
    <w:rsid w:val="00E162ED"/>
    <w:rsid w:val="00E164A4"/>
    <w:rsid w:val="00E16937"/>
    <w:rsid w:val="00E16970"/>
    <w:rsid w:val="00E16A40"/>
    <w:rsid w:val="00E16D1D"/>
    <w:rsid w:val="00E16E20"/>
    <w:rsid w:val="00E16FD6"/>
    <w:rsid w:val="00E17121"/>
    <w:rsid w:val="00E17753"/>
    <w:rsid w:val="00E17877"/>
    <w:rsid w:val="00E17982"/>
    <w:rsid w:val="00E17A46"/>
    <w:rsid w:val="00E17CA2"/>
    <w:rsid w:val="00E17F98"/>
    <w:rsid w:val="00E2008D"/>
    <w:rsid w:val="00E203B1"/>
    <w:rsid w:val="00E205E7"/>
    <w:rsid w:val="00E20662"/>
    <w:rsid w:val="00E20685"/>
    <w:rsid w:val="00E206FD"/>
    <w:rsid w:val="00E2096E"/>
    <w:rsid w:val="00E209B0"/>
    <w:rsid w:val="00E20BE5"/>
    <w:rsid w:val="00E20BE7"/>
    <w:rsid w:val="00E20D90"/>
    <w:rsid w:val="00E20DDD"/>
    <w:rsid w:val="00E20E33"/>
    <w:rsid w:val="00E20FF3"/>
    <w:rsid w:val="00E211CF"/>
    <w:rsid w:val="00E21368"/>
    <w:rsid w:val="00E2161A"/>
    <w:rsid w:val="00E216FE"/>
    <w:rsid w:val="00E2176A"/>
    <w:rsid w:val="00E2176B"/>
    <w:rsid w:val="00E21CFB"/>
    <w:rsid w:val="00E21DEA"/>
    <w:rsid w:val="00E21E9B"/>
    <w:rsid w:val="00E21F0C"/>
    <w:rsid w:val="00E21F34"/>
    <w:rsid w:val="00E21F4E"/>
    <w:rsid w:val="00E21FD4"/>
    <w:rsid w:val="00E21FEA"/>
    <w:rsid w:val="00E2205D"/>
    <w:rsid w:val="00E2214B"/>
    <w:rsid w:val="00E2264F"/>
    <w:rsid w:val="00E226E1"/>
    <w:rsid w:val="00E22761"/>
    <w:rsid w:val="00E22849"/>
    <w:rsid w:val="00E22890"/>
    <w:rsid w:val="00E2298C"/>
    <w:rsid w:val="00E22A58"/>
    <w:rsid w:val="00E22B36"/>
    <w:rsid w:val="00E22E3E"/>
    <w:rsid w:val="00E22E44"/>
    <w:rsid w:val="00E23217"/>
    <w:rsid w:val="00E23228"/>
    <w:rsid w:val="00E23335"/>
    <w:rsid w:val="00E234CE"/>
    <w:rsid w:val="00E2382C"/>
    <w:rsid w:val="00E23CBB"/>
    <w:rsid w:val="00E23DE0"/>
    <w:rsid w:val="00E23FC5"/>
    <w:rsid w:val="00E240A1"/>
    <w:rsid w:val="00E241B3"/>
    <w:rsid w:val="00E241F5"/>
    <w:rsid w:val="00E242FB"/>
    <w:rsid w:val="00E24362"/>
    <w:rsid w:val="00E243DA"/>
    <w:rsid w:val="00E2464A"/>
    <w:rsid w:val="00E246C6"/>
    <w:rsid w:val="00E248FE"/>
    <w:rsid w:val="00E24BEE"/>
    <w:rsid w:val="00E24D41"/>
    <w:rsid w:val="00E2510E"/>
    <w:rsid w:val="00E25410"/>
    <w:rsid w:val="00E2544C"/>
    <w:rsid w:val="00E25796"/>
    <w:rsid w:val="00E258C4"/>
    <w:rsid w:val="00E25AD7"/>
    <w:rsid w:val="00E25C36"/>
    <w:rsid w:val="00E25F00"/>
    <w:rsid w:val="00E25F8A"/>
    <w:rsid w:val="00E262BC"/>
    <w:rsid w:val="00E26410"/>
    <w:rsid w:val="00E265D1"/>
    <w:rsid w:val="00E26908"/>
    <w:rsid w:val="00E26988"/>
    <w:rsid w:val="00E26A28"/>
    <w:rsid w:val="00E26ED2"/>
    <w:rsid w:val="00E26FF0"/>
    <w:rsid w:val="00E2720F"/>
    <w:rsid w:val="00E27576"/>
    <w:rsid w:val="00E275F9"/>
    <w:rsid w:val="00E276B0"/>
    <w:rsid w:val="00E27760"/>
    <w:rsid w:val="00E27924"/>
    <w:rsid w:val="00E27CB9"/>
    <w:rsid w:val="00E27D52"/>
    <w:rsid w:val="00E30087"/>
    <w:rsid w:val="00E303E0"/>
    <w:rsid w:val="00E30566"/>
    <w:rsid w:val="00E30589"/>
    <w:rsid w:val="00E308CC"/>
    <w:rsid w:val="00E308F5"/>
    <w:rsid w:val="00E30D96"/>
    <w:rsid w:val="00E3156D"/>
    <w:rsid w:val="00E316A7"/>
    <w:rsid w:val="00E316DA"/>
    <w:rsid w:val="00E31E8C"/>
    <w:rsid w:val="00E31FEB"/>
    <w:rsid w:val="00E32200"/>
    <w:rsid w:val="00E32324"/>
    <w:rsid w:val="00E3276C"/>
    <w:rsid w:val="00E32857"/>
    <w:rsid w:val="00E32A06"/>
    <w:rsid w:val="00E32ABE"/>
    <w:rsid w:val="00E32B80"/>
    <w:rsid w:val="00E32CCC"/>
    <w:rsid w:val="00E32D4C"/>
    <w:rsid w:val="00E32ED8"/>
    <w:rsid w:val="00E33307"/>
    <w:rsid w:val="00E3332A"/>
    <w:rsid w:val="00E3359E"/>
    <w:rsid w:val="00E336CB"/>
    <w:rsid w:val="00E33722"/>
    <w:rsid w:val="00E337EF"/>
    <w:rsid w:val="00E339A8"/>
    <w:rsid w:val="00E33D3C"/>
    <w:rsid w:val="00E33E93"/>
    <w:rsid w:val="00E33F9C"/>
    <w:rsid w:val="00E34000"/>
    <w:rsid w:val="00E3401A"/>
    <w:rsid w:val="00E34134"/>
    <w:rsid w:val="00E34162"/>
    <w:rsid w:val="00E34389"/>
    <w:rsid w:val="00E345A5"/>
    <w:rsid w:val="00E34DC6"/>
    <w:rsid w:val="00E34F75"/>
    <w:rsid w:val="00E3577E"/>
    <w:rsid w:val="00E357B6"/>
    <w:rsid w:val="00E35AA0"/>
    <w:rsid w:val="00E35AB2"/>
    <w:rsid w:val="00E35D3A"/>
    <w:rsid w:val="00E35FEF"/>
    <w:rsid w:val="00E362FF"/>
    <w:rsid w:val="00E363AA"/>
    <w:rsid w:val="00E36628"/>
    <w:rsid w:val="00E367ED"/>
    <w:rsid w:val="00E368A7"/>
    <w:rsid w:val="00E368E3"/>
    <w:rsid w:val="00E3699B"/>
    <w:rsid w:val="00E369DE"/>
    <w:rsid w:val="00E36A45"/>
    <w:rsid w:val="00E36C2B"/>
    <w:rsid w:val="00E36CF1"/>
    <w:rsid w:val="00E36EFF"/>
    <w:rsid w:val="00E36F06"/>
    <w:rsid w:val="00E36F08"/>
    <w:rsid w:val="00E37019"/>
    <w:rsid w:val="00E37389"/>
    <w:rsid w:val="00E3739C"/>
    <w:rsid w:val="00E37422"/>
    <w:rsid w:val="00E37536"/>
    <w:rsid w:val="00E37735"/>
    <w:rsid w:val="00E3775A"/>
    <w:rsid w:val="00E37B45"/>
    <w:rsid w:val="00E37B59"/>
    <w:rsid w:val="00E37B87"/>
    <w:rsid w:val="00E37D14"/>
    <w:rsid w:val="00E37D7F"/>
    <w:rsid w:val="00E37E79"/>
    <w:rsid w:val="00E37EB3"/>
    <w:rsid w:val="00E37F93"/>
    <w:rsid w:val="00E4017E"/>
    <w:rsid w:val="00E401BC"/>
    <w:rsid w:val="00E40249"/>
    <w:rsid w:val="00E40278"/>
    <w:rsid w:val="00E4072C"/>
    <w:rsid w:val="00E40751"/>
    <w:rsid w:val="00E40A40"/>
    <w:rsid w:val="00E40B25"/>
    <w:rsid w:val="00E40F48"/>
    <w:rsid w:val="00E40FCD"/>
    <w:rsid w:val="00E4105A"/>
    <w:rsid w:val="00E41082"/>
    <w:rsid w:val="00E411E2"/>
    <w:rsid w:val="00E4162D"/>
    <w:rsid w:val="00E41699"/>
    <w:rsid w:val="00E416B0"/>
    <w:rsid w:val="00E41792"/>
    <w:rsid w:val="00E417B7"/>
    <w:rsid w:val="00E41883"/>
    <w:rsid w:val="00E41B16"/>
    <w:rsid w:val="00E41D0F"/>
    <w:rsid w:val="00E42160"/>
    <w:rsid w:val="00E421E4"/>
    <w:rsid w:val="00E42329"/>
    <w:rsid w:val="00E42573"/>
    <w:rsid w:val="00E426DB"/>
    <w:rsid w:val="00E42841"/>
    <w:rsid w:val="00E42983"/>
    <w:rsid w:val="00E42BDC"/>
    <w:rsid w:val="00E42CD4"/>
    <w:rsid w:val="00E4300B"/>
    <w:rsid w:val="00E43119"/>
    <w:rsid w:val="00E4336F"/>
    <w:rsid w:val="00E4342A"/>
    <w:rsid w:val="00E434E7"/>
    <w:rsid w:val="00E43784"/>
    <w:rsid w:val="00E43A87"/>
    <w:rsid w:val="00E43A88"/>
    <w:rsid w:val="00E43C04"/>
    <w:rsid w:val="00E43DEB"/>
    <w:rsid w:val="00E43E2B"/>
    <w:rsid w:val="00E43F2B"/>
    <w:rsid w:val="00E4410E"/>
    <w:rsid w:val="00E4416D"/>
    <w:rsid w:val="00E442D7"/>
    <w:rsid w:val="00E44336"/>
    <w:rsid w:val="00E4436E"/>
    <w:rsid w:val="00E446F6"/>
    <w:rsid w:val="00E447D7"/>
    <w:rsid w:val="00E44807"/>
    <w:rsid w:val="00E44AAE"/>
    <w:rsid w:val="00E44DF9"/>
    <w:rsid w:val="00E45015"/>
    <w:rsid w:val="00E45199"/>
    <w:rsid w:val="00E452A5"/>
    <w:rsid w:val="00E454BC"/>
    <w:rsid w:val="00E459DD"/>
    <w:rsid w:val="00E45C33"/>
    <w:rsid w:val="00E45C4E"/>
    <w:rsid w:val="00E45D77"/>
    <w:rsid w:val="00E45E1E"/>
    <w:rsid w:val="00E462C2"/>
    <w:rsid w:val="00E46396"/>
    <w:rsid w:val="00E46667"/>
    <w:rsid w:val="00E46DD7"/>
    <w:rsid w:val="00E47058"/>
    <w:rsid w:val="00E47363"/>
    <w:rsid w:val="00E47685"/>
    <w:rsid w:val="00E477FD"/>
    <w:rsid w:val="00E47821"/>
    <w:rsid w:val="00E479A5"/>
    <w:rsid w:val="00E47A97"/>
    <w:rsid w:val="00E47B0C"/>
    <w:rsid w:val="00E47B2D"/>
    <w:rsid w:val="00E47D9B"/>
    <w:rsid w:val="00E47DCB"/>
    <w:rsid w:val="00E47FF5"/>
    <w:rsid w:val="00E50120"/>
    <w:rsid w:val="00E50231"/>
    <w:rsid w:val="00E502AC"/>
    <w:rsid w:val="00E502E4"/>
    <w:rsid w:val="00E50411"/>
    <w:rsid w:val="00E5050C"/>
    <w:rsid w:val="00E5058B"/>
    <w:rsid w:val="00E507AE"/>
    <w:rsid w:val="00E50931"/>
    <w:rsid w:val="00E50C1A"/>
    <w:rsid w:val="00E50CAA"/>
    <w:rsid w:val="00E50E32"/>
    <w:rsid w:val="00E50E67"/>
    <w:rsid w:val="00E5160A"/>
    <w:rsid w:val="00E51654"/>
    <w:rsid w:val="00E51ACD"/>
    <w:rsid w:val="00E51B37"/>
    <w:rsid w:val="00E51DD3"/>
    <w:rsid w:val="00E52121"/>
    <w:rsid w:val="00E52131"/>
    <w:rsid w:val="00E5243B"/>
    <w:rsid w:val="00E526CB"/>
    <w:rsid w:val="00E52817"/>
    <w:rsid w:val="00E52A86"/>
    <w:rsid w:val="00E52CC3"/>
    <w:rsid w:val="00E52EC1"/>
    <w:rsid w:val="00E53120"/>
    <w:rsid w:val="00E5313D"/>
    <w:rsid w:val="00E5313F"/>
    <w:rsid w:val="00E53282"/>
    <w:rsid w:val="00E532B0"/>
    <w:rsid w:val="00E53438"/>
    <w:rsid w:val="00E5359D"/>
    <w:rsid w:val="00E5369F"/>
    <w:rsid w:val="00E537B8"/>
    <w:rsid w:val="00E53AE2"/>
    <w:rsid w:val="00E53B7C"/>
    <w:rsid w:val="00E53C95"/>
    <w:rsid w:val="00E53CEF"/>
    <w:rsid w:val="00E53D84"/>
    <w:rsid w:val="00E53F76"/>
    <w:rsid w:val="00E53FB2"/>
    <w:rsid w:val="00E54031"/>
    <w:rsid w:val="00E54184"/>
    <w:rsid w:val="00E54260"/>
    <w:rsid w:val="00E54304"/>
    <w:rsid w:val="00E54334"/>
    <w:rsid w:val="00E5433D"/>
    <w:rsid w:val="00E54500"/>
    <w:rsid w:val="00E54596"/>
    <w:rsid w:val="00E54644"/>
    <w:rsid w:val="00E547CC"/>
    <w:rsid w:val="00E54877"/>
    <w:rsid w:val="00E5494F"/>
    <w:rsid w:val="00E54968"/>
    <w:rsid w:val="00E54A21"/>
    <w:rsid w:val="00E54BA5"/>
    <w:rsid w:val="00E54CAB"/>
    <w:rsid w:val="00E54CBC"/>
    <w:rsid w:val="00E54F89"/>
    <w:rsid w:val="00E54F9E"/>
    <w:rsid w:val="00E54FE5"/>
    <w:rsid w:val="00E55019"/>
    <w:rsid w:val="00E55171"/>
    <w:rsid w:val="00E55344"/>
    <w:rsid w:val="00E55527"/>
    <w:rsid w:val="00E55681"/>
    <w:rsid w:val="00E55A0C"/>
    <w:rsid w:val="00E55A50"/>
    <w:rsid w:val="00E55D2A"/>
    <w:rsid w:val="00E55D34"/>
    <w:rsid w:val="00E55FB9"/>
    <w:rsid w:val="00E56168"/>
    <w:rsid w:val="00E563AB"/>
    <w:rsid w:val="00E564FA"/>
    <w:rsid w:val="00E56780"/>
    <w:rsid w:val="00E567AD"/>
    <w:rsid w:val="00E56919"/>
    <w:rsid w:val="00E56BB3"/>
    <w:rsid w:val="00E56D03"/>
    <w:rsid w:val="00E56EAB"/>
    <w:rsid w:val="00E56F9A"/>
    <w:rsid w:val="00E57374"/>
    <w:rsid w:val="00E57667"/>
    <w:rsid w:val="00E57980"/>
    <w:rsid w:val="00E57A36"/>
    <w:rsid w:val="00E57B08"/>
    <w:rsid w:val="00E57F80"/>
    <w:rsid w:val="00E5EC69"/>
    <w:rsid w:val="00E60026"/>
    <w:rsid w:val="00E60165"/>
    <w:rsid w:val="00E6021D"/>
    <w:rsid w:val="00E60307"/>
    <w:rsid w:val="00E60328"/>
    <w:rsid w:val="00E60594"/>
    <w:rsid w:val="00E607BE"/>
    <w:rsid w:val="00E60841"/>
    <w:rsid w:val="00E6087C"/>
    <w:rsid w:val="00E60A02"/>
    <w:rsid w:val="00E60B5A"/>
    <w:rsid w:val="00E61280"/>
    <w:rsid w:val="00E6137F"/>
    <w:rsid w:val="00E61536"/>
    <w:rsid w:val="00E616B4"/>
    <w:rsid w:val="00E61887"/>
    <w:rsid w:val="00E619AB"/>
    <w:rsid w:val="00E61AF4"/>
    <w:rsid w:val="00E61D5C"/>
    <w:rsid w:val="00E61FBA"/>
    <w:rsid w:val="00E62013"/>
    <w:rsid w:val="00E620D6"/>
    <w:rsid w:val="00E621E7"/>
    <w:rsid w:val="00E623C1"/>
    <w:rsid w:val="00E6242C"/>
    <w:rsid w:val="00E625DC"/>
    <w:rsid w:val="00E6266B"/>
    <w:rsid w:val="00E627BB"/>
    <w:rsid w:val="00E62821"/>
    <w:rsid w:val="00E62975"/>
    <w:rsid w:val="00E62B85"/>
    <w:rsid w:val="00E62BD3"/>
    <w:rsid w:val="00E62D02"/>
    <w:rsid w:val="00E62D6B"/>
    <w:rsid w:val="00E62D82"/>
    <w:rsid w:val="00E62E2D"/>
    <w:rsid w:val="00E62F70"/>
    <w:rsid w:val="00E62FBB"/>
    <w:rsid w:val="00E63258"/>
    <w:rsid w:val="00E63514"/>
    <w:rsid w:val="00E63685"/>
    <w:rsid w:val="00E638F7"/>
    <w:rsid w:val="00E639F7"/>
    <w:rsid w:val="00E63B18"/>
    <w:rsid w:val="00E63FB0"/>
    <w:rsid w:val="00E63FD4"/>
    <w:rsid w:val="00E6428A"/>
    <w:rsid w:val="00E6435B"/>
    <w:rsid w:val="00E64669"/>
    <w:rsid w:val="00E648CB"/>
    <w:rsid w:val="00E648E9"/>
    <w:rsid w:val="00E64B76"/>
    <w:rsid w:val="00E64CC4"/>
    <w:rsid w:val="00E65045"/>
    <w:rsid w:val="00E651F1"/>
    <w:rsid w:val="00E65259"/>
    <w:rsid w:val="00E65683"/>
    <w:rsid w:val="00E6593A"/>
    <w:rsid w:val="00E65A81"/>
    <w:rsid w:val="00E65B1F"/>
    <w:rsid w:val="00E65C8B"/>
    <w:rsid w:val="00E65CE3"/>
    <w:rsid w:val="00E65F5A"/>
    <w:rsid w:val="00E66149"/>
    <w:rsid w:val="00E66234"/>
    <w:rsid w:val="00E662BB"/>
    <w:rsid w:val="00E66466"/>
    <w:rsid w:val="00E66973"/>
    <w:rsid w:val="00E66AEF"/>
    <w:rsid w:val="00E66BD6"/>
    <w:rsid w:val="00E66CA9"/>
    <w:rsid w:val="00E66D0C"/>
    <w:rsid w:val="00E66D7A"/>
    <w:rsid w:val="00E66DCE"/>
    <w:rsid w:val="00E66EF8"/>
    <w:rsid w:val="00E66F45"/>
    <w:rsid w:val="00E67054"/>
    <w:rsid w:val="00E67137"/>
    <w:rsid w:val="00E671B5"/>
    <w:rsid w:val="00E67275"/>
    <w:rsid w:val="00E6727D"/>
    <w:rsid w:val="00E672C4"/>
    <w:rsid w:val="00E6735B"/>
    <w:rsid w:val="00E6742B"/>
    <w:rsid w:val="00E67653"/>
    <w:rsid w:val="00E67859"/>
    <w:rsid w:val="00E678AA"/>
    <w:rsid w:val="00E67B1C"/>
    <w:rsid w:val="00E67C5B"/>
    <w:rsid w:val="00E67D63"/>
    <w:rsid w:val="00E67F12"/>
    <w:rsid w:val="00E700B9"/>
    <w:rsid w:val="00E7042E"/>
    <w:rsid w:val="00E70653"/>
    <w:rsid w:val="00E7085F"/>
    <w:rsid w:val="00E7086A"/>
    <w:rsid w:val="00E70A2A"/>
    <w:rsid w:val="00E70AFD"/>
    <w:rsid w:val="00E70CB2"/>
    <w:rsid w:val="00E710F8"/>
    <w:rsid w:val="00E71120"/>
    <w:rsid w:val="00E71164"/>
    <w:rsid w:val="00E711B6"/>
    <w:rsid w:val="00E711D1"/>
    <w:rsid w:val="00E71200"/>
    <w:rsid w:val="00E71394"/>
    <w:rsid w:val="00E718A8"/>
    <w:rsid w:val="00E71C5F"/>
    <w:rsid w:val="00E71CAD"/>
    <w:rsid w:val="00E71D40"/>
    <w:rsid w:val="00E71F49"/>
    <w:rsid w:val="00E721F4"/>
    <w:rsid w:val="00E725FC"/>
    <w:rsid w:val="00E72622"/>
    <w:rsid w:val="00E72635"/>
    <w:rsid w:val="00E72653"/>
    <w:rsid w:val="00E72899"/>
    <w:rsid w:val="00E72A3E"/>
    <w:rsid w:val="00E72ED5"/>
    <w:rsid w:val="00E73003"/>
    <w:rsid w:val="00E730A1"/>
    <w:rsid w:val="00E73121"/>
    <w:rsid w:val="00E73513"/>
    <w:rsid w:val="00E73605"/>
    <w:rsid w:val="00E73677"/>
    <w:rsid w:val="00E73783"/>
    <w:rsid w:val="00E73849"/>
    <w:rsid w:val="00E73887"/>
    <w:rsid w:val="00E73AA5"/>
    <w:rsid w:val="00E73B55"/>
    <w:rsid w:val="00E741CA"/>
    <w:rsid w:val="00E742A6"/>
    <w:rsid w:val="00E746A1"/>
    <w:rsid w:val="00E74806"/>
    <w:rsid w:val="00E74AD5"/>
    <w:rsid w:val="00E74B5C"/>
    <w:rsid w:val="00E74E3C"/>
    <w:rsid w:val="00E7504F"/>
    <w:rsid w:val="00E7523B"/>
    <w:rsid w:val="00E75455"/>
    <w:rsid w:val="00E7546F"/>
    <w:rsid w:val="00E756BE"/>
    <w:rsid w:val="00E75794"/>
    <w:rsid w:val="00E757A9"/>
    <w:rsid w:val="00E7580E"/>
    <w:rsid w:val="00E75A04"/>
    <w:rsid w:val="00E75B8F"/>
    <w:rsid w:val="00E75BB9"/>
    <w:rsid w:val="00E75C95"/>
    <w:rsid w:val="00E75DF7"/>
    <w:rsid w:val="00E760F1"/>
    <w:rsid w:val="00E76112"/>
    <w:rsid w:val="00E761B9"/>
    <w:rsid w:val="00E76333"/>
    <w:rsid w:val="00E7680A"/>
    <w:rsid w:val="00E76B5B"/>
    <w:rsid w:val="00E76E49"/>
    <w:rsid w:val="00E76E8E"/>
    <w:rsid w:val="00E77007"/>
    <w:rsid w:val="00E7701A"/>
    <w:rsid w:val="00E77536"/>
    <w:rsid w:val="00E77942"/>
    <w:rsid w:val="00E77AD3"/>
    <w:rsid w:val="00E77EA9"/>
    <w:rsid w:val="00E77F7C"/>
    <w:rsid w:val="00E80135"/>
    <w:rsid w:val="00E804FA"/>
    <w:rsid w:val="00E805CB"/>
    <w:rsid w:val="00E8080A"/>
    <w:rsid w:val="00E8088F"/>
    <w:rsid w:val="00E80BE7"/>
    <w:rsid w:val="00E80CD8"/>
    <w:rsid w:val="00E80DC1"/>
    <w:rsid w:val="00E80EAB"/>
    <w:rsid w:val="00E810A8"/>
    <w:rsid w:val="00E8118D"/>
    <w:rsid w:val="00E811A8"/>
    <w:rsid w:val="00E8138C"/>
    <w:rsid w:val="00E816F2"/>
    <w:rsid w:val="00E81858"/>
    <w:rsid w:val="00E81933"/>
    <w:rsid w:val="00E81A83"/>
    <w:rsid w:val="00E81C55"/>
    <w:rsid w:val="00E81F47"/>
    <w:rsid w:val="00E81F95"/>
    <w:rsid w:val="00E8203E"/>
    <w:rsid w:val="00E82111"/>
    <w:rsid w:val="00E82112"/>
    <w:rsid w:val="00E82766"/>
    <w:rsid w:val="00E827BE"/>
    <w:rsid w:val="00E82C05"/>
    <w:rsid w:val="00E82DB9"/>
    <w:rsid w:val="00E82F2F"/>
    <w:rsid w:val="00E834FE"/>
    <w:rsid w:val="00E83790"/>
    <w:rsid w:val="00E83837"/>
    <w:rsid w:val="00E838B2"/>
    <w:rsid w:val="00E839C5"/>
    <w:rsid w:val="00E83B36"/>
    <w:rsid w:val="00E83BA6"/>
    <w:rsid w:val="00E83F59"/>
    <w:rsid w:val="00E8428F"/>
    <w:rsid w:val="00E8454A"/>
    <w:rsid w:val="00E8482D"/>
    <w:rsid w:val="00E8489C"/>
    <w:rsid w:val="00E8492B"/>
    <w:rsid w:val="00E84C53"/>
    <w:rsid w:val="00E84F01"/>
    <w:rsid w:val="00E84FB9"/>
    <w:rsid w:val="00E85083"/>
    <w:rsid w:val="00E850A5"/>
    <w:rsid w:val="00E85109"/>
    <w:rsid w:val="00E8513B"/>
    <w:rsid w:val="00E851B6"/>
    <w:rsid w:val="00E852B8"/>
    <w:rsid w:val="00E852FD"/>
    <w:rsid w:val="00E8541C"/>
    <w:rsid w:val="00E85745"/>
    <w:rsid w:val="00E85783"/>
    <w:rsid w:val="00E85795"/>
    <w:rsid w:val="00E85943"/>
    <w:rsid w:val="00E85D6A"/>
    <w:rsid w:val="00E85F26"/>
    <w:rsid w:val="00E85F7C"/>
    <w:rsid w:val="00E85FC1"/>
    <w:rsid w:val="00E86126"/>
    <w:rsid w:val="00E863C4"/>
    <w:rsid w:val="00E864EC"/>
    <w:rsid w:val="00E86537"/>
    <w:rsid w:val="00E866E2"/>
    <w:rsid w:val="00E86B12"/>
    <w:rsid w:val="00E86D0B"/>
    <w:rsid w:val="00E8723A"/>
    <w:rsid w:val="00E872F9"/>
    <w:rsid w:val="00E87699"/>
    <w:rsid w:val="00E87725"/>
    <w:rsid w:val="00E87CDB"/>
    <w:rsid w:val="00E87D3D"/>
    <w:rsid w:val="00E87D7A"/>
    <w:rsid w:val="00E87E9B"/>
    <w:rsid w:val="00E87E9C"/>
    <w:rsid w:val="00E90182"/>
    <w:rsid w:val="00E90367"/>
    <w:rsid w:val="00E905FA"/>
    <w:rsid w:val="00E9097E"/>
    <w:rsid w:val="00E90BAB"/>
    <w:rsid w:val="00E90BBF"/>
    <w:rsid w:val="00E90C40"/>
    <w:rsid w:val="00E90E1C"/>
    <w:rsid w:val="00E91227"/>
    <w:rsid w:val="00E91269"/>
    <w:rsid w:val="00E91282"/>
    <w:rsid w:val="00E9151A"/>
    <w:rsid w:val="00E917AC"/>
    <w:rsid w:val="00E91836"/>
    <w:rsid w:val="00E91912"/>
    <w:rsid w:val="00E919D7"/>
    <w:rsid w:val="00E91B30"/>
    <w:rsid w:val="00E92035"/>
    <w:rsid w:val="00E924FA"/>
    <w:rsid w:val="00E9291D"/>
    <w:rsid w:val="00E92993"/>
    <w:rsid w:val="00E929D9"/>
    <w:rsid w:val="00E92A56"/>
    <w:rsid w:val="00E92A8D"/>
    <w:rsid w:val="00E92BAF"/>
    <w:rsid w:val="00E92C25"/>
    <w:rsid w:val="00E92DED"/>
    <w:rsid w:val="00E92FCF"/>
    <w:rsid w:val="00E93034"/>
    <w:rsid w:val="00E93172"/>
    <w:rsid w:val="00E93454"/>
    <w:rsid w:val="00E934EC"/>
    <w:rsid w:val="00E93508"/>
    <w:rsid w:val="00E9351A"/>
    <w:rsid w:val="00E935B7"/>
    <w:rsid w:val="00E938D6"/>
    <w:rsid w:val="00E93BCB"/>
    <w:rsid w:val="00E93C42"/>
    <w:rsid w:val="00E93D6D"/>
    <w:rsid w:val="00E93DBC"/>
    <w:rsid w:val="00E93EE0"/>
    <w:rsid w:val="00E93FA7"/>
    <w:rsid w:val="00E93FBC"/>
    <w:rsid w:val="00E9417E"/>
    <w:rsid w:val="00E941FC"/>
    <w:rsid w:val="00E94E73"/>
    <w:rsid w:val="00E94EB9"/>
    <w:rsid w:val="00E95246"/>
    <w:rsid w:val="00E9533E"/>
    <w:rsid w:val="00E955E2"/>
    <w:rsid w:val="00E956EF"/>
    <w:rsid w:val="00E956F1"/>
    <w:rsid w:val="00E95850"/>
    <w:rsid w:val="00E958ED"/>
    <w:rsid w:val="00E95966"/>
    <w:rsid w:val="00E95E48"/>
    <w:rsid w:val="00E95EB0"/>
    <w:rsid w:val="00E963D8"/>
    <w:rsid w:val="00E967B3"/>
    <w:rsid w:val="00E96856"/>
    <w:rsid w:val="00E96B27"/>
    <w:rsid w:val="00E96C50"/>
    <w:rsid w:val="00E96E40"/>
    <w:rsid w:val="00E96E4D"/>
    <w:rsid w:val="00E97649"/>
    <w:rsid w:val="00E977A6"/>
    <w:rsid w:val="00E97898"/>
    <w:rsid w:val="00E979BC"/>
    <w:rsid w:val="00E979FF"/>
    <w:rsid w:val="00E97ACB"/>
    <w:rsid w:val="00E97B84"/>
    <w:rsid w:val="00E97E69"/>
    <w:rsid w:val="00E97EFE"/>
    <w:rsid w:val="00EA0041"/>
    <w:rsid w:val="00EA0094"/>
    <w:rsid w:val="00EA0245"/>
    <w:rsid w:val="00EA0770"/>
    <w:rsid w:val="00EA0840"/>
    <w:rsid w:val="00EA097D"/>
    <w:rsid w:val="00EA0A42"/>
    <w:rsid w:val="00EA0B5F"/>
    <w:rsid w:val="00EA0D2E"/>
    <w:rsid w:val="00EA0E5C"/>
    <w:rsid w:val="00EA0F5E"/>
    <w:rsid w:val="00EA0FD6"/>
    <w:rsid w:val="00EA0FD9"/>
    <w:rsid w:val="00EA1019"/>
    <w:rsid w:val="00EA1044"/>
    <w:rsid w:val="00EA11F1"/>
    <w:rsid w:val="00EA11F6"/>
    <w:rsid w:val="00EA127D"/>
    <w:rsid w:val="00EA1336"/>
    <w:rsid w:val="00EA1611"/>
    <w:rsid w:val="00EA19AD"/>
    <w:rsid w:val="00EA1A31"/>
    <w:rsid w:val="00EA1ACF"/>
    <w:rsid w:val="00EA2044"/>
    <w:rsid w:val="00EA23BE"/>
    <w:rsid w:val="00EA2629"/>
    <w:rsid w:val="00EA2A4C"/>
    <w:rsid w:val="00EA2C96"/>
    <w:rsid w:val="00EA2E72"/>
    <w:rsid w:val="00EA2FAF"/>
    <w:rsid w:val="00EA3348"/>
    <w:rsid w:val="00EA3358"/>
    <w:rsid w:val="00EA340C"/>
    <w:rsid w:val="00EA3631"/>
    <w:rsid w:val="00EA36C6"/>
    <w:rsid w:val="00EA379D"/>
    <w:rsid w:val="00EA384D"/>
    <w:rsid w:val="00EA39F4"/>
    <w:rsid w:val="00EA3AE0"/>
    <w:rsid w:val="00EA3DB0"/>
    <w:rsid w:val="00EA3E00"/>
    <w:rsid w:val="00EA3EC7"/>
    <w:rsid w:val="00EA4035"/>
    <w:rsid w:val="00EA40F4"/>
    <w:rsid w:val="00EA4308"/>
    <w:rsid w:val="00EA435F"/>
    <w:rsid w:val="00EA4440"/>
    <w:rsid w:val="00EA44C1"/>
    <w:rsid w:val="00EA44FB"/>
    <w:rsid w:val="00EA486D"/>
    <w:rsid w:val="00EA492A"/>
    <w:rsid w:val="00EA495B"/>
    <w:rsid w:val="00EA4CEB"/>
    <w:rsid w:val="00EA4D93"/>
    <w:rsid w:val="00EA4E31"/>
    <w:rsid w:val="00EA4F84"/>
    <w:rsid w:val="00EA4FE5"/>
    <w:rsid w:val="00EA50B5"/>
    <w:rsid w:val="00EA54F8"/>
    <w:rsid w:val="00EA5524"/>
    <w:rsid w:val="00EA5632"/>
    <w:rsid w:val="00EA5885"/>
    <w:rsid w:val="00EA590F"/>
    <w:rsid w:val="00EA5EB6"/>
    <w:rsid w:val="00EA5FE3"/>
    <w:rsid w:val="00EA630E"/>
    <w:rsid w:val="00EA65A9"/>
    <w:rsid w:val="00EA69F2"/>
    <w:rsid w:val="00EA6E6C"/>
    <w:rsid w:val="00EA6EBC"/>
    <w:rsid w:val="00EA7334"/>
    <w:rsid w:val="00EA73EB"/>
    <w:rsid w:val="00EA7AC3"/>
    <w:rsid w:val="00EA7E02"/>
    <w:rsid w:val="00EA7E86"/>
    <w:rsid w:val="00EA7F27"/>
    <w:rsid w:val="00EB0037"/>
    <w:rsid w:val="00EB0114"/>
    <w:rsid w:val="00EB0414"/>
    <w:rsid w:val="00EB05FF"/>
    <w:rsid w:val="00EB06AB"/>
    <w:rsid w:val="00EB0818"/>
    <w:rsid w:val="00EB09BF"/>
    <w:rsid w:val="00EB0AE2"/>
    <w:rsid w:val="00EB0AF9"/>
    <w:rsid w:val="00EB0F5D"/>
    <w:rsid w:val="00EB104A"/>
    <w:rsid w:val="00EB1710"/>
    <w:rsid w:val="00EB172C"/>
    <w:rsid w:val="00EB192F"/>
    <w:rsid w:val="00EB1B96"/>
    <w:rsid w:val="00EB1BFB"/>
    <w:rsid w:val="00EB1E02"/>
    <w:rsid w:val="00EB1E29"/>
    <w:rsid w:val="00EB20FB"/>
    <w:rsid w:val="00EB2282"/>
    <w:rsid w:val="00EB22CE"/>
    <w:rsid w:val="00EB2484"/>
    <w:rsid w:val="00EB2558"/>
    <w:rsid w:val="00EB2635"/>
    <w:rsid w:val="00EB27DB"/>
    <w:rsid w:val="00EB2892"/>
    <w:rsid w:val="00EB2C5B"/>
    <w:rsid w:val="00EB2D04"/>
    <w:rsid w:val="00EB2DA8"/>
    <w:rsid w:val="00EB2DBB"/>
    <w:rsid w:val="00EB2DF3"/>
    <w:rsid w:val="00EB308C"/>
    <w:rsid w:val="00EB30D0"/>
    <w:rsid w:val="00EB32DD"/>
    <w:rsid w:val="00EB3399"/>
    <w:rsid w:val="00EB3445"/>
    <w:rsid w:val="00EB3636"/>
    <w:rsid w:val="00EB370C"/>
    <w:rsid w:val="00EB3792"/>
    <w:rsid w:val="00EB3814"/>
    <w:rsid w:val="00EB397A"/>
    <w:rsid w:val="00EB39D2"/>
    <w:rsid w:val="00EB39E9"/>
    <w:rsid w:val="00EB3D4F"/>
    <w:rsid w:val="00EB3E96"/>
    <w:rsid w:val="00EB41AA"/>
    <w:rsid w:val="00EB42D1"/>
    <w:rsid w:val="00EB449B"/>
    <w:rsid w:val="00EB4697"/>
    <w:rsid w:val="00EB4864"/>
    <w:rsid w:val="00EB48F4"/>
    <w:rsid w:val="00EB4C2A"/>
    <w:rsid w:val="00EB4D88"/>
    <w:rsid w:val="00EB4E08"/>
    <w:rsid w:val="00EB52AA"/>
    <w:rsid w:val="00EB5501"/>
    <w:rsid w:val="00EB558F"/>
    <w:rsid w:val="00EB5769"/>
    <w:rsid w:val="00EB57EF"/>
    <w:rsid w:val="00EB5A3D"/>
    <w:rsid w:val="00EB5B19"/>
    <w:rsid w:val="00EB5DA8"/>
    <w:rsid w:val="00EB6410"/>
    <w:rsid w:val="00EB651A"/>
    <w:rsid w:val="00EB665D"/>
    <w:rsid w:val="00EB6BBB"/>
    <w:rsid w:val="00EB6D40"/>
    <w:rsid w:val="00EB6FA0"/>
    <w:rsid w:val="00EB7454"/>
    <w:rsid w:val="00EB75A1"/>
    <w:rsid w:val="00EB769A"/>
    <w:rsid w:val="00EB7B85"/>
    <w:rsid w:val="00EC007C"/>
    <w:rsid w:val="00EC03C2"/>
    <w:rsid w:val="00EC04DE"/>
    <w:rsid w:val="00EC0812"/>
    <w:rsid w:val="00EC081A"/>
    <w:rsid w:val="00EC0974"/>
    <w:rsid w:val="00EC09A2"/>
    <w:rsid w:val="00EC0D80"/>
    <w:rsid w:val="00EC0E69"/>
    <w:rsid w:val="00EC0E83"/>
    <w:rsid w:val="00EC1052"/>
    <w:rsid w:val="00EC114B"/>
    <w:rsid w:val="00EC117C"/>
    <w:rsid w:val="00EC134B"/>
    <w:rsid w:val="00EC13C0"/>
    <w:rsid w:val="00EC13E7"/>
    <w:rsid w:val="00EC1602"/>
    <w:rsid w:val="00EC18B4"/>
    <w:rsid w:val="00EC1924"/>
    <w:rsid w:val="00EC1928"/>
    <w:rsid w:val="00EC197F"/>
    <w:rsid w:val="00EC1A50"/>
    <w:rsid w:val="00EC1D12"/>
    <w:rsid w:val="00EC1D34"/>
    <w:rsid w:val="00EC1EA0"/>
    <w:rsid w:val="00EC1EF1"/>
    <w:rsid w:val="00EC203C"/>
    <w:rsid w:val="00EC2423"/>
    <w:rsid w:val="00EC2548"/>
    <w:rsid w:val="00EC265B"/>
    <w:rsid w:val="00EC2765"/>
    <w:rsid w:val="00EC27BA"/>
    <w:rsid w:val="00EC284E"/>
    <w:rsid w:val="00EC2870"/>
    <w:rsid w:val="00EC2871"/>
    <w:rsid w:val="00EC28E1"/>
    <w:rsid w:val="00EC299D"/>
    <w:rsid w:val="00EC2C2A"/>
    <w:rsid w:val="00EC2DCE"/>
    <w:rsid w:val="00EC30F9"/>
    <w:rsid w:val="00EC33D1"/>
    <w:rsid w:val="00EC3402"/>
    <w:rsid w:val="00EC3491"/>
    <w:rsid w:val="00EC3864"/>
    <w:rsid w:val="00EC3931"/>
    <w:rsid w:val="00EC3BF4"/>
    <w:rsid w:val="00EC3D51"/>
    <w:rsid w:val="00EC3E7B"/>
    <w:rsid w:val="00EC40BA"/>
    <w:rsid w:val="00EC4309"/>
    <w:rsid w:val="00EC4770"/>
    <w:rsid w:val="00EC47BE"/>
    <w:rsid w:val="00EC4A26"/>
    <w:rsid w:val="00EC4B73"/>
    <w:rsid w:val="00EC4D5B"/>
    <w:rsid w:val="00EC4F0F"/>
    <w:rsid w:val="00EC5398"/>
    <w:rsid w:val="00EC597B"/>
    <w:rsid w:val="00EC5A56"/>
    <w:rsid w:val="00EC5E14"/>
    <w:rsid w:val="00EC5F7D"/>
    <w:rsid w:val="00EC63B8"/>
    <w:rsid w:val="00EC63E3"/>
    <w:rsid w:val="00EC641F"/>
    <w:rsid w:val="00EC6492"/>
    <w:rsid w:val="00EC6528"/>
    <w:rsid w:val="00EC6689"/>
    <w:rsid w:val="00EC668D"/>
    <w:rsid w:val="00EC69F6"/>
    <w:rsid w:val="00EC6C8B"/>
    <w:rsid w:val="00EC6C96"/>
    <w:rsid w:val="00EC6E97"/>
    <w:rsid w:val="00EC6F8B"/>
    <w:rsid w:val="00EC6FE1"/>
    <w:rsid w:val="00EC7177"/>
    <w:rsid w:val="00EC74BA"/>
    <w:rsid w:val="00EC77A7"/>
    <w:rsid w:val="00EC7817"/>
    <w:rsid w:val="00EC7CED"/>
    <w:rsid w:val="00ED0166"/>
    <w:rsid w:val="00ED04BC"/>
    <w:rsid w:val="00ED04C4"/>
    <w:rsid w:val="00ED0538"/>
    <w:rsid w:val="00ED094E"/>
    <w:rsid w:val="00ED0BFE"/>
    <w:rsid w:val="00ED0DC9"/>
    <w:rsid w:val="00ED0FE0"/>
    <w:rsid w:val="00ED1000"/>
    <w:rsid w:val="00ED1123"/>
    <w:rsid w:val="00ED112C"/>
    <w:rsid w:val="00ED122F"/>
    <w:rsid w:val="00ED16AE"/>
    <w:rsid w:val="00ED173A"/>
    <w:rsid w:val="00ED1837"/>
    <w:rsid w:val="00ED1870"/>
    <w:rsid w:val="00ED18C0"/>
    <w:rsid w:val="00ED18EF"/>
    <w:rsid w:val="00ED194B"/>
    <w:rsid w:val="00ED1963"/>
    <w:rsid w:val="00ED1979"/>
    <w:rsid w:val="00ED1B53"/>
    <w:rsid w:val="00ED1B90"/>
    <w:rsid w:val="00ED1CAA"/>
    <w:rsid w:val="00ED1DAA"/>
    <w:rsid w:val="00ED1EA8"/>
    <w:rsid w:val="00ED2109"/>
    <w:rsid w:val="00ED2147"/>
    <w:rsid w:val="00ED21B7"/>
    <w:rsid w:val="00ED22F3"/>
    <w:rsid w:val="00ED246F"/>
    <w:rsid w:val="00ED24D3"/>
    <w:rsid w:val="00ED25D3"/>
    <w:rsid w:val="00ED2601"/>
    <w:rsid w:val="00ED2658"/>
    <w:rsid w:val="00ED2666"/>
    <w:rsid w:val="00ED27C5"/>
    <w:rsid w:val="00ED288D"/>
    <w:rsid w:val="00ED2C20"/>
    <w:rsid w:val="00ED2CB6"/>
    <w:rsid w:val="00ED2F10"/>
    <w:rsid w:val="00ED2F17"/>
    <w:rsid w:val="00ED32EA"/>
    <w:rsid w:val="00ED341D"/>
    <w:rsid w:val="00ED3657"/>
    <w:rsid w:val="00ED3FF3"/>
    <w:rsid w:val="00ED4602"/>
    <w:rsid w:val="00ED497F"/>
    <w:rsid w:val="00ED4D07"/>
    <w:rsid w:val="00ED526C"/>
    <w:rsid w:val="00ED542F"/>
    <w:rsid w:val="00ED5499"/>
    <w:rsid w:val="00ED5725"/>
    <w:rsid w:val="00ED5876"/>
    <w:rsid w:val="00ED5AD9"/>
    <w:rsid w:val="00ED5BBC"/>
    <w:rsid w:val="00ED5C7B"/>
    <w:rsid w:val="00ED5D5A"/>
    <w:rsid w:val="00ED5E28"/>
    <w:rsid w:val="00ED629A"/>
    <w:rsid w:val="00ED6528"/>
    <w:rsid w:val="00ED671A"/>
    <w:rsid w:val="00ED691E"/>
    <w:rsid w:val="00ED6B71"/>
    <w:rsid w:val="00ED6D69"/>
    <w:rsid w:val="00ED6FAB"/>
    <w:rsid w:val="00ED7026"/>
    <w:rsid w:val="00ED7031"/>
    <w:rsid w:val="00ED70A7"/>
    <w:rsid w:val="00ED7181"/>
    <w:rsid w:val="00ED7421"/>
    <w:rsid w:val="00ED74E1"/>
    <w:rsid w:val="00ED75AF"/>
    <w:rsid w:val="00ED764E"/>
    <w:rsid w:val="00ED7754"/>
    <w:rsid w:val="00ED77FE"/>
    <w:rsid w:val="00ED7AF0"/>
    <w:rsid w:val="00ED7BD8"/>
    <w:rsid w:val="00ED7C59"/>
    <w:rsid w:val="00ED7E1D"/>
    <w:rsid w:val="00ED7FF1"/>
    <w:rsid w:val="00EE009B"/>
    <w:rsid w:val="00EE00D4"/>
    <w:rsid w:val="00EE0276"/>
    <w:rsid w:val="00EE02BE"/>
    <w:rsid w:val="00EE046B"/>
    <w:rsid w:val="00EE0951"/>
    <w:rsid w:val="00EE0C99"/>
    <w:rsid w:val="00EE0F35"/>
    <w:rsid w:val="00EE1016"/>
    <w:rsid w:val="00EE11C9"/>
    <w:rsid w:val="00EE1237"/>
    <w:rsid w:val="00EE133D"/>
    <w:rsid w:val="00EE13F5"/>
    <w:rsid w:val="00EE1448"/>
    <w:rsid w:val="00EE1518"/>
    <w:rsid w:val="00EE1573"/>
    <w:rsid w:val="00EE1796"/>
    <w:rsid w:val="00EE1875"/>
    <w:rsid w:val="00EE18DA"/>
    <w:rsid w:val="00EE1C5C"/>
    <w:rsid w:val="00EE1E0C"/>
    <w:rsid w:val="00EE1E0F"/>
    <w:rsid w:val="00EE21DD"/>
    <w:rsid w:val="00EE22F6"/>
    <w:rsid w:val="00EE2871"/>
    <w:rsid w:val="00EE292A"/>
    <w:rsid w:val="00EE2973"/>
    <w:rsid w:val="00EE29AB"/>
    <w:rsid w:val="00EE2B93"/>
    <w:rsid w:val="00EE3060"/>
    <w:rsid w:val="00EE35E7"/>
    <w:rsid w:val="00EE36E2"/>
    <w:rsid w:val="00EE3A4F"/>
    <w:rsid w:val="00EE3C91"/>
    <w:rsid w:val="00EE3D15"/>
    <w:rsid w:val="00EE3E30"/>
    <w:rsid w:val="00EE3F85"/>
    <w:rsid w:val="00EE3FCD"/>
    <w:rsid w:val="00EE3FE2"/>
    <w:rsid w:val="00EE41F2"/>
    <w:rsid w:val="00EE4264"/>
    <w:rsid w:val="00EE4279"/>
    <w:rsid w:val="00EE4315"/>
    <w:rsid w:val="00EE43CE"/>
    <w:rsid w:val="00EE4438"/>
    <w:rsid w:val="00EE44B6"/>
    <w:rsid w:val="00EE46B7"/>
    <w:rsid w:val="00EE4C96"/>
    <w:rsid w:val="00EE5573"/>
    <w:rsid w:val="00EE55D0"/>
    <w:rsid w:val="00EE58D9"/>
    <w:rsid w:val="00EE5A4D"/>
    <w:rsid w:val="00EE5A89"/>
    <w:rsid w:val="00EE5BF6"/>
    <w:rsid w:val="00EE5E3B"/>
    <w:rsid w:val="00EE5ED4"/>
    <w:rsid w:val="00EE5F43"/>
    <w:rsid w:val="00EE6131"/>
    <w:rsid w:val="00EE62D1"/>
    <w:rsid w:val="00EE669D"/>
    <w:rsid w:val="00EE6738"/>
    <w:rsid w:val="00EE6758"/>
    <w:rsid w:val="00EE68A5"/>
    <w:rsid w:val="00EE68B4"/>
    <w:rsid w:val="00EE702C"/>
    <w:rsid w:val="00EE7189"/>
    <w:rsid w:val="00EE7592"/>
    <w:rsid w:val="00EE7777"/>
    <w:rsid w:val="00EE7866"/>
    <w:rsid w:val="00EE7D56"/>
    <w:rsid w:val="00EF02B1"/>
    <w:rsid w:val="00EF04AC"/>
    <w:rsid w:val="00EF06D3"/>
    <w:rsid w:val="00EF06E0"/>
    <w:rsid w:val="00EF082A"/>
    <w:rsid w:val="00EF08CE"/>
    <w:rsid w:val="00EF0A26"/>
    <w:rsid w:val="00EF0C34"/>
    <w:rsid w:val="00EF0C70"/>
    <w:rsid w:val="00EF0C7F"/>
    <w:rsid w:val="00EF0E4A"/>
    <w:rsid w:val="00EF10BC"/>
    <w:rsid w:val="00EF1172"/>
    <w:rsid w:val="00EF11B5"/>
    <w:rsid w:val="00EF120D"/>
    <w:rsid w:val="00EF1237"/>
    <w:rsid w:val="00EF124F"/>
    <w:rsid w:val="00EF1256"/>
    <w:rsid w:val="00EF1482"/>
    <w:rsid w:val="00EF1608"/>
    <w:rsid w:val="00EF177B"/>
    <w:rsid w:val="00EF17FA"/>
    <w:rsid w:val="00EF18F7"/>
    <w:rsid w:val="00EF1ACA"/>
    <w:rsid w:val="00EF1B97"/>
    <w:rsid w:val="00EF1C9A"/>
    <w:rsid w:val="00EF1D27"/>
    <w:rsid w:val="00EF23D5"/>
    <w:rsid w:val="00EF25B5"/>
    <w:rsid w:val="00EF25ED"/>
    <w:rsid w:val="00EF26C6"/>
    <w:rsid w:val="00EF28CA"/>
    <w:rsid w:val="00EF2A1F"/>
    <w:rsid w:val="00EF2A33"/>
    <w:rsid w:val="00EF2A4F"/>
    <w:rsid w:val="00EF2B2A"/>
    <w:rsid w:val="00EF2B55"/>
    <w:rsid w:val="00EF2D7F"/>
    <w:rsid w:val="00EF30A9"/>
    <w:rsid w:val="00EF3417"/>
    <w:rsid w:val="00EF3481"/>
    <w:rsid w:val="00EF356D"/>
    <w:rsid w:val="00EF363E"/>
    <w:rsid w:val="00EF371A"/>
    <w:rsid w:val="00EF3876"/>
    <w:rsid w:val="00EF38F5"/>
    <w:rsid w:val="00EF394C"/>
    <w:rsid w:val="00EF3DF6"/>
    <w:rsid w:val="00EF3E4C"/>
    <w:rsid w:val="00EF4163"/>
    <w:rsid w:val="00EF442F"/>
    <w:rsid w:val="00EF4761"/>
    <w:rsid w:val="00EF499A"/>
    <w:rsid w:val="00EF4AC5"/>
    <w:rsid w:val="00EF4B7C"/>
    <w:rsid w:val="00EF4B8B"/>
    <w:rsid w:val="00EF4C72"/>
    <w:rsid w:val="00EF4FA1"/>
    <w:rsid w:val="00EF50A5"/>
    <w:rsid w:val="00EF51C4"/>
    <w:rsid w:val="00EF5678"/>
    <w:rsid w:val="00EF57D7"/>
    <w:rsid w:val="00EF58F7"/>
    <w:rsid w:val="00EF5A67"/>
    <w:rsid w:val="00EF5A97"/>
    <w:rsid w:val="00EF5D71"/>
    <w:rsid w:val="00EF5EB5"/>
    <w:rsid w:val="00EF60C3"/>
    <w:rsid w:val="00EF6293"/>
    <w:rsid w:val="00EF6575"/>
    <w:rsid w:val="00EF65F1"/>
    <w:rsid w:val="00EF6647"/>
    <w:rsid w:val="00EF68CA"/>
    <w:rsid w:val="00EF6925"/>
    <w:rsid w:val="00EF69EE"/>
    <w:rsid w:val="00EF69F3"/>
    <w:rsid w:val="00EF6B24"/>
    <w:rsid w:val="00EF6C09"/>
    <w:rsid w:val="00EF6D1E"/>
    <w:rsid w:val="00EF763B"/>
    <w:rsid w:val="00EF7644"/>
    <w:rsid w:val="00EF7720"/>
    <w:rsid w:val="00EF7A41"/>
    <w:rsid w:val="00EF7A6A"/>
    <w:rsid w:val="00EF7D04"/>
    <w:rsid w:val="00EF7DC4"/>
    <w:rsid w:val="00EF7EBD"/>
    <w:rsid w:val="00F000C4"/>
    <w:rsid w:val="00F00163"/>
    <w:rsid w:val="00F002B0"/>
    <w:rsid w:val="00F003B3"/>
    <w:rsid w:val="00F00433"/>
    <w:rsid w:val="00F00625"/>
    <w:rsid w:val="00F00637"/>
    <w:rsid w:val="00F00938"/>
    <w:rsid w:val="00F00B6E"/>
    <w:rsid w:val="00F00CD8"/>
    <w:rsid w:val="00F0112B"/>
    <w:rsid w:val="00F01374"/>
    <w:rsid w:val="00F016CA"/>
    <w:rsid w:val="00F018B6"/>
    <w:rsid w:val="00F019AF"/>
    <w:rsid w:val="00F019CC"/>
    <w:rsid w:val="00F01AC2"/>
    <w:rsid w:val="00F01E06"/>
    <w:rsid w:val="00F01E28"/>
    <w:rsid w:val="00F01E5D"/>
    <w:rsid w:val="00F020B7"/>
    <w:rsid w:val="00F023B6"/>
    <w:rsid w:val="00F0253D"/>
    <w:rsid w:val="00F02555"/>
    <w:rsid w:val="00F0270C"/>
    <w:rsid w:val="00F02AC6"/>
    <w:rsid w:val="00F02B90"/>
    <w:rsid w:val="00F02C8D"/>
    <w:rsid w:val="00F02D57"/>
    <w:rsid w:val="00F02D63"/>
    <w:rsid w:val="00F02DBF"/>
    <w:rsid w:val="00F02DE4"/>
    <w:rsid w:val="00F030BC"/>
    <w:rsid w:val="00F03157"/>
    <w:rsid w:val="00F03163"/>
    <w:rsid w:val="00F0336A"/>
    <w:rsid w:val="00F034AA"/>
    <w:rsid w:val="00F0358E"/>
    <w:rsid w:val="00F037FE"/>
    <w:rsid w:val="00F03A7E"/>
    <w:rsid w:val="00F03DD2"/>
    <w:rsid w:val="00F03ED5"/>
    <w:rsid w:val="00F0408B"/>
    <w:rsid w:val="00F040F7"/>
    <w:rsid w:val="00F04116"/>
    <w:rsid w:val="00F04254"/>
    <w:rsid w:val="00F047A2"/>
    <w:rsid w:val="00F047FF"/>
    <w:rsid w:val="00F048F9"/>
    <w:rsid w:val="00F0491A"/>
    <w:rsid w:val="00F04ACE"/>
    <w:rsid w:val="00F04B0F"/>
    <w:rsid w:val="00F04D1D"/>
    <w:rsid w:val="00F04D77"/>
    <w:rsid w:val="00F04F77"/>
    <w:rsid w:val="00F04FE1"/>
    <w:rsid w:val="00F051E8"/>
    <w:rsid w:val="00F053F1"/>
    <w:rsid w:val="00F05571"/>
    <w:rsid w:val="00F055A3"/>
    <w:rsid w:val="00F0572D"/>
    <w:rsid w:val="00F0589D"/>
    <w:rsid w:val="00F05A2E"/>
    <w:rsid w:val="00F05C1B"/>
    <w:rsid w:val="00F05C64"/>
    <w:rsid w:val="00F05DD9"/>
    <w:rsid w:val="00F05DE0"/>
    <w:rsid w:val="00F05F1A"/>
    <w:rsid w:val="00F05FCB"/>
    <w:rsid w:val="00F061D4"/>
    <w:rsid w:val="00F062FF"/>
    <w:rsid w:val="00F0666A"/>
    <w:rsid w:val="00F066A9"/>
    <w:rsid w:val="00F068BB"/>
    <w:rsid w:val="00F06A81"/>
    <w:rsid w:val="00F06BCD"/>
    <w:rsid w:val="00F06CEE"/>
    <w:rsid w:val="00F06E6D"/>
    <w:rsid w:val="00F06E9E"/>
    <w:rsid w:val="00F06ED6"/>
    <w:rsid w:val="00F070BE"/>
    <w:rsid w:val="00F070F8"/>
    <w:rsid w:val="00F0711D"/>
    <w:rsid w:val="00F07280"/>
    <w:rsid w:val="00F072D8"/>
    <w:rsid w:val="00F073F2"/>
    <w:rsid w:val="00F07474"/>
    <w:rsid w:val="00F075D0"/>
    <w:rsid w:val="00F0784F"/>
    <w:rsid w:val="00F079F7"/>
    <w:rsid w:val="00F07D0B"/>
    <w:rsid w:val="00F07EC7"/>
    <w:rsid w:val="00F100FA"/>
    <w:rsid w:val="00F104CC"/>
    <w:rsid w:val="00F10509"/>
    <w:rsid w:val="00F1058C"/>
    <w:rsid w:val="00F105D3"/>
    <w:rsid w:val="00F106AD"/>
    <w:rsid w:val="00F10733"/>
    <w:rsid w:val="00F10A3B"/>
    <w:rsid w:val="00F10B37"/>
    <w:rsid w:val="00F10FEB"/>
    <w:rsid w:val="00F111FE"/>
    <w:rsid w:val="00F11226"/>
    <w:rsid w:val="00F11570"/>
    <w:rsid w:val="00F11693"/>
    <w:rsid w:val="00F11876"/>
    <w:rsid w:val="00F118AC"/>
    <w:rsid w:val="00F11980"/>
    <w:rsid w:val="00F119A3"/>
    <w:rsid w:val="00F11CF6"/>
    <w:rsid w:val="00F11D93"/>
    <w:rsid w:val="00F11E0A"/>
    <w:rsid w:val="00F12118"/>
    <w:rsid w:val="00F124B5"/>
    <w:rsid w:val="00F12B3B"/>
    <w:rsid w:val="00F12B5B"/>
    <w:rsid w:val="00F12C89"/>
    <w:rsid w:val="00F12C9F"/>
    <w:rsid w:val="00F12E62"/>
    <w:rsid w:val="00F130F6"/>
    <w:rsid w:val="00F133F4"/>
    <w:rsid w:val="00F13768"/>
    <w:rsid w:val="00F13AD8"/>
    <w:rsid w:val="00F13B00"/>
    <w:rsid w:val="00F143D4"/>
    <w:rsid w:val="00F144FD"/>
    <w:rsid w:val="00F14662"/>
    <w:rsid w:val="00F147DC"/>
    <w:rsid w:val="00F14837"/>
    <w:rsid w:val="00F1490F"/>
    <w:rsid w:val="00F1495E"/>
    <w:rsid w:val="00F14A88"/>
    <w:rsid w:val="00F14D01"/>
    <w:rsid w:val="00F14D24"/>
    <w:rsid w:val="00F14F17"/>
    <w:rsid w:val="00F15043"/>
    <w:rsid w:val="00F15113"/>
    <w:rsid w:val="00F1512F"/>
    <w:rsid w:val="00F15568"/>
    <w:rsid w:val="00F15E20"/>
    <w:rsid w:val="00F15E3B"/>
    <w:rsid w:val="00F15E41"/>
    <w:rsid w:val="00F15E61"/>
    <w:rsid w:val="00F15E6E"/>
    <w:rsid w:val="00F15F17"/>
    <w:rsid w:val="00F160B6"/>
    <w:rsid w:val="00F162F6"/>
    <w:rsid w:val="00F1630D"/>
    <w:rsid w:val="00F163E3"/>
    <w:rsid w:val="00F16515"/>
    <w:rsid w:val="00F1652F"/>
    <w:rsid w:val="00F16551"/>
    <w:rsid w:val="00F16698"/>
    <w:rsid w:val="00F16919"/>
    <w:rsid w:val="00F16A01"/>
    <w:rsid w:val="00F16C47"/>
    <w:rsid w:val="00F16D29"/>
    <w:rsid w:val="00F16D91"/>
    <w:rsid w:val="00F173C1"/>
    <w:rsid w:val="00F17401"/>
    <w:rsid w:val="00F1746F"/>
    <w:rsid w:val="00F1748E"/>
    <w:rsid w:val="00F1752C"/>
    <w:rsid w:val="00F177E7"/>
    <w:rsid w:val="00F178DF"/>
    <w:rsid w:val="00F17DE6"/>
    <w:rsid w:val="00F17F74"/>
    <w:rsid w:val="00F20507"/>
    <w:rsid w:val="00F2097C"/>
    <w:rsid w:val="00F209AF"/>
    <w:rsid w:val="00F20C0B"/>
    <w:rsid w:val="00F20D0A"/>
    <w:rsid w:val="00F20F84"/>
    <w:rsid w:val="00F2103A"/>
    <w:rsid w:val="00F21169"/>
    <w:rsid w:val="00F211E7"/>
    <w:rsid w:val="00F21244"/>
    <w:rsid w:val="00F216BF"/>
    <w:rsid w:val="00F21972"/>
    <w:rsid w:val="00F21BEC"/>
    <w:rsid w:val="00F21E97"/>
    <w:rsid w:val="00F21FF5"/>
    <w:rsid w:val="00F2220C"/>
    <w:rsid w:val="00F22458"/>
    <w:rsid w:val="00F22538"/>
    <w:rsid w:val="00F225F0"/>
    <w:rsid w:val="00F2271A"/>
    <w:rsid w:val="00F22942"/>
    <w:rsid w:val="00F229F8"/>
    <w:rsid w:val="00F22A73"/>
    <w:rsid w:val="00F22DBD"/>
    <w:rsid w:val="00F22F86"/>
    <w:rsid w:val="00F22FC2"/>
    <w:rsid w:val="00F2301E"/>
    <w:rsid w:val="00F23427"/>
    <w:rsid w:val="00F23495"/>
    <w:rsid w:val="00F234AE"/>
    <w:rsid w:val="00F2366A"/>
    <w:rsid w:val="00F236CD"/>
    <w:rsid w:val="00F238BE"/>
    <w:rsid w:val="00F23937"/>
    <w:rsid w:val="00F23AA3"/>
    <w:rsid w:val="00F23ABD"/>
    <w:rsid w:val="00F23DC4"/>
    <w:rsid w:val="00F23DED"/>
    <w:rsid w:val="00F23F98"/>
    <w:rsid w:val="00F240D2"/>
    <w:rsid w:val="00F2417C"/>
    <w:rsid w:val="00F241DF"/>
    <w:rsid w:val="00F24439"/>
    <w:rsid w:val="00F245F0"/>
    <w:rsid w:val="00F2462C"/>
    <w:rsid w:val="00F24663"/>
    <w:rsid w:val="00F246AB"/>
    <w:rsid w:val="00F24761"/>
    <w:rsid w:val="00F24B82"/>
    <w:rsid w:val="00F24CE0"/>
    <w:rsid w:val="00F24E5C"/>
    <w:rsid w:val="00F2503D"/>
    <w:rsid w:val="00F2511E"/>
    <w:rsid w:val="00F2547F"/>
    <w:rsid w:val="00F254E2"/>
    <w:rsid w:val="00F25609"/>
    <w:rsid w:val="00F256C5"/>
    <w:rsid w:val="00F25977"/>
    <w:rsid w:val="00F25A2C"/>
    <w:rsid w:val="00F25BBD"/>
    <w:rsid w:val="00F25C0A"/>
    <w:rsid w:val="00F25D7C"/>
    <w:rsid w:val="00F25E9A"/>
    <w:rsid w:val="00F26106"/>
    <w:rsid w:val="00F262A7"/>
    <w:rsid w:val="00F265AC"/>
    <w:rsid w:val="00F2661D"/>
    <w:rsid w:val="00F266F9"/>
    <w:rsid w:val="00F267B5"/>
    <w:rsid w:val="00F26979"/>
    <w:rsid w:val="00F26A43"/>
    <w:rsid w:val="00F26B85"/>
    <w:rsid w:val="00F26BEC"/>
    <w:rsid w:val="00F26ED3"/>
    <w:rsid w:val="00F272A5"/>
    <w:rsid w:val="00F27386"/>
    <w:rsid w:val="00F273EA"/>
    <w:rsid w:val="00F2746D"/>
    <w:rsid w:val="00F2749B"/>
    <w:rsid w:val="00F2755F"/>
    <w:rsid w:val="00F2765C"/>
    <w:rsid w:val="00F27662"/>
    <w:rsid w:val="00F27FDD"/>
    <w:rsid w:val="00F300A1"/>
    <w:rsid w:val="00F301B6"/>
    <w:rsid w:val="00F30212"/>
    <w:rsid w:val="00F30301"/>
    <w:rsid w:val="00F30475"/>
    <w:rsid w:val="00F309DC"/>
    <w:rsid w:val="00F30CBD"/>
    <w:rsid w:val="00F310B6"/>
    <w:rsid w:val="00F310FC"/>
    <w:rsid w:val="00F31168"/>
    <w:rsid w:val="00F31187"/>
    <w:rsid w:val="00F311DD"/>
    <w:rsid w:val="00F31240"/>
    <w:rsid w:val="00F313D7"/>
    <w:rsid w:val="00F314C9"/>
    <w:rsid w:val="00F3161E"/>
    <w:rsid w:val="00F31733"/>
    <w:rsid w:val="00F31B80"/>
    <w:rsid w:val="00F31C8F"/>
    <w:rsid w:val="00F31CBE"/>
    <w:rsid w:val="00F31E58"/>
    <w:rsid w:val="00F31E8F"/>
    <w:rsid w:val="00F31F57"/>
    <w:rsid w:val="00F324B1"/>
    <w:rsid w:val="00F32524"/>
    <w:rsid w:val="00F32792"/>
    <w:rsid w:val="00F32C69"/>
    <w:rsid w:val="00F32DEE"/>
    <w:rsid w:val="00F32E78"/>
    <w:rsid w:val="00F32EB8"/>
    <w:rsid w:val="00F32F3B"/>
    <w:rsid w:val="00F32F81"/>
    <w:rsid w:val="00F3306B"/>
    <w:rsid w:val="00F33095"/>
    <w:rsid w:val="00F333B5"/>
    <w:rsid w:val="00F33610"/>
    <w:rsid w:val="00F337E0"/>
    <w:rsid w:val="00F33928"/>
    <w:rsid w:val="00F34101"/>
    <w:rsid w:val="00F34173"/>
    <w:rsid w:val="00F341F2"/>
    <w:rsid w:val="00F34295"/>
    <w:rsid w:val="00F3432B"/>
    <w:rsid w:val="00F34464"/>
    <w:rsid w:val="00F34963"/>
    <w:rsid w:val="00F3497B"/>
    <w:rsid w:val="00F34D0A"/>
    <w:rsid w:val="00F34EB6"/>
    <w:rsid w:val="00F35193"/>
    <w:rsid w:val="00F351F4"/>
    <w:rsid w:val="00F3527E"/>
    <w:rsid w:val="00F352E3"/>
    <w:rsid w:val="00F35812"/>
    <w:rsid w:val="00F358E5"/>
    <w:rsid w:val="00F3591D"/>
    <w:rsid w:val="00F35B77"/>
    <w:rsid w:val="00F35C57"/>
    <w:rsid w:val="00F35DA9"/>
    <w:rsid w:val="00F35FCB"/>
    <w:rsid w:val="00F36036"/>
    <w:rsid w:val="00F36240"/>
    <w:rsid w:val="00F363BD"/>
    <w:rsid w:val="00F365A5"/>
    <w:rsid w:val="00F36A08"/>
    <w:rsid w:val="00F36A76"/>
    <w:rsid w:val="00F36AB7"/>
    <w:rsid w:val="00F36ED9"/>
    <w:rsid w:val="00F36F49"/>
    <w:rsid w:val="00F373E8"/>
    <w:rsid w:val="00F37822"/>
    <w:rsid w:val="00F37993"/>
    <w:rsid w:val="00F379B4"/>
    <w:rsid w:val="00F37B28"/>
    <w:rsid w:val="00F37C6D"/>
    <w:rsid w:val="00F37D28"/>
    <w:rsid w:val="00F37D8C"/>
    <w:rsid w:val="00F37E72"/>
    <w:rsid w:val="00F40101"/>
    <w:rsid w:val="00F401F6"/>
    <w:rsid w:val="00F40519"/>
    <w:rsid w:val="00F40686"/>
    <w:rsid w:val="00F40B06"/>
    <w:rsid w:val="00F40D5E"/>
    <w:rsid w:val="00F40DBB"/>
    <w:rsid w:val="00F40DF7"/>
    <w:rsid w:val="00F40E21"/>
    <w:rsid w:val="00F40E84"/>
    <w:rsid w:val="00F40FBD"/>
    <w:rsid w:val="00F4110E"/>
    <w:rsid w:val="00F41206"/>
    <w:rsid w:val="00F41611"/>
    <w:rsid w:val="00F416A1"/>
    <w:rsid w:val="00F417EF"/>
    <w:rsid w:val="00F419F2"/>
    <w:rsid w:val="00F41CD8"/>
    <w:rsid w:val="00F41D25"/>
    <w:rsid w:val="00F41DB5"/>
    <w:rsid w:val="00F42237"/>
    <w:rsid w:val="00F42833"/>
    <w:rsid w:val="00F4283D"/>
    <w:rsid w:val="00F42CB6"/>
    <w:rsid w:val="00F42CC8"/>
    <w:rsid w:val="00F432B9"/>
    <w:rsid w:val="00F432BE"/>
    <w:rsid w:val="00F43492"/>
    <w:rsid w:val="00F43700"/>
    <w:rsid w:val="00F438DF"/>
    <w:rsid w:val="00F43A33"/>
    <w:rsid w:val="00F43AD8"/>
    <w:rsid w:val="00F43BF2"/>
    <w:rsid w:val="00F44407"/>
    <w:rsid w:val="00F4463D"/>
    <w:rsid w:val="00F4465A"/>
    <w:rsid w:val="00F447C5"/>
    <w:rsid w:val="00F44A8F"/>
    <w:rsid w:val="00F44DE7"/>
    <w:rsid w:val="00F44E3D"/>
    <w:rsid w:val="00F44FB0"/>
    <w:rsid w:val="00F45188"/>
    <w:rsid w:val="00F452C5"/>
    <w:rsid w:val="00F455FC"/>
    <w:rsid w:val="00F45623"/>
    <w:rsid w:val="00F457E0"/>
    <w:rsid w:val="00F45823"/>
    <w:rsid w:val="00F45901"/>
    <w:rsid w:val="00F45990"/>
    <w:rsid w:val="00F463CF"/>
    <w:rsid w:val="00F463F6"/>
    <w:rsid w:val="00F46482"/>
    <w:rsid w:val="00F466A9"/>
    <w:rsid w:val="00F467BD"/>
    <w:rsid w:val="00F468B6"/>
    <w:rsid w:val="00F46913"/>
    <w:rsid w:val="00F47463"/>
    <w:rsid w:val="00F475AC"/>
    <w:rsid w:val="00F47614"/>
    <w:rsid w:val="00F47647"/>
    <w:rsid w:val="00F47777"/>
    <w:rsid w:val="00F47855"/>
    <w:rsid w:val="00F479D4"/>
    <w:rsid w:val="00F47A9C"/>
    <w:rsid w:val="00F47D0B"/>
    <w:rsid w:val="00F47D2A"/>
    <w:rsid w:val="00F47F93"/>
    <w:rsid w:val="00F50066"/>
    <w:rsid w:val="00F50347"/>
    <w:rsid w:val="00F5058C"/>
    <w:rsid w:val="00F508C6"/>
    <w:rsid w:val="00F50B94"/>
    <w:rsid w:val="00F50CA1"/>
    <w:rsid w:val="00F50CC2"/>
    <w:rsid w:val="00F50F66"/>
    <w:rsid w:val="00F5110F"/>
    <w:rsid w:val="00F51294"/>
    <w:rsid w:val="00F51428"/>
    <w:rsid w:val="00F516E8"/>
    <w:rsid w:val="00F517C9"/>
    <w:rsid w:val="00F5185F"/>
    <w:rsid w:val="00F51B0A"/>
    <w:rsid w:val="00F51D66"/>
    <w:rsid w:val="00F52090"/>
    <w:rsid w:val="00F5268D"/>
    <w:rsid w:val="00F526ED"/>
    <w:rsid w:val="00F52814"/>
    <w:rsid w:val="00F5282A"/>
    <w:rsid w:val="00F52C77"/>
    <w:rsid w:val="00F52ED3"/>
    <w:rsid w:val="00F533EC"/>
    <w:rsid w:val="00F53511"/>
    <w:rsid w:val="00F538EA"/>
    <w:rsid w:val="00F53AF3"/>
    <w:rsid w:val="00F53DEF"/>
    <w:rsid w:val="00F53E42"/>
    <w:rsid w:val="00F54210"/>
    <w:rsid w:val="00F542A7"/>
    <w:rsid w:val="00F544F9"/>
    <w:rsid w:val="00F5454A"/>
    <w:rsid w:val="00F546E8"/>
    <w:rsid w:val="00F5478C"/>
    <w:rsid w:val="00F54AAB"/>
    <w:rsid w:val="00F54BCB"/>
    <w:rsid w:val="00F54C28"/>
    <w:rsid w:val="00F54CEC"/>
    <w:rsid w:val="00F54D7F"/>
    <w:rsid w:val="00F54DF2"/>
    <w:rsid w:val="00F54E3F"/>
    <w:rsid w:val="00F54E85"/>
    <w:rsid w:val="00F55066"/>
    <w:rsid w:val="00F55245"/>
    <w:rsid w:val="00F5532C"/>
    <w:rsid w:val="00F553DD"/>
    <w:rsid w:val="00F555F1"/>
    <w:rsid w:val="00F5569A"/>
    <w:rsid w:val="00F55B69"/>
    <w:rsid w:val="00F560A2"/>
    <w:rsid w:val="00F56429"/>
    <w:rsid w:val="00F56759"/>
    <w:rsid w:val="00F568E4"/>
    <w:rsid w:val="00F56D52"/>
    <w:rsid w:val="00F56EEC"/>
    <w:rsid w:val="00F56F4B"/>
    <w:rsid w:val="00F572DB"/>
    <w:rsid w:val="00F57767"/>
    <w:rsid w:val="00F57A90"/>
    <w:rsid w:val="00F57BDE"/>
    <w:rsid w:val="00F57D2F"/>
    <w:rsid w:val="00F60007"/>
    <w:rsid w:val="00F60188"/>
    <w:rsid w:val="00F601C2"/>
    <w:rsid w:val="00F601D6"/>
    <w:rsid w:val="00F602FF"/>
    <w:rsid w:val="00F60462"/>
    <w:rsid w:val="00F604FE"/>
    <w:rsid w:val="00F605BD"/>
    <w:rsid w:val="00F60864"/>
    <w:rsid w:val="00F60879"/>
    <w:rsid w:val="00F6095E"/>
    <w:rsid w:val="00F60983"/>
    <w:rsid w:val="00F60A10"/>
    <w:rsid w:val="00F60AFF"/>
    <w:rsid w:val="00F60B93"/>
    <w:rsid w:val="00F60D10"/>
    <w:rsid w:val="00F60D11"/>
    <w:rsid w:val="00F60D73"/>
    <w:rsid w:val="00F60F07"/>
    <w:rsid w:val="00F60F40"/>
    <w:rsid w:val="00F60FF8"/>
    <w:rsid w:val="00F6112A"/>
    <w:rsid w:val="00F6120F"/>
    <w:rsid w:val="00F6129E"/>
    <w:rsid w:val="00F61526"/>
    <w:rsid w:val="00F616D8"/>
    <w:rsid w:val="00F618BD"/>
    <w:rsid w:val="00F6192A"/>
    <w:rsid w:val="00F61A61"/>
    <w:rsid w:val="00F61A7F"/>
    <w:rsid w:val="00F61E31"/>
    <w:rsid w:val="00F61E7A"/>
    <w:rsid w:val="00F61ED5"/>
    <w:rsid w:val="00F61F33"/>
    <w:rsid w:val="00F62134"/>
    <w:rsid w:val="00F621E8"/>
    <w:rsid w:val="00F622D9"/>
    <w:rsid w:val="00F622DC"/>
    <w:rsid w:val="00F623C6"/>
    <w:rsid w:val="00F626BA"/>
    <w:rsid w:val="00F626FC"/>
    <w:rsid w:val="00F628F1"/>
    <w:rsid w:val="00F629A4"/>
    <w:rsid w:val="00F62B7A"/>
    <w:rsid w:val="00F62BD1"/>
    <w:rsid w:val="00F62CE2"/>
    <w:rsid w:val="00F62FD0"/>
    <w:rsid w:val="00F631C8"/>
    <w:rsid w:val="00F6328F"/>
    <w:rsid w:val="00F63403"/>
    <w:rsid w:val="00F634D5"/>
    <w:rsid w:val="00F6397D"/>
    <w:rsid w:val="00F63CFC"/>
    <w:rsid w:val="00F640EE"/>
    <w:rsid w:val="00F641CF"/>
    <w:rsid w:val="00F644A0"/>
    <w:rsid w:val="00F644E9"/>
    <w:rsid w:val="00F64661"/>
    <w:rsid w:val="00F646B9"/>
    <w:rsid w:val="00F6486A"/>
    <w:rsid w:val="00F64A99"/>
    <w:rsid w:val="00F64B8D"/>
    <w:rsid w:val="00F64D14"/>
    <w:rsid w:val="00F652F2"/>
    <w:rsid w:val="00F65452"/>
    <w:rsid w:val="00F657AB"/>
    <w:rsid w:val="00F65837"/>
    <w:rsid w:val="00F658A0"/>
    <w:rsid w:val="00F65BA8"/>
    <w:rsid w:val="00F65C44"/>
    <w:rsid w:val="00F660F8"/>
    <w:rsid w:val="00F660FF"/>
    <w:rsid w:val="00F664A6"/>
    <w:rsid w:val="00F665FA"/>
    <w:rsid w:val="00F66D2C"/>
    <w:rsid w:val="00F66D53"/>
    <w:rsid w:val="00F66D77"/>
    <w:rsid w:val="00F66EA6"/>
    <w:rsid w:val="00F67158"/>
    <w:rsid w:val="00F6720B"/>
    <w:rsid w:val="00F67547"/>
    <w:rsid w:val="00F67763"/>
    <w:rsid w:val="00F679A0"/>
    <w:rsid w:val="00F67A27"/>
    <w:rsid w:val="00F67A58"/>
    <w:rsid w:val="00F67C65"/>
    <w:rsid w:val="00F67D16"/>
    <w:rsid w:val="00F67D77"/>
    <w:rsid w:val="00F67F9C"/>
    <w:rsid w:val="00F701AE"/>
    <w:rsid w:val="00F70279"/>
    <w:rsid w:val="00F706B6"/>
    <w:rsid w:val="00F70A7B"/>
    <w:rsid w:val="00F70A90"/>
    <w:rsid w:val="00F70CA2"/>
    <w:rsid w:val="00F70F73"/>
    <w:rsid w:val="00F71388"/>
    <w:rsid w:val="00F71431"/>
    <w:rsid w:val="00F71473"/>
    <w:rsid w:val="00F71646"/>
    <w:rsid w:val="00F71657"/>
    <w:rsid w:val="00F716A6"/>
    <w:rsid w:val="00F716AC"/>
    <w:rsid w:val="00F719B8"/>
    <w:rsid w:val="00F71AED"/>
    <w:rsid w:val="00F71BE1"/>
    <w:rsid w:val="00F71E63"/>
    <w:rsid w:val="00F71F0F"/>
    <w:rsid w:val="00F71F55"/>
    <w:rsid w:val="00F71FE1"/>
    <w:rsid w:val="00F720DA"/>
    <w:rsid w:val="00F72258"/>
    <w:rsid w:val="00F72292"/>
    <w:rsid w:val="00F7229A"/>
    <w:rsid w:val="00F724C6"/>
    <w:rsid w:val="00F727DB"/>
    <w:rsid w:val="00F728F2"/>
    <w:rsid w:val="00F7293E"/>
    <w:rsid w:val="00F72BC8"/>
    <w:rsid w:val="00F72D9B"/>
    <w:rsid w:val="00F72F73"/>
    <w:rsid w:val="00F72FA0"/>
    <w:rsid w:val="00F73052"/>
    <w:rsid w:val="00F7324A"/>
    <w:rsid w:val="00F737F1"/>
    <w:rsid w:val="00F73967"/>
    <w:rsid w:val="00F73AA9"/>
    <w:rsid w:val="00F73B19"/>
    <w:rsid w:val="00F74076"/>
    <w:rsid w:val="00F7413E"/>
    <w:rsid w:val="00F74351"/>
    <w:rsid w:val="00F74624"/>
    <w:rsid w:val="00F74632"/>
    <w:rsid w:val="00F74795"/>
    <w:rsid w:val="00F74831"/>
    <w:rsid w:val="00F7483B"/>
    <w:rsid w:val="00F748E4"/>
    <w:rsid w:val="00F74A48"/>
    <w:rsid w:val="00F74A9A"/>
    <w:rsid w:val="00F74D5C"/>
    <w:rsid w:val="00F75386"/>
    <w:rsid w:val="00F75620"/>
    <w:rsid w:val="00F75635"/>
    <w:rsid w:val="00F75733"/>
    <w:rsid w:val="00F75938"/>
    <w:rsid w:val="00F75B8C"/>
    <w:rsid w:val="00F75BDD"/>
    <w:rsid w:val="00F75DA9"/>
    <w:rsid w:val="00F75E07"/>
    <w:rsid w:val="00F75FC9"/>
    <w:rsid w:val="00F75FEF"/>
    <w:rsid w:val="00F75FF0"/>
    <w:rsid w:val="00F76094"/>
    <w:rsid w:val="00F763AC"/>
    <w:rsid w:val="00F764BE"/>
    <w:rsid w:val="00F76563"/>
    <w:rsid w:val="00F76650"/>
    <w:rsid w:val="00F767B3"/>
    <w:rsid w:val="00F76A94"/>
    <w:rsid w:val="00F76E77"/>
    <w:rsid w:val="00F77403"/>
    <w:rsid w:val="00F776D7"/>
    <w:rsid w:val="00F77789"/>
    <w:rsid w:val="00F77871"/>
    <w:rsid w:val="00F778A1"/>
    <w:rsid w:val="00F778F2"/>
    <w:rsid w:val="00F77B21"/>
    <w:rsid w:val="00F77BC9"/>
    <w:rsid w:val="00F77DA6"/>
    <w:rsid w:val="00F77FEC"/>
    <w:rsid w:val="00F8051A"/>
    <w:rsid w:val="00F805F7"/>
    <w:rsid w:val="00F80C50"/>
    <w:rsid w:val="00F80CF9"/>
    <w:rsid w:val="00F80F81"/>
    <w:rsid w:val="00F81570"/>
    <w:rsid w:val="00F8189A"/>
    <w:rsid w:val="00F818FB"/>
    <w:rsid w:val="00F81AC9"/>
    <w:rsid w:val="00F81DB4"/>
    <w:rsid w:val="00F81E6B"/>
    <w:rsid w:val="00F820B3"/>
    <w:rsid w:val="00F8276E"/>
    <w:rsid w:val="00F82877"/>
    <w:rsid w:val="00F828EF"/>
    <w:rsid w:val="00F82A61"/>
    <w:rsid w:val="00F82F71"/>
    <w:rsid w:val="00F83112"/>
    <w:rsid w:val="00F83195"/>
    <w:rsid w:val="00F832B5"/>
    <w:rsid w:val="00F83327"/>
    <w:rsid w:val="00F833F4"/>
    <w:rsid w:val="00F834CD"/>
    <w:rsid w:val="00F83A67"/>
    <w:rsid w:val="00F83AF7"/>
    <w:rsid w:val="00F83D7D"/>
    <w:rsid w:val="00F83E7F"/>
    <w:rsid w:val="00F83F7C"/>
    <w:rsid w:val="00F84000"/>
    <w:rsid w:val="00F84280"/>
    <w:rsid w:val="00F84684"/>
    <w:rsid w:val="00F847AD"/>
    <w:rsid w:val="00F84873"/>
    <w:rsid w:val="00F84A0D"/>
    <w:rsid w:val="00F84AE2"/>
    <w:rsid w:val="00F84C41"/>
    <w:rsid w:val="00F84DF4"/>
    <w:rsid w:val="00F84EAA"/>
    <w:rsid w:val="00F84EE4"/>
    <w:rsid w:val="00F85748"/>
    <w:rsid w:val="00F85793"/>
    <w:rsid w:val="00F85797"/>
    <w:rsid w:val="00F85874"/>
    <w:rsid w:val="00F8587F"/>
    <w:rsid w:val="00F858C5"/>
    <w:rsid w:val="00F85B6D"/>
    <w:rsid w:val="00F860A9"/>
    <w:rsid w:val="00F860C2"/>
    <w:rsid w:val="00F86449"/>
    <w:rsid w:val="00F8648A"/>
    <w:rsid w:val="00F8674C"/>
    <w:rsid w:val="00F8676C"/>
    <w:rsid w:val="00F867D6"/>
    <w:rsid w:val="00F867E2"/>
    <w:rsid w:val="00F868A6"/>
    <w:rsid w:val="00F86A21"/>
    <w:rsid w:val="00F86A5F"/>
    <w:rsid w:val="00F86B60"/>
    <w:rsid w:val="00F86B86"/>
    <w:rsid w:val="00F86EA7"/>
    <w:rsid w:val="00F87007"/>
    <w:rsid w:val="00F874ED"/>
    <w:rsid w:val="00F87613"/>
    <w:rsid w:val="00F87630"/>
    <w:rsid w:val="00F8794A"/>
    <w:rsid w:val="00F87B80"/>
    <w:rsid w:val="00F87C74"/>
    <w:rsid w:val="00F87F94"/>
    <w:rsid w:val="00F8C57C"/>
    <w:rsid w:val="00F90124"/>
    <w:rsid w:val="00F904D9"/>
    <w:rsid w:val="00F905E0"/>
    <w:rsid w:val="00F905FB"/>
    <w:rsid w:val="00F909D4"/>
    <w:rsid w:val="00F90A01"/>
    <w:rsid w:val="00F90A8C"/>
    <w:rsid w:val="00F9100F"/>
    <w:rsid w:val="00F91129"/>
    <w:rsid w:val="00F91235"/>
    <w:rsid w:val="00F915A0"/>
    <w:rsid w:val="00F91674"/>
    <w:rsid w:val="00F917FD"/>
    <w:rsid w:val="00F91843"/>
    <w:rsid w:val="00F9187B"/>
    <w:rsid w:val="00F919D5"/>
    <w:rsid w:val="00F91C3F"/>
    <w:rsid w:val="00F91CD4"/>
    <w:rsid w:val="00F91D6F"/>
    <w:rsid w:val="00F91FBB"/>
    <w:rsid w:val="00F92109"/>
    <w:rsid w:val="00F9228B"/>
    <w:rsid w:val="00F92385"/>
    <w:rsid w:val="00F92453"/>
    <w:rsid w:val="00F924E3"/>
    <w:rsid w:val="00F927BB"/>
    <w:rsid w:val="00F92AC9"/>
    <w:rsid w:val="00F92AD9"/>
    <w:rsid w:val="00F92B63"/>
    <w:rsid w:val="00F92BCF"/>
    <w:rsid w:val="00F92D04"/>
    <w:rsid w:val="00F92ED3"/>
    <w:rsid w:val="00F930DF"/>
    <w:rsid w:val="00F933FA"/>
    <w:rsid w:val="00F939E7"/>
    <w:rsid w:val="00F93A20"/>
    <w:rsid w:val="00F93ABB"/>
    <w:rsid w:val="00F93AC6"/>
    <w:rsid w:val="00F93E15"/>
    <w:rsid w:val="00F94219"/>
    <w:rsid w:val="00F94366"/>
    <w:rsid w:val="00F944BD"/>
    <w:rsid w:val="00F9481D"/>
    <w:rsid w:val="00F94822"/>
    <w:rsid w:val="00F94A69"/>
    <w:rsid w:val="00F94DFC"/>
    <w:rsid w:val="00F95019"/>
    <w:rsid w:val="00F953EC"/>
    <w:rsid w:val="00F9557D"/>
    <w:rsid w:val="00F95662"/>
    <w:rsid w:val="00F956E7"/>
    <w:rsid w:val="00F956EA"/>
    <w:rsid w:val="00F95804"/>
    <w:rsid w:val="00F95847"/>
    <w:rsid w:val="00F95955"/>
    <w:rsid w:val="00F9597F"/>
    <w:rsid w:val="00F95A45"/>
    <w:rsid w:val="00F95AE2"/>
    <w:rsid w:val="00F95C62"/>
    <w:rsid w:val="00F95DD9"/>
    <w:rsid w:val="00F96215"/>
    <w:rsid w:val="00F963C6"/>
    <w:rsid w:val="00F965A5"/>
    <w:rsid w:val="00F96609"/>
    <w:rsid w:val="00F96670"/>
    <w:rsid w:val="00F968DB"/>
    <w:rsid w:val="00F96D6F"/>
    <w:rsid w:val="00F96EB6"/>
    <w:rsid w:val="00F971D4"/>
    <w:rsid w:val="00F97578"/>
    <w:rsid w:val="00F97912"/>
    <w:rsid w:val="00F97987"/>
    <w:rsid w:val="00F97CBC"/>
    <w:rsid w:val="00F97D1F"/>
    <w:rsid w:val="00F97D5C"/>
    <w:rsid w:val="00F97E88"/>
    <w:rsid w:val="00F97EA6"/>
    <w:rsid w:val="00F97F03"/>
    <w:rsid w:val="00FA0260"/>
    <w:rsid w:val="00FA0362"/>
    <w:rsid w:val="00FA039A"/>
    <w:rsid w:val="00FA0480"/>
    <w:rsid w:val="00FA07FF"/>
    <w:rsid w:val="00FA0ABF"/>
    <w:rsid w:val="00FA0C8E"/>
    <w:rsid w:val="00FA0D6D"/>
    <w:rsid w:val="00FA0DE6"/>
    <w:rsid w:val="00FA0E1F"/>
    <w:rsid w:val="00FA11AE"/>
    <w:rsid w:val="00FA13FE"/>
    <w:rsid w:val="00FA1418"/>
    <w:rsid w:val="00FA1772"/>
    <w:rsid w:val="00FA19AF"/>
    <w:rsid w:val="00FA1A8B"/>
    <w:rsid w:val="00FA1AD4"/>
    <w:rsid w:val="00FA1B4F"/>
    <w:rsid w:val="00FA2066"/>
    <w:rsid w:val="00FA212A"/>
    <w:rsid w:val="00FA24C0"/>
    <w:rsid w:val="00FA253F"/>
    <w:rsid w:val="00FA25CC"/>
    <w:rsid w:val="00FA267C"/>
    <w:rsid w:val="00FA296A"/>
    <w:rsid w:val="00FA2A0E"/>
    <w:rsid w:val="00FA2A1D"/>
    <w:rsid w:val="00FA2A7F"/>
    <w:rsid w:val="00FA2AE8"/>
    <w:rsid w:val="00FA2B5E"/>
    <w:rsid w:val="00FA2BCD"/>
    <w:rsid w:val="00FA2FF0"/>
    <w:rsid w:val="00FA35AF"/>
    <w:rsid w:val="00FA3650"/>
    <w:rsid w:val="00FA3781"/>
    <w:rsid w:val="00FA39B2"/>
    <w:rsid w:val="00FA3A3A"/>
    <w:rsid w:val="00FA3A60"/>
    <w:rsid w:val="00FA3C5F"/>
    <w:rsid w:val="00FA3D50"/>
    <w:rsid w:val="00FA3F9E"/>
    <w:rsid w:val="00FA40BB"/>
    <w:rsid w:val="00FA4111"/>
    <w:rsid w:val="00FA431E"/>
    <w:rsid w:val="00FA43F9"/>
    <w:rsid w:val="00FA4461"/>
    <w:rsid w:val="00FA4565"/>
    <w:rsid w:val="00FA47FC"/>
    <w:rsid w:val="00FA4A83"/>
    <w:rsid w:val="00FA4C4C"/>
    <w:rsid w:val="00FA50D9"/>
    <w:rsid w:val="00FA5101"/>
    <w:rsid w:val="00FA539C"/>
    <w:rsid w:val="00FA5748"/>
    <w:rsid w:val="00FA5798"/>
    <w:rsid w:val="00FA57B8"/>
    <w:rsid w:val="00FA5941"/>
    <w:rsid w:val="00FA5F5B"/>
    <w:rsid w:val="00FA5F9F"/>
    <w:rsid w:val="00FA61C1"/>
    <w:rsid w:val="00FA620F"/>
    <w:rsid w:val="00FA62FA"/>
    <w:rsid w:val="00FA6466"/>
    <w:rsid w:val="00FA650E"/>
    <w:rsid w:val="00FA652B"/>
    <w:rsid w:val="00FA67E0"/>
    <w:rsid w:val="00FA696B"/>
    <w:rsid w:val="00FA6A85"/>
    <w:rsid w:val="00FA6B63"/>
    <w:rsid w:val="00FA6DBF"/>
    <w:rsid w:val="00FA6DFA"/>
    <w:rsid w:val="00FA7087"/>
    <w:rsid w:val="00FA7116"/>
    <w:rsid w:val="00FA7184"/>
    <w:rsid w:val="00FA724E"/>
    <w:rsid w:val="00FA72CA"/>
    <w:rsid w:val="00FA739F"/>
    <w:rsid w:val="00FA77F0"/>
    <w:rsid w:val="00FA7B6A"/>
    <w:rsid w:val="00FA7B9F"/>
    <w:rsid w:val="00FA7BE7"/>
    <w:rsid w:val="00FA7EB5"/>
    <w:rsid w:val="00FB01DE"/>
    <w:rsid w:val="00FB029B"/>
    <w:rsid w:val="00FB032D"/>
    <w:rsid w:val="00FB036B"/>
    <w:rsid w:val="00FB0693"/>
    <w:rsid w:val="00FB0828"/>
    <w:rsid w:val="00FB08FD"/>
    <w:rsid w:val="00FB0A3A"/>
    <w:rsid w:val="00FB0B1B"/>
    <w:rsid w:val="00FB0B49"/>
    <w:rsid w:val="00FB0C0E"/>
    <w:rsid w:val="00FB11EE"/>
    <w:rsid w:val="00FB1550"/>
    <w:rsid w:val="00FB15CD"/>
    <w:rsid w:val="00FB1626"/>
    <w:rsid w:val="00FB195F"/>
    <w:rsid w:val="00FB1E90"/>
    <w:rsid w:val="00FB1F3B"/>
    <w:rsid w:val="00FB2158"/>
    <w:rsid w:val="00FB215E"/>
    <w:rsid w:val="00FB243E"/>
    <w:rsid w:val="00FB283D"/>
    <w:rsid w:val="00FB2ADB"/>
    <w:rsid w:val="00FB2B2D"/>
    <w:rsid w:val="00FB2D3B"/>
    <w:rsid w:val="00FB2DE5"/>
    <w:rsid w:val="00FB2E59"/>
    <w:rsid w:val="00FB312E"/>
    <w:rsid w:val="00FB3283"/>
    <w:rsid w:val="00FB3533"/>
    <w:rsid w:val="00FB35ED"/>
    <w:rsid w:val="00FB3B3E"/>
    <w:rsid w:val="00FB3DE2"/>
    <w:rsid w:val="00FB3E98"/>
    <w:rsid w:val="00FB3F72"/>
    <w:rsid w:val="00FB404E"/>
    <w:rsid w:val="00FB4135"/>
    <w:rsid w:val="00FB4171"/>
    <w:rsid w:val="00FB43C9"/>
    <w:rsid w:val="00FB44C5"/>
    <w:rsid w:val="00FB46D0"/>
    <w:rsid w:val="00FB4772"/>
    <w:rsid w:val="00FB4C26"/>
    <w:rsid w:val="00FB4E1B"/>
    <w:rsid w:val="00FB4EF4"/>
    <w:rsid w:val="00FB4F7C"/>
    <w:rsid w:val="00FB5009"/>
    <w:rsid w:val="00FB50C4"/>
    <w:rsid w:val="00FB534A"/>
    <w:rsid w:val="00FB542E"/>
    <w:rsid w:val="00FB5697"/>
    <w:rsid w:val="00FB581D"/>
    <w:rsid w:val="00FB5837"/>
    <w:rsid w:val="00FB5B59"/>
    <w:rsid w:val="00FB5BCC"/>
    <w:rsid w:val="00FB5E71"/>
    <w:rsid w:val="00FB5EBB"/>
    <w:rsid w:val="00FB5FDC"/>
    <w:rsid w:val="00FB67CC"/>
    <w:rsid w:val="00FB688B"/>
    <w:rsid w:val="00FB6D4D"/>
    <w:rsid w:val="00FB73AC"/>
    <w:rsid w:val="00FB73FF"/>
    <w:rsid w:val="00FB75CB"/>
    <w:rsid w:val="00FB76AB"/>
    <w:rsid w:val="00FB78B5"/>
    <w:rsid w:val="00FB795E"/>
    <w:rsid w:val="00FB7C63"/>
    <w:rsid w:val="00FB7D91"/>
    <w:rsid w:val="00FB7F35"/>
    <w:rsid w:val="00FC0025"/>
    <w:rsid w:val="00FC0044"/>
    <w:rsid w:val="00FC019E"/>
    <w:rsid w:val="00FC06C8"/>
    <w:rsid w:val="00FC079F"/>
    <w:rsid w:val="00FC0862"/>
    <w:rsid w:val="00FC0D40"/>
    <w:rsid w:val="00FC0E40"/>
    <w:rsid w:val="00FC1042"/>
    <w:rsid w:val="00FC1116"/>
    <w:rsid w:val="00FC115D"/>
    <w:rsid w:val="00FC128B"/>
    <w:rsid w:val="00FC1C57"/>
    <w:rsid w:val="00FC1E00"/>
    <w:rsid w:val="00FC1E9E"/>
    <w:rsid w:val="00FC20EE"/>
    <w:rsid w:val="00FC21D4"/>
    <w:rsid w:val="00FC271C"/>
    <w:rsid w:val="00FC2784"/>
    <w:rsid w:val="00FC298F"/>
    <w:rsid w:val="00FC299E"/>
    <w:rsid w:val="00FC2BD1"/>
    <w:rsid w:val="00FC2C66"/>
    <w:rsid w:val="00FC2E04"/>
    <w:rsid w:val="00FC3066"/>
    <w:rsid w:val="00FC3165"/>
    <w:rsid w:val="00FC316D"/>
    <w:rsid w:val="00FC320E"/>
    <w:rsid w:val="00FC32FD"/>
    <w:rsid w:val="00FC34FA"/>
    <w:rsid w:val="00FC36DD"/>
    <w:rsid w:val="00FC38D7"/>
    <w:rsid w:val="00FC3D1A"/>
    <w:rsid w:val="00FC3EB3"/>
    <w:rsid w:val="00FC40E0"/>
    <w:rsid w:val="00FC4599"/>
    <w:rsid w:val="00FC4694"/>
    <w:rsid w:val="00FC46B5"/>
    <w:rsid w:val="00FC474F"/>
    <w:rsid w:val="00FC47F9"/>
    <w:rsid w:val="00FC4825"/>
    <w:rsid w:val="00FC4831"/>
    <w:rsid w:val="00FC49BA"/>
    <w:rsid w:val="00FC4B90"/>
    <w:rsid w:val="00FC4F22"/>
    <w:rsid w:val="00FC4FD5"/>
    <w:rsid w:val="00FC5066"/>
    <w:rsid w:val="00FC520D"/>
    <w:rsid w:val="00FC5297"/>
    <w:rsid w:val="00FC55FE"/>
    <w:rsid w:val="00FC5887"/>
    <w:rsid w:val="00FC5D41"/>
    <w:rsid w:val="00FC602B"/>
    <w:rsid w:val="00FC62EC"/>
    <w:rsid w:val="00FC63E5"/>
    <w:rsid w:val="00FC6444"/>
    <w:rsid w:val="00FC6824"/>
    <w:rsid w:val="00FC6A0C"/>
    <w:rsid w:val="00FC6C27"/>
    <w:rsid w:val="00FC6E5C"/>
    <w:rsid w:val="00FC6FA6"/>
    <w:rsid w:val="00FC71AE"/>
    <w:rsid w:val="00FC72D8"/>
    <w:rsid w:val="00FC75DB"/>
    <w:rsid w:val="00FC7688"/>
    <w:rsid w:val="00FC7946"/>
    <w:rsid w:val="00FC7ABF"/>
    <w:rsid w:val="00FC7B02"/>
    <w:rsid w:val="00FC7F2E"/>
    <w:rsid w:val="00FD008B"/>
    <w:rsid w:val="00FD02FA"/>
    <w:rsid w:val="00FD04CF"/>
    <w:rsid w:val="00FD051D"/>
    <w:rsid w:val="00FD08AC"/>
    <w:rsid w:val="00FD0BE9"/>
    <w:rsid w:val="00FD0C85"/>
    <w:rsid w:val="00FD0EAA"/>
    <w:rsid w:val="00FD0F43"/>
    <w:rsid w:val="00FD1005"/>
    <w:rsid w:val="00FD10FA"/>
    <w:rsid w:val="00FD1129"/>
    <w:rsid w:val="00FD11DF"/>
    <w:rsid w:val="00FD129A"/>
    <w:rsid w:val="00FD1579"/>
    <w:rsid w:val="00FD16B9"/>
    <w:rsid w:val="00FD174F"/>
    <w:rsid w:val="00FD1765"/>
    <w:rsid w:val="00FD1980"/>
    <w:rsid w:val="00FD1AAD"/>
    <w:rsid w:val="00FD1B33"/>
    <w:rsid w:val="00FD214C"/>
    <w:rsid w:val="00FD2207"/>
    <w:rsid w:val="00FD24FB"/>
    <w:rsid w:val="00FD25B6"/>
    <w:rsid w:val="00FD27AD"/>
    <w:rsid w:val="00FD2815"/>
    <w:rsid w:val="00FD295D"/>
    <w:rsid w:val="00FD2AB9"/>
    <w:rsid w:val="00FD2C97"/>
    <w:rsid w:val="00FD2F12"/>
    <w:rsid w:val="00FD3089"/>
    <w:rsid w:val="00FD321C"/>
    <w:rsid w:val="00FD3A5C"/>
    <w:rsid w:val="00FD3B8E"/>
    <w:rsid w:val="00FD3BC5"/>
    <w:rsid w:val="00FD3EA2"/>
    <w:rsid w:val="00FD3FA2"/>
    <w:rsid w:val="00FD3FB7"/>
    <w:rsid w:val="00FD40DE"/>
    <w:rsid w:val="00FD425B"/>
    <w:rsid w:val="00FD42A9"/>
    <w:rsid w:val="00FD4954"/>
    <w:rsid w:val="00FD4C9B"/>
    <w:rsid w:val="00FD4CFE"/>
    <w:rsid w:val="00FD4D0D"/>
    <w:rsid w:val="00FD4E14"/>
    <w:rsid w:val="00FD5142"/>
    <w:rsid w:val="00FD53DA"/>
    <w:rsid w:val="00FD554E"/>
    <w:rsid w:val="00FD568D"/>
    <w:rsid w:val="00FD57FE"/>
    <w:rsid w:val="00FD59BC"/>
    <w:rsid w:val="00FD5ABB"/>
    <w:rsid w:val="00FD5B44"/>
    <w:rsid w:val="00FD5C66"/>
    <w:rsid w:val="00FD6272"/>
    <w:rsid w:val="00FD6277"/>
    <w:rsid w:val="00FD62ED"/>
    <w:rsid w:val="00FD67D2"/>
    <w:rsid w:val="00FD6944"/>
    <w:rsid w:val="00FD6C9B"/>
    <w:rsid w:val="00FD7170"/>
    <w:rsid w:val="00FD71CD"/>
    <w:rsid w:val="00FD73A2"/>
    <w:rsid w:val="00FD7796"/>
    <w:rsid w:val="00FD7AD9"/>
    <w:rsid w:val="00FD7BC0"/>
    <w:rsid w:val="00FD7DC2"/>
    <w:rsid w:val="00FE0053"/>
    <w:rsid w:val="00FE00D9"/>
    <w:rsid w:val="00FE0BA2"/>
    <w:rsid w:val="00FE0BA4"/>
    <w:rsid w:val="00FE0C5D"/>
    <w:rsid w:val="00FE0D15"/>
    <w:rsid w:val="00FE10DF"/>
    <w:rsid w:val="00FE1133"/>
    <w:rsid w:val="00FE13F2"/>
    <w:rsid w:val="00FE144D"/>
    <w:rsid w:val="00FE14B3"/>
    <w:rsid w:val="00FE1945"/>
    <w:rsid w:val="00FE1B6D"/>
    <w:rsid w:val="00FE1C0E"/>
    <w:rsid w:val="00FE1CE0"/>
    <w:rsid w:val="00FE2351"/>
    <w:rsid w:val="00FE2491"/>
    <w:rsid w:val="00FE259E"/>
    <w:rsid w:val="00FE26CB"/>
    <w:rsid w:val="00FE2919"/>
    <w:rsid w:val="00FE2BB2"/>
    <w:rsid w:val="00FE2BDC"/>
    <w:rsid w:val="00FE2C01"/>
    <w:rsid w:val="00FE2CAF"/>
    <w:rsid w:val="00FE2D1C"/>
    <w:rsid w:val="00FE2F83"/>
    <w:rsid w:val="00FE2FD1"/>
    <w:rsid w:val="00FE3307"/>
    <w:rsid w:val="00FE335B"/>
    <w:rsid w:val="00FE337D"/>
    <w:rsid w:val="00FE339E"/>
    <w:rsid w:val="00FE33AF"/>
    <w:rsid w:val="00FE33B1"/>
    <w:rsid w:val="00FE33D2"/>
    <w:rsid w:val="00FE33E0"/>
    <w:rsid w:val="00FE344A"/>
    <w:rsid w:val="00FE358F"/>
    <w:rsid w:val="00FE3731"/>
    <w:rsid w:val="00FE3740"/>
    <w:rsid w:val="00FE3A0E"/>
    <w:rsid w:val="00FE3A90"/>
    <w:rsid w:val="00FE3B0B"/>
    <w:rsid w:val="00FE3D8B"/>
    <w:rsid w:val="00FE3DBB"/>
    <w:rsid w:val="00FE3F54"/>
    <w:rsid w:val="00FE4050"/>
    <w:rsid w:val="00FE4080"/>
    <w:rsid w:val="00FE4448"/>
    <w:rsid w:val="00FE462F"/>
    <w:rsid w:val="00FE465A"/>
    <w:rsid w:val="00FE475A"/>
    <w:rsid w:val="00FE4862"/>
    <w:rsid w:val="00FE4A13"/>
    <w:rsid w:val="00FE4B69"/>
    <w:rsid w:val="00FE4F29"/>
    <w:rsid w:val="00FE5138"/>
    <w:rsid w:val="00FE521A"/>
    <w:rsid w:val="00FE53AB"/>
    <w:rsid w:val="00FE53B2"/>
    <w:rsid w:val="00FE5580"/>
    <w:rsid w:val="00FE55BC"/>
    <w:rsid w:val="00FE581C"/>
    <w:rsid w:val="00FE58B7"/>
    <w:rsid w:val="00FE591C"/>
    <w:rsid w:val="00FE59DC"/>
    <w:rsid w:val="00FE59FB"/>
    <w:rsid w:val="00FE5A71"/>
    <w:rsid w:val="00FE5ADF"/>
    <w:rsid w:val="00FE5BF8"/>
    <w:rsid w:val="00FE5D70"/>
    <w:rsid w:val="00FE60F9"/>
    <w:rsid w:val="00FE6126"/>
    <w:rsid w:val="00FE617B"/>
    <w:rsid w:val="00FE622D"/>
    <w:rsid w:val="00FE65ED"/>
    <w:rsid w:val="00FE67AC"/>
    <w:rsid w:val="00FE684E"/>
    <w:rsid w:val="00FE68C7"/>
    <w:rsid w:val="00FE69E9"/>
    <w:rsid w:val="00FE6D7C"/>
    <w:rsid w:val="00FE6FEA"/>
    <w:rsid w:val="00FE711B"/>
    <w:rsid w:val="00FE722D"/>
    <w:rsid w:val="00FE7654"/>
    <w:rsid w:val="00FE7AD1"/>
    <w:rsid w:val="00FE7DE2"/>
    <w:rsid w:val="00FE7E7B"/>
    <w:rsid w:val="00FE7F4C"/>
    <w:rsid w:val="00FF000E"/>
    <w:rsid w:val="00FF014B"/>
    <w:rsid w:val="00FF0164"/>
    <w:rsid w:val="00FF025E"/>
    <w:rsid w:val="00FF03F7"/>
    <w:rsid w:val="00FF0583"/>
    <w:rsid w:val="00FF05F3"/>
    <w:rsid w:val="00FF063F"/>
    <w:rsid w:val="00FF078F"/>
    <w:rsid w:val="00FF0BEB"/>
    <w:rsid w:val="00FF0DBE"/>
    <w:rsid w:val="00FF0EDD"/>
    <w:rsid w:val="00FF0F09"/>
    <w:rsid w:val="00FF110C"/>
    <w:rsid w:val="00FF1305"/>
    <w:rsid w:val="00FF1330"/>
    <w:rsid w:val="00FF14D3"/>
    <w:rsid w:val="00FF161C"/>
    <w:rsid w:val="00FF1762"/>
    <w:rsid w:val="00FF19CE"/>
    <w:rsid w:val="00FF1CD8"/>
    <w:rsid w:val="00FF1DC8"/>
    <w:rsid w:val="00FF1F84"/>
    <w:rsid w:val="00FF2325"/>
    <w:rsid w:val="00FF24F6"/>
    <w:rsid w:val="00FF2654"/>
    <w:rsid w:val="00FF26B2"/>
    <w:rsid w:val="00FF28A5"/>
    <w:rsid w:val="00FF2943"/>
    <w:rsid w:val="00FF2C33"/>
    <w:rsid w:val="00FF2EAB"/>
    <w:rsid w:val="00FF2F07"/>
    <w:rsid w:val="00FF2F98"/>
    <w:rsid w:val="00FF2FC7"/>
    <w:rsid w:val="00FF3018"/>
    <w:rsid w:val="00FF3227"/>
    <w:rsid w:val="00FF33C5"/>
    <w:rsid w:val="00FF3425"/>
    <w:rsid w:val="00FF3576"/>
    <w:rsid w:val="00FF3681"/>
    <w:rsid w:val="00FF36B3"/>
    <w:rsid w:val="00FF384E"/>
    <w:rsid w:val="00FF38BF"/>
    <w:rsid w:val="00FF3ABF"/>
    <w:rsid w:val="00FF3AEA"/>
    <w:rsid w:val="00FF3CB2"/>
    <w:rsid w:val="00FF3E15"/>
    <w:rsid w:val="00FF404D"/>
    <w:rsid w:val="00FF42DC"/>
    <w:rsid w:val="00FF446B"/>
    <w:rsid w:val="00FF4539"/>
    <w:rsid w:val="00FF4650"/>
    <w:rsid w:val="00FF4798"/>
    <w:rsid w:val="00FF4A8D"/>
    <w:rsid w:val="00FF4B25"/>
    <w:rsid w:val="00FF4C84"/>
    <w:rsid w:val="00FF4CC4"/>
    <w:rsid w:val="00FF5244"/>
    <w:rsid w:val="00FF5282"/>
    <w:rsid w:val="00FF54B7"/>
    <w:rsid w:val="00FF56AB"/>
    <w:rsid w:val="00FF5C5C"/>
    <w:rsid w:val="00FF61DB"/>
    <w:rsid w:val="00FF6392"/>
    <w:rsid w:val="00FF63B8"/>
    <w:rsid w:val="00FF63DC"/>
    <w:rsid w:val="00FF652D"/>
    <w:rsid w:val="00FF67C3"/>
    <w:rsid w:val="00FF6EDA"/>
    <w:rsid w:val="00FF713E"/>
    <w:rsid w:val="00FF7456"/>
    <w:rsid w:val="00FF7488"/>
    <w:rsid w:val="00FF77C2"/>
    <w:rsid w:val="00FF7803"/>
    <w:rsid w:val="00FF79F9"/>
    <w:rsid w:val="00FF7DD2"/>
    <w:rsid w:val="00FF7FBA"/>
    <w:rsid w:val="01050447"/>
    <w:rsid w:val="01057E8C"/>
    <w:rsid w:val="01179A99"/>
    <w:rsid w:val="011B6584"/>
    <w:rsid w:val="011E45DC"/>
    <w:rsid w:val="01283E1D"/>
    <w:rsid w:val="012AAED9"/>
    <w:rsid w:val="012CC6F2"/>
    <w:rsid w:val="01333E80"/>
    <w:rsid w:val="01381C41"/>
    <w:rsid w:val="014810F3"/>
    <w:rsid w:val="014C2C0A"/>
    <w:rsid w:val="014D8EA7"/>
    <w:rsid w:val="015B3967"/>
    <w:rsid w:val="015DEE56"/>
    <w:rsid w:val="0167EC0B"/>
    <w:rsid w:val="016E067F"/>
    <w:rsid w:val="01705911"/>
    <w:rsid w:val="017AE712"/>
    <w:rsid w:val="01833B93"/>
    <w:rsid w:val="018CD11B"/>
    <w:rsid w:val="018F4A08"/>
    <w:rsid w:val="019A51F6"/>
    <w:rsid w:val="019DCA1D"/>
    <w:rsid w:val="01A47DE9"/>
    <w:rsid w:val="01A9306A"/>
    <w:rsid w:val="01AB4B4D"/>
    <w:rsid w:val="01B4AFF6"/>
    <w:rsid w:val="01BB5770"/>
    <w:rsid w:val="01CF5B52"/>
    <w:rsid w:val="01F2612B"/>
    <w:rsid w:val="01F41D31"/>
    <w:rsid w:val="01FAECBC"/>
    <w:rsid w:val="0201F666"/>
    <w:rsid w:val="02060BBE"/>
    <w:rsid w:val="0217A1AB"/>
    <w:rsid w:val="0220F3FA"/>
    <w:rsid w:val="02215A42"/>
    <w:rsid w:val="022438F6"/>
    <w:rsid w:val="022D0394"/>
    <w:rsid w:val="022F61C6"/>
    <w:rsid w:val="023B9AC7"/>
    <w:rsid w:val="023ED98E"/>
    <w:rsid w:val="0241CB1D"/>
    <w:rsid w:val="025EC63E"/>
    <w:rsid w:val="02615D2B"/>
    <w:rsid w:val="0262483A"/>
    <w:rsid w:val="027C6AC6"/>
    <w:rsid w:val="0285AB01"/>
    <w:rsid w:val="02884D12"/>
    <w:rsid w:val="02888CB9"/>
    <w:rsid w:val="028AFC1D"/>
    <w:rsid w:val="0298075C"/>
    <w:rsid w:val="029FBC58"/>
    <w:rsid w:val="02A8ABCF"/>
    <w:rsid w:val="02B3D3BB"/>
    <w:rsid w:val="02BA8E7F"/>
    <w:rsid w:val="02C65788"/>
    <w:rsid w:val="02CEF450"/>
    <w:rsid w:val="02DA688F"/>
    <w:rsid w:val="02E265B7"/>
    <w:rsid w:val="02EF9756"/>
    <w:rsid w:val="02F00B35"/>
    <w:rsid w:val="02F35FF4"/>
    <w:rsid w:val="030AFF6E"/>
    <w:rsid w:val="030CC7A6"/>
    <w:rsid w:val="03205BCC"/>
    <w:rsid w:val="03303FB0"/>
    <w:rsid w:val="03423AD0"/>
    <w:rsid w:val="0349F10A"/>
    <w:rsid w:val="034F3990"/>
    <w:rsid w:val="03518F10"/>
    <w:rsid w:val="036D0905"/>
    <w:rsid w:val="036DAB96"/>
    <w:rsid w:val="0375E76A"/>
    <w:rsid w:val="037AC634"/>
    <w:rsid w:val="0385F81F"/>
    <w:rsid w:val="03995118"/>
    <w:rsid w:val="039AAD55"/>
    <w:rsid w:val="03B6E7AE"/>
    <w:rsid w:val="03B8168D"/>
    <w:rsid w:val="03CCC7B6"/>
    <w:rsid w:val="03D1077A"/>
    <w:rsid w:val="03D4648C"/>
    <w:rsid w:val="03E353D1"/>
    <w:rsid w:val="03F4F63F"/>
    <w:rsid w:val="03FF4CCB"/>
    <w:rsid w:val="0404FC5E"/>
    <w:rsid w:val="0409F793"/>
    <w:rsid w:val="040BCFC0"/>
    <w:rsid w:val="0430B47E"/>
    <w:rsid w:val="0444A9D4"/>
    <w:rsid w:val="044A5C73"/>
    <w:rsid w:val="0453C145"/>
    <w:rsid w:val="0456105F"/>
    <w:rsid w:val="045C82E7"/>
    <w:rsid w:val="045E2F68"/>
    <w:rsid w:val="045E7E11"/>
    <w:rsid w:val="04664CC2"/>
    <w:rsid w:val="046840F1"/>
    <w:rsid w:val="04782FEA"/>
    <w:rsid w:val="047F0529"/>
    <w:rsid w:val="04809C1C"/>
    <w:rsid w:val="0488809C"/>
    <w:rsid w:val="04AC4AFE"/>
    <w:rsid w:val="04AC653A"/>
    <w:rsid w:val="04B62356"/>
    <w:rsid w:val="04B91249"/>
    <w:rsid w:val="04BAFC95"/>
    <w:rsid w:val="04CBB7E2"/>
    <w:rsid w:val="04D0142A"/>
    <w:rsid w:val="04D4CDD9"/>
    <w:rsid w:val="04DA55D9"/>
    <w:rsid w:val="04DB2599"/>
    <w:rsid w:val="04F70540"/>
    <w:rsid w:val="0501EBD3"/>
    <w:rsid w:val="050A1FD5"/>
    <w:rsid w:val="050A8F8F"/>
    <w:rsid w:val="050E1489"/>
    <w:rsid w:val="052008E1"/>
    <w:rsid w:val="0524EAC5"/>
    <w:rsid w:val="0529112F"/>
    <w:rsid w:val="052EE580"/>
    <w:rsid w:val="05312731"/>
    <w:rsid w:val="0535AECD"/>
    <w:rsid w:val="053B994F"/>
    <w:rsid w:val="053DF450"/>
    <w:rsid w:val="053E1495"/>
    <w:rsid w:val="054B923A"/>
    <w:rsid w:val="054F20B4"/>
    <w:rsid w:val="055FF479"/>
    <w:rsid w:val="056B62E8"/>
    <w:rsid w:val="05799320"/>
    <w:rsid w:val="0586BCF0"/>
    <w:rsid w:val="059C85F4"/>
    <w:rsid w:val="05A66A74"/>
    <w:rsid w:val="05A77892"/>
    <w:rsid w:val="05A8C9FD"/>
    <w:rsid w:val="05AE91EF"/>
    <w:rsid w:val="05BFE7ED"/>
    <w:rsid w:val="05CF9C38"/>
    <w:rsid w:val="05D1C5C3"/>
    <w:rsid w:val="05D27110"/>
    <w:rsid w:val="05DD5C54"/>
    <w:rsid w:val="05E5BA53"/>
    <w:rsid w:val="05F22F41"/>
    <w:rsid w:val="05F4AE60"/>
    <w:rsid w:val="05F55FD2"/>
    <w:rsid w:val="05F8B02A"/>
    <w:rsid w:val="05FA850B"/>
    <w:rsid w:val="05FBE842"/>
    <w:rsid w:val="0610E775"/>
    <w:rsid w:val="0611F9E5"/>
    <w:rsid w:val="0618B910"/>
    <w:rsid w:val="061BB2FB"/>
    <w:rsid w:val="061DD0F0"/>
    <w:rsid w:val="061E8FB6"/>
    <w:rsid w:val="063CBDCB"/>
    <w:rsid w:val="063D7ABD"/>
    <w:rsid w:val="063F12BB"/>
    <w:rsid w:val="0649CDDC"/>
    <w:rsid w:val="06513A73"/>
    <w:rsid w:val="06514174"/>
    <w:rsid w:val="0662103A"/>
    <w:rsid w:val="0668FE04"/>
    <w:rsid w:val="06703684"/>
    <w:rsid w:val="0675159C"/>
    <w:rsid w:val="0676E8DE"/>
    <w:rsid w:val="06791470"/>
    <w:rsid w:val="067988E0"/>
    <w:rsid w:val="067A7646"/>
    <w:rsid w:val="067D9BB0"/>
    <w:rsid w:val="067F4DE7"/>
    <w:rsid w:val="068AF034"/>
    <w:rsid w:val="069CE71E"/>
    <w:rsid w:val="06A2EC33"/>
    <w:rsid w:val="06A9301F"/>
    <w:rsid w:val="06AA7E8E"/>
    <w:rsid w:val="06AD0F4D"/>
    <w:rsid w:val="06BF12A6"/>
    <w:rsid w:val="06CA926C"/>
    <w:rsid w:val="06D777D6"/>
    <w:rsid w:val="06E7D55E"/>
    <w:rsid w:val="06E8A2A3"/>
    <w:rsid w:val="06EA7236"/>
    <w:rsid w:val="06FBFAA2"/>
    <w:rsid w:val="0705144C"/>
    <w:rsid w:val="071F4F21"/>
    <w:rsid w:val="07283151"/>
    <w:rsid w:val="0728569F"/>
    <w:rsid w:val="072D8213"/>
    <w:rsid w:val="072E909F"/>
    <w:rsid w:val="072F8FE7"/>
    <w:rsid w:val="073C2EF7"/>
    <w:rsid w:val="075A3731"/>
    <w:rsid w:val="0770895F"/>
    <w:rsid w:val="07771AAF"/>
    <w:rsid w:val="077D02A2"/>
    <w:rsid w:val="077DFA95"/>
    <w:rsid w:val="077F8098"/>
    <w:rsid w:val="07825A9E"/>
    <w:rsid w:val="078AA112"/>
    <w:rsid w:val="078B2F59"/>
    <w:rsid w:val="07BD4342"/>
    <w:rsid w:val="07BDCF77"/>
    <w:rsid w:val="07CF6F9C"/>
    <w:rsid w:val="07D70607"/>
    <w:rsid w:val="07D7DFF3"/>
    <w:rsid w:val="07DAF332"/>
    <w:rsid w:val="07E323D5"/>
    <w:rsid w:val="07EFB302"/>
    <w:rsid w:val="07F429ED"/>
    <w:rsid w:val="07F932C3"/>
    <w:rsid w:val="07FA097D"/>
    <w:rsid w:val="07FA1859"/>
    <w:rsid w:val="07FBD615"/>
    <w:rsid w:val="07FD5456"/>
    <w:rsid w:val="0805053D"/>
    <w:rsid w:val="0806A41C"/>
    <w:rsid w:val="082DD5B1"/>
    <w:rsid w:val="0830123F"/>
    <w:rsid w:val="084AAE6E"/>
    <w:rsid w:val="084E9F35"/>
    <w:rsid w:val="0853AEE6"/>
    <w:rsid w:val="08557F3C"/>
    <w:rsid w:val="0858AEA1"/>
    <w:rsid w:val="086BB97B"/>
    <w:rsid w:val="08705BD9"/>
    <w:rsid w:val="087163CD"/>
    <w:rsid w:val="087D9797"/>
    <w:rsid w:val="0881648C"/>
    <w:rsid w:val="0884E581"/>
    <w:rsid w:val="088998AD"/>
    <w:rsid w:val="0895E5C3"/>
    <w:rsid w:val="08980F40"/>
    <w:rsid w:val="0898E95D"/>
    <w:rsid w:val="08AC37BB"/>
    <w:rsid w:val="08AE2A3E"/>
    <w:rsid w:val="08BA557A"/>
    <w:rsid w:val="08BE5DB2"/>
    <w:rsid w:val="08C5C6CE"/>
    <w:rsid w:val="08C60465"/>
    <w:rsid w:val="08C6CBAC"/>
    <w:rsid w:val="08C9F421"/>
    <w:rsid w:val="08E4FD25"/>
    <w:rsid w:val="08E96C5C"/>
    <w:rsid w:val="08E9C807"/>
    <w:rsid w:val="08EBB9C7"/>
    <w:rsid w:val="08EF765D"/>
    <w:rsid w:val="08F2D67D"/>
    <w:rsid w:val="090258D7"/>
    <w:rsid w:val="090FC29D"/>
    <w:rsid w:val="09122D43"/>
    <w:rsid w:val="0913C500"/>
    <w:rsid w:val="091B2DB8"/>
    <w:rsid w:val="09262A3B"/>
    <w:rsid w:val="092A0C8E"/>
    <w:rsid w:val="092BD55F"/>
    <w:rsid w:val="092F9412"/>
    <w:rsid w:val="0940A4F7"/>
    <w:rsid w:val="0948F4C5"/>
    <w:rsid w:val="094CBC1C"/>
    <w:rsid w:val="094FCFF2"/>
    <w:rsid w:val="09565745"/>
    <w:rsid w:val="095693FB"/>
    <w:rsid w:val="09597737"/>
    <w:rsid w:val="097142F6"/>
    <w:rsid w:val="0971CACE"/>
    <w:rsid w:val="0973EB81"/>
    <w:rsid w:val="097C9003"/>
    <w:rsid w:val="0987C8A7"/>
    <w:rsid w:val="0995661A"/>
    <w:rsid w:val="099F7414"/>
    <w:rsid w:val="09BCD1EE"/>
    <w:rsid w:val="09CB1AA6"/>
    <w:rsid w:val="09CF0A98"/>
    <w:rsid w:val="09D85D67"/>
    <w:rsid w:val="09DA240A"/>
    <w:rsid w:val="09EB23F7"/>
    <w:rsid w:val="09F3FD05"/>
    <w:rsid w:val="0A0FB59B"/>
    <w:rsid w:val="0A193812"/>
    <w:rsid w:val="0A2B75D6"/>
    <w:rsid w:val="0A2F9D7C"/>
    <w:rsid w:val="0A366F6B"/>
    <w:rsid w:val="0A4A5B19"/>
    <w:rsid w:val="0A4BB100"/>
    <w:rsid w:val="0A4D10A6"/>
    <w:rsid w:val="0A4E9025"/>
    <w:rsid w:val="0A5610C4"/>
    <w:rsid w:val="0A68EAFD"/>
    <w:rsid w:val="0A6D58C9"/>
    <w:rsid w:val="0A88CB4D"/>
    <w:rsid w:val="0A9A5A6A"/>
    <w:rsid w:val="0AA933DD"/>
    <w:rsid w:val="0AAFFCF0"/>
    <w:rsid w:val="0AC755AE"/>
    <w:rsid w:val="0AC7FBA5"/>
    <w:rsid w:val="0AD51865"/>
    <w:rsid w:val="0ADED314"/>
    <w:rsid w:val="0ADF21BD"/>
    <w:rsid w:val="0AE6D1FB"/>
    <w:rsid w:val="0AE88214"/>
    <w:rsid w:val="0AF153F6"/>
    <w:rsid w:val="0AF57E9B"/>
    <w:rsid w:val="0AF9CD9D"/>
    <w:rsid w:val="0B3218A6"/>
    <w:rsid w:val="0B4C2DC7"/>
    <w:rsid w:val="0B5A0EB8"/>
    <w:rsid w:val="0B5E51C1"/>
    <w:rsid w:val="0B63A492"/>
    <w:rsid w:val="0B66FD59"/>
    <w:rsid w:val="0B7022D2"/>
    <w:rsid w:val="0B75CCA8"/>
    <w:rsid w:val="0B7BFF65"/>
    <w:rsid w:val="0B800455"/>
    <w:rsid w:val="0B87D58C"/>
    <w:rsid w:val="0B8D0262"/>
    <w:rsid w:val="0B9FAEE0"/>
    <w:rsid w:val="0BA086A8"/>
    <w:rsid w:val="0BA24E5A"/>
    <w:rsid w:val="0BA6DD71"/>
    <w:rsid w:val="0BAFB0BB"/>
    <w:rsid w:val="0BAFBD29"/>
    <w:rsid w:val="0BB207F1"/>
    <w:rsid w:val="0BBE3727"/>
    <w:rsid w:val="0BC07CEF"/>
    <w:rsid w:val="0BE6D03C"/>
    <w:rsid w:val="0BE8AC13"/>
    <w:rsid w:val="0BECAE6D"/>
    <w:rsid w:val="0BF3CA6A"/>
    <w:rsid w:val="0BF92EA1"/>
    <w:rsid w:val="0C13C6C6"/>
    <w:rsid w:val="0C14CFE8"/>
    <w:rsid w:val="0C1C18DB"/>
    <w:rsid w:val="0C245BEF"/>
    <w:rsid w:val="0C24BC4E"/>
    <w:rsid w:val="0C28C4AF"/>
    <w:rsid w:val="0C2B65A5"/>
    <w:rsid w:val="0C2F56B6"/>
    <w:rsid w:val="0C3FD3E8"/>
    <w:rsid w:val="0C3FE5A8"/>
    <w:rsid w:val="0C4340EF"/>
    <w:rsid w:val="0C5A6746"/>
    <w:rsid w:val="0C66C1DA"/>
    <w:rsid w:val="0C799DC4"/>
    <w:rsid w:val="0C839804"/>
    <w:rsid w:val="0C938F46"/>
    <w:rsid w:val="0C994F8D"/>
    <w:rsid w:val="0CA371B9"/>
    <w:rsid w:val="0CB21937"/>
    <w:rsid w:val="0CB2CD20"/>
    <w:rsid w:val="0CBBD5F0"/>
    <w:rsid w:val="0CBF72A2"/>
    <w:rsid w:val="0CCA7D8C"/>
    <w:rsid w:val="0CD35263"/>
    <w:rsid w:val="0CD59E0A"/>
    <w:rsid w:val="0CDABD06"/>
    <w:rsid w:val="0CE9DA2A"/>
    <w:rsid w:val="0CF3B0D0"/>
    <w:rsid w:val="0CFA4069"/>
    <w:rsid w:val="0CFF5CF3"/>
    <w:rsid w:val="0D003FDA"/>
    <w:rsid w:val="0D0438D6"/>
    <w:rsid w:val="0D065A80"/>
    <w:rsid w:val="0D0924D5"/>
    <w:rsid w:val="0D0EEEFB"/>
    <w:rsid w:val="0D203B4C"/>
    <w:rsid w:val="0D20D121"/>
    <w:rsid w:val="0D2B3A80"/>
    <w:rsid w:val="0D33DEDE"/>
    <w:rsid w:val="0D3A4C37"/>
    <w:rsid w:val="0D4DDD17"/>
    <w:rsid w:val="0D705F74"/>
    <w:rsid w:val="0D74F542"/>
    <w:rsid w:val="0D7BC688"/>
    <w:rsid w:val="0D878E0F"/>
    <w:rsid w:val="0D8FCD9F"/>
    <w:rsid w:val="0D91CED5"/>
    <w:rsid w:val="0D96C58E"/>
    <w:rsid w:val="0D98D348"/>
    <w:rsid w:val="0D9BB8F4"/>
    <w:rsid w:val="0DA0E9E0"/>
    <w:rsid w:val="0DAFA3FE"/>
    <w:rsid w:val="0DB2E08E"/>
    <w:rsid w:val="0DB58EF1"/>
    <w:rsid w:val="0DC51095"/>
    <w:rsid w:val="0DCF01ED"/>
    <w:rsid w:val="0DD383ED"/>
    <w:rsid w:val="0DE36837"/>
    <w:rsid w:val="0DF63564"/>
    <w:rsid w:val="0DF679E4"/>
    <w:rsid w:val="0DFAF6B0"/>
    <w:rsid w:val="0DFB5CA5"/>
    <w:rsid w:val="0DFD4126"/>
    <w:rsid w:val="0E03B1EC"/>
    <w:rsid w:val="0E07CFDD"/>
    <w:rsid w:val="0E0854DB"/>
    <w:rsid w:val="0E0A654B"/>
    <w:rsid w:val="0E0BF7AE"/>
    <w:rsid w:val="0E15660C"/>
    <w:rsid w:val="0E208D80"/>
    <w:rsid w:val="0E28C6C4"/>
    <w:rsid w:val="0E35F868"/>
    <w:rsid w:val="0E389A2E"/>
    <w:rsid w:val="0E4118F6"/>
    <w:rsid w:val="0E4331A3"/>
    <w:rsid w:val="0E466A8E"/>
    <w:rsid w:val="0E4CA0C5"/>
    <w:rsid w:val="0E5B3C39"/>
    <w:rsid w:val="0E60CC12"/>
    <w:rsid w:val="0E6FF7AE"/>
    <w:rsid w:val="0E78FC93"/>
    <w:rsid w:val="0E86A0FA"/>
    <w:rsid w:val="0E890D37"/>
    <w:rsid w:val="0E89918E"/>
    <w:rsid w:val="0E8F0B8F"/>
    <w:rsid w:val="0E99BBF6"/>
    <w:rsid w:val="0E9B2D55"/>
    <w:rsid w:val="0E9C6550"/>
    <w:rsid w:val="0E9DA7C8"/>
    <w:rsid w:val="0EA22070"/>
    <w:rsid w:val="0EA54013"/>
    <w:rsid w:val="0EAA9333"/>
    <w:rsid w:val="0EABA8C9"/>
    <w:rsid w:val="0EB78420"/>
    <w:rsid w:val="0EBA1AD9"/>
    <w:rsid w:val="0ECF1D67"/>
    <w:rsid w:val="0ED3E81E"/>
    <w:rsid w:val="0EDCE957"/>
    <w:rsid w:val="0EDE5B44"/>
    <w:rsid w:val="0EF3A0A3"/>
    <w:rsid w:val="0EFF2AF3"/>
    <w:rsid w:val="0F0E7514"/>
    <w:rsid w:val="0F14E3CE"/>
    <w:rsid w:val="0F16CBAF"/>
    <w:rsid w:val="0F174A60"/>
    <w:rsid w:val="0F177577"/>
    <w:rsid w:val="0F2CE9DC"/>
    <w:rsid w:val="0F399ADF"/>
    <w:rsid w:val="0F3A526F"/>
    <w:rsid w:val="0F4649C7"/>
    <w:rsid w:val="0F502665"/>
    <w:rsid w:val="0F567267"/>
    <w:rsid w:val="0F58D0D7"/>
    <w:rsid w:val="0F59CA36"/>
    <w:rsid w:val="0F5E51B6"/>
    <w:rsid w:val="0F689E40"/>
    <w:rsid w:val="0F6D09BD"/>
    <w:rsid w:val="0F6F2866"/>
    <w:rsid w:val="0F745F09"/>
    <w:rsid w:val="0F78699A"/>
    <w:rsid w:val="0F87DD24"/>
    <w:rsid w:val="0F89E1C4"/>
    <w:rsid w:val="0F8C7892"/>
    <w:rsid w:val="0F8CA892"/>
    <w:rsid w:val="0F96190E"/>
    <w:rsid w:val="0F96E2C8"/>
    <w:rsid w:val="0F9929FD"/>
    <w:rsid w:val="0FA0A4C2"/>
    <w:rsid w:val="0FAC3083"/>
    <w:rsid w:val="0FB280BF"/>
    <w:rsid w:val="0FB8B098"/>
    <w:rsid w:val="0FBDAA16"/>
    <w:rsid w:val="0FC25426"/>
    <w:rsid w:val="0FE5C453"/>
    <w:rsid w:val="0FE77765"/>
    <w:rsid w:val="0FEDBA35"/>
    <w:rsid w:val="0FF0E66C"/>
    <w:rsid w:val="0FF16ECF"/>
    <w:rsid w:val="1000903E"/>
    <w:rsid w:val="1007DD42"/>
    <w:rsid w:val="1013B6EB"/>
    <w:rsid w:val="10304A96"/>
    <w:rsid w:val="1033DC2C"/>
    <w:rsid w:val="1036007B"/>
    <w:rsid w:val="103E1070"/>
    <w:rsid w:val="10441E75"/>
    <w:rsid w:val="1048321D"/>
    <w:rsid w:val="104BBC5A"/>
    <w:rsid w:val="105AD09A"/>
    <w:rsid w:val="105B24D8"/>
    <w:rsid w:val="10742E6B"/>
    <w:rsid w:val="10778D02"/>
    <w:rsid w:val="1078E34B"/>
    <w:rsid w:val="107BDC99"/>
    <w:rsid w:val="10876B42"/>
    <w:rsid w:val="1088085A"/>
    <w:rsid w:val="108E0DA6"/>
    <w:rsid w:val="109EBCDC"/>
    <w:rsid w:val="10A01E5E"/>
    <w:rsid w:val="10A725DF"/>
    <w:rsid w:val="10AE7D14"/>
    <w:rsid w:val="10B056E6"/>
    <w:rsid w:val="10B96A2B"/>
    <w:rsid w:val="10C022EF"/>
    <w:rsid w:val="10C2BD51"/>
    <w:rsid w:val="10CF9047"/>
    <w:rsid w:val="10DF0612"/>
    <w:rsid w:val="10E8B6A7"/>
    <w:rsid w:val="10F0BEE6"/>
    <w:rsid w:val="10F60E56"/>
    <w:rsid w:val="10FDA8B9"/>
    <w:rsid w:val="1107538A"/>
    <w:rsid w:val="1107A105"/>
    <w:rsid w:val="110B2971"/>
    <w:rsid w:val="11283914"/>
    <w:rsid w:val="1128AE98"/>
    <w:rsid w:val="1134BB4D"/>
    <w:rsid w:val="11394854"/>
    <w:rsid w:val="113E53A5"/>
    <w:rsid w:val="1155DFA6"/>
    <w:rsid w:val="115F504D"/>
    <w:rsid w:val="115FF911"/>
    <w:rsid w:val="1162C811"/>
    <w:rsid w:val="11634A2B"/>
    <w:rsid w:val="116A92EE"/>
    <w:rsid w:val="116BC1E8"/>
    <w:rsid w:val="116D8C1E"/>
    <w:rsid w:val="1171E439"/>
    <w:rsid w:val="117B966A"/>
    <w:rsid w:val="118E470E"/>
    <w:rsid w:val="11930F76"/>
    <w:rsid w:val="11934AE4"/>
    <w:rsid w:val="119AB907"/>
    <w:rsid w:val="119AE6B6"/>
    <w:rsid w:val="119BB6B0"/>
    <w:rsid w:val="11A6CFF5"/>
    <w:rsid w:val="11ADBAB5"/>
    <w:rsid w:val="11BA5D2E"/>
    <w:rsid w:val="11BEAE72"/>
    <w:rsid w:val="11BFB309"/>
    <w:rsid w:val="11C54A3A"/>
    <w:rsid w:val="11DE3E1C"/>
    <w:rsid w:val="11E6A0F5"/>
    <w:rsid w:val="11EEF950"/>
    <w:rsid w:val="11F86B49"/>
    <w:rsid w:val="11FC8265"/>
    <w:rsid w:val="12034ADD"/>
    <w:rsid w:val="12100A45"/>
    <w:rsid w:val="1218681F"/>
    <w:rsid w:val="122A9B97"/>
    <w:rsid w:val="1230D8B2"/>
    <w:rsid w:val="12371D1D"/>
    <w:rsid w:val="1239C598"/>
    <w:rsid w:val="123D3CB3"/>
    <w:rsid w:val="124247DD"/>
    <w:rsid w:val="12425440"/>
    <w:rsid w:val="124A4AEB"/>
    <w:rsid w:val="124BAB19"/>
    <w:rsid w:val="124E693F"/>
    <w:rsid w:val="1278CAE2"/>
    <w:rsid w:val="12857557"/>
    <w:rsid w:val="12918D88"/>
    <w:rsid w:val="12946F2F"/>
    <w:rsid w:val="1299547C"/>
    <w:rsid w:val="12A2E079"/>
    <w:rsid w:val="12AB4E34"/>
    <w:rsid w:val="12AC1678"/>
    <w:rsid w:val="12AEE747"/>
    <w:rsid w:val="12B90D2B"/>
    <w:rsid w:val="12BD8C51"/>
    <w:rsid w:val="12BF4460"/>
    <w:rsid w:val="12CBD859"/>
    <w:rsid w:val="12D1D0A9"/>
    <w:rsid w:val="12F60F16"/>
    <w:rsid w:val="13123992"/>
    <w:rsid w:val="1312ECBF"/>
    <w:rsid w:val="132F2D00"/>
    <w:rsid w:val="1333EDAB"/>
    <w:rsid w:val="133A4E67"/>
    <w:rsid w:val="133BE391"/>
    <w:rsid w:val="133DB04B"/>
    <w:rsid w:val="133E80D2"/>
    <w:rsid w:val="1347760F"/>
    <w:rsid w:val="13488A33"/>
    <w:rsid w:val="13491553"/>
    <w:rsid w:val="1354DFBD"/>
    <w:rsid w:val="13671238"/>
    <w:rsid w:val="13681203"/>
    <w:rsid w:val="136B6A2D"/>
    <w:rsid w:val="136CF473"/>
    <w:rsid w:val="1377D346"/>
    <w:rsid w:val="1378FC19"/>
    <w:rsid w:val="1379C7E3"/>
    <w:rsid w:val="1383A581"/>
    <w:rsid w:val="13848F6A"/>
    <w:rsid w:val="1387452A"/>
    <w:rsid w:val="138A11F3"/>
    <w:rsid w:val="139403C1"/>
    <w:rsid w:val="139C496B"/>
    <w:rsid w:val="139FB01F"/>
    <w:rsid w:val="13A62C2C"/>
    <w:rsid w:val="13B03DD2"/>
    <w:rsid w:val="13B5AA34"/>
    <w:rsid w:val="13B63CF8"/>
    <w:rsid w:val="13B89B25"/>
    <w:rsid w:val="13B916E0"/>
    <w:rsid w:val="13CDFD53"/>
    <w:rsid w:val="13CE92A0"/>
    <w:rsid w:val="13D1C019"/>
    <w:rsid w:val="13D2DD35"/>
    <w:rsid w:val="13D837C2"/>
    <w:rsid w:val="13D8A462"/>
    <w:rsid w:val="13D9B65D"/>
    <w:rsid w:val="13F183E2"/>
    <w:rsid w:val="13F2CA52"/>
    <w:rsid w:val="13F48276"/>
    <w:rsid w:val="13FF2A47"/>
    <w:rsid w:val="14018120"/>
    <w:rsid w:val="140A6AC1"/>
    <w:rsid w:val="141951C9"/>
    <w:rsid w:val="141C0007"/>
    <w:rsid w:val="14236E8A"/>
    <w:rsid w:val="14256878"/>
    <w:rsid w:val="142646E2"/>
    <w:rsid w:val="142F0E5F"/>
    <w:rsid w:val="142FD1F7"/>
    <w:rsid w:val="142FF639"/>
    <w:rsid w:val="144CA592"/>
    <w:rsid w:val="1457CE7D"/>
    <w:rsid w:val="14753F65"/>
    <w:rsid w:val="147C1A3A"/>
    <w:rsid w:val="1485B250"/>
    <w:rsid w:val="1487C4A1"/>
    <w:rsid w:val="14881224"/>
    <w:rsid w:val="148A695A"/>
    <w:rsid w:val="14931255"/>
    <w:rsid w:val="14953741"/>
    <w:rsid w:val="149663BC"/>
    <w:rsid w:val="1498ABE9"/>
    <w:rsid w:val="14B55F48"/>
    <w:rsid w:val="14B5CC3E"/>
    <w:rsid w:val="14B87566"/>
    <w:rsid w:val="14C077A2"/>
    <w:rsid w:val="14C15621"/>
    <w:rsid w:val="14CD8F74"/>
    <w:rsid w:val="14D63ABC"/>
    <w:rsid w:val="14F56111"/>
    <w:rsid w:val="14FC4C3C"/>
    <w:rsid w:val="1501A976"/>
    <w:rsid w:val="150E7836"/>
    <w:rsid w:val="1516295A"/>
    <w:rsid w:val="15248DE2"/>
    <w:rsid w:val="1536C538"/>
    <w:rsid w:val="1538F50C"/>
    <w:rsid w:val="1548AE87"/>
    <w:rsid w:val="15578076"/>
    <w:rsid w:val="156E3516"/>
    <w:rsid w:val="159E1855"/>
    <w:rsid w:val="15A747DF"/>
    <w:rsid w:val="15B84664"/>
    <w:rsid w:val="15C14CC9"/>
    <w:rsid w:val="15CF35BD"/>
    <w:rsid w:val="15D7D9C9"/>
    <w:rsid w:val="15DE58A2"/>
    <w:rsid w:val="15E9E62D"/>
    <w:rsid w:val="15F7AD5F"/>
    <w:rsid w:val="15F96D2F"/>
    <w:rsid w:val="15FC87A4"/>
    <w:rsid w:val="15FCDEAA"/>
    <w:rsid w:val="15FDE8E4"/>
    <w:rsid w:val="1614529E"/>
    <w:rsid w:val="16162AC2"/>
    <w:rsid w:val="163C1A6C"/>
    <w:rsid w:val="163C4F59"/>
    <w:rsid w:val="163E9B73"/>
    <w:rsid w:val="16403F6E"/>
    <w:rsid w:val="1642A873"/>
    <w:rsid w:val="164B9E3C"/>
    <w:rsid w:val="1652BCF6"/>
    <w:rsid w:val="16545803"/>
    <w:rsid w:val="165A1BD5"/>
    <w:rsid w:val="16606B73"/>
    <w:rsid w:val="1665CE10"/>
    <w:rsid w:val="166695CC"/>
    <w:rsid w:val="1667BBC6"/>
    <w:rsid w:val="16690AA2"/>
    <w:rsid w:val="166DE3C0"/>
    <w:rsid w:val="166E8822"/>
    <w:rsid w:val="1672B5F3"/>
    <w:rsid w:val="16838E62"/>
    <w:rsid w:val="168D1F42"/>
    <w:rsid w:val="1695EB07"/>
    <w:rsid w:val="16A3791E"/>
    <w:rsid w:val="16A5F649"/>
    <w:rsid w:val="16A64728"/>
    <w:rsid w:val="16C36C6E"/>
    <w:rsid w:val="16C4C660"/>
    <w:rsid w:val="16CE90DA"/>
    <w:rsid w:val="16DBD944"/>
    <w:rsid w:val="16DC48B5"/>
    <w:rsid w:val="16E480E6"/>
    <w:rsid w:val="16ECAE93"/>
    <w:rsid w:val="16ECE56E"/>
    <w:rsid w:val="16F23441"/>
    <w:rsid w:val="16FA2053"/>
    <w:rsid w:val="170A15A9"/>
    <w:rsid w:val="170CBD15"/>
    <w:rsid w:val="17175DC0"/>
    <w:rsid w:val="171A36AF"/>
    <w:rsid w:val="171B4C7D"/>
    <w:rsid w:val="171DD10E"/>
    <w:rsid w:val="17272D7D"/>
    <w:rsid w:val="172BC5EC"/>
    <w:rsid w:val="172E7055"/>
    <w:rsid w:val="1732CDB8"/>
    <w:rsid w:val="17351F14"/>
    <w:rsid w:val="173A8D98"/>
    <w:rsid w:val="174BACE0"/>
    <w:rsid w:val="174E2520"/>
    <w:rsid w:val="175A8CCE"/>
    <w:rsid w:val="17625E36"/>
    <w:rsid w:val="17690FB4"/>
    <w:rsid w:val="176B9A3D"/>
    <w:rsid w:val="17797B81"/>
    <w:rsid w:val="177DBC4E"/>
    <w:rsid w:val="178672DB"/>
    <w:rsid w:val="178FD70A"/>
    <w:rsid w:val="17901F65"/>
    <w:rsid w:val="1793B232"/>
    <w:rsid w:val="179FFD0C"/>
    <w:rsid w:val="17BAAEFD"/>
    <w:rsid w:val="17C218ED"/>
    <w:rsid w:val="17D528D3"/>
    <w:rsid w:val="17D61934"/>
    <w:rsid w:val="17DAEE9A"/>
    <w:rsid w:val="17E3CD32"/>
    <w:rsid w:val="17F2B48A"/>
    <w:rsid w:val="17F68713"/>
    <w:rsid w:val="17F85900"/>
    <w:rsid w:val="180723CC"/>
    <w:rsid w:val="180927C4"/>
    <w:rsid w:val="180BDE3B"/>
    <w:rsid w:val="18393E23"/>
    <w:rsid w:val="184093E5"/>
    <w:rsid w:val="18478BBD"/>
    <w:rsid w:val="1865DA12"/>
    <w:rsid w:val="18723279"/>
    <w:rsid w:val="1875A245"/>
    <w:rsid w:val="1887B3CF"/>
    <w:rsid w:val="1891571E"/>
    <w:rsid w:val="189CF72D"/>
    <w:rsid w:val="189EBCD1"/>
    <w:rsid w:val="18AB02EC"/>
    <w:rsid w:val="18ACC97D"/>
    <w:rsid w:val="18AD18B4"/>
    <w:rsid w:val="18B1005B"/>
    <w:rsid w:val="18B34DE3"/>
    <w:rsid w:val="18BC2EC8"/>
    <w:rsid w:val="18BEC4F9"/>
    <w:rsid w:val="18D01B17"/>
    <w:rsid w:val="18D5ED87"/>
    <w:rsid w:val="18DC6F02"/>
    <w:rsid w:val="18E31252"/>
    <w:rsid w:val="18E51075"/>
    <w:rsid w:val="18F3A803"/>
    <w:rsid w:val="190096BE"/>
    <w:rsid w:val="1907278B"/>
    <w:rsid w:val="1907FD62"/>
    <w:rsid w:val="19089A70"/>
    <w:rsid w:val="191282F0"/>
    <w:rsid w:val="19166FC3"/>
    <w:rsid w:val="191D1BCA"/>
    <w:rsid w:val="191E5D35"/>
    <w:rsid w:val="1923CC24"/>
    <w:rsid w:val="1926D45A"/>
    <w:rsid w:val="1932243A"/>
    <w:rsid w:val="19375806"/>
    <w:rsid w:val="1938D6C7"/>
    <w:rsid w:val="193ADD62"/>
    <w:rsid w:val="193D15D9"/>
    <w:rsid w:val="1942D973"/>
    <w:rsid w:val="19439E27"/>
    <w:rsid w:val="1945F817"/>
    <w:rsid w:val="19460609"/>
    <w:rsid w:val="195B8656"/>
    <w:rsid w:val="195DC820"/>
    <w:rsid w:val="1960B7E9"/>
    <w:rsid w:val="1962D287"/>
    <w:rsid w:val="1964EE08"/>
    <w:rsid w:val="19661BCE"/>
    <w:rsid w:val="196D49E4"/>
    <w:rsid w:val="197ABE14"/>
    <w:rsid w:val="197C1B89"/>
    <w:rsid w:val="197C44ED"/>
    <w:rsid w:val="197CB6CD"/>
    <w:rsid w:val="1983BBCC"/>
    <w:rsid w:val="198F4EF2"/>
    <w:rsid w:val="199357B9"/>
    <w:rsid w:val="199EB6A4"/>
    <w:rsid w:val="19A46C44"/>
    <w:rsid w:val="19A6B9C1"/>
    <w:rsid w:val="19AD0A3D"/>
    <w:rsid w:val="19AF5387"/>
    <w:rsid w:val="19B9C0F3"/>
    <w:rsid w:val="19C0232C"/>
    <w:rsid w:val="19C2627E"/>
    <w:rsid w:val="19D008C9"/>
    <w:rsid w:val="19D6F190"/>
    <w:rsid w:val="19D92AC4"/>
    <w:rsid w:val="19DF0057"/>
    <w:rsid w:val="1A0ACF1D"/>
    <w:rsid w:val="1A1CE236"/>
    <w:rsid w:val="1A249E9A"/>
    <w:rsid w:val="1A401434"/>
    <w:rsid w:val="1A5173B6"/>
    <w:rsid w:val="1A54F934"/>
    <w:rsid w:val="1A573CB2"/>
    <w:rsid w:val="1A5825AE"/>
    <w:rsid w:val="1A5BA850"/>
    <w:rsid w:val="1A64A85F"/>
    <w:rsid w:val="1A813C59"/>
    <w:rsid w:val="1A840FE5"/>
    <w:rsid w:val="1A8CB3C2"/>
    <w:rsid w:val="1A96B3EA"/>
    <w:rsid w:val="1A99C095"/>
    <w:rsid w:val="1A9B7C9A"/>
    <w:rsid w:val="1A9EEA8B"/>
    <w:rsid w:val="1AA1FFF1"/>
    <w:rsid w:val="1AA44E99"/>
    <w:rsid w:val="1AA7ADC5"/>
    <w:rsid w:val="1AAC3C4E"/>
    <w:rsid w:val="1AAD77C7"/>
    <w:rsid w:val="1AB48C1D"/>
    <w:rsid w:val="1AB9ED1A"/>
    <w:rsid w:val="1AC03B8C"/>
    <w:rsid w:val="1AC0AF0E"/>
    <w:rsid w:val="1AC1C649"/>
    <w:rsid w:val="1AC69C4E"/>
    <w:rsid w:val="1B036B82"/>
    <w:rsid w:val="1B0540AF"/>
    <w:rsid w:val="1B05D115"/>
    <w:rsid w:val="1B10F985"/>
    <w:rsid w:val="1B1C111B"/>
    <w:rsid w:val="1B1DB654"/>
    <w:rsid w:val="1B22A7FA"/>
    <w:rsid w:val="1B298660"/>
    <w:rsid w:val="1B3D92AC"/>
    <w:rsid w:val="1B491939"/>
    <w:rsid w:val="1B4DB07C"/>
    <w:rsid w:val="1B4F4D34"/>
    <w:rsid w:val="1B505E86"/>
    <w:rsid w:val="1B57A6C5"/>
    <w:rsid w:val="1B5F34F5"/>
    <w:rsid w:val="1B6D5E9B"/>
    <w:rsid w:val="1B773092"/>
    <w:rsid w:val="1B7E4F3A"/>
    <w:rsid w:val="1B9D147C"/>
    <w:rsid w:val="1B9FE8BF"/>
    <w:rsid w:val="1BB0368E"/>
    <w:rsid w:val="1BC4E885"/>
    <w:rsid w:val="1BC7C6FA"/>
    <w:rsid w:val="1BD14486"/>
    <w:rsid w:val="1BDF51B8"/>
    <w:rsid w:val="1BEC472F"/>
    <w:rsid w:val="1BECE0D4"/>
    <w:rsid w:val="1BED8D3D"/>
    <w:rsid w:val="1BF0955C"/>
    <w:rsid w:val="1BF7780A"/>
    <w:rsid w:val="1C0B4CE6"/>
    <w:rsid w:val="1C120ACE"/>
    <w:rsid w:val="1C235376"/>
    <w:rsid w:val="1C276EF8"/>
    <w:rsid w:val="1C2CCD97"/>
    <w:rsid w:val="1C2F0C16"/>
    <w:rsid w:val="1C31B850"/>
    <w:rsid w:val="1C400A12"/>
    <w:rsid w:val="1C4423FC"/>
    <w:rsid w:val="1C57E0F8"/>
    <w:rsid w:val="1C5AC720"/>
    <w:rsid w:val="1C5E65B5"/>
    <w:rsid w:val="1C70A681"/>
    <w:rsid w:val="1C71F919"/>
    <w:rsid w:val="1C7B4501"/>
    <w:rsid w:val="1C80A02A"/>
    <w:rsid w:val="1C812646"/>
    <w:rsid w:val="1C85DD60"/>
    <w:rsid w:val="1C8734AD"/>
    <w:rsid w:val="1C87DDA1"/>
    <w:rsid w:val="1C9640A3"/>
    <w:rsid w:val="1CB47E35"/>
    <w:rsid w:val="1CBF096E"/>
    <w:rsid w:val="1CCBE510"/>
    <w:rsid w:val="1CDD867D"/>
    <w:rsid w:val="1CDFD581"/>
    <w:rsid w:val="1CF390FE"/>
    <w:rsid w:val="1CF93907"/>
    <w:rsid w:val="1CFB4638"/>
    <w:rsid w:val="1CFE7027"/>
    <w:rsid w:val="1D0D8277"/>
    <w:rsid w:val="1D0F49B6"/>
    <w:rsid w:val="1D131FC7"/>
    <w:rsid w:val="1D1EAF01"/>
    <w:rsid w:val="1D1F7A88"/>
    <w:rsid w:val="1D23EC96"/>
    <w:rsid w:val="1D378ED1"/>
    <w:rsid w:val="1D3EA5ED"/>
    <w:rsid w:val="1D3ED795"/>
    <w:rsid w:val="1D420C74"/>
    <w:rsid w:val="1D47DCC5"/>
    <w:rsid w:val="1D48A725"/>
    <w:rsid w:val="1D4C4E08"/>
    <w:rsid w:val="1D5F3F2C"/>
    <w:rsid w:val="1D60B767"/>
    <w:rsid w:val="1D60EE32"/>
    <w:rsid w:val="1D6C14BF"/>
    <w:rsid w:val="1D7E81BE"/>
    <w:rsid w:val="1D842A76"/>
    <w:rsid w:val="1D89547D"/>
    <w:rsid w:val="1D9AFF02"/>
    <w:rsid w:val="1DA3292E"/>
    <w:rsid w:val="1DAA7691"/>
    <w:rsid w:val="1DBE9544"/>
    <w:rsid w:val="1DC41715"/>
    <w:rsid w:val="1DC4DF47"/>
    <w:rsid w:val="1DCB5EB1"/>
    <w:rsid w:val="1DDB162F"/>
    <w:rsid w:val="1DEDF2C6"/>
    <w:rsid w:val="1DEFDAFF"/>
    <w:rsid w:val="1DFBA596"/>
    <w:rsid w:val="1DFEEAEF"/>
    <w:rsid w:val="1E04079A"/>
    <w:rsid w:val="1E097052"/>
    <w:rsid w:val="1E0A9D46"/>
    <w:rsid w:val="1E0B614C"/>
    <w:rsid w:val="1E0DDED3"/>
    <w:rsid w:val="1E121BBA"/>
    <w:rsid w:val="1E179476"/>
    <w:rsid w:val="1E2D97B8"/>
    <w:rsid w:val="1E30A7C4"/>
    <w:rsid w:val="1E3AD5EE"/>
    <w:rsid w:val="1E4EB27F"/>
    <w:rsid w:val="1E505868"/>
    <w:rsid w:val="1E59A910"/>
    <w:rsid w:val="1E606681"/>
    <w:rsid w:val="1E700DC0"/>
    <w:rsid w:val="1E73C98B"/>
    <w:rsid w:val="1E79C4E6"/>
    <w:rsid w:val="1E8F2E60"/>
    <w:rsid w:val="1E9D3FB1"/>
    <w:rsid w:val="1E9FE969"/>
    <w:rsid w:val="1EA22E4A"/>
    <w:rsid w:val="1EA2BC78"/>
    <w:rsid w:val="1EAB5C16"/>
    <w:rsid w:val="1EB84AF2"/>
    <w:rsid w:val="1EC23BDC"/>
    <w:rsid w:val="1EC4206F"/>
    <w:rsid w:val="1EE655B1"/>
    <w:rsid w:val="1EE975DD"/>
    <w:rsid w:val="1EEE77B2"/>
    <w:rsid w:val="1F0801ED"/>
    <w:rsid w:val="1F0D8E36"/>
    <w:rsid w:val="1F0E0D46"/>
    <w:rsid w:val="1F13AFB9"/>
    <w:rsid w:val="1F201783"/>
    <w:rsid w:val="1F248599"/>
    <w:rsid w:val="1F253694"/>
    <w:rsid w:val="1F323423"/>
    <w:rsid w:val="1F33EAC5"/>
    <w:rsid w:val="1F4D91BF"/>
    <w:rsid w:val="1F4EB9C7"/>
    <w:rsid w:val="1F52B814"/>
    <w:rsid w:val="1F53E0D0"/>
    <w:rsid w:val="1F5A64D8"/>
    <w:rsid w:val="1F66FF88"/>
    <w:rsid w:val="1F67D5E5"/>
    <w:rsid w:val="1F72FE7E"/>
    <w:rsid w:val="1F788698"/>
    <w:rsid w:val="1F7BDB01"/>
    <w:rsid w:val="1F83198D"/>
    <w:rsid w:val="1F89BE8F"/>
    <w:rsid w:val="1F953C5D"/>
    <w:rsid w:val="1F995418"/>
    <w:rsid w:val="1F9A2173"/>
    <w:rsid w:val="1FA0F84B"/>
    <w:rsid w:val="1FA54587"/>
    <w:rsid w:val="1FA91224"/>
    <w:rsid w:val="1FAAECF3"/>
    <w:rsid w:val="1FB08FC7"/>
    <w:rsid w:val="1FB15D2E"/>
    <w:rsid w:val="1FB4EE6C"/>
    <w:rsid w:val="1FB51B01"/>
    <w:rsid w:val="1FB97B11"/>
    <w:rsid w:val="1FBB4562"/>
    <w:rsid w:val="1FD35D78"/>
    <w:rsid w:val="1FD70590"/>
    <w:rsid w:val="1FDA6108"/>
    <w:rsid w:val="1FDB347B"/>
    <w:rsid w:val="1FEEF681"/>
    <w:rsid w:val="1FFC4757"/>
    <w:rsid w:val="1FFF1D3E"/>
    <w:rsid w:val="2000BB35"/>
    <w:rsid w:val="20088E33"/>
    <w:rsid w:val="200C1892"/>
    <w:rsid w:val="20129205"/>
    <w:rsid w:val="201CC140"/>
    <w:rsid w:val="2023C1E8"/>
    <w:rsid w:val="202871C5"/>
    <w:rsid w:val="20386E6D"/>
    <w:rsid w:val="203A2572"/>
    <w:rsid w:val="204929CF"/>
    <w:rsid w:val="205B5001"/>
    <w:rsid w:val="206C6567"/>
    <w:rsid w:val="2070D532"/>
    <w:rsid w:val="20780AC0"/>
    <w:rsid w:val="207C20B2"/>
    <w:rsid w:val="208E70D7"/>
    <w:rsid w:val="2098571A"/>
    <w:rsid w:val="2099D28D"/>
    <w:rsid w:val="209DCEAF"/>
    <w:rsid w:val="20A22119"/>
    <w:rsid w:val="20A93DE1"/>
    <w:rsid w:val="20D0849A"/>
    <w:rsid w:val="20D50550"/>
    <w:rsid w:val="20DA14A7"/>
    <w:rsid w:val="20DA2C3D"/>
    <w:rsid w:val="20DB1831"/>
    <w:rsid w:val="20DD4021"/>
    <w:rsid w:val="20DDC293"/>
    <w:rsid w:val="20E1D7F5"/>
    <w:rsid w:val="20E2C35E"/>
    <w:rsid w:val="20EEF69B"/>
    <w:rsid w:val="210142FF"/>
    <w:rsid w:val="210BBA38"/>
    <w:rsid w:val="211BEE9E"/>
    <w:rsid w:val="211D4FB9"/>
    <w:rsid w:val="211D9EB0"/>
    <w:rsid w:val="212099A7"/>
    <w:rsid w:val="21371D6E"/>
    <w:rsid w:val="2139B1FA"/>
    <w:rsid w:val="214056BA"/>
    <w:rsid w:val="21474A4E"/>
    <w:rsid w:val="2162E32F"/>
    <w:rsid w:val="216A2933"/>
    <w:rsid w:val="216C23CE"/>
    <w:rsid w:val="2184936D"/>
    <w:rsid w:val="21902CAC"/>
    <w:rsid w:val="2199B945"/>
    <w:rsid w:val="21A17C95"/>
    <w:rsid w:val="21A27DD9"/>
    <w:rsid w:val="21B83963"/>
    <w:rsid w:val="21C1C723"/>
    <w:rsid w:val="21C719DD"/>
    <w:rsid w:val="21D10EFE"/>
    <w:rsid w:val="21D567B1"/>
    <w:rsid w:val="21E21CD0"/>
    <w:rsid w:val="21F1AD1F"/>
    <w:rsid w:val="21F37603"/>
    <w:rsid w:val="21FCCC90"/>
    <w:rsid w:val="2210EDF1"/>
    <w:rsid w:val="221413ED"/>
    <w:rsid w:val="22206EA6"/>
    <w:rsid w:val="222605EA"/>
    <w:rsid w:val="2229CB5B"/>
    <w:rsid w:val="222D30E1"/>
    <w:rsid w:val="222F2B51"/>
    <w:rsid w:val="224350DC"/>
    <w:rsid w:val="22483540"/>
    <w:rsid w:val="224D564D"/>
    <w:rsid w:val="2253D4E5"/>
    <w:rsid w:val="2257F10E"/>
    <w:rsid w:val="2261784D"/>
    <w:rsid w:val="2264E3D4"/>
    <w:rsid w:val="22762D1C"/>
    <w:rsid w:val="22811962"/>
    <w:rsid w:val="22971035"/>
    <w:rsid w:val="22A1EE1C"/>
    <w:rsid w:val="22A92A63"/>
    <w:rsid w:val="22B57317"/>
    <w:rsid w:val="22C4B1D7"/>
    <w:rsid w:val="22D3F94E"/>
    <w:rsid w:val="22D4217F"/>
    <w:rsid w:val="22DCEF2D"/>
    <w:rsid w:val="22F35148"/>
    <w:rsid w:val="22F72339"/>
    <w:rsid w:val="22F9F9FC"/>
    <w:rsid w:val="22FE527E"/>
    <w:rsid w:val="22FEEB6D"/>
    <w:rsid w:val="230C5459"/>
    <w:rsid w:val="2315ECB7"/>
    <w:rsid w:val="231F5291"/>
    <w:rsid w:val="2321E5EB"/>
    <w:rsid w:val="2321E90C"/>
    <w:rsid w:val="232C674C"/>
    <w:rsid w:val="232FCDD5"/>
    <w:rsid w:val="23304C62"/>
    <w:rsid w:val="23354A7A"/>
    <w:rsid w:val="233A7338"/>
    <w:rsid w:val="233C6CBC"/>
    <w:rsid w:val="23454919"/>
    <w:rsid w:val="234C34B2"/>
    <w:rsid w:val="23517523"/>
    <w:rsid w:val="23562627"/>
    <w:rsid w:val="23611EDA"/>
    <w:rsid w:val="2363F325"/>
    <w:rsid w:val="237E4947"/>
    <w:rsid w:val="23884B32"/>
    <w:rsid w:val="23887409"/>
    <w:rsid w:val="238B94D0"/>
    <w:rsid w:val="23956F84"/>
    <w:rsid w:val="2395BB3B"/>
    <w:rsid w:val="239C1F21"/>
    <w:rsid w:val="23A139CA"/>
    <w:rsid w:val="23AC4511"/>
    <w:rsid w:val="23AD58E3"/>
    <w:rsid w:val="23ADA514"/>
    <w:rsid w:val="23AFD91C"/>
    <w:rsid w:val="23B2A8E1"/>
    <w:rsid w:val="23B60ACE"/>
    <w:rsid w:val="23B8E429"/>
    <w:rsid w:val="23BACC85"/>
    <w:rsid w:val="23BB84B4"/>
    <w:rsid w:val="23BC1E11"/>
    <w:rsid w:val="23BF07AD"/>
    <w:rsid w:val="23D50724"/>
    <w:rsid w:val="23DA94F5"/>
    <w:rsid w:val="23E57870"/>
    <w:rsid w:val="23EF1511"/>
    <w:rsid w:val="23F0A102"/>
    <w:rsid w:val="23F15741"/>
    <w:rsid w:val="23F29B7F"/>
    <w:rsid w:val="23FBF55E"/>
    <w:rsid w:val="24125257"/>
    <w:rsid w:val="242A6FA5"/>
    <w:rsid w:val="24344E8E"/>
    <w:rsid w:val="24474BC0"/>
    <w:rsid w:val="2448139A"/>
    <w:rsid w:val="244D1A29"/>
    <w:rsid w:val="244F1D14"/>
    <w:rsid w:val="2454975A"/>
    <w:rsid w:val="2454EDC3"/>
    <w:rsid w:val="24561E68"/>
    <w:rsid w:val="245F6426"/>
    <w:rsid w:val="24608805"/>
    <w:rsid w:val="2464E9DF"/>
    <w:rsid w:val="246BEDCA"/>
    <w:rsid w:val="247E6F5C"/>
    <w:rsid w:val="2487A525"/>
    <w:rsid w:val="248C1419"/>
    <w:rsid w:val="248DC058"/>
    <w:rsid w:val="248EB3EC"/>
    <w:rsid w:val="2498C9AA"/>
    <w:rsid w:val="249C91DA"/>
    <w:rsid w:val="24A2EAC4"/>
    <w:rsid w:val="24A87063"/>
    <w:rsid w:val="24B5E34B"/>
    <w:rsid w:val="24BB8E1D"/>
    <w:rsid w:val="24CC061D"/>
    <w:rsid w:val="24D5988B"/>
    <w:rsid w:val="24D5A7B0"/>
    <w:rsid w:val="24DBE9E9"/>
    <w:rsid w:val="24DF25EC"/>
    <w:rsid w:val="24E0DF13"/>
    <w:rsid w:val="24E7FADE"/>
    <w:rsid w:val="24EBA204"/>
    <w:rsid w:val="24EF5D4D"/>
    <w:rsid w:val="24F33FF2"/>
    <w:rsid w:val="24FFCDD8"/>
    <w:rsid w:val="25044724"/>
    <w:rsid w:val="2509FE49"/>
    <w:rsid w:val="250DD795"/>
    <w:rsid w:val="25117DD8"/>
    <w:rsid w:val="2513B847"/>
    <w:rsid w:val="252674C0"/>
    <w:rsid w:val="253479B5"/>
    <w:rsid w:val="2534BCC8"/>
    <w:rsid w:val="253E40B9"/>
    <w:rsid w:val="254359AF"/>
    <w:rsid w:val="254FCCE7"/>
    <w:rsid w:val="255539EB"/>
    <w:rsid w:val="2559161A"/>
    <w:rsid w:val="2560589B"/>
    <w:rsid w:val="256EC100"/>
    <w:rsid w:val="2577B35E"/>
    <w:rsid w:val="25799929"/>
    <w:rsid w:val="257E4E54"/>
    <w:rsid w:val="258192F6"/>
    <w:rsid w:val="2587EB82"/>
    <w:rsid w:val="25886C4E"/>
    <w:rsid w:val="258FF193"/>
    <w:rsid w:val="2592A11D"/>
    <w:rsid w:val="2595B910"/>
    <w:rsid w:val="25AE35A0"/>
    <w:rsid w:val="25AE9007"/>
    <w:rsid w:val="25B59B27"/>
    <w:rsid w:val="25CC6A4D"/>
    <w:rsid w:val="25D76C5D"/>
    <w:rsid w:val="25EB58DE"/>
    <w:rsid w:val="25F7C1D4"/>
    <w:rsid w:val="26085D3A"/>
    <w:rsid w:val="261F5894"/>
    <w:rsid w:val="2620EA61"/>
    <w:rsid w:val="262B1EFF"/>
    <w:rsid w:val="263AD069"/>
    <w:rsid w:val="264B51B3"/>
    <w:rsid w:val="265EEF31"/>
    <w:rsid w:val="26695DC6"/>
    <w:rsid w:val="266E43F6"/>
    <w:rsid w:val="268959F3"/>
    <w:rsid w:val="2696E0B5"/>
    <w:rsid w:val="269BA656"/>
    <w:rsid w:val="269D639C"/>
    <w:rsid w:val="269E0FC1"/>
    <w:rsid w:val="26A130FB"/>
    <w:rsid w:val="26A6D69D"/>
    <w:rsid w:val="26A7F9E4"/>
    <w:rsid w:val="26A9A5F5"/>
    <w:rsid w:val="26BFDD29"/>
    <w:rsid w:val="26CBB2C0"/>
    <w:rsid w:val="26D2A94D"/>
    <w:rsid w:val="26DBF975"/>
    <w:rsid w:val="26DC4595"/>
    <w:rsid w:val="26DDED51"/>
    <w:rsid w:val="26E0A58B"/>
    <w:rsid w:val="26E979A3"/>
    <w:rsid w:val="26F37A43"/>
    <w:rsid w:val="26F3CFFB"/>
    <w:rsid w:val="26F5F481"/>
    <w:rsid w:val="26FAA694"/>
    <w:rsid w:val="271F8C6D"/>
    <w:rsid w:val="27215E78"/>
    <w:rsid w:val="27310F64"/>
    <w:rsid w:val="2732439A"/>
    <w:rsid w:val="2733A5B0"/>
    <w:rsid w:val="2734499A"/>
    <w:rsid w:val="27404A25"/>
    <w:rsid w:val="27416E7C"/>
    <w:rsid w:val="274A8C1E"/>
    <w:rsid w:val="275BBA96"/>
    <w:rsid w:val="275D4133"/>
    <w:rsid w:val="275D7557"/>
    <w:rsid w:val="27679C27"/>
    <w:rsid w:val="27723E93"/>
    <w:rsid w:val="277ABBE4"/>
    <w:rsid w:val="2782F66C"/>
    <w:rsid w:val="2783F91C"/>
    <w:rsid w:val="279472EE"/>
    <w:rsid w:val="27972360"/>
    <w:rsid w:val="2797A35E"/>
    <w:rsid w:val="27A249A9"/>
    <w:rsid w:val="27ADB4DB"/>
    <w:rsid w:val="27B34453"/>
    <w:rsid w:val="27CBCDB2"/>
    <w:rsid w:val="27D322BA"/>
    <w:rsid w:val="27D4CFAC"/>
    <w:rsid w:val="27E8DE1F"/>
    <w:rsid w:val="27F0AAEB"/>
    <w:rsid w:val="27F5DEDC"/>
    <w:rsid w:val="2800FE38"/>
    <w:rsid w:val="280CD903"/>
    <w:rsid w:val="281336CF"/>
    <w:rsid w:val="28165923"/>
    <w:rsid w:val="281F5954"/>
    <w:rsid w:val="282D282A"/>
    <w:rsid w:val="284CA07A"/>
    <w:rsid w:val="284DD217"/>
    <w:rsid w:val="285328D8"/>
    <w:rsid w:val="285EA985"/>
    <w:rsid w:val="285FC067"/>
    <w:rsid w:val="286AC6B4"/>
    <w:rsid w:val="28776719"/>
    <w:rsid w:val="287A6C4B"/>
    <w:rsid w:val="287DE1AF"/>
    <w:rsid w:val="2883792C"/>
    <w:rsid w:val="288446D8"/>
    <w:rsid w:val="2884A635"/>
    <w:rsid w:val="28909780"/>
    <w:rsid w:val="28933D8F"/>
    <w:rsid w:val="289C70BA"/>
    <w:rsid w:val="28BEBF56"/>
    <w:rsid w:val="28C49D1B"/>
    <w:rsid w:val="28C73DB4"/>
    <w:rsid w:val="28C98712"/>
    <w:rsid w:val="28CA43DB"/>
    <w:rsid w:val="28D5F6E4"/>
    <w:rsid w:val="28D989D9"/>
    <w:rsid w:val="28D9AC14"/>
    <w:rsid w:val="28F975FD"/>
    <w:rsid w:val="28FD361C"/>
    <w:rsid w:val="290DBDB3"/>
    <w:rsid w:val="2919D35C"/>
    <w:rsid w:val="291A5691"/>
    <w:rsid w:val="29243CA0"/>
    <w:rsid w:val="292C8536"/>
    <w:rsid w:val="29304DC3"/>
    <w:rsid w:val="29306729"/>
    <w:rsid w:val="293B63EF"/>
    <w:rsid w:val="2943EB37"/>
    <w:rsid w:val="2944FE96"/>
    <w:rsid w:val="29477B1D"/>
    <w:rsid w:val="294A52DF"/>
    <w:rsid w:val="294C4DD7"/>
    <w:rsid w:val="29633E96"/>
    <w:rsid w:val="29710CFD"/>
    <w:rsid w:val="29784DDD"/>
    <w:rsid w:val="297A321D"/>
    <w:rsid w:val="2981F8AE"/>
    <w:rsid w:val="2984F05C"/>
    <w:rsid w:val="2990108B"/>
    <w:rsid w:val="2990B9D3"/>
    <w:rsid w:val="29B2B76D"/>
    <w:rsid w:val="29D51104"/>
    <w:rsid w:val="29DB8AEE"/>
    <w:rsid w:val="29DFD6C0"/>
    <w:rsid w:val="29E17A3A"/>
    <w:rsid w:val="29EC967A"/>
    <w:rsid w:val="29F423A6"/>
    <w:rsid w:val="29F5D29A"/>
    <w:rsid w:val="29F6DC83"/>
    <w:rsid w:val="29F9E28D"/>
    <w:rsid w:val="2A09B496"/>
    <w:rsid w:val="2A19E4CC"/>
    <w:rsid w:val="2A1F4BF6"/>
    <w:rsid w:val="2A21A587"/>
    <w:rsid w:val="2A25EE45"/>
    <w:rsid w:val="2A309B99"/>
    <w:rsid w:val="2A336E40"/>
    <w:rsid w:val="2A3E0BA9"/>
    <w:rsid w:val="2A47475E"/>
    <w:rsid w:val="2A5036DA"/>
    <w:rsid w:val="2A531F98"/>
    <w:rsid w:val="2A55908E"/>
    <w:rsid w:val="2A6A2C0B"/>
    <w:rsid w:val="2A6C367E"/>
    <w:rsid w:val="2A7609CB"/>
    <w:rsid w:val="2A8C9D50"/>
    <w:rsid w:val="2A90C85B"/>
    <w:rsid w:val="2AA87E29"/>
    <w:rsid w:val="2AA98676"/>
    <w:rsid w:val="2AABE837"/>
    <w:rsid w:val="2AC671AA"/>
    <w:rsid w:val="2AD23D63"/>
    <w:rsid w:val="2ADBA57E"/>
    <w:rsid w:val="2AE0FD44"/>
    <w:rsid w:val="2AEB8B20"/>
    <w:rsid w:val="2AF809BE"/>
    <w:rsid w:val="2AF98584"/>
    <w:rsid w:val="2AFFBC19"/>
    <w:rsid w:val="2B039220"/>
    <w:rsid w:val="2B13F979"/>
    <w:rsid w:val="2B2482FB"/>
    <w:rsid w:val="2B259301"/>
    <w:rsid w:val="2B288302"/>
    <w:rsid w:val="2B2ED24B"/>
    <w:rsid w:val="2B387C2A"/>
    <w:rsid w:val="2B40CDDC"/>
    <w:rsid w:val="2B452CED"/>
    <w:rsid w:val="2B48DA3A"/>
    <w:rsid w:val="2B51A033"/>
    <w:rsid w:val="2B549C0C"/>
    <w:rsid w:val="2B650DB5"/>
    <w:rsid w:val="2B6566FE"/>
    <w:rsid w:val="2B67E8D1"/>
    <w:rsid w:val="2B78C2E8"/>
    <w:rsid w:val="2B818804"/>
    <w:rsid w:val="2B81C7E2"/>
    <w:rsid w:val="2B84852B"/>
    <w:rsid w:val="2B8CECE9"/>
    <w:rsid w:val="2B930CDA"/>
    <w:rsid w:val="2BA360F8"/>
    <w:rsid w:val="2BAF137B"/>
    <w:rsid w:val="2BB20B95"/>
    <w:rsid w:val="2BB6CDC7"/>
    <w:rsid w:val="2BBDE947"/>
    <w:rsid w:val="2BC0AB7B"/>
    <w:rsid w:val="2BC242C4"/>
    <w:rsid w:val="2BC3B42D"/>
    <w:rsid w:val="2BE694F4"/>
    <w:rsid w:val="2BEAEB20"/>
    <w:rsid w:val="2BEB7E08"/>
    <w:rsid w:val="2BF1B3F6"/>
    <w:rsid w:val="2BF1EE42"/>
    <w:rsid w:val="2BFD9D86"/>
    <w:rsid w:val="2BFE19C4"/>
    <w:rsid w:val="2C0C7CE7"/>
    <w:rsid w:val="2C11F3DE"/>
    <w:rsid w:val="2C152A8F"/>
    <w:rsid w:val="2C1D8548"/>
    <w:rsid w:val="2C1E79D7"/>
    <w:rsid w:val="2C1EADFA"/>
    <w:rsid w:val="2C287B08"/>
    <w:rsid w:val="2C2C4F3D"/>
    <w:rsid w:val="2C2E8328"/>
    <w:rsid w:val="2C3701AE"/>
    <w:rsid w:val="2C4164EE"/>
    <w:rsid w:val="2C42F4C3"/>
    <w:rsid w:val="2C631C50"/>
    <w:rsid w:val="2C6FD1B0"/>
    <w:rsid w:val="2C77BC75"/>
    <w:rsid w:val="2C77DFAD"/>
    <w:rsid w:val="2C78432F"/>
    <w:rsid w:val="2C7BA1BD"/>
    <w:rsid w:val="2C822B8A"/>
    <w:rsid w:val="2C8B0A8C"/>
    <w:rsid w:val="2C929294"/>
    <w:rsid w:val="2C977C05"/>
    <w:rsid w:val="2CA15980"/>
    <w:rsid w:val="2CA96DE2"/>
    <w:rsid w:val="2CAAB1D1"/>
    <w:rsid w:val="2CB9F517"/>
    <w:rsid w:val="2CC16CE9"/>
    <w:rsid w:val="2CC1BB8F"/>
    <w:rsid w:val="2CD5B0BF"/>
    <w:rsid w:val="2CD8B5E8"/>
    <w:rsid w:val="2CF27F88"/>
    <w:rsid w:val="2CF3B00C"/>
    <w:rsid w:val="2CF89147"/>
    <w:rsid w:val="2CFA3967"/>
    <w:rsid w:val="2CFBACA7"/>
    <w:rsid w:val="2D013D5A"/>
    <w:rsid w:val="2D0F1E64"/>
    <w:rsid w:val="2D195E0F"/>
    <w:rsid w:val="2D1AF635"/>
    <w:rsid w:val="2D25AED0"/>
    <w:rsid w:val="2D2B5BC0"/>
    <w:rsid w:val="2D39FBE3"/>
    <w:rsid w:val="2D3A0F5A"/>
    <w:rsid w:val="2D486E21"/>
    <w:rsid w:val="2D628413"/>
    <w:rsid w:val="2D6C98FD"/>
    <w:rsid w:val="2D704075"/>
    <w:rsid w:val="2D82D35E"/>
    <w:rsid w:val="2DA4E5EB"/>
    <w:rsid w:val="2DB90F12"/>
    <w:rsid w:val="2DBD4F59"/>
    <w:rsid w:val="2DD391B4"/>
    <w:rsid w:val="2DD4C3D3"/>
    <w:rsid w:val="2DD6D586"/>
    <w:rsid w:val="2DE2DED4"/>
    <w:rsid w:val="2DEFA293"/>
    <w:rsid w:val="2E06BBBA"/>
    <w:rsid w:val="2E077D50"/>
    <w:rsid w:val="2E134A2E"/>
    <w:rsid w:val="2E1FE9C4"/>
    <w:rsid w:val="2E2065F8"/>
    <w:rsid w:val="2E28DB49"/>
    <w:rsid w:val="2E2E7DB3"/>
    <w:rsid w:val="2E328DDD"/>
    <w:rsid w:val="2E3D7921"/>
    <w:rsid w:val="2E409F2E"/>
    <w:rsid w:val="2E466020"/>
    <w:rsid w:val="2E46DBD5"/>
    <w:rsid w:val="2E52A314"/>
    <w:rsid w:val="2E5729AF"/>
    <w:rsid w:val="2E5FA946"/>
    <w:rsid w:val="2E607C37"/>
    <w:rsid w:val="2E667F94"/>
    <w:rsid w:val="2E75F3D5"/>
    <w:rsid w:val="2E7BA7A8"/>
    <w:rsid w:val="2E848815"/>
    <w:rsid w:val="2E89D089"/>
    <w:rsid w:val="2E8A044F"/>
    <w:rsid w:val="2EA01AB7"/>
    <w:rsid w:val="2EAB299C"/>
    <w:rsid w:val="2EABEF6E"/>
    <w:rsid w:val="2EB0A2FF"/>
    <w:rsid w:val="2EB0D4BD"/>
    <w:rsid w:val="2EBCDA3E"/>
    <w:rsid w:val="2EC7FBCE"/>
    <w:rsid w:val="2EDC14C6"/>
    <w:rsid w:val="2EE67538"/>
    <w:rsid w:val="2EFD9F14"/>
    <w:rsid w:val="2EFED5AE"/>
    <w:rsid w:val="2F0DA1D2"/>
    <w:rsid w:val="2F0E4E94"/>
    <w:rsid w:val="2F134011"/>
    <w:rsid w:val="2F143341"/>
    <w:rsid w:val="2F2B988B"/>
    <w:rsid w:val="2F2C0838"/>
    <w:rsid w:val="2F430161"/>
    <w:rsid w:val="2F4F689B"/>
    <w:rsid w:val="2F5913AC"/>
    <w:rsid w:val="2F61A780"/>
    <w:rsid w:val="2F6365DD"/>
    <w:rsid w:val="2F63E52C"/>
    <w:rsid w:val="2F65BF5C"/>
    <w:rsid w:val="2F68D06A"/>
    <w:rsid w:val="2F78CC60"/>
    <w:rsid w:val="2F7A2D20"/>
    <w:rsid w:val="2F84F563"/>
    <w:rsid w:val="2F92EDA2"/>
    <w:rsid w:val="2F9DD6E5"/>
    <w:rsid w:val="2FA2E31A"/>
    <w:rsid w:val="2FA341F2"/>
    <w:rsid w:val="2FAB701A"/>
    <w:rsid w:val="2FABAF06"/>
    <w:rsid w:val="2FC6B75D"/>
    <w:rsid w:val="2FD29D9B"/>
    <w:rsid w:val="2FD81B26"/>
    <w:rsid w:val="2FDB0F98"/>
    <w:rsid w:val="2FDCF062"/>
    <w:rsid w:val="2FDE436D"/>
    <w:rsid w:val="2FE4F87F"/>
    <w:rsid w:val="2FE83E06"/>
    <w:rsid w:val="2FED8C0C"/>
    <w:rsid w:val="2FF618A4"/>
    <w:rsid w:val="30014A5A"/>
    <w:rsid w:val="3003A0A9"/>
    <w:rsid w:val="301AFA77"/>
    <w:rsid w:val="301C49BB"/>
    <w:rsid w:val="3026449F"/>
    <w:rsid w:val="30414C7D"/>
    <w:rsid w:val="304A1A5A"/>
    <w:rsid w:val="304A2E60"/>
    <w:rsid w:val="307EFF7E"/>
    <w:rsid w:val="3088E00B"/>
    <w:rsid w:val="30940FC9"/>
    <w:rsid w:val="30A1EFB3"/>
    <w:rsid w:val="30AC57A8"/>
    <w:rsid w:val="30B10545"/>
    <w:rsid w:val="30B76432"/>
    <w:rsid w:val="30B76871"/>
    <w:rsid w:val="30C925E3"/>
    <w:rsid w:val="30DDEC22"/>
    <w:rsid w:val="30E50325"/>
    <w:rsid w:val="30ED0093"/>
    <w:rsid w:val="30ED3294"/>
    <w:rsid w:val="30EF290B"/>
    <w:rsid w:val="30F32D01"/>
    <w:rsid w:val="30FDE4AD"/>
    <w:rsid w:val="310203EA"/>
    <w:rsid w:val="310D8365"/>
    <w:rsid w:val="31368114"/>
    <w:rsid w:val="3138E62D"/>
    <w:rsid w:val="314AB207"/>
    <w:rsid w:val="315052BB"/>
    <w:rsid w:val="31516ADD"/>
    <w:rsid w:val="316D8A4D"/>
    <w:rsid w:val="3175DF1C"/>
    <w:rsid w:val="3177666F"/>
    <w:rsid w:val="317AFDC4"/>
    <w:rsid w:val="3188FBC0"/>
    <w:rsid w:val="318DA66C"/>
    <w:rsid w:val="3191A129"/>
    <w:rsid w:val="31924C63"/>
    <w:rsid w:val="31A29A99"/>
    <w:rsid w:val="31A5CFFC"/>
    <w:rsid w:val="31AC1B43"/>
    <w:rsid w:val="31BE0EB0"/>
    <w:rsid w:val="31C55F9B"/>
    <w:rsid w:val="31C958EA"/>
    <w:rsid w:val="31CABA2E"/>
    <w:rsid w:val="31CD127A"/>
    <w:rsid w:val="31CE429B"/>
    <w:rsid w:val="31D9E862"/>
    <w:rsid w:val="31E8941B"/>
    <w:rsid w:val="31EA2474"/>
    <w:rsid w:val="31EEAC65"/>
    <w:rsid w:val="31F1A95D"/>
    <w:rsid w:val="31F61A4A"/>
    <w:rsid w:val="3203CCC6"/>
    <w:rsid w:val="32050606"/>
    <w:rsid w:val="32057014"/>
    <w:rsid w:val="320DABF7"/>
    <w:rsid w:val="32109701"/>
    <w:rsid w:val="3211B92E"/>
    <w:rsid w:val="3214BDEA"/>
    <w:rsid w:val="32193F5E"/>
    <w:rsid w:val="322DA12C"/>
    <w:rsid w:val="3234E83F"/>
    <w:rsid w:val="3239E9DF"/>
    <w:rsid w:val="323BC54E"/>
    <w:rsid w:val="32427BCD"/>
    <w:rsid w:val="324BD63B"/>
    <w:rsid w:val="324D0E9C"/>
    <w:rsid w:val="325B9776"/>
    <w:rsid w:val="3260C8AB"/>
    <w:rsid w:val="32632DAB"/>
    <w:rsid w:val="32749AE4"/>
    <w:rsid w:val="3278936A"/>
    <w:rsid w:val="3283BCD6"/>
    <w:rsid w:val="3289B5F1"/>
    <w:rsid w:val="32909512"/>
    <w:rsid w:val="3292E6FF"/>
    <w:rsid w:val="32934892"/>
    <w:rsid w:val="329B6442"/>
    <w:rsid w:val="32A103B4"/>
    <w:rsid w:val="32ADE5F6"/>
    <w:rsid w:val="32AF71DB"/>
    <w:rsid w:val="32BDD65C"/>
    <w:rsid w:val="32C90551"/>
    <w:rsid w:val="32CC0011"/>
    <w:rsid w:val="32DD79C2"/>
    <w:rsid w:val="32DDAA02"/>
    <w:rsid w:val="32E37724"/>
    <w:rsid w:val="32ECB7E7"/>
    <w:rsid w:val="32EECE5E"/>
    <w:rsid w:val="32F3E678"/>
    <w:rsid w:val="32FCAB2D"/>
    <w:rsid w:val="32FFBBBD"/>
    <w:rsid w:val="33040DC1"/>
    <w:rsid w:val="33074CAE"/>
    <w:rsid w:val="33098446"/>
    <w:rsid w:val="3323FAEF"/>
    <w:rsid w:val="3324AD12"/>
    <w:rsid w:val="33265DF5"/>
    <w:rsid w:val="33267205"/>
    <w:rsid w:val="3346B39F"/>
    <w:rsid w:val="334C9A2A"/>
    <w:rsid w:val="3368FE95"/>
    <w:rsid w:val="336B316E"/>
    <w:rsid w:val="336BCCD0"/>
    <w:rsid w:val="33704124"/>
    <w:rsid w:val="338EF990"/>
    <w:rsid w:val="33983298"/>
    <w:rsid w:val="33AC5A07"/>
    <w:rsid w:val="33AE4105"/>
    <w:rsid w:val="33B88093"/>
    <w:rsid w:val="33BC1724"/>
    <w:rsid w:val="33BE7488"/>
    <w:rsid w:val="33C6530B"/>
    <w:rsid w:val="33CB9FFD"/>
    <w:rsid w:val="33CE1451"/>
    <w:rsid w:val="33DD0DBD"/>
    <w:rsid w:val="33F08F43"/>
    <w:rsid w:val="34036F4D"/>
    <w:rsid w:val="341109FD"/>
    <w:rsid w:val="341682BC"/>
    <w:rsid w:val="341E4BD7"/>
    <w:rsid w:val="34230586"/>
    <w:rsid w:val="3436CC44"/>
    <w:rsid w:val="3436CFE5"/>
    <w:rsid w:val="34392E44"/>
    <w:rsid w:val="343B0AD6"/>
    <w:rsid w:val="344CD65C"/>
    <w:rsid w:val="34651B07"/>
    <w:rsid w:val="34689DA3"/>
    <w:rsid w:val="34701230"/>
    <w:rsid w:val="3482651A"/>
    <w:rsid w:val="348492B4"/>
    <w:rsid w:val="348A8414"/>
    <w:rsid w:val="34A8456A"/>
    <w:rsid w:val="34AB2AEA"/>
    <w:rsid w:val="34CE3E49"/>
    <w:rsid w:val="34CEAB52"/>
    <w:rsid w:val="34D1F9E1"/>
    <w:rsid w:val="34D2C59B"/>
    <w:rsid w:val="34D5F73C"/>
    <w:rsid w:val="34DBA6EA"/>
    <w:rsid w:val="34DBA839"/>
    <w:rsid w:val="34E6D816"/>
    <w:rsid w:val="34F83FF9"/>
    <w:rsid w:val="34FB71C3"/>
    <w:rsid w:val="34FCDE5B"/>
    <w:rsid w:val="350FE009"/>
    <w:rsid w:val="35176E91"/>
    <w:rsid w:val="3518DD4B"/>
    <w:rsid w:val="352C7CE1"/>
    <w:rsid w:val="35466C06"/>
    <w:rsid w:val="35578C80"/>
    <w:rsid w:val="355E9FCA"/>
    <w:rsid w:val="3563B234"/>
    <w:rsid w:val="35653B95"/>
    <w:rsid w:val="3565C2C0"/>
    <w:rsid w:val="3570A931"/>
    <w:rsid w:val="3571852D"/>
    <w:rsid w:val="35782F05"/>
    <w:rsid w:val="357A12CF"/>
    <w:rsid w:val="357EB4C6"/>
    <w:rsid w:val="3582C8B0"/>
    <w:rsid w:val="35908CBD"/>
    <w:rsid w:val="3595CF01"/>
    <w:rsid w:val="35A981C8"/>
    <w:rsid w:val="35A99F37"/>
    <w:rsid w:val="35A9BA34"/>
    <w:rsid w:val="35B67BF5"/>
    <w:rsid w:val="35B97774"/>
    <w:rsid w:val="35C89A78"/>
    <w:rsid w:val="35D20401"/>
    <w:rsid w:val="35D99CDA"/>
    <w:rsid w:val="35DB1EE4"/>
    <w:rsid w:val="35FABC1E"/>
    <w:rsid w:val="360C6A24"/>
    <w:rsid w:val="360CB820"/>
    <w:rsid w:val="3627A443"/>
    <w:rsid w:val="36335AD1"/>
    <w:rsid w:val="363A1776"/>
    <w:rsid w:val="363A62CB"/>
    <w:rsid w:val="363C3969"/>
    <w:rsid w:val="3648FFEE"/>
    <w:rsid w:val="366727C7"/>
    <w:rsid w:val="3669BD01"/>
    <w:rsid w:val="36814FF0"/>
    <w:rsid w:val="368DF457"/>
    <w:rsid w:val="36AB3CCD"/>
    <w:rsid w:val="36B71D21"/>
    <w:rsid w:val="36C0B7A6"/>
    <w:rsid w:val="36C432E5"/>
    <w:rsid w:val="36C5ADC9"/>
    <w:rsid w:val="36CA3452"/>
    <w:rsid w:val="36F3BFF1"/>
    <w:rsid w:val="36F85447"/>
    <w:rsid w:val="3700C7AF"/>
    <w:rsid w:val="370135F9"/>
    <w:rsid w:val="370B04D6"/>
    <w:rsid w:val="37114D5C"/>
    <w:rsid w:val="371A9CB9"/>
    <w:rsid w:val="371DDC33"/>
    <w:rsid w:val="37230C16"/>
    <w:rsid w:val="373FFEC5"/>
    <w:rsid w:val="37481069"/>
    <w:rsid w:val="374BD1B1"/>
    <w:rsid w:val="375888E2"/>
    <w:rsid w:val="375D3414"/>
    <w:rsid w:val="37634ADC"/>
    <w:rsid w:val="377410F8"/>
    <w:rsid w:val="377629D0"/>
    <w:rsid w:val="377DD7E5"/>
    <w:rsid w:val="378B950F"/>
    <w:rsid w:val="37958A65"/>
    <w:rsid w:val="37A36AA7"/>
    <w:rsid w:val="37ADA583"/>
    <w:rsid w:val="37C4CF97"/>
    <w:rsid w:val="37CA53D2"/>
    <w:rsid w:val="37D480FD"/>
    <w:rsid w:val="37D6E126"/>
    <w:rsid w:val="37DCEC0A"/>
    <w:rsid w:val="37E7D639"/>
    <w:rsid w:val="37EC5F4D"/>
    <w:rsid w:val="37F51BAB"/>
    <w:rsid w:val="37F7C4A4"/>
    <w:rsid w:val="37FAC89B"/>
    <w:rsid w:val="37FADB51"/>
    <w:rsid w:val="37FC3EB3"/>
    <w:rsid w:val="38025353"/>
    <w:rsid w:val="38117210"/>
    <w:rsid w:val="3820E517"/>
    <w:rsid w:val="38256CEC"/>
    <w:rsid w:val="382A9232"/>
    <w:rsid w:val="382CE135"/>
    <w:rsid w:val="382F0A82"/>
    <w:rsid w:val="383A5F36"/>
    <w:rsid w:val="3842944F"/>
    <w:rsid w:val="3844E633"/>
    <w:rsid w:val="3853E0C4"/>
    <w:rsid w:val="3856EAD3"/>
    <w:rsid w:val="38574D22"/>
    <w:rsid w:val="385B139E"/>
    <w:rsid w:val="3862EDD2"/>
    <w:rsid w:val="38687C36"/>
    <w:rsid w:val="386F1E0F"/>
    <w:rsid w:val="3878AF92"/>
    <w:rsid w:val="388BE292"/>
    <w:rsid w:val="38947428"/>
    <w:rsid w:val="38A3D513"/>
    <w:rsid w:val="38A4B6D1"/>
    <w:rsid w:val="38A54355"/>
    <w:rsid w:val="38B0E66A"/>
    <w:rsid w:val="38BB9C96"/>
    <w:rsid w:val="38C0D94F"/>
    <w:rsid w:val="38D04938"/>
    <w:rsid w:val="38D0A750"/>
    <w:rsid w:val="38D132A0"/>
    <w:rsid w:val="38E7DDE1"/>
    <w:rsid w:val="38EFEDB6"/>
    <w:rsid w:val="38F4F8B5"/>
    <w:rsid w:val="390407FC"/>
    <w:rsid w:val="39073C4E"/>
    <w:rsid w:val="3923E0E4"/>
    <w:rsid w:val="39394839"/>
    <w:rsid w:val="393BA7C9"/>
    <w:rsid w:val="39441CAF"/>
    <w:rsid w:val="3944AD84"/>
    <w:rsid w:val="394B3683"/>
    <w:rsid w:val="394C0E8C"/>
    <w:rsid w:val="395564C2"/>
    <w:rsid w:val="395BB605"/>
    <w:rsid w:val="39703F68"/>
    <w:rsid w:val="397E87EF"/>
    <w:rsid w:val="3988D002"/>
    <w:rsid w:val="39942378"/>
    <w:rsid w:val="399B0C9F"/>
    <w:rsid w:val="399E0F74"/>
    <w:rsid w:val="39A0B06A"/>
    <w:rsid w:val="39B0346D"/>
    <w:rsid w:val="39B531D1"/>
    <w:rsid w:val="39B67F61"/>
    <w:rsid w:val="39BA6FBF"/>
    <w:rsid w:val="39BC37D2"/>
    <w:rsid w:val="39BF0E40"/>
    <w:rsid w:val="39C1754B"/>
    <w:rsid w:val="39EE401C"/>
    <w:rsid w:val="39F98A93"/>
    <w:rsid w:val="3A04BB1B"/>
    <w:rsid w:val="3A055D9F"/>
    <w:rsid w:val="3A214006"/>
    <w:rsid w:val="3A337FC7"/>
    <w:rsid w:val="3A3A3AA9"/>
    <w:rsid w:val="3A3E362D"/>
    <w:rsid w:val="3A4F0B41"/>
    <w:rsid w:val="3A595D48"/>
    <w:rsid w:val="3A5AD398"/>
    <w:rsid w:val="3A5B0B34"/>
    <w:rsid w:val="3A622E70"/>
    <w:rsid w:val="3A6A4AA1"/>
    <w:rsid w:val="3A6CDF13"/>
    <w:rsid w:val="3A74E70B"/>
    <w:rsid w:val="3A7553A6"/>
    <w:rsid w:val="3A7AC908"/>
    <w:rsid w:val="3A883E52"/>
    <w:rsid w:val="3A89F5A5"/>
    <w:rsid w:val="3A8ADA72"/>
    <w:rsid w:val="3AABBAB9"/>
    <w:rsid w:val="3ABA0BC8"/>
    <w:rsid w:val="3ABB3127"/>
    <w:rsid w:val="3ABD878D"/>
    <w:rsid w:val="3ABDC296"/>
    <w:rsid w:val="3AC53587"/>
    <w:rsid w:val="3ACCB220"/>
    <w:rsid w:val="3ACCE157"/>
    <w:rsid w:val="3AD54BE1"/>
    <w:rsid w:val="3ADCCCBA"/>
    <w:rsid w:val="3AEB5F32"/>
    <w:rsid w:val="3AECE79A"/>
    <w:rsid w:val="3AF16F50"/>
    <w:rsid w:val="3AF82B24"/>
    <w:rsid w:val="3AFBF10E"/>
    <w:rsid w:val="3B0F902E"/>
    <w:rsid w:val="3B154CEA"/>
    <w:rsid w:val="3B1B3974"/>
    <w:rsid w:val="3B2230CB"/>
    <w:rsid w:val="3B29E164"/>
    <w:rsid w:val="3B382E74"/>
    <w:rsid w:val="3B3FD69A"/>
    <w:rsid w:val="3B43A4CE"/>
    <w:rsid w:val="3B5208FA"/>
    <w:rsid w:val="3B523900"/>
    <w:rsid w:val="3B59D60C"/>
    <w:rsid w:val="3B5DA257"/>
    <w:rsid w:val="3B628C15"/>
    <w:rsid w:val="3B635F0D"/>
    <w:rsid w:val="3B6D6644"/>
    <w:rsid w:val="3B6EA779"/>
    <w:rsid w:val="3B731235"/>
    <w:rsid w:val="3B7532B7"/>
    <w:rsid w:val="3B786C2E"/>
    <w:rsid w:val="3B78BB1B"/>
    <w:rsid w:val="3B800508"/>
    <w:rsid w:val="3B9D91B6"/>
    <w:rsid w:val="3BA1AFB2"/>
    <w:rsid w:val="3BB29376"/>
    <w:rsid w:val="3BB4B481"/>
    <w:rsid w:val="3BB897B2"/>
    <w:rsid w:val="3BBB8C9A"/>
    <w:rsid w:val="3BC06DB6"/>
    <w:rsid w:val="3BC148A6"/>
    <w:rsid w:val="3BCAC206"/>
    <w:rsid w:val="3BD42586"/>
    <w:rsid w:val="3BD4AE87"/>
    <w:rsid w:val="3BDBC96D"/>
    <w:rsid w:val="3BDF05EF"/>
    <w:rsid w:val="3BED2B60"/>
    <w:rsid w:val="3C0042DE"/>
    <w:rsid w:val="3C02BA1C"/>
    <w:rsid w:val="3C10A106"/>
    <w:rsid w:val="3C19293A"/>
    <w:rsid w:val="3C1B64FA"/>
    <w:rsid w:val="3C220D73"/>
    <w:rsid w:val="3C23B637"/>
    <w:rsid w:val="3C2A031B"/>
    <w:rsid w:val="3C2D3AB8"/>
    <w:rsid w:val="3C39CD0C"/>
    <w:rsid w:val="3C3B3A69"/>
    <w:rsid w:val="3C3D126D"/>
    <w:rsid w:val="3C44C82B"/>
    <w:rsid w:val="3C47DC73"/>
    <w:rsid w:val="3C5992F7"/>
    <w:rsid w:val="3C5FB9AD"/>
    <w:rsid w:val="3C77F3C5"/>
    <w:rsid w:val="3C8223D6"/>
    <w:rsid w:val="3C869DB4"/>
    <w:rsid w:val="3C8864C2"/>
    <w:rsid w:val="3C985A79"/>
    <w:rsid w:val="3C9C2C10"/>
    <w:rsid w:val="3CA3ACCA"/>
    <w:rsid w:val="3CABCB66"/>
    <w:rsid w:val="3CAE8F60"/>
    <w:rsid w:val="3CB01139"/>
    <w:rsid w:val="3CC0DCD2"/>
    <w:rsid w:val="3CC5AA1E"/>
    <w:rsid w:val="3CCA0FB7"/>
    <w:rsid w:val="3CD472BC"/>
    <w:rsid w:val="3CDDE7BE"/>
    <w:rsid w:val="3CE05C4A"/>
    <w:rsid w:val="3CEEC1EA"/>
    <w:rsid w:val="3CF25870"/>
    <w:rsid w:val="3CF6CF14"/>
    <w:rsid w:val="3CF86015"/>
    <w:rsid w:val="3CF8FA6B"/>
    <w:rsid w:val="3D10B128"/>
    <w:rsid w:val="3D167462"/>
    <w:rsid w:val="3D294A06"/>
    <w:rsid w:val="3D2D333A"/>
    <w:rsid w:val="3D386508"/>
    <w:rsid w:val="3D482C13"/>
    <w:rsid w:val="3D4B99A4"/>
    <w:rsid w:val="3D579D20"/>
    <w:rsid w:val="3D674D26"/>
    <w:rsid w:val="3D710148"/>
    <w:rsid w:val="3D7F7981"/>
    <w:rsid w:val="3D820B91"/>
    <w:rsid w:val="3D86F39B"/>
    <w:rsid w:val="3D9B6527"/>
    <w:rsid w:val="3D9D8302"/>
    <w:rsid w:val="3DAB215D"/>
    <w:rsid w:val="3DB21795"/>
    <w:rsid w:val="3DBAF938"/>
    <w:rsid w:val="3DC31107"/>
    <w:rsid w:val="3DDB48B5"/>
    <w:rsid w:val="3DE5A21E"/>
    <w:rsid w:val="3DEDFDA2"/>
    <w:rsid w:val="3DF8AE8F"/>
    <w:rsid w:val="3DF9A4BE"/>
    <w:rsid w:val="3DFCAC99"/>
    <w:rsid w:val="3E144F8C"/>
    <w:rsid w:val="3E1E0DC2"/>
    <w:rsid w:val="3E21AEC8"/>
    <w:rsid w:val="3E272623"/>
    <w:rsid w:val="3E30504F"/>
    <w:rsid w:val="3E34048F"/>
    <w:rsid w:val="3E34D3FE"/>
    <w:rsid w:val="3E3DFB97"/>
    <w:rsid w:val="3E428AB2"/>
    <w:rsid w:val="3E5677B9"/>
    <w:rsid w:val="3E74B334"/>
    <w:rsid w:val="3E772FE0"/>
    <w:rsid w:val="3E8201B1"/>
    <w:rsid w:val="3E82B04F"/>
    <w:rsid w:val="3E9C4EC1"/>
    <w:rsid w:val="3EA04B1E"/>
    <w:rsid w:val="3EAC8189"/>
    <w:rsid w:val="3EB0201F"/>
    <w:rsid w:val="3EB71368"/>
    <w:rsid w:val="3EBE9E98"/>
    <w:rsid w:val="3ECCDD8E"/>
    <w:rsid w:val="3ED1024A"/>
    <w:rsid w:val="3ED5BD86"/>
    <w:rsid w:val="3EFBDF38"/>
    <w:rsid w:val="3F05DEA9"/>
    <w:rsid w:val="3F0F1F75"/>
    <w:rsid w:val="3F0F5F1B"/>
    <w:rsid w:val="3F1C35E9"/>
    <w:rsid w:val="3F261DDA"/>
    <w:rsid w:val="3F323C7E"/>
    <w:rsid w:val="3F36F876"/>
    <w:rsid w:val="3F3AABC5"/>
    <w:rsid w:val="3F418670"/>
    <w:rsid w:val="3F44A8BE"/>
    <w:rsid w:val="3F46CF32"/>
    <w:rsid w:val="3F4918C8"/>
    <w:rsid w:val="3F4FE06C"/>
    <w:rsid w:val="3F56DA7F"/>
    <w:rsid w:val="3F5A195E"/>
    <w:rsid w:val="3F745EF2"/>
    <w:rsid w:val="3F756CE4"/>
    <w:rsid w:val="3F8B5700"/>
    <w:rsid w:val="3F970633"/>
    <w:rsid w:val="3F9EC6C4"/>
    <w:rsid w:val="3FA01CD5"/>
    <w:rsid w:val="3FBA49F6"/>
    <w:rsid w:val="3FC0E777"/>
    <w:rsid w:val="3FC662BA"/>
    <w:rsid w:val="3FC9D5AC"/>
    <w:rsid w:val="3FCAD9C3"/>
    <w:rsid w:val="3FD51163"/>
    <w:rsid w:val="3FDA8AC1"/>
    <w:rsid w:val="3FE273F4"/>
    <w:rsid w:val="3FE9EFC4"/>
    <w:rsid w:val="3FF48214"/>
    <w:rsid w:val="4000032E"/>
    <w:rsid w:val="400102DE"/>
    <w:rsid w:val="4004EAB0"/>
    <w:rsid w:val="4006BA80"/>
    <w:rsid w:val="400A857E"/>
    <w:rsid w:val="4014BB6A"/>
    <w:rsid w:val="40191244"/>
    <w:rsid w:val="4028A610"/>
    <w:rsid w:val="4031B5E9"/>
    <w:rsid w:val="40352F0E"/>
    <w:rsid w:val="403D6C69"/>
    <w:rsid w:val="403D7707"/>
    <w:rsid w:val="403DFCAB"/>
    <w:rsid w:val="40423422"/>
    <w:rsid w:val="404851EA"/>
    <w:rsid w:val="404E54B4"/>
    <w:rsid w:val="404E8354"/>
    <w:rsid w:val="40513C39"/>
    <w:rsid w:val="40571940"/>
    <w:rsid w:val="40613A8A"/>
    <w:rsid w:val="406529D3"/>
    <w:rsid w:val="406EEE8B"/>
    <w:rsid w:val="406F97AF"/>
    <w:rsid w:val="4073E577"/>
    <w:rsid w:val="40754347"/>
    <w:rsid w:val="4075EF33"/>
    <w:rsid w:val="40880FD9"/>
    <w:rsid w:val="40A05101"/>
    <w:rsid w:val="40A06AEB"/>
    <w:rsid w:val="40AE3D55"/>
    <w:rsid w:val="40AED9DF"/>
    <w:rsid w:val="40B415A5"/>
    <w:rsid w:val="40B5798C"/>
    <w:rsid w:val="40CEDDDD"/>
    <w:rsid w:val="40D9F3E8"/>
    <w:rsid w:val="40E8EA08"/>
    <w:rsid w:val="40F29566"/>
    <w:rsid w:val="40F5F90C"/>
    <w:rsid w:val="40F96D05"/>
    <w:rsid w:val="40FBB5BF"/>
    <w:rsid w:val="4103B1A3"/>
    <w:rsid w:val="4106DB83"/>
    <w:rsid w:val="41160A43"/>
    <w:rsid w:val="4116AF4D"/>
    <w:rsid w:val="411AF31F"/>
    <w:rsid w:val="411C33A2"/>
    <w:rsid w:val="411CB52B"/>
    <w:rsid w:val="4121B890"/>
    <w:rsid w:val="41245495"/>
    <w:rsid w:val="4124AF54"/>
    <w:rsid w:val="412B84DB"/>
    <w:rsid w:val="412D041A"/>
    <w:rsid w:val="413BA681"/>
    <w:rsid w:val="41511432"/>
    <w:rsid w:val="4151E16F"/>
    <w:rsid w:val="4154B2B0"/>
    <w:rsid w:val="4155666B"/>
    <w:rsid w:val="415AD1D2"/>
    <w:rsid w:val="41650A0B"/>
    <w:rsid w:val="4166E2E7"/>
    <w:rsid w:val="41727B0B"/>
    <w:rsid w:val="41797F7F"/>
    <w:rsid w:val="418A5A84"/>
    <w:rsid w:val="419C2217"/>
    <w:rsid w:val="41A16DFE"/>
    <w:rsid w:val="41A989D9"/>
    <w:rsid w:val="41B66EB1"/>
    <w:rsid w:val="41BC3603"/>
    <w:rsid w:val="41D21FEF"/>
    <w:rsid w:val="41D8F8BC"/>
    <w:rsid w:val="41E337B4"/>
    <w:rsid w:val="41E3AA7D"/>
    <w:rsid w:val="41E86BAD"/>
    <w:rsid w:val="41EBA2E0"/>
    <w:rsid w:val="41F7A7A7"/>
    <w:rsid w:val="421938A7"/>
    <w:rsid w:val="421B3EC2"/>
    <w:rsid w:val="422CE9C3"/>
    <w:rsid w:val="422DEC89"/>
    <w:rsid w:val="4231632B"/>
    <w:rsid w:val="4234CFA1"/>
    <w:rsid w:val="42370F9D"/>
    <w:rsid w:val="4239109D"/>
    <w:rsid w:val="423F604A"/>
    <w:rsid w:val="424B5DB4"/>
    <w:rsid w:val="424BF7A3"/>
    <w:rsid w:val="4259C30D"/>
    <w:rsid w:val="425B52DE"/>
    <w:rsid w:val="426D51CB"/>
    <w:rsid w:val="427512A0"/>
    <w:rsid w:val="42786599"/>
    <w:rsid w:val="428767B2"/>
    <w:rsid w:val="428E5E9E"/>
    <w:rsid w:val="42B90021"/>
    <w:rsid w:val="42B90E33"/>
    <w:rsid w:val="42BCB712"/>
    <w:rsid w:val="42CF108B"/>
    <w:rsid w:val="42D272FC"/>
    <w:rsid w:val="42D6122E"/>
    <w:rsid w:val="42E57805"/>
    <w:rsid w:val="42E6F11F"/>
    <w:rsid w:val="42E81945"/>
    <w:rsid w:val="42F0A429"/>
    <w:rsid w:val="42F28489"/>
    <w:rsid w:val="42F648BF"/>
    <w:rsid w:val="42FD4C92"/>
    <w:rsid w:val="4305AF90"/>
    <w:rsid w:val="430EBCA7"/>
    <w:rsid w:val="4312BD48"/>
    <w:rsid w:val="4316899D"/>
    <w:rsid w:val="431A6440"/>
    <w:rsid w:val="43264BEA"/>
    <w:rsid w:val="432F60A9"/>
    <w:rsid w:val="43362151"/>
    <w:rsid w:val="4336CF76"/>
    <w:rsid w:val="434484E0"/>
    <w:rsid w:val="43503A6C"/>
    <w:rsid w:val="4355FA29"/>
    <w:rsid w:val="435E28F9"/>
    <w:rsid w:val="435F3154"/>
    <w:rsid w:val="4362BBD8"/>
    <w:rsid w:val="43706BBA"/>
    <w:rsid w:val="437628AF"/>
    <w:rsid w:val="438A7C94"/>
    <w:rsid w:val="43900DA9"/>
    <w:rsid w:val="439FD4E1"/>
    <w:rsid w:val="43A11F7F"/>
    <w:rsid w:val="43A1DE56"/>
    <w:rsid w:val="43A41DF7"/>
    <w:rsid w:val="43A4D09F"/>
    <w:rsid w:val="43A56C1B"/>
    <w:rsid w:val="43B8FC72"/>
    <w:rsid w:val="43C14D74"/>
    <w:rsid w:val="43C551E0"/>
    <w:rsid w:val="43E3835E"/>
    <w:rsid w:val="43E68E2D"/>
    <w:rsid w:val="43F111B1"/>
    <w:rsid w:val="43F93F26"/>
    <w:rsid w:val="43FB994B"/>
    <w:rsid w:val="44005E8F"/>
    <w:rsid w:val="44031716"/>
    <w:rsid w:val="44159B8A"/>
    <w:rsid w:val="4422A9C6"/>
    <w:rsid w:val="442719E4"/>
    <w:rsid w:val="442EC071"/>
    <w:rsid w:val="44326D06"/>
    <w:rsid w:val="4438859E"/>
    <w:rsid w:val="4443E969"/>
    <w:rsid w:val="444CB849"/>
    <w:rsid w:val="4457C9AF"/>
    <w:rsid w:val="445B998C"/>
    <w:rsid w:val="445D5764"/>
    <w:rsid w:val="446DE176"/>
    <w:rsid w:val="4471C3A6"/>
    <w:rsid w:val="447578BD"/>
    <w:rsid w:val="447C7318"/>
    <w:rsid w:val="4482B423"/>
    <w:rsid w:val="44841628"/>
    <w:rsid w:val="4485E32E"/>
    <w:rsid w:val="44873FEF"/>
    <w:rsid w:val="4490C7C6"/>
    <w:rsid w:val="44946586"/>
    <w:rsid w:val="449F70C9"/>
    <w:rsid w:val="44A4F09B"/>
    <w:rsid w:val="44A6D2E3"/>
    <w:rsid w:val="44AA7BC4"/>
    <w:rsid w:val="44AAAFB0"/>
    <w:rsid w:val="44B46018"/>
    <w:rsid w:val="44C2F4E8"/>
    <w:rsid w:val="44C69C34"/>
    <w:rsid w:val="44CED939"/>
    <w:rsid w:val="44E00DFA"/>
    <w:rsid w:val="44E70565"/>
    <w:rsid w:val="44ED788F"/>
    <w:rsid w:val="44F8E2E8"/>
    <w:rsid w:val="44F91AAA"/>
    <w:rsid w:val="45019DEF"/>
    <w:rsid w:val="451452F7"/>
    <w:rsid w:val="4517CDFB"/>
    <w:rsid w:val="4535E385"/>
    <w:rsid w:val="453C734E"/>
    <w:rsid w:val="45472602"/>
    <w:rsid w:val="454733B7"/>
    <w:rsid w:val="454D0297"/>
    <w:rsid w:val="45547E2D"/>
    <w:rsid w:val="455A83A9"/>
    <w:rsid w:val="456092B4"/>
    <w:rsid w:val="456B5A9F"/>
    <w:rsid w:val="457B4877"/>
    <w:rsid w:val="457DCB2A"/>
    <w:rsid w:val="457E9C9D"/>
    <w:rsid w:val="45878859"/>
    <w:rsid w:val="458EA820"/>
    <w:rsid w:val="45900229"/>
    <w:rsid w:val="4590F794"/>
    <w:rsid w:val="459771D1"/>
    <w:rsid w:val="4598596A"/>
    <w:rsid w:val="45A95D3B"/>
    <w:rsid w:val="45B3606A"/>
    <w:rsid w:val="45B44506"/>
    <w:rsid w:val="45B5696C"/>
    <w:rsid w:val="45B94C03"/>
    <w:rsid w:val="45C94596"/>
    <w:rsid w:val="45D716EB"/>
    <w:rsid w:val="45E1DFB3"/>
    <w:rsid w:val="45E29CF4"/>
    <w:rsid w:val="45E4781C"/>
    <w:rsid w:val="45E899D0"/>
    <w:rsid w:val="45E9E0E0"/>
    <w:rsid w:val="45F0C5F0"/>
    <w:rsid w:val="45F16989"/>
    <w:rsid w:val="45F9C406"/>
    <w:rsid w:val="4606B088"/>
    <w:rsid w:val="46245A89"/>
    <w:rsid w:val="46261BC0"/>
    <w:rsid w:val="463E806A"/>
    <w:rsid w:val="46401957"/>
    <w:rsid w:val="46561784"/>
    <w:rsid w:val="4661A59E"/>
    <w:rsid w:val="466BC587"/>
    <w:rsid w:val="466D064C"/>
    <w:rsid w:val="46706DE7"/>
    <w:rsid w:val="4672920D"/>
    <w:rsid w:val="4672F37E"/>
    <w:rsid w:val="4679AF30"/>
    <w:rsid w:val="4682495C"/>
    <w:rsid w:val="4682B189"/>
    <w:rsid w:val="468C03FC"/>
    <w:rsid w:val="4694A3CE"/>
    <w:rsid w:val="4697AE6E"/>
    <w:rsid w:val="46AA70F3"/>
    <w:rsid w:val="46ACCC8D"/>
    <w:rsid w:val="46AD5DEB"/>
    <w:rsid w:val="46B8C92A"/>
    <w:rsid w:val="46BA894F"/>
    <w:rsid w:val="46BE9AB4"/>
    <w:rsid w:val="46CC7F89"/>
    <w:rsid w:val="46D12D8A"/>
    <w:rsid w:val="46EB7905"/>
    <w:rsid w:val="4701641E"/>
    <w:rsid w:val="47049F97"/>
    <w:rsid w:val="47158806"/>
    <w:rsid w:val="4723F16F"/>
    <w:rsid w:val="472FC760"/>
    <w:rsid w:val="47304485"/>
    <w:rsid w:val="47356BE6"/>
    <w:rsid w:val="4737C544"/>
    <w:rsid w:val="47563081"/>
    <w:rsid w:val="475688F6"/>
    <w:rsid w:val="4765D8B9"/>
    <w:rsid w:val="476F0169"/>
    <w:rsid w:val="47775B9A"/>
    <w:rsid w:val="4778664B"/>
    <w:rsid w:val="478267E2"/>
    <w:rsid w:val="479001CE"/>
    <w:rsid w:val="479AC474"/>
    <w:rsid w:val="47B24005"/>
    <w:rsid w:val="47CBF612"/>
    <w:rsid w:val="47CF7A8D"/>
    <w:rsid w:val="47D60FDF"/>
    <w:rsid w:val="47DD5AC7"/>
    <w:rsid w:val="47E1ABD4"/>
    <w:rsid w:val="47EF9C75"/>
    <w:rsid w:val="47F001AB"/>
    <w:rsid w:val="47F6EE44"/>
    <w:rsid w:val="47F85E64"/>
    <w:rsid w:val="47FAEC4B"/>
    <w:rsid w:val="47FE9867"/>
    <w:rsid w:val="47FFBED2"/>
    <w:rsid w:val="4822F540"/>
    <w:rsid w:val="48447C38"/>
    <w:rsid w:val="4855AD6C"/>
    <w:rsid w:val="485914FC"/>
    <w:rsid w:val="486542F5"/>
    <w:rsid w:val="486B1E32"/>
    <w:rsid w:val="48810D3E"/>
    <w:rsid w:val="48895D64"/>
    <w:rsid w:val="488A962D"/>
    <w:rsid w:val="4895D349"/>
    <w:rsid w:val="489DBFBB"/>
    <w:rsid w:val="48C87108"/>
    <w:rsid w:val="48CD2336"/>
    <w:rsid w:val="48D3F533"/>
    <w:rsid w:val="48E04C3F"/>
    <w:rsid w:val="48EBAE86"/>
    <w:rsid w:val="48EEA851"/>
    <w:rsid w:val="48F0E811"/>
    <w:rsid w:val="48F2EAF5"/>
    <w:rsid w:val="48FDD186"/>
    <w:rsid w:val="49057A45"/>
    <w:rsid w:val="490B1D98"/>
    <w:rsid w:val="492261FE"/>
    <w:rsid w:val="4926F14E"/>
    <w:rsid w:val="492949B4"/>
    <w:rsid w:val="492BD557"/>
    <w:rsid w:val="49346CFA"/>
    <w:rsid w:val="49347C0F"/>
    <w:rsid w:val="493E9EE5"/>
    <w:rsid w:val="494BBDA0"/>
    <w:rsid w:val="4960EA6A"/>
    <w:rsid w:val="496175B7"/>
    <w:rsid w:val="49635CD1"/>
    <w:rsid w:val="49695D91"/>
    <w:rsid w:val="496D71A9"/>
    <w:rsid w:val="49710463"/>
    <w:rsid w:val="49712FDD"/>
    <w:rsid w:val="49763AB1"/>
    <w:rsid w:val="497A8F27"/>
    <w:rsid w:val="497C4700"/>
    <w:rsid w:val="4983307A"/>
    <w:rsid w:val="49874FDA"/>
    <w:rsid w:val="4996AA7E"/>
    <w:rsid w:val="499B55B4"/>
    <w:rsid w:val="499ECA06"/>
    <w:rsid w:val="49B6ED8D"/>
    <w:rsid w:val="49B8C047"/>
    <w:rsid w:val="49C12077"/>
    <w:rsid w:val="49E36968"/>
    <w:rsid w:val="49EA1F4F"/>
    <w:rsid w:val="49F2FC11"/>
    <w:rsid w:val="4A07AF57"/>
    <w:rsid w:val="4A0959F9"/>
    <w:rsid w:val="4A0DD4C2"/>
    <w:rsid w:val="4A14D049"/>
    <w:rsid w:val="4A16DFAD"/>
    <w:rsid w:val="4A1CB5DD"/>
    <w:rsid w:val="4A20B157"/>
    <w:rsid w:val="4A2A59AB"/>
    <w:rsid w:val="4A3126CE"/>
    <w:rsid w:val="4A38B019"/>
    <w:rsid w:val="4A42037D"/>
    <w:rsid w:val="4A4CEFEF"/>
    <w:rsid w:val="4A511657"/>
    <w:rsid w:val="4A61C97A"/>
    <w:rsid w:val="4A7F8FC4"/>
    <w:rsid w:val="4A9545CF"/>
    <w:rsid w:val="4A977A23"/>
    <w:rsid w:val="4A9E9959"/>
    <w:rsid w:val="4AA6E8DE"/>
    <w:rsid w:val="4AACE727"/>
    <w:rsid w:val="4AAFCA4F"/>
    <w:rsid w:val="4AB44AFB"/>
    <w:rsid w:val="4AB7A2E2"/>
    <w:rsid w:val="4AC3F164"/>
    <w:rsid w:val="4AC4DB30"/>
    <w:rsid w:val="4ACF8621"/>
    <w:rsid w:val="4AD7E181"/>
    <w:rsid w:val="4AE37C1B"/>
    <w:rsid w:val="4AE8E461"/>
    <w:rsid w:val="4B0DB678"/>
    <w:rsid w:val="4B1E3EB4"/>
    <w:rsid w:val="4B1E763E"/>
    <w:rsid w:val="4B27099D"/>
    <w:rsid w:val="4B276D97"/>
    <w:rsid w:val="4B281865"/>
    <w:rsid w:val="4B2D7317"/>
    <w:rsid w:val="4B3249DB"/>
    <w:rsid w:val="4B34CCF2"/>
    <w:rsid w:val="4B374AEE"/>
    <w:rsid w:val="4B38249C"/>
    <w:rsid w:val="4B3F81DD"/>
    <w:rsid w:val="4B44BBFE"/>
    <w:rsid w:val="4B700AE6"/>
    <w:rsid w:val="4B759376"/>
    <w:rsid w:val="4B8151DE"/>
    <w:rsid w:val="4B900A8A"/>
    <w:rsid w:val="4B91816E"/>
    <w:rsid w:val="4B92902E"/>
    <w:rsid w:val="4B9FFB67"/>
    <w:rsid w:val="4BA996FD"/>
    <w:rsid w:val="4BB61F08"/>
    <w:rsid w:val="4BD055D2"/>
    <w:rsid w:val="4BD6F637"/>
    <w:rsid w:val="4BDA0B83"/>
    <w:rsid w:val="4BDBED1C"/>
    <w:rsid w:val="4BDD1B6A"/>
    <w:rsid w:val="4BDE0600"/>
    <w:rsid w:val="4BEB404E"/>
    <w:rsid w:val="4BF1223D"/>
    <w:rsid w:val="4C049CA0"/>
    <w:rsid w:val="4C112DB7"/>
    <w:rsid w:val="4C11C84D"/>
    <w:rsid w:val="4C11D07E"/>
    <w:rsid w:val="4C1ADF15"/>
    <w:rsid w:val="4C1D2D3E"/>
    <w:rsid w:val="4C217FD0"/>
    <w:rsid w:val="4C257984"/>
    <w:rsid w:val="4C25A2E2"/>
    <w:rsid w:val="4C27843A"/>
    <w:rsid w:val="4C29E9FA"/>
    <w:rsid w:val="4C3F9151"/>
    <w:rsid w:val="4C3FEF69"/>
    <w:rsid w:val="4C4E735A"/>
    <w:rsid w:val="4C548FFD"/>
    <w:rsid w:val="4C5A3D10"/>
    <w:rsid w:val="4C633030"/>
    <w:rsid w:val="4C649358"/>
    <w:rsid w:val="4C6D5CA9"/>
    <w:rsid w:val="4C7E6C16"/>
    <w:rsid w:val="4C82367E"/>
    <w:rsid w:val="4C89314C"/>
    <w:rsid w:val="4C8FE71C"/>
    <w:rsid w:val="4CC1B36D"/>
    <w:rsid w:val="4CC5059C"/>
    <w:rsid w:val="4CCB2E25"/>
    <w:rsid w:val="4CCEA89B"/>
    <w:rsid w:val="4CCF7623"/>
    <w:rsid w:val="4CD5602B"/>
    <w:rsid w:val="4CD6A7DE"/>
    <w:rsid w:val="4CDDE8D0"/>
    <w:rsid w:val="4CE9626E"/>
    <w:rsid w:val="4CF47A9B"/>
    <w:rsid w:val="4CFE4E2E"/>
    <w:rsid w:val="4CFF3B7F"/>
    <w:rsid w:val="4D01EEC1"/>
    <w:rsid w:val="4D0921B2"/>
    <w:rsid w:val="4D0D8515"/>
    <w:rsid w:val="4D15D0B6"/>
    <w:rsid w:val="4D16191D"/>
    <w:rsid w:val="4D18A94D"/>
    <w:rsid w:val="4D1AA1B0"/>
    <w:rsid w:val="4D2B7041"/>
    <w:rsid w:val="4D2D989C"/>
    <w:rsid w:val="4D2DB516"/>
    <w:rsid w:val="4D2EEFF4"/>
    <w:rsid w:val="4D328F92"/>
    <w:rsid w:val="4D424ED6"/>
    <w:rsid w:val="4D498B08"/>
    <w:rsid w:val="4D583CAD"/>
    <w:rsid w:val="4D6815AF"/>
    <w:rsid w:val="4D7573F7"/>
    <w:rsid w:val="4D80EAEF"/>
    <w:rsid w:val="4D97C723"/>
    <w:rsid w:val="4D986877"/>
    <w:rsid w:val="4D9A7836"/>
    <w:rsid w:val="4D9B94AC"/>
    <w:rsid w:val="4D9F7160"/>
    <w:rsid w:val="4DA93069"/>
    <w:rsid w:val="4DABE285"/>
    <w:rsid w:val="4DAC31E4"/>
    <w:rsid w:val="4DAC9F5D"/>
    <w:rsid w:val="4DB0D643"/>
    <w:rsid w:val="4DB1EBD3"/>
    <w:rsid w:val="4DB7C67D"/>
    <w:rsid w:val="4DBBE834"/>
    <w:rsid w:val="4DC449F6"/>
    <w:rsid w:val="4DC576BE"/>
    <w:rsid w:val="4DCAB93E"/>
    <w:rsid w:val="4DCFF035"/>
    <w:rsid w:val="4DD244D3"/>
    <w:rsid w:val="4DD2B8E5"/>
    <w:rsid w:val="4DD837B1"/>
    <w:rsid w:val="4DDF504D"/>
    <w:rsid w:val="4DF1FCAA"/>
    <w:rsid w:val="4E025CBE"/>
    <w:rsid w:val="4E165AA3"/>
    <w:rsid w:val="4E1E74A8"/>
    <w:rsid w:val="4E1EB26A"/>
    <w:rsid w:val="4E21F682"/>
    <w:rsid w:val="4E34E360"/>
    <w:rsid w:val="4E36CEA3"/>
    <w:rsid w:val="4E4AEA08"/>
    <w:rsid w:val="4E4C46C4"/>
    <w:rsid w:val="4E4CFE30"/>
    <w:rsid w:val="4E4D0EEF"/>
    <w:rsid w:val="4E5520AE"/>
    <w:rsid w:val="4E58153F"/>
    <w:rsid w:val="4E6167C9"/>
    <w:rsid w:val="4E63C3A3"/>
    <w:rsid w:val="4E65B4F7"/>
    <w:rsid w:val="4E6AA737"/>
    <w:rsid w:val="4E715F62"/>
    <w:rsid w:val="4E74721A"/>
    <w:rsid w:val="4E7F4E15"/>
    <w:rsid w:val="4E88B433"/>
    <w:rsid w:val="4E8D5A20"/>
    <w:rsid w:val="4E8DC9DD"/>
    <w:rsid w:val="4E8F1BAF"/>
    <w:rsid w:val="4E9052BB"/>
    <w:rsid w:val="4E9C7962"/>
    <w:rsid w:val="4EA20FCD"/>
    <w:rsid w:val="4EC112D2"/>
    <w:rsid w:val="4EC3BF31"/>
    <w:rsid w:val="4ECE12C8"/>
    <w:rsid w:val="4EE49A57"/>
    <w:rsid w:val="4F05D18B"/>
    <w:rsid w:val="4F060121"/>
    <w:rsid w:val="4F0A4BCC"/>
    <w:rsid w:val="4F17E12A"/>
    <w:rsid w:val="4F24944B"/>
    <w:rsid w:val="4F2E771A"/>
    <w:rsid w:val="4F2EC56E"/>
    <w:rsid w:val="4F3C280E"/>
    <w:rsid w:val="4F44601F"/>
    <w:rsid w:val="4F47ECC8"/>
    <w:rsid w:val="4F5ADE3C"/>
    <w:rsid w:val="4F66AE25"/>
    <w:rsid w:val="4F6EA4FD"/>
    <w:rsid w:val="4F782C04"/>
    <w:rsid w:val="4F785BAE"/>
    <w:rsid w:val="4F7BC3D9"/>
    <w:rsid w:val="4F7EEDB0"/>
    <w:rsid w:val="4F8506A6"/>
    <w:rsid w:val="4F8C2679"/>
    <w:rsid w:val="4F922A58"/>
    <w:rsid w:val="4FAFF91B"/>
    <w:rsid w:val="4FB25A37"/>
    <w:rsid w:val="4FB27008"/>
    <w:rsid w:val="4FBA20AF"/>
    <w:rsid w:val="4FBB1D09"/>
    <w:rsid w:val="4FC1820D"/>
    <w:rsid w:val="4FC391FE"/>
    <w:rsid w:val="4FCC6BA6"/>
    <w:rsid w:val="4FD48D5C"/>
    <w:rsid w:val="4FE2B606"/>
    <w:rsid w:val="4FE60F83"/>
    <w:rsid w:val="4FEF5AD4"/>
    <w:rsid w:val="4FF32354"/>
    <w:rsid w:val="4FF6021D"/>
    <w:rsid w:val="4FF90308"/>
    <w:rsid w:val="4FFD6E92"/>
    <w:rsid w:val="500A57FF"/>
    <w:rsid w:val="50163E8D"/>
    <w:rsid w:val="501A7A4B"/>
    <w:rsid w:val="501C64C3"/>
    <w:rsid w:val="502579FF"/>
    <w:rsid w:val="50309AC4"/>
    <w:rsid w:val="5050EAE5"/>
    <w:rsid w:val="505C2367"/>
    <w:rsid w:val="506329C5"/>
    <w:rsid w:val="50652C83"/>
    <w:rsid w:val="50761690"/>
    <w:rsid w:val="5086A38E"/>
    <w:rsid w:val="50882A80"/>
    <w:rsid w:val="50A4069F"/>
    <w:rsid w:val="50BA52AD"/>
    <w:rsid w:val="50CC195A"/>
    <w:rsid w:val="50D1F012"/>
    <w:rsid w:val="50D75883"/>
    <w:rsid w:val="50D93024"/>
    <w:rsid w:val="50DE7403"/>
    <w:rsid w:val="50E2634C"/>
    <w:rsid w:val="50F3DDC3"/>
    <w:rsid w:val="50F98670"/>
    <w:rsid w:val="50FE5226"/>
    <w:rsid w:val="51048C59"/>
    <w:rsid w:val="510A55CB"/>
    <w:rsid w:val="5112619B"/>
    <w:rsid w:val="511B7E39"/>
    <w:rsid w:val="511E08D1"/>
    <w:rsid w:val="512B2E74"/>
    <w:rsid w:val="5136A4F4"/>
    <w:rsid w:val="5143A35F"/>
    <w:rsid w:val="5146CED8"/>
    <w:rsid w:val="51535CB0"/>
    <w:rsid w:val="51536522"/>
    <w:rsid w:val="51554DF5"/>
    <w:rsid w:val="5155A187"/>
    <w:rsid w:val="516143D1"/>
    <w:rsid w:val="5162F650"/>
    <w:rsid w:val="51646A9F"/>
    <w:rsid w:val="51652D74"/>
    <w:rsid w:val="516ACD0E"/>
    <w:rsid w:val="516CC97C"/>
    <w:rsid w:val="516FBF2F"/>
    <w:rsid w:val="518ABD5B"/>
    <w:rsid w:val="518D8C3E"/>
    <w:rsid w:val="518EAF8E"/>
    <w:rsid w:val="51915988"/>
    <w:rsid w:val="51918A8E"/>
    <w:rsid w:val="519A9748"/>
    <w:rsid w:val="51A02C86"/>
    <w:rsid w:val="51A1300D"/>
    <w:rsid w:val="51ABFE44"/>
    <w:rsid w:val="51C207D2"/>
    <w:rsid w:val="51D30E1F"/>
    <w:rsid w:val="51D5351E"/>
    <w:rsid w:val="51EE7064"/>
    <w:rsid w:val="51F7F3C8"/>
    <w:rsid w:val="51FA5DB6"/>
    <w:rsid w:val="521C8224"/>
    <w:rsid w:val="522F4092"/>
    <w:rsid w:val="52333922"/>
    <w:rsid w:val="52393498"/>
    <w:rsid w:val="524BA62E"/>
    <w:rsid w:val="525A1332"/>
    <w:rsid w:val="525C728D"/>
    <w:rsid w:val="525CBF1A"/>
    <w:rsid w:val="525F3981"/>
    <w:rsid w:val="52732F8A"/>
    <w:rsid w:val="527558CB"/>
    <w:rsid w:val="5278139B"/>
    <w:rsid w:val="52821470"/>
    <w:rsid w:val="528A4A2D"/>
    <w:rsid w:val="528B5A9B"/>
    <w:rsid w:val="528E436C"/>
    <w:rsid w:val="529952A5"/>
    <w:rsid w:val="52A43015"/>
    <w:rsid w:val="52A4F309"/>
    <w:rsid w:val="52A53310"/>
    <w:rsid w:val="52C44BA3"/>
    <w:rsid w:val="52C7E096"/>
    <w:rsid w:val="52C9BA1D"/>
    <w:rsid w:val="52D4F306"/>
    <w:rsid w:val="52D8CBF1"/>
    <w:rsid w:val="52DC6DBE"/>
    <w:rsid w:val="52E4FDAC"/>
    <w:rsid w:val="52F2B9F3"/>
    <w:rsid w:val="52F79CFA"/>
    <w:rsid w:val="52FCD6D0"/>
    <w:rsid w:val="5300D7F6"/>
    <w:rsid w:val="530AB5BB"/>
    <w:rsid w:val="5319D2F1"/>
    <w:rsid w:val="532671F1"/>
    <w:rsid w:val="53415F7E"/>
    <w:rsid w:val="53534F11"/>
    <w:rsid w:val="536183B2"/>
    <w:rsid w:val="5367C867"/>
    <w:rsid w:val="5368602C"/>
    <w:rsid w:val="536CFADC"/>
    <w:rsid w:val="5378A975"/>
    <w:rsid w:val="53813561"/>
    <w:rsid w:val="53865A58"/>
    <w:rsid w:val="53865DB5"/>
    <w:rsid w:val="538E0963"/>
    <w:rsid w:val="539674D2"/>
    <w:rsid w:val="5398A29F"/>
    <w:rsid w:val="539EF905"/>
    <w:rsid w:val="53A61D62"/>
    <w:rsid w:val="53AD793F"/>
    <w:rsid w:val="53B03CD4"/>
    <w:rsid w:val="53B4557F"/>
    <w:rsid w:val="53B7866C"/>
    <w:rsid w:val="53B8C211"/>
    <w:rsid w:val="53BD001F"/>
    <w:rsid w:val="53C14AE7"/>
    <w:rsid w:val="53C45E6B"/>
    <w:rsid w:val="53D4D3F2"/>
    <w:rsid w:val="53D82F57"/>
    <w:rsid w:val="53D87619"/>
    <w:rsid w:val="53DF3BF2"/>
    <w:rsid w:val="53E2C3AF"/>
    <w:rsid w:val="53F08D00"/>
    <w:rsid w:val="53FAA4AD"/>
    <w:rsid w:val="54020992"/>
    <w:rsid w:val="54064753"/>
    <w:rsid w:val="540D45BF"/>
    <w:rsid w:val="540D53D8"/>
    <w:rsid w:val="540D771D"/>
    <w:rsid w:val="540E0ACC"/>
    <w:rsid w:val="54312A9A"/>
    <w:rsid w:val="5431E2A3"/>
    <w:rsid w:val="54365EAD"/>
    <w:rsid w:val="543F3AAD"/>
    <w:rsid w:val="544105E1"/>
    <w:rsid w:val="545D517D"/>
    <w:rsid w:val="54684DCD"/>
    <w:rsid w:val="54696510"/>
    <w:rsid w:val="546A2470"/>
    <w:rsid w:val="54750A5A"/>
    <w:rsid w:val="547E8889"/>
    <w:rsid w:val="5486A5BB"/>
    <w:rsid w:val="548A0EB4"/>
    <w:rsid w:val="548F389E"/>
    <w:rsid w:val="5498BC15"/>
    <w:rsid w:val="549A0ACC"/>
    <w:rsid w:val="549B54B8"/>
    <w:rsid w:val="54A9CD89"/>
    <w:rsid w:val="54B4155A"/>
    <w:rsid w:val="54CC70AD"/>
    <w:rsid w:val="54D2F641"/>
    <w:rsid w:val="54D36CFB"/>
    <w:rsid w:val="54D3DA5E"/>
    <w:rsid w:val="54DA5AF1"/>
    <w:rsid w:val="54DE6CEC"/>
    <w:rsid w:val="54EAA057"/>
    <w:rsid w:val="54F1C0A7"/>
    <w:rsid w:val="54F71D40"/>
    <w:rsid w:val="54FAA93D"/>
    <w:rsid w:val="54FCEBA5"/>
    <w:rsid w:val="55259266"/>
    <w:rsid w:val="55357177"/>
    <w:rsid w:val="553C0E4E"/>
    <w:rsid w:val="55453065"/>
    <w:rsid w:val="5557ACA0"/>
    <w:rsid w:val="555B36CC"/>
    <w:rsid w:val="5560DC97"/>
    <w:rsid w:val="55659235"/>
    <w:rsid w:val="556B180A"/>
    <w:rsid w:val="5573AAFE"/>
    <w:rsid w:val="55786BFD"/>
    <w:rsid w:val="557D6E9D"/>
    <w:rsid w:val="557E450B"/>
    <w:rsid w:val="55885B9C"/>
    <w:rsid w:val="559843DB"/>
    <w:rsid w:val="5599150B"/>
    <w:rsid w:val="55A5044F"/>
    <w:rsid w:val="55A85E13"/>
    <w:rsid w:val="55AAB261"/>
    <w:rsid w:val="55B3E621"/>
    <w:rsid w:val="55B66CE3"/>
    <w:rsid w:val="55BCBD43"/>
    <w:rsid w:val="55C1E812"/>
    <w:rsid w:val="55D04558"/>
    <w:rsid w:val="55E19480"/>
    <w:rsid w:val="55EBE84F"/>
    <w:rsid w:val="55F926A5"/>
    <w:rsid w:val="5604B494"/>
    <w:rsid w:val="56075C81"/>
    <w:rsid w:val="560FDFF3"/>
    <w:rsid w:val="56130C60"/>
    <w:rsid w:val="561A4A9E"/>
    <w:rsid w:val="561FA4C1"/>
    <w:rsid w:val="56220023"/>
    <w:rsid w:val="56243A8D"/>
    <w:rsid w:val="5627C4E7"/>
    <w:rsid w:val="562E1B00"/>
    <w:rsid w:val="5645C99B"/>
    <w:rsid w:val="564A3994"/>
    <w:rsid w:val="564C5A63"/>
    <w:rsid w:val="564DB7CB"/>
    <w:rsid w:val="566AB551"/>
    <w:rsid w:val="566CC7F8"/>
    <w:rsid w:val="56762DBD"/>
    <w:rsid w:val="568362A5"/>
    <w:rsid w:val="568D0E0F"/>
    <w:rsid w:val="568E1BC8"/>
    <w:rsid w:val="56911199"/>
    <w:rsid w:val="56947F4F"/>
    <w:rsid w:val="5695C60D"/>
    <w:rsid w:val="569A0E1A"/>
    <w:rsid w:val="569EBAD5"/>
    <w:rsid w:val="56A841AF"/>
    <w:rsid w:val="56ADB855"/>
    <w:rsid w:val="56B010D6"/>
    <w:rsid w:val="56B32B71"/>
    <w:rsid w:val="56B5A256"/>
    <w:rsid w:val="56B94A5D"/>
    <w:rsid w:val="56B96E85"/>
    <w:rsid w:val="56C2F4D5"/>
    <w:rsid w:val="56C8ABE7"/>
    <w:rsid w:val="56CBE420"/>
    <w:rsid w:val="56CD95B0"/>
    <w:rsid w:val="56D04192"/>
    <w:rsid w:val="56D1329E"/>
    <w:rsid w:val="56D8E01B"/>
    <w:rsid w:val="56DA4142"/>
    <w:rsid w:val="56DEF1D6"/>
    <w:rsid w:val="56E59A80"/>
    <w:rsid w:val="56F18B0B"/>
    <w:rsid w:val="56F1993E"/>
    <w:rsid w:val="56F40DA9"/>
    <w:rsid w:val="5704E738"/>
    <w:rsid w:val="570B18BD"/>
    <w:rsid w:val="570C9A12"/>
    <w:rsid w:val="57138309"/>
    <w:rsid w:val="5717B80E"/>
    <w:rsid w:val="57203F49"/>
    <w:rsid w:val="5721F054"/>
    <w:rsid w:val="5729FDD9"/>
    <w:rsid w:val="572CD8DA"/>
    <w:rsid w:val="5730BD2C"/>
    <w:rsid w:val="5736D1FA"/>
    <w:rsid w:val="5737AC27"/>
    <w:rsid w:val="5739E465"/>
    <w:rsid w:val="57410898"/>
    <w:rsid w:val="5742EA04"/>
    <w:rsid w:val="5744C949"/>
    <w:rsid w:val="574F7E60"/>
    <w:rsid w:val="5764A917"/>
    <w:rsid w:val="57678814"/>
    <w:rsid w:val="576C597E"/>
    <w:rsid w:val="577B362F"/>
    <w:rsid w:val="577DF0BD"/>
    <w:rsid w:val="578EC6D3"/>
    <w:rsid w:val="5790A3D2"/>
    <w:rsid w:val="57B8B4FB"/>
    <w:rsid w:val="57BB2EB2"/>
    <w:rsid w:val="57D3C264"/>
    <w:rsid w:val="57E522BF"/>
    <w:rsid w:val="57E5E781"/>
    <w:rsid w:val="57EB830A"/>
    <w:rsid w:val="57FAD9E2"/>
    <w:rsid w:val="57FB9F79"/>
    <w:rsid w:val="5805F8F4"/>
    <w:rsid w:val="580812C7"/>
    <w:rsid w:val="58141FCF"/>
    <w:rsid w:val="581D7F52"/>
    <w:rsid w:val="581DACA1"/>
    <w:rsid w:val="5826CE00"/>
    <w:rsid w:val="582F6AA2"/>
    <w:rsid w:val="5833382F"/>
    <w:rsid w:val="583C10A4"/>
    <w:rsid w:val="58405931"/>
    <w:rsid w:val="5846400C"/>
    <w:rsid w:val="584EB33B"/>
    <w:rsid w:val="5852059D"/>
    <w:rsid w:val="58527D4C"/>
    <w:rsid w:val="585850A9"/>
    <w:rsid w:val="5865065F"/>
    <w:rsid w:val="586BBFE1"/>
    <w:rsid w:val="586CC319"/>
    <w:rsid w:val="5882A5DA"/>
    <w:rsid w:val="588F5789"/>
    <w:rsid w:val="58970546"/>
    <w:rsid w:val="58AA9FD0"/>
    <w:rsid w:val="58ACA771"/>
    <w:rsid w:val="58B1FFF1"/>
    <w:rsid w:val="58B81A4B"/>
    <w:rsid w:val="58BBFD08"/>
    <w:rsid w:val="58C0DF1E"/>
    <w:rsid w:val="58D75105"/>
    <w:rsid w:val="58DC8AC4"/>
    <w:rsid w:val="58E805DB"/>
    <w:rsid w:val="58F8B1E4"/>
    <w:rsid w:val="590A35AA"/>
    <w:rsid w:val="590C0A9B"/>
    <w:rsid w:val="590D4A4B"/>
    <w:rsid w:val="591ECEE6"/>
    <w:rsid w:val="591FDAC1"/>
    <w:rsid w:val="5927159E"/>
    <w:rsid w:val="592E0EBF"/>
    <w:rsid w:val="59352950"/>
    <w:rsid w:val="59377043"/>
    <w:rsid w:val="5942C003"/>
    <w:rsid w:val="5944A68B"/>
    <w:rsid w:val="594B7606"/>
    <w:rsid w:val="595042B6"/>
    <w:rsid w:val="595682B5"/>
    <w:rsid w:val="59595992"/>
    <w:rsid w:val="596B0F40"/>
    <w:rsid w:val="5975C855"/>
    <w:rsid w:val="5977502F"/>
    <w:rsid w:val="597D1D55"/>
    <w:rsid w:val="5993019F"/>
    <w:rsid w:val="5999F87A"/>
    <w:rsid w:val="599BEC9D"/>
    <w:rsid w:val="59A44DA6"/>
    <w:rsid w:val="59BAB742"/>
    <w:rsid w:val="59CDEABD"/>
    <w:rsid w:val="59D57A1B"/>
    <w:rsid w:val="59D7FE7B"/>
    <w:rsid w:val="59D92BEA"/>
    <w:rsid w:val="59DE05E2"/>
    <w:rsid w:val="59E5CBB0"/>
    <w:rsid w:val="59EE997D"/>
    <w:rsid w:val="59F316C8"/>
    <w:rsid w:val="5A077A67"/>
    <w:rsid w:val="5A10AEE2"/>
    <w:rsid w:val="5A12925E"/>
    <w:rsid w:val="5A18F29F"/>
    <w:rsid w:val="5A195A99"/>
    <w:rsid w:val="5A1F81BE"/>
    <w:rsid w:val="5A2BA36D"/>
    <w:rsid w:val="5A2C1F85"/>
    <w:rsid w:val="5A2F2970"/>
    <w:rsid w:val="5A353542"/>
    <w:rsid w:val="5A36EBBB"/>
    <w:rsid w:val="5A44262E"/>
    <w:rsid w:val="5A447AAB"/>
    <w:rsid w:val="5A47196E"/>
    <w:rsid w:val="5A49AA2C"/>
    <w:rsid w:val="5A5419E8"/>
    <w:rsid w:val="5A55EFAC"/>
    <w:rsid w:val="5A5AE2F2"/>
    <w:rsid w:val="5A669470"/>
    <w:rsid w:val="5A7641C2"/>
    <w:rsid w:val="5A769932"/>
    <w:rsid w:val="5A77001B"/>
    <w:rsid w:val="5A78C06C"/>
    <w:rsid w:val="5A7AB284"/>
    <w:rsid w:val="5A8163E8"/>
    <w:rsid w:val="5A92C094"/>
    <w:rsid w:val="5AA21713"/>
    <w:rsid w:val="5AA6AFA9"/>
    <w:rsid w:val="5AACC704"/>
    <w:rsid w:val="5AB2FF25"/>
    <w:rsid w:val="5ABDD612"/>
    <w:rsid w:val="5AC6B65C"/>
    <w:rsid w:val="5AD3015C"/>
    <w:rsid w:val="5AD768A9"/>
    <w:rsid w:val="5AD8A388"/>
    <w:rsid w:val="5ADD46F6"/>
    <w:rsid w:val="5AEF3787"/>
    <w:rsid w:val="5AF43D15"/>
    <w:rsid w:val="5AF9BC60"/>
    <w:rsid w:val="5AFF520F"/>
    <w:rsid w:val="5B09D3EC"/>
    <w:rsid w:val="5B1FB7FF"/>
    <w:rsid w:val="5B264111"/>
    <w:rsid w:val="5B2D0D6F"/>
    <w:rsid w:val="5B33D5D2"/>
    <w:rsid w:val="5B3A36C2"/>
    <w:rsid w:val="5B411D6C"/>
    <w:rsid w:val="5B462310"/>
    <w:rsid w:val="5B4C6BCE"/>
    <w:rsid w:val="5B5C44E7"/>
    <w:rsid w:val="5B6130FA"/>
    <w:rsid w:val="5B658D18"/>
    <w:rsid w:val="5B79E78B"/>
    <w:rsid w:val="5B8D0676"/>
    <w:rsid w:val="5B9A2DE0"/>
    <w:rsid w:val="5B9B370E"/>
    <w:rsid w:val="5BA0B7DF"/>
    <w:rsid w:val="5BA0CC2A"/>
    <w:rsid w:val="5BA81907"/>
    <w:rsid w:val="5BA95481"/>
    <w:rsid w:val="5BAD94C4"/>
    <w:rsid w:val="5BAFB230"/>
    <w:rsid w:val="5BBBAF64"/>
    <w:rsid w:val="5BCF2F5E"/>
    <w:rsid w:val="5BD3681D"/>
    <w:rsid w:val="5BDBC827"/>
    <w:rsid w:val="5BDD27E3"/>
    <w:rsid w:val="5BDF682A"/>
    <w:rsid w:val="5BE88E90"/>
    <w:rsid w:val="5BEE0B98"/>
    <w:rsid w:val="5BFCBB73"/>
    <w:rsid w:val="5C169525"/>
    <w:rsid w:val="5C1C4203"/>
    <w:rsid w:val="5C2286F5"/>
    <w:rsid w:val="5C2A81ED"/>
    <w:rsid w:val="5C352857"/>
    <w:rsid w:val="5C3ADD67"/>
    <w:rsid w:val="5C3DE5F4"/>
    <w:rsid w:val="5C47600E"/>
    <w:rsid w:val="5C4764F4"/>
    <w:rsid w:val="5C4955F5"/>
    <w:rsid w:val="5C4A5F55"/>
    <w:rsid w:val="5C55629B"/>
    <w:rsid w:val="5C58AF87"/>
    <w:rsid w:val="5C64F8A2"/>
    <w:rsid w:val="5C656CEF"/>
    <w:rsid w:val="5C66B3C0"/>
    <w:rsid w:val="5C788AC2"/>
    <w:rsid w:val="5C82C74A"/>
    <w:rsid w:val="5C84DE2B"/>
    <w:rsid w:val="5C8A9245"/>
    <w:rsid w:val="5C9179EA"/>
    <w:rsid w:val="5C940BE5"/>
    <w:rsid w:val="5C992769"/>
    <w:rsid w:val="5CA02F82"/>
    <w:rsid w:val="5CA7613E"/>
    <w:rsid w:val="5CABA381"/>
    <w:rsid w:val="5CB02D18"/>
    <w:rsid w:val="5CBE393B"/>
    <w:rsid w:val="5CC5B570"/>
    <w:rsid w:val="5CD30BE2"/>
    <w:rsid w:val="5CD56464"/>
    <w:rsid w:val="5CD71C6B"/>
    <w:rsid w:val="5CE0AD67"/>
    <w:rsid w:val="5CE256D8"/>
    <w:rsid w:val="5CE79167"/>
    <w:rsid w:val="5CE84F0C"/>
    <w:rsid w:val="5CF55894"/>
    <w:rsid w:val="5CF5FF3B"/>
    <w:rsid w:val="5D00A8B6"/>
    <w:rsid w:val="5D082D3D"/>
    <w:rsid w:val="5D08865F"/>
    <w:rsid w:val="5D0B9560"/>
    <w:rsid w:val="5D0EA837"/>
    <w:rsid w:val="5D18E701"/>
    <w:rsid w:val="5D1A2490"/>
    <w:rsid w:val="5D1D013E"/>
    <w:rsid w:val="5D1D51A1"/>
    <w:rsid w:val="5D43FFA6"/>
    <w:rsid w:val="5D683A9C"/>
    <w:rsid w:val="5D71A0DC"/>
    <w:rsid w:val="5D81C46B"/>
    <w:rsid w:val="5D841E30"/>
    <w:rsid w:val="5D85D273"/>
    <w:rsid w:val="5D8C3941"/>
    <w:rsid w:val="5D911137"/>
    <w:rsid w:val="5D929A9B"/>
    <w:rsid w:val="5D95268A"/>
    <w:rsid w:val="5D97DB79"/>
    <w:rsid w:val="5DB1E3F4"/>
    <w:rsid w:val="5DB4E0AD"/>
    <w:rsid w:val="5DB5C9AA"/>
    <w:rsid w:val="5DB7948B"/>
    <w:rsid w:val="5DBBC7E5"/>
    <w:rsid w:val="5DBF53EB"/>
    <w:rsid w:val="5DC7368B"/>
    <w:rsid w:val="5DCAD36D"/>
    <w:rsid w:val="5DD1D7E3"/>
    <w:rsid w:val="5DD4B68D"/>
    <w:rsid w:val="5DD75E0F"/>
    <w:rsid w:val="5DD890A9"/>
    <w:rsid w:val="5DE1C05E"/>
    <w:rsid w:val="5DE1E201"/>
    <w:rsid w:val="5DE928FA"/>
    <w:rsid w:val="5DF23FF5"/>
    <w:rsid w:val="5DF475FF"/>
    <w:rsid w:val="5DF7A2C3"/>
    <w:rsid w:val="5DF96512"/>
    <w:rsid w:val="5DFF5250"/>
    <w:rsid w:val="5E01A71D"/>
    <w:rsid w:val="5E01BAA2"/>
    <w:rsid w:val="5E080872"/>
    <w:rsid w:val="5E1AEDB7"/>
    <w:rsid w:val="5E1BD877"/>
    <w:rsid w:val="5E218B4F"/>
    <w:rsid w:val="5E2B68B6"/>
    <w:rsid w:val="5E3647F1"/>
    <w:rsid w:val="5E4190CE"/>
    <w:rsid w:val="5E4E1C0F"/>
    <w:rsid w:val="5E53AB26"/>
    <w:rsid w:val="5E6E9A99"/>
    <w:rsid w:val="5E88047F"/>
    <w:rsid w:val="5E884EC6"/>
    <w:rsid w:val="5E894299"/>
    <w:rsid w:val="5E89E581"/>
    <w:rsid w:val="5E8C3880"/>
    <w:rsid w:val="5E9982F8"/>
    <w:rsid w:val="5EB22D05"/>
    <w:rsid w:val="5EB9430F"/>
    <w:rsid w:val="5EC75E78"/>
    <w:rsid w:val="5EDBE17E"/>
    <w:rsid w:val="5EDDF41C"/>
    <w:rsid w:val="5EE732CE"/>
    <w:rsid w:val="5EE9BA15"/>
    <w:rsid w:val="5EF91C28"/>
    <w:rsid w:val="5F085274"/>
    <w:rsid w:val="5F134C9E"/>
    <w:rsid w:val="5F142BB1"/>
    <w:rsid w:val="5F1464C8"/>
    <w:rsid w:val="5F1E5C08"/>
    <w:rsid w:val="5F2440DA"/>
    <w:rsid w:val="5F263448"/>
    <w:rsid w:val="5F2882A8"/>
    <w:rsid w:val="5F2B6816"/>
    <w:rsid w:val="5F3B021A"/>
    <w:rsid w:val="5F443650"/>
    <w:rsid w:val="5F4CD277"/>
    <w:rsid w:val="5F58CF2C"/>
    <w:rsid w:val="5F7BF471"/>
    <w:rsid w:val="5F7C488C"/>
    <w:rsid w:val="5F8A3D4A"/>
    <w:rsid w:val="5F9C869F"/>
    <w:rsid w:val="5FA06619"/>
    <w:rsid w:val="5FA22B40"/>
    <w:rsid w:val="5FAA3829"/>
    <w:rsid w:val="5FADB570"/>
    <w:rsid w:val="5FB397A0"/>
    <w:rsid w:val="5FC38F0A"/>
    <w:rsid w:val="5FD04765"/>
    <w:rsid w:val="5FD908B4"/>
    <w:rsid w:val="5FE21E9B"/>
    <w:rsid w:val="5FEABB4B"/>
    <w:rsid w:val="5FEF7CAC"/>
    <w:rsid w:val="5FF089B8"/>
    <w:rsid w:val="6011F2CE"/>
    <w:rsid w:val="601CED69"/>
    <w:rsid w:val="6024FDBE"/>
    <w:rsid w:val="60283F2D"/>
    <w:rsid w:val="602D16EA"/>
    <w:rsid w:val="6031B394"/>
    <w:rsid w:val="603EF8F7"/>
    <w:rsid w:val="60455337"/>
    <w:rsid w:val="604CDE34"/>
    <w:rsid w:val="60506327"/>
    <w:rsid w:val="605EEB88"/>
    <w:rsid w:val="6060FE4A"/>
    <w:rsid w:val="6064ED26"/>
    <w:rsid w:val="606DA241"/>
    <w:rsid w:val="607294DF"/>
    <w:rsid w:val="60792F1F"/>
    <w:rsid w:val="607A7CF4"/>
    <w:rsid w:val="6088DA15"/>
    <w:rsid w:val="608F9A13"/>
    <w:rsid w:val="60971F86"/>
    <w:rsid w:val="60A569C6"/>
    <w:rsid w:val="60A9B65C"/>
    <w:rsid w:val="60B641B2"/>
    <w:rsid w:val="60B8F5D0"/>
    <w:rsid w:val="60C309AA"/>
    <w:rsid w:val="60C690F3"/>
    <w:rsid w:val="60C81FC1"/>
    <w:rsid w:val="60CC36D3"/>
    <w:rsid w:val="60D686B9"/>
    <w:rsid w:val="60DB218F"/>
    <w:rsid w:val="60E6DE9E"/>
    <w:rsid w:val="60EC4B29"/>
    <w:rsid w:val="60F1A2BA"/>
    <w:rsid w:val="610899E5"/>
    <w:rsid w:val="610F4E5C"/>
    <w:rsid w:val="6116CB17"/>
    <w:rsid w:val="611ACCEA"/>
    <w:rsid w:val="61326192"/>
    <w:rsid w:val="61344342"/>
    <w:rsid w:val="613D592C"/>
    <w:rsid w:val="6144BD06"/>
    <w:rsid w:val="61466682"/>
    <w:rsid w:val="61473C53"/>
    <w:rsid w:val="614BD015"/>
    <w:rsid w:val="614C34A2"/>
    <w:rsid w:val="6156199E"/>
    <w:rsid w:val="615C5517"/>
    <w:rsid w:val="616D45AF"/>
    <w:rsid w:val="617B2274"/>
    <w:rsid w:val="61967A6A"/>
    <w:rsid w:val="61990BF7"/>
    <w:rsid w:val="61A7494E"/>
    <w:rsid w:val="61AB6222"/>
    <w:rsid w:val="61B5E4F8"/>
    <w:rsid w:val="61CD8890"/>
    <w:rsid w:val="61DC4670"/>
    <w:rsid w:val="61E86B1D"/>
    <w:rsid w:val="61FA99C3"/>
    <w:rsid w:val="61FCB4E2"/>
    <w:rsid w:val="620A2DFD"/>
    <w:rsid w:val="6216FAEC"/>
    <w:rsid w:val="622E969E"/>
    <w:rsid w:val="622EC73D"/>
    <w:rsid w:val="62340C83"/>
    <w:rsid w:val="62350EC0"/>
    <w:rsid w:val="62358E31"/>
    <w:rsid w:val="623E6BA9"/>
    <w:rsid w:val="6244E41E"/>
    <w:rsid w:val="624E33CB"/>
    <w:rsid w:val="6250E83A"/>
    <w:rsid w:val="626F49EC"/>
    <w:rsid w:val="62842FAD"/>
    <w:rsid w:val="6285DC04"/>
    <w:rsid w:val="62911094"/>
    <w:rsid w:val="62925CF0"/>
    <w:rsid w:val="6294636F"/>
    <w:rsid w:val="629B910F"/>
    <w:rsid w:val="62A50C64"/>
    <w:rsid w:val="62A659C6"/>
    <w:rsid w:val="62A732C9"/>
    <w:rsid w:val="62AB0266"/>
    <w:rsid w:val="62AB1B02"/>
    <w:rsid w:val="62AEA26B"/>
    <w:rsid w:val="62B1FF0D"/>
    <w:rsid w:val="62B4EE18"/>
    <w:rsid w:val="62BB5593"/>
    <w:rsid w:val="62C3F598"/>
    <w:rsid w:val="62C48968"/>
    <w:rsid w:val="62CCDF5A"/>
    <w:rsid w:val="62D24F5A"/>
    <w:rsid w:val="62DEB734"/>
    <w:rsid w:val="62F25103"/>
    <w:rsid w:val="62F2BF95"/>
    <w:rsid w:val="6305597A"/>
    <w:rsid w:val="630EBBBB"/>
    <w:rsid w:val="630F0C23"/>
    <w:rsid w:val="6311188A"/>
    <w:rsid w:val="63185E18"/>
    <w:rsid w:val="631D2BFC"/>
    <w:rsid w:val="63230162"/>
    <w:rsid w:val="632BD56E"/>
    <w:rsid w:val="6342DB4E"/>
    <w:rsid w:val="6348C2C2"/>
    <w:rsid w:val="634ABE1B"/>
    <w:rsid w:val="634F9FDD"/>
    <w:rsid w:val="63500BB1"/>
    <w:rsid w:val="635D4F32"/>
    <w:rsid w:val="636065DA"/>
    <w:rsid w:val="638FDB51"/>
    <w:rsid w:val="639DE9E0"/>
    <w:rsid w:val="63A13275"/>
    <w:rsid w:val="63A3B4D3"/>
    <w:rsid w:val="63B5888C"/>
    <w:rsid w:val="63D1BA86"/>
    <w:rsid w:val="63D2CFE6"/>
    <w:rsid w:val="63E937DD"/>
    <w:rsid w:val="63F18993"/>
    <w:rsid w:val="63F18A90"/>
    <w:rsid w:val="63F93D23"/>
    <w:rsid w:val="640AD559"/>
    <w:rsid w:val="6412440A"/>
    <w:rsid w:val="641E6560"/>
    <w:rsid w:val="643FE1D7"/>
    <w:rsid w:val="6440283B"/>
    <w:rsid w:val="64488A0E"/>
    <w:rsid w:val="644AC6F6"/>
    <w:rsid w:val="644D16B4"/>
    <w:rsid w:val="6460461E"/>
    <w:rsid w:val="6465783A"/>
    <w:rsid w:val="6466A685"/>
    <w:rsid w:val="6468D460"/>
    <w:rsid w:val="6480AC7F"/>
    <w:rsid w:val="64840AF7"/>
    <w:rsid w:val="6489DA91"/>
    <w:rsid w:val="649043D0"/>
    <w:rsid w:val="64A00C3E"/>
    <w:rsid w:val="64B0F5DD"/>
    <w:rsid w:val="64B62515"/>
    <w:rsid w:val="64BCBA28"/>
    <w:rsid w:val="64BDE8D5"/>
    <w:rsid w:val="64C47758"/>
    <w:rsid w:val="64C5F4E2"/>
    <w:rsid w:val="64C7F71F"/>
    <w:rsid w:val="64CFE0EE"/>
    <w:rsid w:val="64E71BF2"/>
    <w:rsid w:val="64ED634B"/>
    <w:rsid w:val="64EFD424"/>
    <w:rsid w:val="64F937CE"/>
    <w:rsid w:val="650116BF"/>
    <w:rsid w:val="6503CD98"/>
    <w:rsid w:val="651D96C1"/>
    <w:rsid w:val="65211905"/>
    <w:rsid w:val="652ACD2D"/>
    <w:rsid w:val="652AFD13"/>
    <w:rsid w:val="6538003E"/>
    <w:rsid w:val="653A8EBA"/>
    <w:rsid w:val="653A9948"/>
    <w:rsid w:val="653D98F0"/>
    <w:rsid w:val="6544D2C6"/>
    <w:rsid w:val="654E9B79"/>
    <w:rsid w:val="655158ED"/>
    <w:rsid w:val="6553FE0B"/>
    <w:rsid w:val="655D286D"/>
    <w:rsid w:val="65689D2B"/>
    <w:rsid w:val="656C338A"/>
    <w:rsid w:val="656CE41F"/>
    <w:rsid w:val="65739BC5"/>
    <w:rsid w:val="657D4F6A"/>
    <w:rsid w:val="65814BE3"/>
    <w:rsid w:val="658A6B6F"/>
    <w:rsid w:val="65BFFC55"/>
    <w:rsid w:val="65C10624"/>
    <w:rsid w:val="65CAE140"/>
    <w:rsid w:val="65D19B76"/>
    <w:rsid w:val="65DA7AFC"/>
    <w:rsid w:val="65DDEC4D"/>
    <w:rsid w:val="65E8C198"/>
    <w:rsid w:val="65F1816A"/>
    <w:rsid w:val="65F88C49"/>
    <w:rsid w:val="65FB9B10"/>
    <w:rsid w:val="65FEAF54"/>
    <w:rsid w:val="660617A6"/>
    <w:rsid w:val="66085873"/>
    <w:rsid w:val="660C62D6"/>
    <w:rsid w:val="660E50D3"/>
    <w:rsid w:val="66173E61"/>
    <w:rsid w:val="661BCC8C"/>
    <w:rsid w:val="661CF512"/>
    <w:rsid w:val="661E0E21"/>
    <w:rsid w:val="6633858C"/>
    <w:rsid w:val="6633C4E2"/>
    <w:rsid w:val="6634D383"/>
    <w:rsid w:val="66358658"/>
    <w:rsid w:val="6637FA0B"/>
    <w:rsid w:val="6640DEB0"/>
    <w:rsid w:val="6642BDC4"/>
    <w:rsid w:val="6649D398"/>
    <w:rsid w:val="66516358"/>
    <w:rsid w:val="6652FE91"/>
    <w:rsid w:val="665B1C34"/>
    <w:rsid w:val="665C5DD6"/>
    <w:rsid w:val="665F49F9"/>
    <w:rsid w:val="665F736A"/>
    <w:rsid w:val="6667C6F5"/>
    <w:rsid w:val="666AD8A7"/>
    <w:rsid w:val="66759264"/>
    <w:rsid w:val="667AEBC0"/>
    <w:rsid w:val="667DACD4"/>
    <w:rsid w:val="6694A636"/>
    <w:rsid w:val="6699FFC2"/>
    <w:rsid w:val="66A2EF94"/>
    <w:rsid w:val="66A2FEB5"/>
    <w:rsid w:val="66A3F461"/>
    <w:rsid w:val="66A50E25"/>
    <w:rsid w:val="66A9CE95"/>
    <w:rsid w:val="66B63E54"/>
    <w:rsid w:val="66C07F93"/>
    <w:rsid w:val="66D3B83A"/>
    <w:rsid w:val="66D880F9"/>
    <w:rsid w:val="66D9891C"/>
    <w:rsid w:val="66DAD4C8"/>
    <w:rsid w:val="66DE4547"/>
    <w:rsid w:val="66ED294E"/>
    <w:rsid w:val="66FEEB9F"/>
    <w:rsid w:val="670B9DCD"/>
    <w:rsid w:val="670CA859"/>
    <w:rsid w:val="6717CEDF"/>
    <w:rsid w:val="671B4FCA"/>
    <w:rsid w:val="671B6897"/>
    <w:rsid w:val="67219B7A"/>
    <w:rsid w:val="6721EFED"/>
    <w:rsid w:val="672B292E"/>
    <w:rsid w:val="6731D2F4"/>
    <w:rsid w:val="67469C85"/>
    <w:rsid w:val="6746C61C"/>
    <w:rsid w:val="67482C58"/>
    <w:rsid w:val="674F2935"/>
    <w:rsid w:val="6757AB4B"/>
    <w:rsid w:val="6766F757"/>
    <w:rsid w:val="67755991"/>
    <w:rsid w:val="67B0BD29"/>
    <w:rsid w:val="67BE378A"/>
    <w:rsid w:val="67D0A3E4"/>
    <w:rsid w:val="67D4CE14"/>
    <w:rsid w:val="67DDB1EE"/>
    <w:rsid w:val="67E814CF"/>
    <w:rsid w:val="67EFDBFB"/>
    <w:rsid w:val="67F4D019"/>
    <w:rsid w:val="67F4DBF5"/>
    <w:rsid w:val="67FA93D9"/>
    <w:rsid w:val="67FE82A7"/>
    <w:rsid w:val="6805AF51"/>
    <w:rsid w:val="681AD5EE"/>
    <w:rsid w:val="681D6263"/>
    <w:rsid w:val="6822EDD8"/>
    <w:rsid w:val="68231733"/>
    <w:rsid w:val="682D38AF"/>
    <w:rsid w:val="6833B82A"/>
    <w:rsid w:val="68526180"/>
    <w:rsid w:val="685DEB91"/>
    <w:rsid w:val="68628588"/>
    <w:rsid w:val="6868E7E7"/>
    <w:rsid w:val="686A6634"/>
    <w:rsid w:val="6870FF8B"/>
    <w:rsid w:val="6871E141"/>
    <w:rsid w:val="68767572"/>
    <w:rsid w:val="687C577B"/>
    <w:rsid w:val="687E785B"/>
    <w:rsid w:val="68842DE0"/>
    <w:rsid w:val="688B731E"/>
    <w:rsid w:val="689625F3"/>
    <w:rsid w:val="689BCE20"/>
    <w:rsid w:val="689C2EF2"/>
    <w:rsid w:val="68B431A4"/>
    <w:rsid w:val="68C3125C"/>
    <w:rsid w:val="68C33920"/>
    <w:rsid w:val="68CECDDD"/>
    <w:rsid w:val="68DC81AA"/>
    <w:rsid w:val="68DF31CB"/>
    <w:rsid w:val="68E16EAF"/>
    <w:rsid w:val="68E358C0"/>
    <w:rsid w:val="68EB0902"/>
    <w:rsid w:val="68ECCAED"/>
    <w:rsid w:val="68EDEC25"/>
    <w:rsid w:val="68F2C7D8"/>
    <w:rsid w:val="68FA4DA7"/>
    <w:rsid w:val="68FB16A3"/>
    <w:rsid w:val="69010DF8"/>
    <w:rsid w:val="69035515"/>
    <w:rsid w:val="6906E7FB"/>
    <w:rsid w:val="690799DC"/>
    <w:rsid w:val="690F4EAB"/>
    <w:rsid w:val="69121BDC"/>
    <w:rsid w:val="6917FF3D"/>
    <w:rsid w:val="691EC0C8"/>
    <w:rsid w:val="6922F81C"/>
    <w:rsid w:val="69288298"/>
    <w:rsid w:val="692A04A8"/>
    <w:rsid w:val="69311494"/>
    <w:rsid w:val="6933292A"/>
    <w:rsid w:val="6936647A"/>
    <w:rsid w:val="694E9B50"/>
    <w:rsid w:val="695421F3"/>
    <w:rsid w:val="696670E5"/>
    <w:rsid w:val="696F1361"/>
    <w:rsid w:val="6977C8E1"/>
    <w:rsid w:val="698B170B"/>
    <w:rsid w:val="699DA41F"/>
    <w:rsid w:val="699E1B3B"/>
    <w:rsid w:val="699FAA0C"/>
    <w:rsid w:val="69A7B973"/>
    <w:rsid w:val="69A8314B"/>
    <w:rsid w:val="69AD9DA9"/>
    <w:rsid w:val="69C2B08A"/>
    <w:rsid w:val="69C69587"/>
    <w:rsid w:val="69D1348B"/>
    <w:rsid w:val="69E64489"/>
    <w:rsid w:val="69E6BD46"/>
    <w:rsid w:val="69EC4DD3"/>
    <w:rsid w:val="69ECE5A9"/>
    <w:rsid w:val="69F40BFF"/>
    <w:rsid w:val="69FDA24D"/>
    <w:rsid w:val="6A032202"/>
    <w:rsid w:val="6A080252"/>
    <w:rsid w:val="6A14FAE5"/>
    <w:rsid w:val="6A2D1E8C"/>
    <w:rsid w:val="6A2DDFBF"/>
    <w:rsid w:val="6A2E0B61"/>
    <w:rsid w:val="6A38DD9E"/>
    <w:rsid w:val="6A40AF73"/>
    <w:rsid w:val="6A42695C"/>
    <w:rsid w:val="6A46610D"/>
    <w:rsid w:val="6A5B55B8"/>
    <w:rsid w:val="6A5EF7D8"/>
    <w:rsid w:val="6A61AAB5"/>
    <w:rsid w:val="6A6A0414"/>
    <w:rsid w:val="6A6C6BDD"/>
    <w:rsid w:val="6A6DD424"/>
    <w:rsid w:val="6A714B0C"/>
    <w:rsid w:val="6A75A07F"/>
    <w:rsid w:val="6A7A6071"/>
    <w:rsid w:val="6A8D691A"/>
    <w:rsid w:val="6A98ED95"/>
    <w:rsid w:val="6AAD2533"/>
    <w:rsid w:val="6AB00461"/>
    <w:rsid w:val="6AB118E4"/>
    <w:rsid w:val="6AB33916"/>
    <w:rsid w:val="6AB469D6"/>
    <w:rsid w:val="6ABB8593"/>
    <w:rsid w:val="6AC3822A"/>
    <w:rsid w:val="6AC40134"/>
    <w:rsid w:val="6AD3E571"/>
    <w:rsid w:val="6AD6A2F1"/>
    <w:rsid w:val="6AE6B2C2"/>
    <w:rsid w:val="6AF139FE"/>
    <w:rsid w:val="6AF2515F"/>
    <w:rsid w:val="6AF9FF7C"/>
    <w:rsid w:val="6AFA87B2"/>
    <w:rsid w:val="6AFB41BA"/>
    <w:rsid w:val="6B062E5D"/>
    <w:rsid w:val="6B0774AB"/>
    <w:rsid w:val="6B15E53B"/>
    <w:rsid w:val="6B206DAC"/>
    <w:rsid w:val="6B26FB23"/>
    <w:rsid w:val="6B273654"/>
    <w:rsid w:val="6B2ED09C"/>
    <w:rsid w:val="6B47AB87"/>
    <w:rsid w:val="6B682CC3"/>
    <w:rsid w:val="6B6D1329"/>
    <w:rsid w:val="6B75EC94"/>
    <w:rsid w:val="6B788B5F"/>
    <w:rsid w:val="6B7B6799"/>
    <w:rsid w:val="6B878117"/>
    <w:rsid w:val="6B8F0506"/>
    <w:rsid w:val="6BA5B6EE"/>
    <w:rsid w:val="6BA76FA7"/>
    <w:rsid w:val="6BAC79B0"/>
    <w:rsid w:val="6BB21DFA"/>
    <w:rsid w:val="6BB400BE"/>
    <w:rsid w:val="6BC0F1EF"/>
    <w:rsid w:val="6BC89185"/>
    <w:rsid w:val="6BD2D386"/>
    <w:rsid w:val="6BD81ACD"/>
    <w:rsid w:val="6BDB3A38"/>
    <w:rsid w:val="6BEDEA69"/>
    <w:rsid w:val="6BEF16E3"/>
    <w:rsid w:val="6C11659D"/>
    <w:rsid w:val="6C119014"/>
    <w:rsid w:val="6C1AB494"/>
    <w:rsid w:val="6C52AC4A"/>
    <w:rsid w:val="6C531F2B"/>
    <w:rsid w:val="6C5AE668"/>
    <w:rsid w:val="6C61DE8B"/>
    <w:rsid w:val="6C6586CC"/>
    <w:rsid w:val="6C6722C3"/>
    <w:rsid w:val="6C693378"/>
    <w:rsid w:val="6C6F01AE"/>
    <w:rsid w:val="6C739475"/>
    <w:rsid w:val="6C794FCE"/>
    <w:rsid w:val="6C84C8E1"/>
    <w:rsid w:val="6C8854AA"/>
    <w:rsid w:val="6C9EB727"/>
    <w:rsid w:val="6CA0EF66"/>
    <w:rsid w:val="6CA54503"/>
    <w:rsid w:val="6CA64B36"/>
    <w:rsid w:val="6CBEDBD6"/>
    <w:rsid w:val="6CD131D1"/>
    <w:rsid w:val="6CD2A74D"/>
    <w:rsid w:val="6CD6B810"/>
    <w:rsid w:val="6CF67078"/>
    <w:rsid w:val="6CF6EFA4"/>
    <w:rsid w:val="6CF996F5"/>
    <w:rsid w:val="6CFAFAA3"/>
    <w:rsid w:val="6D0F0A7C"/>
    <w:rsid w:val="6D0F1812"/>
    <w:rsid w:val="6D173FAF"/>
    <w:rsid w:val="6D277282"/>
    <w:rsid w:val="6D2B97FD"/>
    <w:rsid w:val="6D334324"/>
    <w:rsid w:val="6D341429"/>
    <w:rsid w:val="6D399F68"/>
    <w:rsid w:val="6D561665"/>
    <w:rsid w:val="6D5A52C3"/>
    <w:rsid w:val="6D690B1B"/>
    <w:rsid w:val="6D6D6FF0"/>
    <w:rsid w:val="6D715799"/>
    <w:rsid w:val="6D7535B6"/>
    <w:rsid w:val="6D764DE0"/>
    <w:rsid w:val="6D787977"/>
    <w:rsid w:val="6D81AD68"/>
    <w:rsid w:val="6D8C9627"/>
    <w:rsid w:val="6D9FF33F"/>
    <w:rsid w:val="6DA5A7FD"/>
    <w:rsid w:val="6DB244B6"/>
    <w:rsid w:val="6DB44EC0"/>
    <w:rsid w:val="6DC0A6C2"/>
    <w:rsid w:val="6DC8D50E"/>
    <w:rsid w:val="6DD4B9BA"/>
    <w:rsid w:val="6DD62A50"/>
    <w:rsid w:val="6DDBA133"/>
    <w:rsid w:val="6DFD96F1"/>
    <w:rsid w:val="6DFDB920"/>
    <w:rsid w:val="6E0D79EE"/>
    <w:rsid w:val="6E137230"/>
    <w:rsid w:val="6E1DE5AA"/>
    <w:rsid w:val="6E20B420"/>
    <w:rsid w:val="6E4DC590"/>
    <w:rsid w:val="6E57807C"/>
    <w:rsid w:val="6E5A7C11"/>
    <w:rsid w:val="6E77513B"/>
    <w:rsid w:val="6E7A2DF4"/>
    <w:rsid w:val="6E7B3008"/>
    <w:rsid w:val="6E7C4737"/>
    <w:rsid w:val="6E842E25"/>
    <w:rsid w:val="6E87EB54"/>
    <w:rsid w:val="6E8EBA25"/>
    <w:rsid w:val="6E90A74C"/>
    <w:rsid w:val="6E9DD715"/>
    <w:rsid w:val="6EA39DA9"/>
    <w:rsid w:val="6EA76BC9"/>
    <w:rsid w:val="6EB167A8"/>
    <w:rsid w:val="6EBC0A06"/>
    <w:rsid w:val="6EC06B41"/>
    <w:rsid w:val="6EC19451"/>
    <w:rsid w:val="6EC7A21D"/>
    <w:rsid w:val="6ED5A19C"/>
    <w:rsid w:val="6EE19F34"/>
    <w:rsid w:val="6EE51AAB"/>
    <w:rsid w:val="6EF4D94D"/>
    <w:rsid w:val="6EFD67F1"/>
    <w:rsid w:val="6F069C2F"/>
    <w:rsid w:val="6F0B2330"/>
    <w:rsid w:val="6F0D1C45"/>
    <w:rsid w:val="6F0E1960"/>
    <w:rsid w:val="6F0E8B5D"/>
    <w:rsid w:val="6F1E3339"/>
    <w:rsid w:val="6F2F56FA"/>
    <w:rsid w:val="6F52EF5F"/>
    <w:rsid w:val="6F59F0E6"/>
    <w:rsid w:val="6F5A3EA7"/>
    <w:rsid w:val="6F5D07B9"/>
    <w:rsid w:val="6F69497A"/>
    <w:rsid w:val="6F6EA295"/>
    <w:rsid w:val="6F7AD278"/>
    <w:rsid w:val="6F7F277C"/>
    <w:rsid w:val="6F8972D9"/>
    <w:rsid w:val="6F8DFFE9"/>
    <w:rsid w:val="6F921CCD"/>
    <w:rsid w:val="6F995604"/>
    <w:rsid w:val="6F998AAA"/>
    <w:rsid w:val="6F9EE04E"/>
    <w:rsid w:val="6FA23984"/>
    <w:rsid w:val="6FA411DF"/>
    <w:rsid w:val="6FB50A29"/>
    <w:rsid w:val="6FC8C501"/>
    <w:rsid w:val="6FCB9F1E"/>
    <w:rsid w:val="6FCECA12"/>
    <w:rsid w:val="6FD0FB07"/>
    <w:rsid w:val="6FD8333A"/>
    <w:rsid w:val="6FDA5A83"/>
    <w:rsid w:val="6FDE049B"/>
    <w:rsid w:val="6FEBD414"/>
    <w:rsid w:val="6FF13143"/>
    <w:rsid w:val="70000767"/>
    <w:rsid w:val="70026102"/>
    <w:rsid w:val="70067870"/>
    <w:rsid w:val="7007B8B0"/>
    <w:rsid w:val="70080C57"/>
    <w:rsid w:val="7015FBFB"/>
    <w:rsid w:val="70248C05"/>
    <w:rsid w:val="7025981B"/>
    <w:rsid w:val="7028590E"/>
    <w:rsid w:val="702EA19B"/>
    <w:rsid w:val="703138EA"/>
    <w:rsid w:val="703C4041"/>
    <w:rsid w:val="703DEC51"/>
    <w:rsid w:val="70466395"/>
    <w:rsid w:val="7046B054"/>
    <w:rsid w:val="704839FD"/>
    <w:rsid w:val="7049C80C"/>
    <w:rsid w:val="704D037F"/>
    <w:rsid w:val="704E8B9A"/>
    <w:rsid w:val="704E9715"/>
    <w:rsid w:val="7054D5AB"/>
    <w:rsid w:val="70566BCC"/>
    <w:rsid w:val="7059A1DA"/>
    <w:rsid w:val="705A257B"/>
    <w:rsid w:val="705D9FEE"/>
    <w:rsid w:val="706F1ACF"/>
    <w:rsid w:val="707619CA"/>
    <w:rsid w:val="708146B2"/>
    <w:rsid w:val="708ABC35"/>
    <w:rsid w:val="7098027C"/>
    <w:rsid w:val="709D54DC"/>
    <w:rsid w:val="70A46A7B"/>
    <w:rsid w:val="70A64A34"/>
    <w:rsid w:val="70AD9729"/>
    <w:rsid w:val="70B214A5"/>
    <w:rsid w:val="70B77D67"/>
    <w:rsid w:val="70BC4F70"/>
    <w:rsid w:val="70C0E329"/>
    <w:rsid w:val="70CDFBB1"/>
    <w:rsid w:val="70D90384"/>
    <w:rsid w:val="70F216BA"/>
    <w:rsid w:val="710C0953"/>
    <w:rsid w:val="71130BFF"/>
    <w:rsid w:val="7114950F"/>
    <w:rsid w:val="711A2229"/>
    <w:rsid w:val="711DB88C"/>
    <w:rsid w:val="71358A76"/>
    <w:rsid w:val="7137A4A8"/>
    <w:rsid w:val="7144640B"/>
    <w:rsid w:val="71486374"/>
    <w:rsid w:val="71573174"/>
    <w:rsid w:val="7157E0E1"/>
    <w:rsid w:val="7159C6CB"/>
    <w:rsid w:val="7166515D"/>
    <w:rsid w:val="716D4564"/>
    <w:rsid w:val="7183D813"/>
    <w:rsid w:val="7186636F"/>
    <w:rsid w:val="71891896"/>
    <w:rsid w:val="718BA13C"/>
    <w:rsid w:val="7195048E"/>
    <w:rsid w:val="719DE343"/>
    <w:rsid w:val="71A231E8"/>
    <w:rsid w:val="71AB602A"/>
    <w:rsid w:val="71B4E866"/>
    <w:rsid w:val="71B62ED8"/>
    <w:rsid w:val="71CAC3D0"/>
    <w:rsid w:val="71CB52E0"/>
    <w:rsid w:val="71D4A0FA"/>
    <w:rsid w:val="71E4B6F6"/>
    <w:rsid w:val="71EA8D91"/>
    <w:rsid w:val="71EFFB2E"/>
    <w:rsid w:val="71F5E10C"/>
    <w:rsid w:val="71F91820"/>
    <w:rsid w:val="72064632"/>
    <w:rsid w:val="721304A6"/>
    <w:rsid w:val="72202A89"/>
    <w:rsid w:val="7230B35C"/>
    <w:rsid w:val="7235B33A"/>
    <w:rsid w:val="723E2B62"/>
    <w:rsid w:val="72446714"/>
    <w:rsid w:val="72456B2B"/>
    <w:rsid w:val="724B27DD"/>
    <w:rsid w:val="724BEE83"/>
    <w:rsid w:val="724C871E"/>
    <w:rsid w:val="7259474B"/>
    <w:rsid w:val="725983CD"/>
    <w:rsid w:val="7265D437"/>
    <w:rsid w:val="726B993D"/>
    <w:rsid w:val="72761901"/>
    <w:rsid w:val="727E137A"/>
    <w:rsid w:val="728A285F"/>
    <w:rsid w:val="729CD8AE"/>
    <w:rsid w:val="72A5022C"/>
    <w:rsid w:val="72B7B2F1"/>
    <w:rsid w:val="72BAECF5"/>
    <w:rsid w:val="72C4A472"/>
    <w:rsid w:val="72CCE6DF"/>
    <w:rsid w:val="72D1DE3E"/>
    <w:rsid w:val="72D6482E"/>
    <w:rsid w:val="72E792D6"/>
    <w:rsid w:val="72F14712"/>
    <w:rsid w:val="72FB9E15"/>
    <w:rsid w:val="72FC20DC"/>
    <w:rsid w:val="7310B274"/>
    <w:rsid w:val="732B1147"/>
    <w:rsid w:val="732C32F8"/>
    <w:rsid w:val="733AE05B"/>
    <w:rsid w:val="733D7693"/>
    <w:rsid w:val="733DED81"/>
    <w:rsid w:val="733EE84D"/>
    <w:rsid w:val="7340C91D"/>
    <w:rsid w:val="7344FCBB"/>
    <w:rsid w:val="734FE9CD"/>
    <w:rsid w:val="7353DD61"/>
    <w:rsid w:val="7365ADCA"/>
    <w:rsid w:val="736F07C6"/>
    <w:rsid w:val="7377A906"/>
    <w:rsid w:val="738EE66F"/>
    <w:rsid w:val="7394C5CE"/>
    <w:rsid w:val="739AD2FF"/>
    <w:rsid w:val="739B62A0"/>
    <w:rsid w:val="739BBF84"/>
    <w:rsid w:val="73AA6D7E"/>
    <w:rsid w:val="73ADA810"/>
    <w:rsid w:val="73B4A653"/>
    <w:rsid w:val="73BB5EE2"/>
    <w:rsid w:val="73BD2179"/>
    <w:rsid w:val="73C62475"/>
    <w:rsid w:val="73D03D95"/>
    <w:rsid w:val="73DBC2D5"/>
    <w:rsid w:val="73DCA929"/>
    <w:rsid w:val="73E35E3D"/>
    <w:rsid w:val="73E39A51"/>
    <w:rsid w:val="73E49A5A"/>
    <w:rsid w:val="73E875A8"/>
    <w:rsid w:val="73EE5426"/>
    <w:rsid w:val="73FA7A1B"/>
    <w:rsid w:val="74036706"/>
    <w:rsid w:val="7412E5E9"/>
    <w:rsid w:val="741649B1"/>
    <w:rsid w:val="7420215E"/>
    <w:rsid w:val="742119E9"/>
    <w:rsid w:val="7421D3CB"/>
    <w:rsid w:val="74257196"/>
    <w:rsid w:val="74413079"/>
    <w:rsid w:val="744341FF"/>
    <w:rsid w:val="744583C2"/>
    <w:rsid w:val="744D0280"/>
    <w:rsid w:val="744F4B2F"/>
    <w:rsid w:val="745ACAF5"/>
    <w:rsid w:val="745E271D"/>
    <w:rsid w:val="745E6077"/>
    <w:rsid w:val="746E52E8"/>
    <w:rsid w:val="74751409"/>
    <w:rsid w:val="747F1164"/>
    <w:rsid w:val="7488F508"/>
    <w:rsid w:val="748B6F93"/>
    <w:rsid w:val="7496A518"/>
    <w:rsid w:val="749D818B"/>
    <w:rsid w:val="74A1CEAE"/>
    <w:rsid w:val="74A5CD44"/>
    <w:rsid w:val="74B56330"/>
    <w:rsid w:val="74B80CE1"/>
    <w:rsid w:val="74CE554C"/>
    <w:rsid w:val="74D3514A"/>
    <w:rsid w:val="74DFDEEF"/>
    <w:rsid w:val="74E9ABA8"/>
    <w:rsid w:val="750919A3"/>
    <w:rsid w:val="750EA939"/>
    <w:rsid w:val="750F6864"/>
    <w:rsid w:val="7512DD00"/>
    <w:rsid w:val="7519D93B"/>
    <w:rsid w:val="751E8F91"/>
    <w:rsid w:val="7520245E"/>
    <w:rsid w:val="75206D7E"/>
    <w:rsid w:val="75221BDF"/>
    <w:rsid w:val="753CD942"/>
    <w:rsid w:val="7563C7AD"/>
    <w:rsid w:val="75793301"/>
    <w:rsid w:val="7581C198"/>
    <w:rsid w:val="75844F96"/>
    <w:rsid w:val="758CAD96"/>
    <w:rsid w:val="7594A12C"/>
    <w:rsid w:val="75ABE2D8"/>
    <w:rsid w:val="75AD7FAA"/>
    <w:rsid w:val="75C1E99C"/>
    <w:rsid w:val="75CE99B7"/>
    <w:rsid w:val="75CF43FC"/>
    <w:rsid w:val="75D2BB8F"/>
    <w:rsid w:val="75D64CCC"/>
    <w:rsid w:val="75E34325"/>
    <w:rsid w:val="75F01AA9"/>
    <w:rsid w:val="75F4C37B"/>
    <w:rsid w:val="75F7EE00"/>
    <w:rsid w:val="75FC9578"/>
    <w:rsid w:val="75FD8845"/>
    <w:rsid w:val="7602729A"/>
    <w:rsid w:val="7609D1C4"/>
    <w:rsid w:val="760F60A9"/>
    <w:rsid w:val="76167788"/>
    <w:rsid w:val="76178568"/>
    <w:rsid w:val="7627956C"/>
    <w:rsid w:val="7627DB72"/>
    <w:rsid w:val="762D5D43"/>
    <w:rsid w:val="7631CB4D"/>
    <w:rsid w:val="7633152E"/>
    <w:rsid w:val="76375E28"/>
    <w:rsid w:val="763E622B"/>
    <w:rsid w:val="7643FC6A"/>
    <w:rsid w:val="764C1F05"/>
    <w:rsid w:val="764C3226"/>
    <w:rsid w:val="764FEEC6"/>
    <w:rsid w:val="76545F75"/>
    <w:rsid w:val="76560158"/>
    <w:rsid w:val="765BC3BF"/>
    <w:rsid w:val="765BDAED"/>
    <w:rsid w:val="765E18A6"/>
    <w:rsid w:val="766D4B2B"/>
    <w:rsid w:val="76749629"/>
    <w:rsid w:val="76754A4E"/>
    <w:rsid w:val="76791888"/>
    <w:rsid w:val="767BAECE"/>
    <w:rsid w:val="76828CE4"/>
    <w:rsid w:val="76896050"/>
    <w:rsid w:val="768AA332"/>
    <w:rsid w:val="76904A30"/>
    <w:rsid w:val="76944E26"/>
    <w:rsid w:val="76973C3D"/>
    <w:rsid w:val="7698B66B"/>
    <w:rsid w:val="76A9F26A"/>
    <w:rsid w:val="76B56715"/>
    <w:rsid w:val="76BD3F6A"/>
    <w:rsid w:val="76BE6A39"/>
    <w:rsid w:val="76DEF3A5"/>
    <w:rsid w:val="76E16081"/>
    <w:rsid w:val="76EFECBA"/>
    <w:rsid w:val="7708B6A2"/>
    <w:rsid w:val="770B21D2"/>
    <w:rsid w:val="77132602"/>
    <w:rsid w:val="77178EA7"/>
    <w:rsid w:val="7728F055"/>
    <w:rsid w:val="772A7587"/>
    <w:rsid w:val="772E8E8C"/>
    <w:rsid w:val="7737C4B1"/>
    <w:rsid w:val="773B4EF9"/>
    <w:rsid w:val="773D04BB"/>
    <w:rsid w:val="773DB04C"/>
    <w:rsid w:val="77450DAB"/>
    <w:rsid w:val="774BFADB"/>
    <w:rsid w:val="774FD116"/>
    <w:rsid w:val="77522A77"/>
    <w:rsid w:val="7761A06C"/>
    <w:rsid w:val="7769BE61"/>
    <w:rsid w:val="7772A6E5"/>
    <w:rsid w:val="7773735D"/>
    <w:rsid w:val="777C1494"/>
    <w:rsid w:val="7781A4D2"/>
    <w:rsid w:val="7784481A"/>
    <w:rsid w:val="778A006A"/>
    <w:rsid w:val="77909DC6"/>
    <w:rsid w:val="7797FBF0"/>
    <w:rsid w:val="77A6424C"/>
    <w:rsid w:val="77A94976"/>
    <w:rsid w:val="77AC5648"/>
    <w:rsid w:val="77ADD334"/>
    <w:rsid w:val="77BAEE33"/>
    <w:rsid w:val="77BE78B1"/>
    <w:rsid w:val="77DDE7AE"/>
    <w:rsid w:val="77E186D8"/>
    <w:rsid w:val="77F603EF"/>
    <w:rsid w:val="77F94E0B"/>
    <w:rsid w:val="780742AD"/>
    <w:rsid w:val="7809206D"/>
    <w:rsid w:val="7822E4F6"/>
    <w:rsid w:val="7825E09C"/>
    <w:rsid w:val="7827EF31"/>
    <w:rsid w:val="78311BFA"/>
    <w:rsid w:val="783F17B3"/>
    <w:rsid w:val="78417C60"/>
    <w:rsid w:val="784B6051"/>
    <w:rsid w:val="78530CDF"/>
    <w:rsid w:val="785B4300"/>
    <w:rsid w:val="7866A0CC"/>
    <w:rsid w:val="7869C1FB"/>
    <w:rsid w:val="786B95BE"/>
    <w:rsid w:val="7870C787"/>
    <w:rsid w:val="787557C7"/>
    <w:rsid w:val="787A4A9A"/>
    <w:rsid w:val="787C9ABB"/>
    <w:rsid w:val="78865C53"/>
    <w:rsid w:val="7888089F"/>
    <w:rsid w:val="789ADCD5"/>
    <w:rsid w:val="789DAAD2"/>
    <w:rsid w:val="78A447B8"/>
    <w:rsid w:val="78A7DD22"/>
    <w:rsid w:val="78BD2581"/>
    <w:rsid w:val="78BF2FA9"/>
    <w:rsid w:val="78C1499B"/>
    <w:rsid w:val="78C63159"/>
    <w:rsid w:val="78CF9D93"/>
    <w:rsid w:val="78CFC662"/>
    <w:rsid w:val="78D876CF"/>
    <w:rsid w:val="78D9B093"/>
    <w:rsid w:val="78DA87C4"/>
    <w:rsid w:val="78E0B0F6"/>
    <w:rsid w:val="78E0B9E3"/>
    <w:rsid w:val="78E2F962"/>
    <w:rsid w:val="78E558E1"/>
    <w:rsid w:val="78E57A4B"/>
    <w:rsid w:val="78FBEAE8"/>
    <w:rsid w:val="790AB5BD"/>
    <w:rsid w:val="79120A88"/>
    <w:rsid w:val="7919EA7F"/>
    <w:rsid w:val="791E4FC3"/>
    <w:rsid w:val="7925B284"/>
    <w:rsid w:val="793C9FAF"/>
    <w:rsid w:val="794712DF"/>
    <w:rsid w:val="794D9B67"/>
    <w:rsid w:val="795195E6"/>
    <w:rsid w:val="795ED4F0"/>
    <w:rsid w:val="795EFFCE"/>
    <w:rsid w:val="796FBAFD"/>
    <w:rsid w:val="7977C579"/>
    <w:rsid w:val="798A605F"/>
    <w:rsid w:val="798D0F3D"/>
    <w:rsid w:val="798E3F71"/>
    <w:rsid w:val="79941E2C"/>
    <w:rsid w:val="799B31FB"/>
    <w:rsid w:val="799CF27A"/>
    <w:rsid w:val="79A5A067"/>
    <w:rsid w:val="79B87A7C"/>
    <w:rsid w:val="79CF6D32"/>
    <w:rsid w:val="79F5FDDE"/>
    <w:rsid w:val="7A04EA0D"/>
    <w:rsid w:val="7A054C4D"/>
    <w:rsid w:val="7A09E5A0"/>
    <w:rsid w:val="7A13C9AA"/>
    <w:rsid w:val="7A2F238A"/>
    <w:rsid w:val="7A3FF4FB"/>
    <w:rsid w:val="7A42C0F0"/>
    <w:rsid w:val="7A4CB07B"/>
    <w:rsid w:val="7A5D9D03"/>
    <w:rsid w:val="7A5EA63E"/>
    <w:rsid w:val="7A6D6D43"/>
    <w:rsid w:val="7A6F624E"/>
    <w:rsid w:val="7A749998"/>
    <w:rsid w:val="7A76D29F"/>
    <w:rsid w:val="7A7C0B6F"/>
    <w:rsid w:val="7A7C91E3"/>
    <w:rsid w:val="7A7EBEF9"/>
    <w:rsid w:val="7A84DEBC"/>
    <w:rsid w:val="7A87409D"/>
    <w:rsid w:val="7A8EC13D"/>
    <w:rsid w:val="7A9CE0F1"/>
    <w:rsid w:val="7AA10C80"/>
    <w:rsid w:val="7AAEFE41"/>
    <w:rsid w:val="7AC242B3"/>
    <w:rsid w:val="7AD1E4E7"/>
    <w:rsid w:val="7AD1EBB1"/>
    <w:rsid w:val="7AD24AD9"/>
    <w:rsid w:val="7AD7E9FB"/>
    <w:rsid w:val="7AD9B0D9"/>
    <w:rsid w:val="7ADE15B1"/>
    <w:rsid w:val="7ADEA782"/>
    <w:rsid w:val="7AE6F25D"/>
    <w:rsid w:val="7B00DCCB"/>
    <w:rsid w:val="7B0577D7"/>
    <w:rsid w:val="7B0DF309"/>
    <w:rsid w:val="7B0EB292"/>
    <w:rsid w:val="7B1C29D2"/>
    <w:rsid w:val="7B229A7B"/>
    <w:rsid w:val="7B22BE1A"/>
    <w:rsid w:val="7B256577"/>
    <w:rsid w:val="7B374E8D"/>
    <w:rsid w:val="7B3E3497"/>
    <w:rsid w:val="7B58E2B8"/>
    <w:rsid w:val="7B601A02"/>
    <w:rsid w:val="7B6A6BC3"/>
    <w:rsid w:val="7B7D3200"/>
    <w:rsid w:val="7B812986"/>
    <w:rsid w:val="7B880CFB"/>
    <w:rsid w:val="7B90B743"/>
    <w:rsid w:val="7B9F528E"/>
    <w:rsid w:val="7BA0AC44"/>
    <w:rsid w:val="7BA3693F"/>
    <w:rsid w:val="7BA4E6BB"/>
    <w:rsid w:val="7BAB40EB"/>
    <w:rsid w:val="7BB7AB9A"/>
    <w:rsid w:val="7BB954F4"/>
    <w:rsid w:val="7BBA7F39"/>
    <w:rsid w:val="7BC161B2"/>
    <w:rsid w:val="7BCF7352"/>
    <w:rsid w:val="7BCFC867"/>
    <w:rsid w:val="7BDF49B4"/>
    <w:rsid w:val="7BF197A6"/>
    <w:rsid w:val="7BF63D75"/>
    <w:rsid w:val="7BF86219"/>
    <w:rsid w:val="7BFD2F62"/>
    <w:rsid w:val="7BFE9CE2"/>
    <w:rsid w:val="7C07183C"/>
    <w:rsid w:val="7C0EFFB4"/>
    <w:rsid w:val="7C258ECE"/>
    <w:rsid w:val="7C3C1A55"/>
    <w:rsid w:val="7C47EF58"/>
    <w:rsid w:val="7C584D3C"/>
    <w:rsid w:val="7C5A5A96"/>
    <w:rsid w:val="7C667620"/>
    <w:rsid w:val="7C88A75A"/>
    <w:rsid w:val="7CAC0E0E"/>
    <w:rsid w:val="7CBCFC79"/>
    <w:rsid w:val="7CD30F7C"/>
    <w:rsid w:val="7CD36173"/>
    <w:rsid w:val="7CDC1653"/>
    <w:rsid w:val="7CEB1342"/>
    <w:rsid w:val="7CEFA6EE"/>
    <w:rsid w:val="7D0177DE"/>
    <w:rsid w:val="7D0B62C7"/>
    <w:rsid w:val="7D14FEE2"/>
    <w:rsid w:val="7D241B2A"/>
    <w:rsid w:val="7D303543"/>
    <w:rsid w:val="7D306758"/>
    <w:rsid w:val="7D38E2DB"/>
    <w:rsid w:val="7D3ABBC0"/>
    <w:rsid w:val="7D3B7A81"/>
    <w:rsid w:val="7D3FA28F"/>
    <w:rsid w:val="7D4288D5"/>
    <w:rsid w:val="7D51B5AC"/>
    <w:rsid w:val="7D56188D"/>
    <w:rsid w:val="7D5C5FC1"/>
    <w:rsid w:val="7D5DF14F"/>
    <w:rsid w:val="7D642191"/>
    <w:rsid w:val="7D676B83"/>
    <w:rsid w:val="7D6A1898"/>
    <w:rsid w:val="7D70E784"/>
    <w:rsid w:val="7D75CF2C"/>
    <w:rsid w:val="7D7A65B9"/>
    <w:rsid w:val="7D85B10F"/>
    <w:rsid w:val="7D906DC0"/>
    <w:rsid w:val="7DA42FB0"/>
    <w:rsid w:val="7DBB2341"/>
    <w:rsid w:val="7DC23FCA"/>
    <w:rsid w:val="7DDAB5C3"/>
    <w:rsid w:val="7DEA2DDD"/>
    <w:rsid w:val="7DEAC184"/>
    <w:rsid w:val="7DF8F96D"/>
    <w:rsid w:val="7DFFFF19"/>
    <w:rsid w:val="7E02F3CA"/>
    <w:rsid w:val="7E06051C"/>
    <w:rsid w:val="7E084F6C"/>
    <w:rsid w:val="7E0F5509"/>
    <w:rsid w:val="7E1BABD7"/>
    <w:rsid w:val="7E313C77"/>
    <w:rsid w:val="7E3248FD"/>
    <w:rsid w:val="7E344527"/>
    <w:rsid w:val="7E3ADBE6"/>
    <w:rsid w:val="7E3D34BB"/>
    <w:rsid w:val="7E3E728F"/>
    <w:rsid w:val="7E41D523"/>
    <w:rsid w:val="7E41F713"/>
    <w:rsid w:val="7E45060F"/>
    <w:rsid w:val="7E56D3AD"/>
    <w:rsid w:val="7E73A5EF"/>
    <w:rsid w:val="7E747AC7"/>
    <w:rsid w:val="7E747DAF"/>
    <w:rsid w:val="7E7F31C5"/>
    <w:rsid w:val="7E8AAFB2"/>
    <w:rsid w:val="7E8E8595"/>
    <w:rsid w:val="7E97F7CC"/>
    <w:rsid w:val="7E99E68F"/>
    <w:rsid w:val="7EA47585"/>
    <w:rsid w:val="7EA7CBA9"/>
    <w:rsid w:val="7EAB3849"/>
    <w:rsid w:val="7EACC420"/>
    <w:rsid w:val="7EAF7EB8"/>
    <w:rsid w:val="7EB9426C"/>
    <w:rsid w:val="7ECF013B"/>
    <w:rsid w:val="7ED38D45"/>
    <w:rsid w:val="7ED7C44B"/>
    <w:rsid w:val="7EE0A52E"/>
    <w:rsid w:val="7EF25E28"/>
    <w:rsid w:val="7EF29C54"/>
    <w:rsid w:val="7EF61839"/>
    <w:rsid w:val="7F20B7D5"/>
    <w:rsid w:val="7F222072"/>
    <w:rsid w:val="7F2548A6"/>
    <w:rsid w:val="7F266302"/>
    <w:rsid w:val="7F27C5DF"/>
    <w:rsid w:val="7F2B756A"/>
    <w:rsid w:val="7F33D0A3"/>
    <w:rsid w:val="7F5051E4"/>
    <w:rsid w:val="7F55CF2E"/>
    <w:rsid w:val="7F5BCE17"/>
    <w:rsid w:val="7F642C73"/>
    <w:rsid w:val="7F6DE484"/>
    <w:rsid w:val="7F7EC626"/>
    <w:rsid w:val="7F87FE96"/>
    <w:rsid w:val="7F8CD28C"/>
    <w:rsid w:val="7F8E9F6C"/>
    <w:rsid w:val="7FA0064B"/>
    <w:rsid w:val="7FA47152"/>
    <w:rsid w:val="7FBC5E5E"/>
    <w:rsid w:val="7FC47F63"/>
    <w:rsid w:val="7FC78A25"/>
    <w:rsid w:val="7FCE7D85"/>
    <w:rsid w:val="7FD19EF3"/>
    <w:rsid w:val="7FE28096"/>
    <w:rsid w:val="7FE400BC"/>
    <w:rsid w:val="7FE73694"/>
    <w:rsid w:val="7FF260F7"/>
    <w:rsid w:val="7FF44F4C"/>
    <w:rsid w:val="7FF607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9DBEB"/>
  <w15:chartTrackingRefBased/>
  <w15:docId w15:val="{F391D2D1-365A-45ED-9079-EC9FEBC6422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803A43"/>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803A43"/>
    <w:pPr>
      <w:numPr>
        <w:ilvl w:val="1"/>
        <w:numId w:val="15"/>
      </w:numPr>
      <w:ind w:right="2160"/>
      <w:outlineLvl w:val="1"/>
    </w:pPr>
  </w:style>
  <w:style w:type="paragraph" w:styleId="Heading3">
    <w:name w:val="heading 3"/>
    <w:basedOn w:val="Dummy"/>
    <w:next w:val="Standard"/>
    <w:link w:val="Heading3Char"/>
    <w:uiPriority w:val="4"/>
    <w:qFormat/>
    <w:rsid w:val="00803A43"/>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803A43"/>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803A43"/>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803A43"/>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803A43"/>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496EA2"/>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803A43"/>
    <w:rPr>
      <w:rFonts w:ascii="Arial" w:hAnsi="Arial" w:cs="Arial"/>
      <w:b/>
      <w:sz w:val="26"/>
      <w:szCs w:val="26"/>
    </w:rPr>
  </w:style>
  <w:style w:type="character" w:customStyle="1" w:styleId="Heading3Char">
    <w:name w:val="Heading 3 Char"/>
    <w:basedOn w:val="DefaultParagraphFont"/>
    <w:link w:val="Heading3"/>
    <w:uiPriority w:val="4"/>
    <w:rsid w:val="00803A43"/>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803A43"/>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03A43"/>
    <w:rPr>
      <w:rFonts w:ascii="Arial" w:eastAsiaTheme="majorEastAsia" w:hAnsi="Arial" w:cstheme="majorBidi"/>
      <w:b/>
      <w:sz w:val="26"/>
      <w:szCs w:val="26"/>
    </w:rPr>
  </w:style>
  <w:style w:type="paragraph" w:customStyle="1" w:styleId="Main">
    <w:name w:val="Main"/>
    <w:next w:val="Normal"/>
    <w:uiPriority w:val="19"/>
    <w:rsid w:val="00803A43"/>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496EA2"/>
    <w:pPr>
      <w:keepNext/>
      <w:spacing w:line="360" w:lineRule="auto"/>
      <w:outlineLvl w:val="0"/>
    </w:pPr>
    <w:rPr>
      <w:spacing w:val="120"/>
    </w:rPr>
  </w:style>
  <w:style w:type="paragraph" w:styleId="TOC2">
    <w:name w:val="toc 2"/>
    <w:basedOn w:val="Normal"/>
    <w:next w:val="Normal"/>
    <w:uiPriority w:val="39"/>
    <w:unhideWhenUsed/>
    <w:rsid w:val="00803A43"/>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803A43"/>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803A43"/>
    <w:pPr>
      <w:spacing w:line="240" w:lineRule="auto"/>
      <w:ind w:left="1987"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6A337B"/>
    <w:pPr>
      <w:numPr>
        <w:numId w:val="8"/>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7534F8"/>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6A337B"/>
    <w:pPr>
      <w:numPr>
        <w:numId w:val="60"/>
      </w:numPr>
    </w:pPr>
  </w:style>
  <w:style w:type="paragraph" w:customStyle="1" w:styleId="CoL">
    <w:name w:val="CoL"/>
    <w:basedOn w:val="Standard"/>
    <w:uiPriority w:val="7"/>
    <w:qFormat/>
    <w:rsid w:val="006A337B"/>
    <w:pPr>
      <w:numPr>
        <w:numId w:val="61"/>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6A337B"/>
    <w:pPr>
      <w:numPr>
        <w:numId w:val="62"/>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2"/>
      </w:numPr>
    </w:pPr>
  </w:style>
  <w:style w:type="paragraph" w:customStyle="1" w:styleId="Standard">
    <w:name w:val="Standard"/>
    <w:basedOn w:val="Normal"/>
    <w:link w:val="StandardChar"/>
    <w:qFormat/>
    <w:rsid w:val="007534F8"/>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7B4742"/>
    <w:pPr>
      <w:numPr>
        <w:numId w:val="3"/>
      </w:numPr>
      <w:spacing w:after="120" w:line="240" w:lineRule="auto"/>
      <w:ind w:right="1440"/>
    </w:pPr>
  </w:style>
  <w:style w:type="character" w:customStyle="1" w:styleId="Heading6Char">
    <w:name w:val="Heading 6 Char"/>
    <w:basedOn w:val="DefaultParagraphFont"/>
    <w:link w:val="Heading6"/>
    <w:uiPriority w:val="4"/>
    <w:rsid w:val="00803A43"/>
    <w:rPr>
      <w:rFonts w:ascii="Arial" w:eastAsiaTheme="majorEastAsia" w:hAnsi="Arial" w:cstheme="majorBidi"/>
      <w:b/>
      <w:sz w:val="26"/>
      <w:szCs w:val="26"/>
    </w:rPr>
  </w:style>
  <w:style w:type="paragraph" w:styleId="TOC4">
    <w:name w:val="toc 4"/>
    <w:basedOn w:val="Normal"/>
    <w:next w:val="Normal"/>
    <w:autoRedefine/>
    <w:uiPriority w:val="39"/>
    <w:unhideWhenUsed/>
    <w:rsid w:val="00803A43"/>
    <w:pPr>
      <w:spacing w:line="240" w:lineRule="auto"/>
      <w:ind w:left="2995" w:right="720" w:hanging="1008"/>
    </w:pPr>
  </w:style>
  <w:style w:type="paragraph" w:styleId="TOC5">
    <w:name w:val="toc 5"/>
    <w:basedOn w:val="Normal"/>
    <w:next w:val="Normal"/>
    <w:autoRedefine/>
    <w:uiPriority w:val="39"/>
    <w:unhideWhenUsed/>
    <w:rsid w:val="00803A43"/>
    <w:pPr>
      <w:spacing w:line="240" w:lineRule="auto"/>
      <w:ind w:left="4291" w:right="720" w:hanging="1296"/>
    </w:pPr>
  </w:style>
  <w:style w:type="paragraph" w:styleId="TOC6">
    <w:name w:val="toc 6"/>
    <w:basedOn w:val="Normal"/>
    <w:next w:val="Normal"/>
    <w:autoRedefine/>
    <w:uiPriority w:val="39"/>
    <w:unhideWhenUsed/>
    <w:rsid w:val="00803A43"/>
    <w:pPr>
      <w:spacing w:line="240" w:lineRule="auto"/>
      <w:ind w:left="5731" w:right="720" w:hanging="1440"/>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Revision">
    <w:name w:val="Revision"/>
    <w:hidden/>
    <w:uiPriority w:val="99"/>
    <w:semiHidden/>
    <w:rsid w:val="00E83BA6"/>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D374BC"/>
    <w:rPr>
      <w:sz w:val="16"/>
      <w:szCs w:val="16"/>
    </w:rPr>
  </w:style>
  <w:style w:type="paragraph" w:styleId="CommentText">
    <w:name w:val="annotation text"/>
    <w:basedOn w:val="Normal"/>
    <w:link w:val="CommentTextChar"/>
    <w:uiPriority w:val="99"/>
    <w:unhideWhenUsed/>
    <w:rsid w:val="00D374BC"/>
    <w:pPr>
      <w:spacing w:line="240" w:lineRule="auto"/>
    </w:pPr>
    <w:rPr>
      <w:sz w:val="20"/>
      <w:szCs w:val="20"/>
    </w:rPr>
  </w:style>
  <w:style w:type="character" w:customStyle="1" w:styleId="CommentTextChar">
    <w:name w:val="Comment Text Char"/>
    <w:basedOn w:val="DefaultParagraphFont"/>
    <w:link w:val="CommentText"/>
    <w:uiPriority w:val="99"/>
    <w:rsid w:val="00D374BC"/>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D374BC"/>
    <w:rPr>
      <w:b/>
      <w:bCs/>
    </w:rPr>
  </w:style>
  <w:style w:type="character" w:customStyle="1" w:styleId="CommentSubjectChar">
    <w:name w:val="Comment Subject Char"/>
    <w:basedOn w:val="CommentTextChar"/>
    <w:link w:val="CommentSubject"/>
    <w:uiPriority w:val="99"/>
    <w:semiHidden/>
    <w:rsid w:val="00D374BC"/>
    <w:rPr>
      <w:rFonts w:ascii="Book Antiqua" w:hAnsi="Book Antiqua"/>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578A6"/>
    <w:rPr>
      <w:color w:val="605E5C"/>
      <w:shd w:val="clear" w:color="auto" w:fill="E1DFDD"/>
    </w:rPr>
  </w:style>
  <w:style w:type="character" w:customStyle="1" w:styleId="normaltextrun">
    <w:name w:val="normaltextrun"/>
    <w:basedOn w:val="DefaultParagraphFont"/>
    <w:rsid w:val="00D25703"/>
  </w:style>
  <w:style w:type="paragraph" w:styleId="ListParagraph">
    <w:name w:val="List Paragraph"/>
    <w:basedOn w:val="Normal"/>
    <w:uiPriority w:val="34"/>
    <w:qFormat/>
    <w:rsid w:val="004B1756"/>
    <w:pPr>
      <w:ind w:left="720"/>
      <w:contextualSpacing/>
    </w:pPr>
  </w:style>
  <w:style w:type="paragraph" w:styleId="NormalWeb">
    <w:name w:val="Normal (Web)"/>
    <w:basedOn w:val="Normal"/>
    <w:uiPriority w:val="99"/>
    <w:semiHidden/>
    <w:unhideWhenUsed/>
    <w:rsid w:val="004B1756"/>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cf01">
    <w:name w:val="cf01"/>
    <w:basedOn w:val="DefaultParagraphFont"/>
    <w:rsid w:val="009B071D"/>
    <w:rPr>
      <w:rFonts w:ascii="Segoe UI" w:hAnsi="Segoe UI" w:cs="Segoe UI" w:hint="default"/>
      <w:sz w:val="18"/>
      <w:szCs w:val="18"/>
    </w:rPr>
  </w:style>
  <w:style w:type="character" w:styleId="FollowedHyperlink">
    <w:name w:val="FollowedHyperlink"/>
    <w:basedOn w:val="DefaultParagraphFont"/>
    <w:uiPriority w:val="99"/>
    <w:semiHidden/>
    <w:unhideWhenUsed/>
    <w:rsid w:val="00834490"/>
    <w:rPr>
      <w:color w:val="954F72" w:themeColor="followedHyperlink"/>
      <w:u w:val="single"/>
    </w:rPr>
  </w:style>
  <w:style w:type="paragraph" w:customStyle="1" w:styleId="2ndlevelbullet">
    <w:name w:val="2nd level bullet"/>
    <w:basedOn w:val="Standard"/>
    <w:link w:val="2ndlevelbulletChar"/>
    <w:rsid w:val="007B4742"/>
    <w:pPr>
      <w:numPr>
        <w:ilvl w:val="1"/>
        <w:numId w:val="7"/>
      </w:numPr>
      <w:spacing w:after="120" w:line="240" w:lineRule="auto"/>
      <w:ind w:right="1440"/>
    </w:pPr>
  </w:style>
  <w:style w:type="paragraph" w:customStyle="1" w:styleId="Sec5">
    <w:name w:val="Sec 5"/>
    <w:aliases w:val="Level 2"/>
    <w:basedOn w:val="ListNum"/>
    <w:rsid w:val="004F4D1C"/>
    <w:pPr>
      <w:numPr>
        <w:ilvl w:val="0"/>
        <w:numId w:val="4"/>
      </w:numPr>
      <w:ind w:right="1440"/>
    </w:pPr>
  </w:style>
  <w:style w:type="paragraph" w:customStyle="1" w:styleId="Section5">
    <w:name w:val="Section 5"/>
    <w:aliases w:val="Level 3"/>
    <w:basedOn w:val="ListAlpha"/>
    <w:rsid w:val="004F4D1C"/>
    <w:pPr>
      <w:numPr>
        <w:ilvl w:val="1"/>
        <w:numId w:val="4"/>
      </w:numPr>
      <w:ind w:right="1440"/>
    </w:pPr>
  </w:style>
  <w:style w:type="paragraph" w:customStyle="1" w:styleId="Sect5">
    <w:name w:val="Sect 5"/>
    <w:aliases w:val="Level 4"/>
    <w:basedOn w:val="ListAlpha"/>
    <w:rsid w:val="004F4D1C"/>
    <w:pPr>
      <w:numPr>
        <w:ilvl w:val="2"/>
        <w:numId w:val="4"/>
      </w:numPr>
      <w:ind w:left="1890" w:right="1440"/>
    </w:pPr>
  </w:style>
  <w:style w:type="paragraph" w:customStyle="1" w:styleId="Section6">
    <w:name w:val="Section 6"/>
    <w:aliases w:val="Level 1"/>
    <w:basedOn w:val="Standard"/>
    <w:rsid w:val="004F4D1C"/>
    <w:pPr>
      <w:numPr>
        <w:ilvl w:val="6"/>
        <w:numId w:val="1"/>
      </w:numPr>
      <w:spacing w:after="120" w:line="240" w:lineRule="auto"/>
      <w:ind w:right="1440"/>
    </w:pPr>
  </w:style>
  <w:style w:type="paragraph" w:customStyle="1" w:styleId="8level1">
    <w:name w:val="8 level 1"/>
    <w:basedOn w:val="Standard"/>
    <w:rsid w:val="00836699"/>
    <w:pPr>
      <w:numPr>
        <w:ilvl w:val="6"/>
        <w:numId w:val="5"/>
      </w:numPr>
      <w:spacing w:after="120" w:line="240" w:lineRule="auto"/>
      <w:ind w:right="1440"/>
    </w:pPr>
  </w:style>
  <w:style w:type="paragraph" w:customStyle="1" w:styleId="8level12ndset">
    <w:name w:val="8 level 1 2nd set"/>
    <w:basedOn w:val="ListParagraph"/>
    <w:rsid w:val="00836699"/>
    <w:pPr>
      <w:numPr>
        <w:ilvl w:val="6"/>
        <w:numId w:val="6"/>
      </w:numPr>
      <w:spacing w:after="120" w:line="240" w:lineRule="auto"/>
      <w:ind w:right="1440"/>
      <w:contextualSpacing w:val="0"/>
    </w:pPr>
  </w:style>
  <w:style w:type="paragraph" w:customStyle="1" w:styleId="71sublevel">
    <w:name w:val="7.1 sub level"/>
    <w:basedOn w:val="Standard"/>
    <w:rsid w:val="00303C41"/>
    <w:pPr>
      <w:numPr>
        <w:numId w:val="11"/>
      </w:numPr>
      <w:spacing w:after="120" w:line="240" w:lineRule="auto"/>
      <w:ind w:right="1440"/>
    </w:pPr>
  </w:style>
  <w:style w:type="paragraph" w:customStyle="1" w:styleId="2ndsub">
    <w:name w:val="2nd sub"/>
    <w:basedOn w:val="2ndlevelbullet"/>
    <w:link w:val="2ndsubChar"/>
    <w:qFormat/>
    <w:rsid w:val="008328AC"/>
    <w:pPr>
      <w:numPr>
        <w:ilvl w:val="0"/>
        <w:numId w:val="36"/>
      </w:numPr>
    </w:pPr>
  </w:style>
  <w:style w:type="character" w:customStyle="1" w:styleId="StandardChar">
    <w:name w:val="Standard Char"/>
    <w:basedOn w:val="DefaultParagraphFont"/>
    <w:link w:val="Standard"/>
    <w:rsid w:val="008328AC"/>
    <w:rPr>
      <w:rFonts w:ascii="Book Antiqua" w:hAnsi="Book Antiqua"/>
      <w:sz w:val="26"/>
    </w:rPr>
  </w:style>
  <w:style w:type="character" w:customStyle="1" w:styleId="2ndlevelbulletChar">
    <w:name w:val="2nd level bullet Char"/>
    <w:basedOn w:val="StandardChar"/>
    <w:link w:val="2ndlevelbullet"/>
    <w:rsid w:val="008328AC"/>
    <w:rPr>
      <w:rFonts w:ascii="Book Antiqua" w:hAnsi="Book Antiqua"/>
      <w:sz w:val="26"/>
    </w:rPr>
  </w:style>
  <w:style w:type="character" w:customStyle="1" w:styleId="2ndsubChar">
    <w:name w:val="2nd sub Char"/>
    <w:basedOn w:val="2ndlevelbulletChar"/>
    <w:link w:val="2ndsub"/>
    <w:rsid w:val="008328AC"/>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70993">
      <w:bodyDiv w:val="1"/>
      <w:marLeft w:val="0"/>
      <w:marRight w:val="0"/>
      <w:marTop w:val="0"/>
      <w:marBottom w:val="0"/>
      <w:divBdr>
        <w:top w:val="none" w:sz="0" w:space="0" w:color="auto"/>
        <w:left w:val="none" w:sz="0" w:space="0" w:color="auto"/>
        <w:bottom w:val="none" w:sz="0" w:space="0" w:color="auto"/>
        <w:right w:val="none" w:sz="0" w:space="0" w:color="auto"/>
      </w:divBdr>
    </w:div>
    <w:div w:id="93676848">
      <w:bodyDiv w:val="1"/>
      <w:marLeft w:val="0"/>
      <w:marRight w:val="0"/>
      <w:marTop w:val="0"/>
      <w:marBottom w:val="0"/>
      <w:divBdr>
        <w:top w:val="none" w:sz="0" w:space="0" w:color="auto"/>
        <w:left w:val="none" w:sz="0" w:space="0" w:color="auto"/>
        <w:bottom w:val="none" w:sz="0" w:space="0" w:color="auto"/>
        <w:right w:val="none" w:sz="0" w:space="0" w:color="auto"/>
      </w:divBdr>
    </w:div>
    <w:div w:id="94713593">
      <w:bodyDiv w:val="1"/>
      <w:marLeft w:val="0"/>
      <w:marRight w:val="0"/>
      <w:marTop w:val="0"/>
      <w:marBottom w:val="0"/>
      <w:divBdr>
        <w:top w:val="none" w:sz="0" w:space="0" w:color="auto"/>
        <w:left w:val="none" w:sz="0" w:space="0" w:color="auto"/>
        <w:bottom w:val="none" w:sz="0" w:space="0" w:color="auto"/>
        <w:right w:val="none" w:sz="0" w:space="0" w:color="auto"/>
      </w:divBdr>
    </w:div>
    <w:div w:id="97799202">
      <w:bodyDiv w:val="1"/>
      <w:marLeft w:val="0"/>
      <w:marRight w:val="0"/>
      <w:marTop w:val="0"/>
      <w:marBottom w:val="0"/>
      <w:divBdr>
        <w:top w:val="none" w:sz="0" w:space="0" w:color="auto"/>
        <w:left w:val="none" w:sz="0" w:space="0" w:color="auto"/>
        <w:bottom w:val="none" w:sz="0" w:space="0" w:color="auto"/>
        <w:right w:val="none" w:sz="0" w:space="0" w:color="auto"/>
      </w:divBdr>
      <w:divsChild>
        <w:div w:id="168564980">
          <w:marLeft w:val="600"/>
          <w:marRight w:val="0"/>
          <w:marTop w:val="0"/>
          <w:marBottom w:val="240"/>
          <w:divBdr>
            <w:top w:val="none" w:sz="0" w:space="0" w:color="auto"/>
            <w:left w:val="none" w:sz="0" w:space="0" w:color="auto"/>
            <w:bottom w:val="none" w:sz="0" w:space="0" w:color="auto"/>
            <w:right w:val="none" w:sz="0" w:space="0" w:color="auto"/>
          </w:divBdr>
        </w:div>
        <w:div w:id="448669956">
          <w:marLeft w:val="600"/>
          <w:marRight w:val="0"/>
          <w:marTop w:val="0"/>
          <w:marBottom w:val="240"/>
          <w:divBdr>
            <w:top w:val="none" w:sz="0" w:space="0" w:color="auto"/>
            <w:left w:val="none" w:sz="0" w:space="0" w:color="auto"/>
            <w:bottom w:val="none" w:sz="0" w:space="0" w:color="auto"/>
            <w:right w:val="none" w:sz="0" w:space="0" w:color="auto"/>
          </w:divBdr>
        </w:div>
        <w:div w:id="841353167">
          <w:marLeft w:val="600"/>
          <w:marRight w:val="0"/>
          <w:marTop w:val="0"/>
          <w:marBottom w:val="240"/>
          <w:divBdr>
            <w:top w:val="none" w:sz="0" w:space="0" w:color="auto"/>
            <w:left w:val="none" w:sz="0" w:space="0" w:color="auto"/>
            <w:bottom w:val="none" w:sz="0" w:space="0" w:color="auto"/>
            <w:right w:val="none" w:sz="0" w:space="0" w:color="auto"/>
          </w:divBdr>
        </w:div>
        <w:div w:id="1155805647">
          <w:marLeft w:val="240"/>
          <w:marRight w:val="0"/>
          <w:marTop w:val="0"/>
          <w:marBottom w:val="240"/>
          <w:divBdr>
            <w:top w:val="none" w:sz="0" w:space="0" w:color="auto"/>
            <w:left w:val="none" w:sz="0" w:space="0" w:color="auto"/>
            <w:bottom w:val="none" w:sz="0" w:space="0" w:color="auto"/>
            <w:right w:val="none" w:sz="0" w:space="0" w:color="auto"/>
          </w:divBdr>
        </w:div>
        <w:div w:id="1625573268">
          <w:marLeft w:val="600"/>
          <w:marRight w:val="0"/>
          <w:marTop w:val="0"/>
          <w:marBottom w:val="240"/>
          <w:divBdr>
            <w:top w:val="none" w:sz="0" w:space="0" w:color="auto"/>
            <w:left w:val="none" w:sz="0" w:space="0" w:color="auto"/>
            <w:bottom w:val="none" w:sz="0" w:space="0" w:color="auto"/>
            <w:right w:val="none" w:sz="0" w:space="0" w:color="auto"/>
          </w:divBdr>
        </w:div>
        <w:div w:id="1656491480">
          <w:marLeft w:val="600"/>
          <w:marRight w:val="0"/>
          <w:marTop w:val="0"/>
          <w:marBottom w:val="240"/>
          <w:divBdr>
            <w:top w:val="none" w:sz="0" w:space="0" w:color="auto"/>
            <w:left w:val="none" w:sz="0" w:space="0" w:color="auto"/>
            <w:bottom w:val="none" w:sz="0" w:space="0" w:color="auto"/>
            <w:right w:val="none" w:sz="0" w:space="0" w:color="auto"/>
          </w:divBdr>
        </w:div>
        <w:div w:id="1939752426">
          <w:marLeft w:val="0"/>
          <w:marRight w:val="0"/>
          <w:marTop w:val="0"/>
          <w:marBottom w:val="240"/>
          <w:divBdr>
            <w:top w:val="none" w:sz="0" w:space="0" w:color="auto"/>
            <w:left w:val="none" w:sz="0" w:space="0" w:color="auto"/>
            <w:bottom w:val="none" w:sz="0" w:space="0" w:color="auto"/>
            <w:right w:val="none" w:sz="0" w:space="0" w:color="auto"/>
          </w:divBdr>
        </w:div>
      </w:divsChild>
    </w:div>
    <w:div w:id="142621389">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01332175">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337123649">
      <w:bodyDiv w:val="1"/>
      <w:marLeft w:val="0"/>
      <w:marRight w:val="0"/>
      <w:marTop w:val="0"/>
      <w:marBottom w:val="0"/>
      <w:divBdr>
        <w:top w:val="none" w:sz="0" w:space="0" w:color="auto"/>
        <w:left w:val="none" w:sz="0" w:space="0" w:color="auto"/>
        <w:bottom w:val="none" w:sz="0" w:space="0" w:color="auto"/>
        <w:right w:val="none" w:sz="0" w:space="0" w:color="auto"/>
      </w:divBdr>
    </w:div>
    <w:div w:id="362169391">
      <w:bodyDiv w:val="1"/>
      <w:marLeft w:val="0"/>
      <w:marRight w:val="0"/>
      <w:marTop w:val="0"/>
      <w:marBottom w:val="0"/>
      <w:divBdr>
        <w:top w:val="none" w:sz="0" w:space="0" w:color="auto"/>
        <w:left w:val="none" w:sz="0" w:space="0" w:color="auto"/>
        <w:bottom w:val="none" w:sz="0" w:space="0" w:color="auto"/>
        <w:right w:val="none" w:sz="0" w:space="0" w:color="auto"/>
      </w:divBdr>
    </w:div>
    <w:div w:id="366490249">
      <w:bodyDiv w:val="1"/>
      <w:marLeft w:val="0"/>
      <w:marRight w:val="0"/>
      <w:marTop w:val="0"/>
      <w:marBottom w:val="0"/>
      <w:divBdr>
        <w:top w:val="none" w:sz="0" w:space="0" w:color="auto"/>
        <w:left w:val="none" w:sz="0" w:space="0" w:color="auto"/>
        <w:bottom w:val="none" w:sz="0" w:space="0" w:color="auto"/>
        <w:right w:val="none" w:sz="0" w:space="0" w:color="auto"/>
      </w:divBdr>
    </w:div>
    <w:div w:id="403840906">
      <w:bodyDiv w:val="1"/>
      <w:marLeft w:val="0"/>
      <w:marRight w:val="0"/>
      <w:marTop w:val="0"/>
      <w:marBottom w:val="0"/>
      <w:divBdr>
        <w:top w:val="none" w:sz="0" w:space="0" w:color="auto"/>
        <w:left w:val="none" w:sz="0" w:space="0" w:color="auto"/>
        <w:bottom w:val="none" w:sz="0" w:space="0" w:color="auto"/>
        <w:right w:val="none" w:sz="0" w:space="0" w:color="auto"/>
      </w:divBdr>
    </w:div>
    <w:div w:id="426122521">
      <w:bodyDiv w:val="1"/>
      <w:marLeft w:val="0"/>
      <w:marRight w:val="0"/>
      <w:marTop w:val="0"/>
      <w:marBottom w:val="0"/>
      <w:divBdr>
        <w:top w:val="none" w:sz="0" w:space="0" w:color="auto"/>
        <w:left w:val="none" w:sz="0" w:space="0" w:color="auto"/>
        <w:bottom w:val="none" w:sz="0" w:space="0" w:color="auto"/>
        <w:right w:val="none" w:sz="0" w:space="0" w:color="auto"/>
      </w:divBdr>
    </w:div>
    <w:div w:id="599146460">
      <w:bodyDiv w:val="1"/>
      <w:marLeft w:val="0"/>
      <w:marRight w:val="0"/>
      <w:marTop w:val="0"/>
      <w:marBottom w:val="0"/>
      <w:divBdr>
        <w:top w:val="none" w:sz="0" w:space="0" w:color="auto"/>
        <w:left w:val="none" w:sz="0" w:space="0" w:color="auto"/>
        <w:bottom w:val="none" w:sz="0" w:space="0" w:color="auto"/>
        <w:right w:val="none" w:sz="0" w:space="0" w:color="auto"/>
      </w:divBdr>
    </w:div>
    <w:div w:id="604387965">
      <w:bodyDiv w:val="1"/>
      <w:marLeft w:val="0"/>
      <w:marRight w:val="0"/>
      <w:marTop w:val="0"/>
      <w:marBottom w:val="0"/>
      <w:divBdr>
        <w:top w:val="none" w:sz="0" w:space="0" w:color="auto"/>
        <w:left w:val="none" w:sz="0" w:space="0" w:color="auto"/>
        <w:bottom w:val="none" w:sz="0" w:space="0" w:color="auto"/>
        <w:right w:val="none" w:sz="0" w:space="0" w:color="auto"/>
      </w:divBdr>
    </w:div>
    <w:div w:id="622659599">
      <w:bodyDiv w:val="1"/>
      <w:marLeft w:val="0"/>
      <w:marRight w:val="0"/>
      <w:marTop w:val="0"/>
      <w:marBottom w:val="0"/>
      <w:divBdr>
        <w:top w:val="none" w:sz="0" w:space="0" w:color="auto"/>
        <w:left w:val="none" w:sz="0" w:space="0" w:color="auto"/>
        <w:bottom w:val="none" w:sz="0" w:space="0" w:color="auto"/>
        <w:right w:val="none" w:sz="0" w:space="0" w:color="auto"/>
      </w:divBdr>
    </w:div>
    <w:div w:id="687148102">
      <w:bodyDiv w:val="1"/>
      <w:marLeft w:val="0"/>
      <w:marRight w:val="0"/>
      <w:marTop w:val="0"/>
      <w:marBottom w:val="0"/>
      <w:divBdr>
        <w:top w:val="none" w:sz="0" w:space="0" w:color="auto"/>
        <w:left w:val="none" w:sz="0" w:space="0" w:color="auto"/>
        <w:bottom w:val="none" w:sz="0" w:space="0" w:color="auto"/>
        <w:right w:val="none" w:sz="0" w:space="0" w:color="auto"/>
      </w:divBdr>
    </w:div>
    <w:div w:id="762071504">
      <w:bodyDiv w:val="1"/>
      <w:marLeft w:val="0"/>
      <w:marRight w:val="0"/>
      <w:marTop w:val="0"/>
      <w:marBottom w:val="0"/>
      <w:divBdr>
        <w:top w:val="none" w:sz="0" w:space="0" w:color="auto"/>
        <w:left w:val="none" w:sz="0" w:space="0" w:color="auto"/>
        <w:bottom w:val="none" w:sz="0" w:space="0" w:color="auto"/>
        <w:right w:val="none" w:sz="0" w:space="0" w:color="auto"/>
      </w:divBdr>
    </w:div>
    <w:div w:id="775633984">
      <w:bodyDiv w:val="1"/>
      <w:marLeft w:val="0"/>
      <w:marRight w:val="0"/>
      <w:marTop w:val="0"/>
      <w:marBottom w:val="0"/>
      <w:divBdr>
        <w:top w:val="none" w:sz="0" w:space="0" w:color="auto"/>
        <w:left w:val="none" w:sz="0" w:space="0" w:color="auto"/>
        <w:bottom w:val="none" w:sz="0" w:space="0" w:color="auto"/>
        <w:right w:val="none" w:sz="0" w:space="0" w:color="auto"/>
      </w:divBdr>
    </w:div>
    <w:div w:id="789321256">
      <w:bodyDiv w:val="1"/>
      <w:marLeft w:val="0"/>
      <w:marRight w:val="0"/>
      <w:marTop w:val="0"/>
      <w:marBottom w:val="0"/>
      <w:divBdr>
        <w:top w:val="none" w:sz="0" w:space="0" w:color="auto"/>
        <w:left w:val="none" w:sz="0" w:space="0" w:color="auto"/>
        <w:bottom w:val="none" w:sz="0" w:space="0" w:color="auto"/>
        <w:right w:val="none" w:sz="0" w:space="0" w:color="auto"/>
      </w:divBdr>
    </w:div>
    <w:div w:id="80238467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00364363">
      <w:bodyDiv w:val="1"/>
      <w:marLeft w:val="0"/>
      <w:marRight w:val="0"/>
      <w:marTop w:val="0"/>
      <w:marBottom w:val="0"/>
      <w:divBdr>
        <w:top w:val="none" w:sz="0" w:space="0" w:color="auto"/>
        <w:left w:val="none" w:sz="0" w:space="0" w:color="auto"/>
        <w:bottom w:val="none" w:sz="0" w:space="0" w:color="auto"/>
        <w:right w:val="none" w:sz="0" w:space="0" w:color="auto"/>
      </w:divBdr>
    </w:div>
    <w:div w:id="924462133">
      <w:bodyDiv w:val="1"/>
      <w:marLeft w:val="0"/>
      <w:marRight w:val="0"/>
      <w:marTop w:val="0"/>
      <w:marBottom w:val="0"/>
      <w:divBdr>
        <w:top w:val="none" w:sz="0" w:space="0" w:color="auto"/>
        <w:left w:val="none" w:sz="0" w:space="0" w:color="auto"/>
        <w:bottom w:val="none" w:sz="0" w:space="0" w:color="auto"/>
        <w:right w:val="none" w:sz="0" w:space="0" w:color="auto"/>
      </w:divBdr>
    </w:div>
    <w:div w:id="936598031">
      <w:bodyDiv w:val="1"/>
      <w:marLeft w:val="0"/>
      <w:marRight w:val="0"/>
      <w:marTop w:val="0"/>
      <w:marBottom w:val="0"/>
      <w:divBdr>
        <w:top w:val="none" w:sz="0" w:space="0" w:color="auto"/>
        <w:left w:val="none" w:sz="0" w:space="0" w:color="auto"/>
        <w:bottom w:val="none" w:sz="0" w:space="0" w:color="auto"/>
        <w:right w:val="none" w:sz="0" w:space="0" w:color="auto"/>
      </w:divBdr>
    </w:div>
    <w:div w:id="995761821">
      <w:bodyDiv w:val="1"/>
      <w:marLeft w:val="0"/>
      <w:marRight w:val="0"/>
      <w:marTop w:val="0"/>
      <w:marBottom w:val="0"/>
      <w:divBdr>
        <w:top w:val="none" w:sz="0" w:space="0" w:color="auto"/>
        <w:left w:val="none" w:sz="0" w:space="0" w:color="auto"/>
        <w:bottom w:val="none" w:sz="0" w:space="0" w:color="auto"/>
        <w:right w:val="none" w:sz="0" w:space="0" w:color="auto"/>
      </w:divBdr>
    </w:div>
    <w:div w:id="1011026674">
      <w:bodyDiv w:val="1"/>
      <w:marLeft w:val="0"/>
      <w:marRight w:val="0"/>
      <w:marTop w:val="0"/>
      <w:marBottom w:val="0"/>
      <w:divBdr>
        <w:top w:val="none" w:sz="0" w:space="0" w:color="auto"/>
        <w:left w:val="none" w:sz="0" w:space="0" w:color="auto"/>
        <w:bottom w:val="none" w:sz="0" w:space="0" w:color="auto"/>
        <w:right w:val="none" w:sz="0" w:space="0" w:color="auto"/>
      </w:divBdr>
    </w:div>
    <w:div w:id="1014529668">
      <w:bodyDiv w:val="1"/>
      <w:marLeft w:val="0"/>
      <w:marRight w:val="0"/>
      <w:marTop w:val="0"/>
      <w:marBottom w:val="0"/>
      <w:divBdr>
        <w:top w:val="none" w:sz="0" w:space="0" w:color="auto"/>
        <w:left w:val="none" w:sz="0" w:space="0" w:color="auto"/>
        <w:bottom w:val="none" w:sz="0" w:space="0" w:color="auto"/>
        <w:right w:val="none" w:sz="0" w:space="0" w:color="auto"/>
      </w:divBdr>
    </w:div>
    <w:div w:id="1111163400">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250843484">
      <w:bodyDiv w:val="1"/>
      <w:marLeft w:val="0"/>
      <w:marRight w:val="0"/>
      <w:marTop w:val="0"/>
      <w:marBottom w:val="0"/>
      <w:divBdr>
        <w:top w:val="none" w:sz="0" w:space="0" w:color="auto"/>
        <w:left w:val="none" w:sz="0" w:space="0" w:color="auto"/>
        <w:bottom w:val="none" w:sz="0" w:space="0" w:color="auto"/>
        <w:right w:val="none" w:sz="0" w:space="0" w:color="auto"/>
      </w:divBdr>
    </w:div>
    <w:div w:id="1292783161">
      <w:bodyDiv w:val="1"/>
      <w:marLeft w:val="0"/>
      <w:marRight w:val="0"/>
      <w:marTop w:val="0"/>
      <w:marBottom w:val="0"/>
      <w:divBdr>
        <w:top w:val="none" w:sz="0" w:space="0" w:color="auto"/>
        <w:left w:val="none" w:sz="0" w:space="0" w:color="auto"/>
        <w:bottom w:val="none" w:sz="0" w:space="0" w:color="auto"/>
        <w:right w:val="none" w:sz="0" w:space="0" w:color="auto"/>
      </w:divBdr>
    </w:div>
    <w:div w:id="1299536327">
      <w:bodyDiv w:val="1"/>
      <w:marLeft w:val="0"/>
      <w:marRight w:val="0"/>
      <w:marTop w:val="0"/>
      <w:marBottom w:val="0"/>
      <w:divBdr>
        <w:top w:val="none" w:sz="0" w:space="0" w:color="auto"/>
        <w:left w:val="none" w:sz="0" w:space="0" w:color="auto"/>
        <w:bottom w:val="none" w:sz="0" w:space="0" w:color="auto"/>
        <w:right w:val="none" w:sz="0" w:space="0" w:color="auto"/>
      </w:divBdr>
    </w:div>
    <w:div w:id="1381828148">
      <w:bodyDiv w:val="1"/>
      <w:marLeft w:val="0"/>
      <w:marRight w:val="0"/>
      <w:marTop w:val="0"/>
      <w:marBottom w:val="0"/>
      <w:divBdr>
        <w:top w:val="none" w:sz="0" w:space="0" w:color="auto"/>
        <w:left w:val="none" w:sz="0" w:space="0" w:color="auto"/>
        <w:bottom w:val="none" w:sz="0" w:space="0" w:color="auto"/>
        <w:right w:val="none" w:sz="0" w:space="0" w:color="auto"/>
      </w:divBdr>
      <w:divsChild>
        <w:div w:id="268197853">
          <w:marLeft w:val="600"/>
          <w:marRight w:val="0"/>
          <w:marTop w:val="0"/>
          <w:marBottom w:val="240"/>
          <w:divBdr>
            <w:top w:val="none" w:sz="0" w:space="0" w:color="auto"/>
            <w:left w:val="none" w:sz="0" w:space="0" w:color="auto"/>
            <w:bottom w:val="none" w:sz="0" w:space="0" w:color="auto"/>
            <w:right w:val="none" w:sz="0" w:space="0" w:color="auto"/>
          </w:divBdr>
        </w:div>
        <w:div w:id="565261937">
          <w:marLeft w:val="0"/>
          <w:marRight w:val="0"/>
          <w:marTop w:val="0"/>
          <w:marBottom w:val="240"/>
          <w:divBdr>
            <w:top w:val="none" w:sz="0" w:space="0" w:color="auto"/>
            <w:left w:val="none" w:sz="0" w:space="0" w:color="auto"/>
            <w:bottom w:val="none" w:sz="0" w:space="0" w:color="auto"/>
            <w:right w:val="none" w:sz="0" w:space="0" w:color="auto"/>
          </w:divBdr>
        </w:div>
        <w:div w:id="666984666">
          <w:marLeft w:val="600"/>
          <w:marRight w:val="0"/>
          <w:marTop w:val="0"/>
          <w:marBottom w:val="240"/>
          <w:divBdr>
            <w:top w:val="none" w:sz="0" w:space="0" w:color="auto"/>
            <w:left w:val="none" w:sz="0" w:space="0" w:color="auto"/>
            <w:bottom w:val="none" w:sz="0" w:space="0" w:color="auto"/>
            <w:right w:val="none" w:sz="0" w:space="0" w:color="auto"/>
          </w:divBdr>
        </w:div>
        <w:div w:id="783962442">
          <w:marLeft w:val="240"/>
          <w:marRight w:val="0"/>
          <w:marTop w:val="0"/>
          <w:marBottom w:val="240"/>
          <w:divBdr>
            <w:top w:val="none" w:sz="0" w:space="0" w:color="auto"/>
            <w:left w:val="none" w:sz="0" w:space="0" w:color="auto"/>
            <w:bottom w:val="none" w:sz="0" w:space="0" w:color="auto"/>
            <w:right w:val="none" w:sz="0" w:space="0" w:color="auto"/>
          </w:divBdr>
        </w:div>
        <w:div w:id="860363132">
          <w:marLeft w:val="600"/>
          <w:marRight w:val="0"/>
          <w:marTop w:val="0"/>
          <w:marBottom w:val="240"/>
          <w:divBdr>
            <w:top w:val="none" w:sz="0" w:space="0" w:color="auto"/>
            <w:left w:val="none" w:sz="0" w:space="0" w:color="auto"/>
            <w:bottom w:val="none" w:sz="0" w:space="0" w:color="auto"/>
            <w:right w:val="none" w:sz="0" w:space="0" w:color="auto"/>
          </w:divBdr>
        </w:div>
        <w:div w:id="1033383751">
          <w:marLeft w:val="600"/>
          <w:marRight w:val="0"/>
          <w:marTop w:val="0"/>
          <w:marBottom w:val="240"/>
          <w:divBdr>
            <w:top w:val="none" w:sz="0" w:space="0" w:color="auto"/>
            <w:left w:val="none" w:sz="0" w:space="0" w:color="auto"/>
            <w:bottom w:val="none" w:sz="0" w:space="0" w:color="auto"/>
            <w:right w:val="none" w:sz="0" w:space="0" w:color="auto"/>
          </w:divBdr>
        </w:div>
        <w:div w:id="1537045052">
          <w:marLeft w:val="600"/>
          <w:marRight w:val="0"/>
          <w:marTop w:val="0"/>
          <w:marBottom w:val="240"/>
          <w:divBdr>
            <w:top w:val="none" w:sz="0" w:space="0" w:color="auto"/>
            <w:left w:val="none" w:sz="0" w:space="0" w:color="auto"/>
            <w:bottom w:val="none" w:sz="0" w:space="0" w:color="auto"/>
            <w:right w:val="none" w:sz="0" w:space="0" w:color="auto"/>
          </w:divBdr>
        </w:div>
      </w:divsChild>
    </w:div>
    <w:div w:id="1387139720">
      <w:bodyDiv w:val="1"/>
      <w:marLeft w:val="0"/>
      <w:marRight w:val="0"/>
      <w:marTop w:val="0"/>
      <w:marBottom w:val="0"/>
      <w:divBdr>
        <w:top w:val="none" w:sz="0" w:space="0" w:color="auto"/>
        <w:left w:val="none" w:sz="0" w:space="0" w:color="auto"/>
        <w:bottom w:val="none" w:sz="0" w:space="0" w:color="auto"/>
        <w:right w:val="none" w:sz="0" w:space="0" w:color="auto"/>
      </w:divBdr>
    </w:div>
    <w:div w:id="1514881200">
      <w:bodyDiv w:val="1"/>
      <w:marLeft w:val="0"/>
      <w:marRight w:val="0"/>
      <w:marTop w:val="0"/>
      <w:marBottom w:val="0"/>
      <w:divBdr>
        <w:top w:val="none" w:sz="0" w:space="0" w:color="auto"/>
        <w:left w:val="none" w:sz="0" w:space="0" w:color="auto"/>
        <w:bottom w:val="none" w:sz="0" w:space="0" w:color="auto"/>
        <w:right w:val="none" w:sz="0" w:space="0" w:color="auto"/>
      </w:divBdr>
    </w:div>
    <w:div w:id="1543128269">
      <w:bodyDiv w:val="1"/>
      <w:marLeft w:val="0"/>
      <w:marRight w:val="0"/>
      <w:marTop w:val="0"/>
      <w:marBottom w:val="0"/>
      <w:divBdr>
        <w:top w:val="none" w:sz="0" w:space="0" w:color="auto"/>
        <w:left w:val="none" w:sz="0" w:space="0" w:color="auto"/>
        <w:bottom w:val="none" w:sz="0" w:space="0" w:color="auto"/>
        <w:right w:val="none" w:sz="0" w:space="0" w:color="auto"/>
      </w:divBdr>
      <w:divsChild>
        <w:div w:id="119425809">
          <w:marLeft w:val="0"/>
          <w:marRight w:val="0"/>
          <w:marTop w:val="0"/>
          <w:marBottom w:val="240"/>
          <w:divBdr>
            <w:top w:val="none" w:sz="0" w:space="0" w:color="auto"/>
            <w:left w:val="none" w:sz="0" w:space="0" w:color="auto"/>
            <w:bottom w:val="none" w:sz="0" w:space="0" w:color="auto"/>
            <w:right w:val="none" w:sz="0" w:space="0" w:color="auto"/>
          </w:divBdr>
        </w:div>
        <w:div w:id="1402291448">
          <w:marLeft w:val="0"/>
          <w:marRight w:val="0"/>
          <w:marTop w:val="0"/>
          <w:marBottom w:val="240"/>
          <w:divBdr>
            <w:top w:val="none" w:sz="0" w:space="0" w:color="auto"/>
            <w:left w:val="none" w:sz="0" w:space="0" w:color="auto"/>
            <w:bottom w:val="none" w:sz="0" w:space="0" w:color="auto"/>
            <w:right w:val="none" w:sz="0" w:space="0" w:color="auto"/>
          </w:divBdr>
        </w:div>
        <w:div w:id="1940791518">
          <w:marLeft w:val="0"/>
          <w:marRight w:val="0"/>
          <w:marTop w:val="0"/>
          <w:marBottom w:val="240"/>
          <w:divBdr>
            <w:top w:val="none" w:sz="0" w:space="0" w:color="auto"/>
            <w:left w:val="none" w:sz="0" w:space="0" w:color="auto"/>
            <w:bottom w:val="none" w:sz="0" w:space="0" w:color="auto"/>
            <w:right w:val="none" w:sz="0" w:space="0" w:color="auto"/>
          </w:divBdr>
        </w:div>
      </w:divsChild>
    </w:div>
    <w:div w:id="1626234729">
      <w:bodyDiv w:val="1"/>
      <w:marLeft w:val="0"/>
      <w:marRight w:val="0"/>
      <w:marTop w:val="0"/>
      <w:marBottom w:val="0"/>
      <w:divBdr>
        <w:top w:val="none" w:sz="0" w:space="0" w:color="auto"/>
        <w:left w:val="none" w:sz="0" w:space="0" w:color="auto"/>
        <w:bottom w:val="none" w:sz="0" w:space="0" w:color="auto"/>
        <w:right w:val="none" w:sz="0" w:space="0" w:color="auto"/>
      </w:divBdr>
      <w:divsChild>
        <w:div w:id="274990626">
          <w:marLeft w:val="240"/>
          <w:marRight w:val="0"/>
          <w:marTop w:val="0"/>
          <w:marBottom w:val="240"/>
          <w:divBdr>
            <w:top w:val="none" w:sz="0" w:space="0" w:color="auto"/>
            <w:left w:val="none" w:sz="0" w:space="0" w:color="auto"/>
            <w:bottom w:val="none" w:sz="0" w:space="0" w:color="auto"/>
            <w:right w:val="none" w:sz="0" w:space="0" w:color="auto"/>
          </w:divBdr>
        </w:div>
        <w:div w:id="1291865293">
          <w:marLeft w:val="240"/>
          <w:marRight w:val="0"/>
          <w:marTop w:val="0"/>
          <w:marBottom w:val="240"/>
          <w:divBdr>
            <w:top w:val="none" w:sz="0" w:space="0" w:color="auto"/>
            <w:left w:val="none" w:sz="0" w:space="0" w:color="auto"/>
            <w:bottom w:val="none" w:sz="0" w:space="0" w:color="auto"/>
            <w:right w:val="none" w:sz="0" w:space="0" w:color="auto"/>
          </w:divBdr>
        </w:div>
        <w:div w:id="1558007255">
          <w:marLeft w:val="240"/>
          <w:marRight w:val="0"/>
          <w:marTop w:val="0"/>
          <w:marBottom w:val="240"/>
          <w:divBdr>
            <w:top w:val="none" w:sz="0" w:space="0" w:color="auto"/>
            <w:left w:val="none" w:sz="0" w:space="0" w:color="auto"/>
            <w:bottom w:val="none" w:sz="0" w:space="0" w:color="auto"/>
            <w:right w:val="none" w:sz="0" w:space="0" w:color="auto"/>
          </w:divBdr>
        </w:div>
        <w:div w:id="1630163045">
          <w:marLeft w:val="240"/>
          <w:marRight w:val="0"/>
          <w:marTop w:val="0"/>
          <w:marBottom w:val="240"/>
          <w:divBdr>
            <w:top w:val="none" w:sz="0" w:space="0" w:color="auto"/>
            <w:left w:val="none" w:sz="0" w:space="0" w:color="auto"/>
            <w:bottom w:val="none" w:sz="0" w:space="0" w:color="auto"/>
            <w:right w:val="none" w:sz="0" w:space="0" w:color="auto"/>
          </w:divBdr>
        </w:div>
        <w:div w:id="1664315463">
          <w:marLeft w:val="240"/>
          <w:marRight w:val="0"/>
          <w:marTop w:val="0"/>
          <w:marBottom w:val="240"/>
          <w:divBdr>
            <w:top w:val="none" w:sz="0" w:space="0" w:color="auto"/>
            <w:left w:val="none" w:sz="0" w:space="0" w:color="auto"/>
            <w:bottom w:val="none" w:sz="0" w:space="0" w:color="auto"/>
            <w:right w:val="none" w:sz="0" w:space="0" w:color="auto"/>
          </w:divBdr>
        </w:div>
      </w:divsChild>
    </w:div>
    <w:div w:id="1638100572">
      <w:bodyDiv w:val="1"/>
      <w:marLeft w:val="0"/>
      <w:marRight w:val="0"/>
      <w:marTop w:val="0"/>
      <w:marBottom w:val="0"/>
      <w:divBdr>
        <w:top w:val="none" w:sz="0" w:space="0" w:color="auto"/>
        <w:left w:val="none" w:sz="0" w:space="0" w:color="auto"/>
        <w:bottom w:val="none" w:sz="0" w:space="0" w:color="auto"/>
        <w:right w:val="none" w:sz="0" w:space="0" w:color="auto"/>
      </w:divBdr>
    </w:div>
    <w:div w:id="1661039833">
      <w:bodyDiv w:val="1"/>
      <w:marLeft w:val="0"/>
      <w:marRight w:val="0"/>
      <w:marTop w:val="0"/>
      <w:marBottom w:val="0"/>
      <w:divBdr>
        <w:top w:val="none" w:sz="0" w:space="0" w:color="auto"/>
        <w:left w:val="none" w:sz="0" w:space="0" w:color="auto"/>
        <w:bottom w:val="none" w:sz="0" w:space="0" w:color="auto"/>
        <w:right w:val="none" w:sz="0" w:space="0" w:color="auto"/>
      </w:divBdr>
      <w:divsChild>
        <w:div w:id="315307013">
          <w:marLeft w:val="0"/>
          <w:marRight w:val="0"/>
          <w:marTop w:val="0"/>
          <w:marBottom w:val="0"/>
          <w:divBdr>
            <w:top w:val="none" w:sz="0" w:space="0" w:color="auto"/>
            <w:left w:val="none" w:sz="0" w:space="0" w:color="auto"/>
            <w:bottom w:val="none" w:sz="0" w:space="0" w:color="auto"/>
            <w:right w:val="none" w:sz="0" w:space="0" w:color="auto"/>
          </w:divBdr>
        </w:div>
        <w:div w:id="888612870">
          <w:marLeft w:val="0"/>
          <w:marRight w:val="0"/>
          <w:marTop w:val="0"/>
          <w:marBottom w:val="0"/>
          <w:divBdr>
            <w:top w:val="none" w:sz="0" w:space="0" w:color="auto"/>
            <w:left w:val="none" w:sz="0" w:space="0" w:color="auto"/>
            <w:bottom w:val="none" w:sz="0" w:space="0" w:color="auto"/>
            <w:right w:val="none" w:sz="0" w:space="0" w:color="auto"/>
          </w:divBdr>
        </w:div>
        <w:div w:id="1027020214">
          <w:marLeft w:val="0"/>
          <w:marRight w:val="0"/>
          <w:marTop w:val="0"/>
          <w:marBottom w:val="0"/>
          <w:divBdr>
            <w:top w:val="none" w:sz="0" w:space="0" w:color="auto"/>
            <w:left w:val="none" w:sz="0" w:space="0" w:color="auto"/>
            <w:bottom w:val="none" w:sz="0" w:space="0" w:color="auto"/>
            <w:right w:val="none" w:sz="0" w:space="0" w:color="auto"/>
          </w:divBdr>
        </w:div>
        <w:div w:id="1033505153">
          <w:marLeft w:val="0"/>
          <w:marRight w:val="0"/>
          <w:marTop w:val="0"/>
          <w:marBottom w:val="0"/>
          <w:divBdr>
            <w:top w:val="none" w:sz="0" w:space="0" w:color="auto"/>
            <w:left w:val="none" w:sz="0" w:space="0" w:color="auto"/>
            <w:bottom w:val="none" w:sz="0" w:space="0" w:color="auto"/>
            <w:right w:val="none" w:sz="0" w:space="0" w:color="auto"/>
          </w:divBdr>
        </w:div>
        <w:div w:id="1242370979">
          <w:marLeft w:val="0"/>
          <w:marRight w:val="0"/>
          <w:marTop w:val="0"/>
          <w:marBottom w:val="0"/>
          <w:divBdr>
            <w:top w:val="none" w:sz="0" w:space="0" w:color="auto"/>
            <w:left w:val="none" w:sz="0" w:space="0" w:color="auto"/>
            <w:bottom w:val="none" w:sz="0" w:space="0" w:color="auto"/>
            <w:right w:val="none" w:sz="0" w:space="0" w:color="auto"/>
          </w:divBdr>
        </w:div>
        <w:div w:id="1539857453">
          <w:marLeft w:val="0"/>
          <w:marRight w:val="0"/>
          <w:marTop w:val="0"/>
          <w:marBottom w:val="0"/>
          <w:divBdr>
            <w:top w:val="none" w:sz="0" w:space="0" w:color="auto"/>
            <w:left w:val="none" w:sz="0" w:space="0" w:color="auto"/>
            <w:bottom w:val="none" w:sz="0" w:space="0" w:color="auto"/>
            <w:right w:val="none" w:sz="0" w:space="0" w:color="auto"/>
          </w:divBdr>
        </w:div>
        <w:div w:id="1689527761">
          <w:marLeft w:val="0"/>
          <w:marRight w:val="0"/>
          <w:marTop w:val="0"/>
          <w:marBottom w:val="0"/>
          <w:divBdr>
            <w:top w:val="none" w:sz="0" w:space="0" w:color="auto"/>
            <w:left w:val="none" w:sz="0" w:space="0" w:color="auto"/>
            <w:bottom w:val="none" w:sz="0" w:space="0" w:color="auto"/>
            <w:right w:val="none" w:sz="0" w:space="0" w:color="auto"/>
          </w:divBdr>
        </w:div>
      </w:divsChild>
    </w:div>
    <w:div w:id="1726299910">
      <w:bodyDiv w:val="1"/>
      <w:marLeft w:val="0"/>
      <w:marRight w:val="0"/>
      <w:marTop w:val="0"/>
      <w:marBottom w:val="0"/>
      <w:divBdr>
        <w:top w:val="none" w:sz="0" w:space="0" w:color="auto"/>
        <w:left w:val="none" w:sz="0" w:space="0" w:color="auto"/>
        <w:bottom w:val="none" w:sz="0" w:space="0" w:color="auto"/>
        <w:right w:val="none" w:sz="0" w:space="0" w:color="auto"/>
      </w:divBdr>
      <w:divsChild>
        <w:div w:id="293869709">
          <w:marLeft w:val="0"/>
          <w:marRight w:val="0"/>
          <w:marTop w:val="0"/>
          <w:marBottom w:val="240"/>
          <w:divBdr>
            <w:top w:val="none" w:sz="0" w:space="0" w:color="auto"/>
            <w:left w:val="none" w:sz="0" w:space="0" w:color="auto"/>
            <w:bottom w:val="none" w:sz="0" w:space="0" w:color="auto"/>
            <w:right w:val="none" w:sz="0" w:space="0" w:color="auto"/>
          </w:divBdr>
        </w:div>
        <w:div w:id="890503262">
          <w:marLeft w:val="0"/>
          <w:marRight w:val="0"/>
          <w:marTop w:val="0"/>
          <w:marBottom w:val="240"/>
          <w:divBdr>
            <w:top w:val="none" w:sz="0" w:space="0" w:color="auto"/>
            <w:left w:val="none" w:sz="0" w:space="0" w:color="auto"/>
            <w:bottom w:val="none" w:sz="0" w:space="0" w:color="auto"/>
            <w:right w:val="none" w:sz="0" w:space="0" w:color="auto"/>
          </w:divBdr>
        </w:div>
        <w:div w:id="997614497">
          <w:marLeft w:val="0"/>
          <w:marRight w:val="0"/>
          <w:marTop w:val="0"/>
          <w:marBottom w:val="240"/>
          <w:divBdr>
            <w:top w:val="none" w:sz="0" w:space="0" w:color="auto"/>
            <w:left w:val="none" w:sz="0" w:space="0" w:color="auto"/>
            <w:bottom w:val="none" w:sz="0" w:space="0" w:color="auto"/>
            <w:right w:val="none" w:sz="0" w:space="0" w:color="auto"/>
          </w:divBdr>
        </w:div>
      </w:divsChild>
    </w:div>
    <w:div w:id="1726754781">
      <w:bodyDiv w:val="1"/>
      <w:marLeft w:val="0"/>
      <w:marRight w:val="0"/>
      <w:marTop w:val="0"/>
      <w:marBottom w:val="0"/>
      <w:divBdr>
        <w:top w:val="none" w:sz="0" w:space="0" w:color="auto"/>
        <w:left w:val="none" w:sz="0" w:space="0" w:color="auto"/>
        <w:bottom w:val="none" w:sz="0" w:space="0" w:color="auto"/>
        <w:right w:val="none" w:sz="0" w:space="0" w:color="auto"/>
      </w:divBdr>
    </w:div>
    <w:div w:id="1756123343">
      <w:bodyDiv w:val="1"/>
      <w:marLeft w:val="0"/>
      <w:marRight w:val="0"/>
      <w:marTop w:val="0"/>
      <w:marBottom w:val="0"/>
      <w:divBdr>
        <w:top w:val="none" w:sz="0" w:space="0" w:color="auto"/>
        <w:left w:val="none" w:sz="0" w:space="0" w:color="auto"/>
        <w:bottom w:val="none" w:sz="0" w:space="0" w:color="auto"/>
        <w:right w:val="none" w:sz="0" w:space="0" w:color="auto"/>
      </w:divBdr>
    </w:div>
    <w:div w:id="1821968756">
      <w:bodyDiv w:val="1"/>
      <w:marLeft w:val="0"/>
      <w:marRight w:val="0"/>
      <w:marTop w:val="0"/>
      <w:marBottom w:val="0"/>
      <w:divBdr>
        <w:top w:val="none" w:sz="0" w:space="0" w:color="auto"/>
        <w:left w:val="none" w:sz="0" w:space="0" w:color="auto"/>
        <w:bottom w:val="none" w:sz="0" w:space="0" w:color="auto"/>
        <w:right w:val="none" w:sz="0" w:space="0" w:color="auto"/>
      </w:divBdr>
      <w:divsChild>
        <w:div w:id="585915907">
          <w:marLeft w:val="240"/>
          <w:marRight w:val="0"/>
          <w:marTop w:val="0"/>
          <w:marBottom w:val="240"/>
          <w:divBdr>
            <w:top w:val="none" w:sz="0" w:space="0" w:color="auto"/>
            <w:left w:val="none" w:sz="0" w:space="0" w:color="auto"/>
            <w:bottom w:val="none" w:sz="0" w:space="0" w:color="auto"/>
            <w:right w:val="none" w:sz="0" w:space="0" w:color="auto"/>
          </w:divBdr>
        </w:div>
        <w:div w:id="827290294">
          <w:marLeft w:val="240"/>
          <w:marRight w:val="0"/>
          <w:marTop w:val="0"/>
          <w:marBottom w:val="240"/>
          <w:divBdr>
            <w:top w:val="none" w:sz="0" w:space="0" w:color="auto"/>
            <w:left w:val="none" w:sz="0" w:space="0" w:color="auto"/>
            <w:bottom w:val="none" w:sz="0" w:space="0" w:color="auto"/>
            <w:right w:val="none" w:sz="0" w:space="0" w:color="auto"/>
          </w:divBdr>
        </w:div>
        <w:div w:id="978265248">
          <w:marLeft w:val="0"/>
          <w:marRight w:val="0"/>
          <w:marTop w:val="0"/>
          <w:marBottom w:val="240"/>
          <w:divBdr>
            <w:top w:val="none" w:sz="0" w:space="0" w:color="auto"/>
            <w:left w:val="none" w:sz="0" w:space="0" w:color="auto"/>
            <w:bottom w:val="none" w:sz="0" w:space="0" w:color="auto"/>
            <w:right w:val="none" w:sz="0" w:space="0" w:color="auto"/>
          </w:divBdr>
        </w:div>
      </w:divsChild>
    </w:div>
    <w:div w:id="1907716623">
      <w:bodyDiv w:val="1"/>
      <w:marLeft w:val="0"/>
      <w:marRight w:val="0"/>
      <w:marTop w:val="0"/>
      <w:marBottom w:val="0"/>
      <w:divBdr>
        <w:top w:val="none" w:sz="0" w:space="0" w:color="auto"/>
        <w:left w:val="none" w:sz="0" w:space="0" w:color="auto"/>
        <w:bottom w:val="none" w:sz="0" w:space="0" w:color="auto"/>
        <w:right w:val="none" w:sz="0" w:space="0" w:color="auto"/>
      </w:divBdr>
    </w:div>
    <w:div w:id="1926306637">
      <w:bodyDiv w:val="1"/>
      <w:marLeft w:val="0"/>
      <w:marRight w:val="0"/>
      <w:marTop w:val="0"/>
      <w:marBottom w:val="0"/>
      <w:divBdr>
        <w:top w:val="none" w:sz="0" w:space="0" w:color="auto"/>
        <w:left w:val="none" w:sz="0" w:space="0" w:color="auto"/>
        <w:bottom w:val="none" w:sz="0" w:space="0" w:color="auto"/>
        <w:right w:val="none" w:sz="0" w:space="0" w:color="auto"/>
      </w:divBdr>
    </w:div>
    <w:div w:id="2029982181">
      <w:bodyDiv w:val="1"/>
      <w:marLeft w:val="0"/>
      <w:marRight w:val="0"/>
      <w:marTop w:val="0"/>
      <w:marBottom w:val="0"/>
      <w:divBdr>
        <w:top w:val="none" w:sz="0" w:space="0" w:color="auto"/>
        <w:left w:val="none" w:sz="0" w:space="0" w:color="auto"/>
        <w:bottom w:val="none" w:sz="0" w:space="0" w:color="auto"/>
        <w:right w:val="none" w:sz="0" w:space="0" w:color="auto"/>
      </w:divBdr>
    </w:div>
    <w:div w:id="2064861456">
      <w:bodyDiv w:val="1"/>
      <w:marLeft w:val="0"/>
      <w:marRight w:val="0"/>
      <w:marTop w:val="0"/>
      <w:marBottom w:val="0"/>
      <w:divBdr>
        <w:top w:val="none" w:sz="0" w:space="0" w:color="auto"/>
        <w:left w:val="none" w:sz="0" w:space="0" w:color="auto"/>
        <w:bottom w:val="none" w:sz="0" w:space="0" w:color="auto"/>
        <w:right w:val="none" w:sz="0" w:space="0" w:color="auto"/>
      </w:divBdr>
      <w:divsChild>
        <w:div w:id="142622190">
          <w:marLeft w:val="600"/>
          <w:marRight w:val="0"/>
          <w:marTop w:val="0"/>
          <w:marBottom w:val="240"/>
          <w:divBdr>
            <w:top w:val="none" w:sz="0" w:space="0" w:color="auto"/>
            <w:left w:val="none" w:sz="0" w:space="0" w:color="auto"/>
            <w:bottom w:val="none" w:sz="0" w:space="0" w:color="auto"/>
            <w:right w:val="none" w:sz="0" w:space="0" w:color="auto"/>
          </w:divBdr>
        </w:div>
        <w:div w:id="498347312">
          <w:marLeft w:val="0"/>
          <w:marRight w:val="0"/>
          <w:marTop w:val="0"/>
          <w:marBottom w:val="240"/>
          <w:divBdr>
            <w:top w:val="none" w:sz="0" w:space="0" w:color="auto"/>
            <w:left w:val="none" w:sz="0" w:space="0" w:color="auto"/>
            <w:bottom w:val="none" w:sz="0" w:space="0" w:color="auto"/>
            <w:right w:val="none" w:sz="0" w:space="0" w:color="auto"/>
          </w:divBdr>
        </w:div>
        <w:div w:id="657656120">
          <w:marLeft w:val="240"/>
          <w:marRight w:val="0"/>
          <w:marTop w:val="0"/>
          <w:marBottom w:val="240"/>
          <w:divBdr>
            <w:top w:val="none" w:sz="0" w:space="0" w:color="auto"/>
            <w:left w:val="none" w:sz="0" w:space="0" w:color="auto"/>
            <w:bottom w:val="none" w:sz="0" w:space="0" w:color="auto"/>
            <w:right w:val="none" w:sz="0" w:space="0" w:color="auto"/>
          </w:divBdr>
        </w:div>
        <w:div w:id="782918213">
          <w:marLeft w:val="600"/>
          <w:marRight w:val="0"/>
          <w:marTop w:val="0"/>
          <w:marBottom w:val="240"/>
          <w:divBdr>
            <w:top w:val="none" w:sz="0" w:space="0" w:color="auto"/>
            <w:left w:val="none" w:sz="0" w:space="0" w:color="auto"/>
            <w:bottom w:val="none" w:sz="0" w:space="0" w:color="auto"/>
            <w:right w:val="none" w:sz="0" w:space="0" w:color="auto"/>
          </w:divBdr>
        </w:div>
        <w:div w:id="905070709">
          <w:marLeft w:val="600"/>
          <w:marRight w:val="0"/>
          <w:marTop w:val="0"/>
          <w:marBottom w:val="240"/>
          <w:divBdr>
            <w:top w:val="none" w:sz="0" w:space="0" w:color="auto"/>
            <w:left w:val="none" w:sz="0" w:space="0" w:color="auto"/>
            <w:bottom w:val="none" w:sz="0" w:space="0" w:color="auto"/>
            <w:right w:val="none" w:sz="0" w:space="0" w:color="auto"/>
          </w:divBdr>
        </w:div>
        <w:div w:id="1507405934">
          <w:marLeft w:val="600"/>
          <w:marRight w:val="0"/>
          <w:marTop w:val="0"/>
          <w:marBottom w:val="240"/>
          <w:divBdr>
            <w:top w:val="none" w:sz="0" w:space="0" w:color="auto"/>
            <w:left w:val="none" w:sz="0" w:space="0" w:color="auto"/>
            <w:bottom w:val="none" w:sz="0" w:space="0" w:color="auto"/>
            <w:right w:val="none" w:sz="0" w:space="0" w:color="auto"/>
          </w:divBdr>
        </w:div>
        <w:div w:id="1873765531">
          <w:marLeft w:val="600"/>
          <w:marRight w:val="0"/>
          <w:marTop w:val="0"/>
          <w:marBottom w:val="240"/>
          <w:divBdr>
            <w:top w:val="none" w:sz="0" w:space="0" w:color="auto"/>
            <w:left w:val="none" w:sz="0" w:space="0" w:color="auto"/>
            <w:bottom w:val="none" w:sz="0" w:space="0" w:color="auto"/>
            <w:right w:val="none" w:sz="0" w:space="0" w:color="auto"/>
          </w:divBdr>
        </w:div>
      </w:divsChild>
    </w:div>
    <w:div w:id="2090079769">
      <w:bodyDiv w:val="1"/>
      <w:marLeft w:val="0"/>
      <w:marRight w:val="0"/>
      <w:marTop w:val="0"/>
      <w:marBottom w:val="0"/>
      <w:divBdr>
        <w:top w:val="none" w:sz="0" w:space="0" w:color="auto"/>
        <w:left w:val="none" w:sz="0" w:space="0" w:color="auto"/>
        <w:bottom w:val="none" w:sz="0" w:space="0" w:color="auto"/>
        <w:right w:val="none" w:sz="0" w:space="0" w:color="auto"/>
      </w:divBdr>
    </w:div>
    <w:div w:id="20924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3.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mailto:public.advisor@cpuc.ca.gov" TargetMode="Externa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energizationcustomer@cpuc.ca.gov"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7.xml" Id="rId22" /><Relationship Type="http://schemas.openxmlformats.org/officeDocument/2006/relationships/hyperlink" Target="http://docs.cpuc.ca.gov/PublishedDocs/Published/G000/M540/K719/540719251.docx" TargetMode="External" Id="R2e729b473ace4c62" /><Relationship Type="http://schemas.openxmlformats.org/officeDocument/2006/relationships/hyperlink" Target="http://docs.cpuc.ca.gov/PublishedDocs/Published/G000/M540/K809/540809275.docx" TargetMode="External" Id="Rc1047b1743a6441a" /><Relationship Type="http://schemas.openxmlformats.org/officeDocument/2006/relationships/hyperlink" Target="http://docs.cpuc.ca.gov/PublishedDocs/Published/G000/M540/K748/540748910.docx" TargetMode="External" Id="R06945182f2e64878" /><Relationship Type="http://schemas.openxmlformats.org/officeDocument/2006/relationships/hyperlink" Target="http://docs.cpuc.ca.gov/PublishedDocs/Published/G000/M540/K754/540754334.docx" TargetMode="External" Id="R02625c4e9c2c4744" /></Relationships>
</file>

<file path=word/documenttasks/documenttasks1.xml><?xml version="1.0" encoding="utf-8"?>
<t:Tasks xmlns:t="http://schemas.microsoft.com/office/tasks/2019/documenttasks" xmlns:oel="http://schemas.microsoft.com/office/2019/extlst">
  <t:Task id="{BFB78B10-BC12-4236-BC9A-0BDCFF88E561}">
    <t:Anchor>
      <t:Comment id="2127767849"/>
    </t:Anchor>
    <t:History>
      <t:Event id="{BB5827AC-C057-4AC8-9079-DE2569147BA9}" time="2024-07-07T19:21:40.957Z">
        <t:Attribution userId="S::Carolyn.Sisto@cpuc.ca.gov::91851078-9777-4ad2-afde-34c6ba7a32a3" userProvider="AD" userName="Sisto, Carolyn"/>
        <t:Anchor>
          <t:Comment id="2127767849"/>
        </t:Anchor>
        <t:Create/>
      </t:Event>
      <t:Event id="{7A678AF1-160B-476C-9E2E-41C2F4E25A06}" time="2024-07-07T19:21:40.957Z">
        <t:Attribution userId="S::Carolyn.Sisto@cpuc.ca.gov::91851078-9777-4ad2-afde-34c6ba7a32a3" userProvider="AD" userName="Sisto, Carolyn"/>
        <t:Anchor>
          <t:Comment id="2127767849"/>
        </t:Anchor>
        <t:Assign userId="S::Sasha.Goldberg@cpuc.ca.gov::6c972ff1-21cf-421b-be5d-b1568cdc38da" userProvider="AD" userName="Goldberg, Sasha"/>
      </t:Event>
      <t:Event id="{DB673E11-FAFE-4F48-A4E7-AF11CC5B5A86}" time="2024-07-07T19:21:40.957Z">
        <t:Attribution userId="S::Carolyn.Sisto@cpuc.ca.gov::91851078-9777-4ad2-afde-34c6ba7a32a3" userProvider="AD" userName="Sisto, Carolyn"/>
        <t:Anchor>
          <t:Comment id="2127767849"/>
        </t:Anchor>
        <t:SetTitle title="@Goldberg, Sasha would you have time to refer to the specific pub util code instead of linking to leg scan links in the footnotes? I believe that is preferred by the ACs these days. "/>
      </t:Event>
      <t:Event id="{00068D70-66E9-4D14-AD72-8599EFA0C847}" time="2024-07-08T16:07:53.262Z">
        <t:Attribution userId="S::sasha.goldberg@cpuc.ca.gov::6c972ff1-21cf-421b-be5d-b1568cdc38da" userProvider="AD" userName="Goldberg, Sasha"/>
        <t:Progress percentComplete="100"/>
      </t:Event>
    </t:History>
  </t:Task>
  <t:Task id="{E178AEFF-8FB8-4427-93C2-7F5716CAF96B}">
    <t:Anchor>
      <t:Comment id="355553289"/>
    </t:Anchor>
    <t:History>
      <t:Event id="{F4500453-A2D3-4EBC-8080-14B7F95485F4}" time="2024-07-09T17:56:11.144Z">
        <t:Attribution userId="S::carolyn.sisto@cpuc.ca.gov::91851078-9777-4ad2-afde-34c6ba7a32a3" userProvider="AD" userName="Sisto, Carolyn"/>
        <t:Anchor>
          <t:Comment id="355553289"/>
        </t:Anchor>
        <t:Create/>
      </t:Event>
      <t:Event id="{A5E51E95-7D26-443A-B25D-2DD20A5F0053}" time="2024-07-09T17:56:11.144Z">
        <t:Attribution userId="S::carolyn.sisto@cpuc.ca.gov::91851078-9777-4ad2-afde-34c6ba7a32a3" userProvider="AD" userName="Sisto, Carolyn"/>
        <t:Anchor>
          <t:Comment id="355553289"/>
        </t:Anchor>
        <t:Assign userId="S::Emmanuelle.Truax@cpuc.ca.gov::95ae8a33-e7cd-496a-8378-bee020e3908c" userProvider="AD" userName="Truax, Emmanuelle"/>
      </t:Event>
      <t:Event id="{7FC9E8FD-79A2-4CE9-BF28-B0843C2D7734}" time="2024-07-09T17:56:11.144Z">
        <t:Attribution userId="S::carolyn.sisto@cpuc.ca.gov::91851078-9777-4ad2-afde-34c6ba7a32a3" userProvider="AD" userName="Sisto, Carolyn"/>
        <t:Anchor>
          <t:Comment id="355553289"/>
        </t:Anchor>
        <t:SetTitle title="@Truax, Emmanuelle @Gruendling, Paula - I don't know the status of this template... do you think ED will have time to create this appendix or should we say it is going to be workshopped later?"/>
      </t:Event>
      <t:Event id="{6A74A253-A525-456B-A7B4-9C895C95CA00}" time="2024-07-19T19:29:42.693Z">
        <t:Attribution userId="S::Carolyn.Sisto@cpuc.ca.gov::91851078-9777-4ad2-afde-34c6ba7a32a3" userProvider="AD" userName="Sisto, Carolyn"/>
        <t:Progress percentComplete="100"/>
      </t:Event>
    </t:History>
  </t:Task>
  <t:Task id="{5258C0B9-5827-4A21-AAB8-90ECF48AA4D8}">
    <t:Anchor>
      <t:Comment id="1517035363"/>
    </t:Anchor>
    <t:History>
      <t:Event id="{FECE1118-6309-44DC-872B-B0073BC87387}" time="2024-07-12T00:37:33.302Z">
        <t:Attribution userId="S::cydnie.golson@cpuc.ca.gov::ece0cf15-ea62-4530-a25c-e7063a29fbe2" userProvider="AD" userName="Golson, Cydnie &quot;Cyd&quot;"/>
        <t:Anchor>
          <t:Comment id="1517035363"/>
        </t:Anchor>
        <t:Create/>
      </t:Event>
      <t:Event id="{6BDF0707-FD58-4E46-8E9A-D23342E8EDD3}" time="2024-07-12T00:37:33.302Z">
        <t:Attribution userId="S::cydnie.golson@cpuc.ca.gov::ece0cf15-ea62-4530-a25c-e7063a29fbe2" userProvider="AD" userName="Golson, Cydnie &quot;Cyd&quot;"/>
        <t:Anchor>
          <t:Comment id="1517035363"/>
        </t:Anchor>
        <t:Assign userId="S::Cydnie.Golson@cpuc.ca.gov::ece0cf15-ea62-4530-a25c-e7063a29fbe2" userProvider="AD" userName="Golson, Cydnie &quot;Cyd&quot;"/>
      </t:Event>
      <t:Event id="{7A83B8A6-CAF9-4961-B7D9-9EE664E6243A}" time="2024-07-12T00:37:33.302Z">
        <t:Attribution userId="S::cydnie.golson@cpuc.ca.gov::ece0cf15-ea62-4530-a25c-e7063a29fbe2" userProvider="AD" userName="Golson, Cydnie &quot;Cyd&quot;"/>
        <t:Anchor>
          <t:Comment id="1517035363"/>
        </t:Anchor>
        <t:SetTitle title="@Golson, Cydnie &quot;Cyd&quot; to update when GH analysis comple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105</ap:Pages>
  <ap:Words>23913</ap:Words>
  <ap:Characters>136305</ap:Characters>
  <ap:Application>Microsoft Office Word</ap:Application>
  <ap:DocSecurity>0</ap:DocSecurity>
  <ap:Lines>1135</ap:Lines>
  <ap:Paragraphs>319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159899</ap:CharactersWithSpaces>
  <ap:SharedDoc>false</ap:SharedDoc>
  <ap:HLinks>
    <vt:vector baseType="variant" size="210">
      <vt:variant>
        <vt:i4>2359320</vt:i4>
      </vt:variant>
      <vt:variant>
        <vt:i4>207</vt:i4>
      </vt:variant>
      <vt:variant>
        <vt:i4>0</vt:i4>
      </vt:variant>
      <vt:variant>
        <vt:i4>5</vt:i4>
      </vt:variant>
      <vt:variant>
        <vt:lpwstr>mailto:public.advisor@cpuc.ca.gov</vt:lpwstr>
      </vt:variant>
      <vt:variant>
        <vt:lpwstr/>
      </vt:variant>
      <vt:variant>
        <vt:i4>983161</vt:i4>
      </vt:variant>
      <vt:variant>
        <vt:i4>204</vt:i4>
      </vt:variant>
      <vt:variant>
        <vt:i4>0</vt:i4>
      </vt:variant>
      <vt:variant>
        <vt:i4>5</vt:i4>
      </vt:variant>
      <vt:variant>
        <vt:lpwstr>mailto:energizationcustomer@cpuc.ca.gov</vt:lpwstr>
      </vt:variant>
      <vt:variant>
        <vt:lpwstr/>
      </vt:variant>
      <vt:variant>
        <vt:i4>1114162</vt:i4>
      </vt:variant>
      <vt:variant>
        <vt:i4>194</vt:i4>
      </vt:variant>
      <vt:variant>
        <vt:i4>0</vt:i4>
      </vt:variant>
      <vt:variant>
        <vt:i4>5</vt:i4>
      </vt:variant>
      <vt:variant>
        <vt:lpwstr/>
      </vt:variant>
      <vt:variant>
        <vt:lpwstr>_Toc174355279</vt:lpwstr>
      </vt:variant>
      <vt:variant>
        <vt:i4>1114162</vt:i4>
      </vt:variant>
      <vt:variant>
        <vt:i4>188</vt:i4>
      </vt:variant>
      <vt:variant>
        <vt:i4>0</vt:i4>
      </vt:variant>
      <vt:variant>
        <vt:i4>5</vt:i4>
      </vt:variant>
      <vt:variant>
        <vt:lpwstr/>
      </vt:variant>
      <vt:variant>
        <vt:lpwstr>_Toc174355278</vt:lpwstr>
      </vt:variant>
      <vt:variant>
        <vt:i4>1114162</vt:i4>
      </vt:variant>
      <vt:variant>
        <vt:i4>182</vt:i4>
      </vt:variant>
      <vt:variant>
        <vt:i4>0</vt:i4>
      </vt:variant>
      <vt:variant>
        <vt:i4>5</vt:i4>
      </vt:variant>
      <vt:variant>
        <vt:lpwstr/>
      </vt:variant>
      <vt:variant>
        <vt:lpwstr>_Toc174355277</vt:lpwstr>
      </vt:variant>
      <vt:variant>
        <vt:i4>1114162</vt:i4>
      </vt:variant>
      <vt:variant>
        <vt:i4>176</vt:i4>
      </vt:variant>
      <vt:variant>
        <vt:i4>0</vt:i4>
      </vt:variant>
      <vt:variant>
        <vt:i4>5</vt:i4>
      </vt:variant>
      <vt:variant>
        <vt:lpwstr/>
      </vt:variant>
      <vt:variant>
        <vt:lpwstr>_Toc174355276</vt:lpwstr>
      </vt:variant>
      <vt:variant>
        <vt:i4>1114162</vt:i4>
      </vt:variant>
      <vt:variant>
        <vt:i4>170</vt:i4>
      </vt:variant>
      <vt:variant>
        <vt:i4>0</vt:i4>
      </vt:variant>
      <vt:variant>
        <vt:i4>5</vt:i4>
      </vt:variant>
      <vt:variant>
        <vt:lpwstr/>
      </vt:variant>
      <vt:variant>
        <vt:lpwstr>_Toc174355275</vt:lpwstr>
      </vt:variant>
      <vt:variant>
        <vt:i4>1114162</vt:i4>
      </vt:variant>
      <vt:variant>
        <vt:i4>164</vt:i4>
      </vt:variant>
      <vt:variant>
        <vt:i4>0</vt:i4>
      </vt:variant>
      <vt:variant>
        <vt:i4>5</vt:i4>
      </vt:variant>
      <vt:variant>
        <vt:lpwstr/>
      </vt:variant>
      <vt:variant>
        <vt:lpwstr>_Toc174355274</vt:lpwstr>
      </vt:variant>
      <vt:variant>
        <vt:i4>1114162</vt:i4>
      </vt:variant>
      <vt:variant>
        <vt:i4>158</vt:i4>
      </vt:variant>
      <vt:variant>
        <vt:i4>0</vt:i4>
      </vt:variant>
      <vt:variant>
        <vt:i4>5</vt:i4>
      </vt:variant>
      <vt:variant>
        <vt:lpwstr/>
      </vt:variant>
      <vt:variant>
        <vt:lpwstr>_Toc174355273</vt:lpwstr>
      </vt:variant>
      <vt:variant>
        <vt:i4>1114162</vt:i4>
      </vt:variant>
      <vt:variant>
        <vt:i4>152</vt:i4>
      </vt:variant>
      <vt:variant>
        <vt:i4>0</vt:i4>
      </vt:variant>
      <vt:variant>
        <vt:i4>5</vt:i4>
      </vt:variant>
      <vt:variant>
        <vt:lpwstr/>
      </vt:variant>
      <vt:variant>
        <vt:lpwstr>_Toc174355272</vt:lpwstr>
      </vt:variant>
      <vt:variant>
        <vt:i4>1114162</vt:i4>
      </vt:variant>
      <vt:variant>
        <vt:i4>146</vt:i4>
      </vt:variant>
      <vt:variant>
        <vt:i4>0</vt:i4>
      </vt:variant>
      <vt:variant>
        <vt:i4>5</vt:i4>
      </vt:variant>
      <vt:variant>
        <vt:lpwstr/>
      </vt:variant>
      <vt:variant>
        <vt:lpwstr>_Toc174355271</vt:lpwstr>
      </vt:variant>
      <vt:variant>
        <vt:i4>1114162</vt:i4>
      </vt:variant>
      <vt:variant>
        <vt:i4>140</vt:i4>
      </vt:variant>
      <vt:variant>
        <vt:i4>0</vt:i4>
      </vt:variant>
      <vt:variant>
        <vt:i4>5</vt:i4>
      </vt:variant>
      <vt:variant>
        <vt:lpwstr/>
      </vt:variant>
      <vt:variant>
        <vt:lpwstr>_Toc174355270</vt:lpwstr>
      </vt:variant>
      <vt:variant>
        <vt:i4>1048626</vt:i4>
      </vt:variant>
      <vt:variant>
        <vt:i4>134</vt:i4>
      </vt:variant>
      <vt:variant>
        <vt:i4>0</vt:i4>
      </vt:variant>
      <vt:variant>
        <vt:i4>5</vt:i4>
      </vt:variant>
      <vt:variant>
        <vt:lpwstr/>
      </vt:variant>
      <vt:variant>
        <vt:lpwstr>_Toc174355269</vt:lpwstr>
      </vt:variant>
      <vt:variant>
        <vt:i4>1048626</vt:i4>
      </vt:variant>
      <vt:variant>
        <vt:i4>128</vt:i4>
      </vt:variant>
      <vt:variant>
        <vt:i4>0</vt:i4>
      </vt:variant>
      <vt:variant>
        <vt:i4>5</vt:i4>
      </vt:variant>
      <vt:variant>
        <vt:lpwstr/>
      </vt:variant>
      <vt:variant>
        <vt:lpwstr>_Toc174355268</vt:lpwstr>
      </vt:variant>
      <vt:variant>
        <vt:i4>1048626</vt:i4>
      </vt:variant>
      <vt:variant>
        <vt:i4>122</vt:i4>
      </vt:variant>
      <vt:variant>
        <vt:i4>0</vt:i4>
      </vt:variant>
      <vt:variant>
        <vt:i4>5</vt:i4>
      </vt:variant>
      <vt:variant>
        <vt:lpwstr/>
      </vt:variant>
      <vt:variant>
        <vt:lpwstr>_Toc174355267</vt:lpwstr>
      </vt:variant>
      <vt:variant>
        <vt:i4>1048626</vt:i4>
      </vt:variant>
      <vt:variant>
        <vt:i4>116</vt:i4>
      </vt:variant>
      <vt:variant>
        <vt:i4>0</vt:i4>
      </vt:variant>
      <vt:variant>
        <vt:i4>5</vt:i4>
      </vt:variant>
      <vt:variant>
        <vt:lpwstr/>
      </vt:variant>
      <vt:variant>
        <vt:lpwstr>_Toc174355266</vt:lpwstr>
      </vt:variant>
      <vt:variant>
        <vt:i4>1048626</vt:i4>
      </vt:variant>
      <vt:variant>
        <vt:i4>110</vt:i4>
      </vt:variant>
      <vt:variant>
        <vt:i4>0</vt:i4>
      </vt:variant>
      <vt:variant>
        <vt:i4>5</vt:i4>
      </vt:variant>
      <vt:variant>
        <vt:lpwstr/>
      </vt:variant>
      <vt:variant>
        <vt:lpwstr>_Toc174355265</vt:lpwstr>
      </vt:variant>
      <vt:variant>
        <vt:i4>1048626</vt:i4>
      </vt:variant>
      <vt:variant>
        <vt:i4>104</vt:i4>
      </vt:variant>
      <vt:variant>
        <vt:i4>0</vt:i4>
      </vt:variant>
      <vt:variant>
        <vt:i4>5</vt:i4>
      </vt:variant>
      <vt:variant>
        <vt:lpwstr/>
      </vt:variant>
      <vt:variant>
        <vt:lpwstr>_Toc174355264</vt:lpwstr>
      </vt:variant>
      <vt:variant>
        <vt:i4>1048626</vt:i4>
      </vt:variant>
      <vt:variant>
        <vt:i4>98</vt:i4>
      </vt:variant>
      <vt:variant>
        <vt:i4>0</vt:i4>
      </vt:variant>
      <vt:variant>
        <vt:i4>5</vt:i4>
      </vt:variant>
      <vt:variant>
        <vt:lpwstr/>
      </vt:variant>
      <vt:variant>
        <vt:lpwstr>_Toc174355263</vt:lpwstr>
      </vt:variant>
      <vt:variant>
        <vt:i4>1048626</vt:i4>
      </vt:variant>
      <vt:variant>
        <vt:i4>92</vt:i4>
      </vt:variant>
      <vt:variant>
        <vt:i4>0</vt:i4>
      </vt:variant>
      <vt:variant>
        <vt:i4>5</vt:i4>
      </vt:variant>
      <vt:variant>
        <vt:lpwstr/>
      </vt:variant>
      <vt:variant>
        <vt:lpwstr>_Toc174355262</vt:lpwstr>
      </vt:variant>
      <vt:variant>
        <vt:i4>1048626</vt:i4>
      </vt:variant>
      <vt:variant>
        <vt:i4>86</vt:i4>
      </vt:variant>
      <vt:variant>
        <vt:i4>0</vt:i4>
      </vt:variant>
      <vt:variant>
        <vt:i4>5</vt:i4>
      </vt:variant>
      <vt:variant>
        <vt:lpwstr/>
      </vt:variant>
      <vt:variant>
        <vt:lpwstr>_Toc174355261</vt:lpwstr>
      </vt:variant>
      <vt:variant>
        <vt:i4>1048626</vt:i4>
      </vt:variant>
      <vt:variant>
        <vt:i4>80</vt:i4>
      </vt:variant>
      <vt:variant>
        <vt:i4>0</vt:i4>
      </vt:variant>
      <vt:variant>
        <vt:i4>5</vt:i4>
      </vt:variant>
      <vt:variant>
        <vt:lpwstr/>
      </vt:variant>
      <vt:variant>
        <vt:lpwstr>_Toc174355260</vt:lpwstr>
      </vt:variant>
      <vt:variant>
        <vt:i4>1245234</vt:i4>
      </vt:variant>
      <vt:variant>
        <vt:i4>74</vt:i4>
      </vt:variant>
      <vt:variant>
        <vt:i4>0</vt:i4>
      </vt:variant>
      <vt:variant>
        <vt:i4>5</vt:i4>
      </vt:variant>
      <vt:variant>
        <vt:lpwstr/>
      </vt:variant>
      <vt:variant>
        <vt:lpwstr>_Toc174355259</vt:lpwstr>
      </vt:variant>
      <vt:variant>
        <vt:i4>1245234</vt:i4>
      </vt:variant>
      <vt:variant>
        <vt:i4>68</vt:i4>
      </vt:variant>
      <vt:variant>
        <vt:i4>0</vt:i4>
      </vt:variant>
      <vt:variant>
        <vt:i4>5</vt:i4>
      </vt:variant>
      <vt:variant>
        <vt:lpwstr/>
      </vt:variant>
      <vt:variant>
        <vt:lpwstr>_Toc174355258</vt:lpwstr>
      </vt:variant>
      <vt:variant>
        <vt:i4>1245234</vt:i4>
      </vt:variant>
      <vt:variant>
        <vt:i4>62</vt:i4>
      </vt:variant>
      <vt:variant>
        <vt:i4>0</vt:i4>
      </vt:variant>
      <vt:variant>
        <vt:i4>5</vt:i4>
      </vt:variant>
      <vt:variant>
        <vt:lpwstr/>
      </vt:variant>
      <vt:variant>
        <vt:lpwstr>_Toc174355257</vt:lpwstr>
      </vt:variant>
      <vt:variant>
        <vt:i4>1245234</vt:i4>
      </vt:variant>
      <vt:variant>
        <vt:i4>56</vt:i4>
      </vt:variant>
      <vt:variant>
        <vt:i4>0</vt:i4>
      </vt:variant>
      <vt:variant>
        <vt:i4>5</vt:i4>
      </vt:variant>
      <vt:variant>
        <vt:lpwstr/>
      </vt:variant>
      <vt:variant>
        <vt:lpwstr>_Toc174355256</vt:lpwstr>
      </vt:variant>
      <vt:variant>
        <vt:i4>1245234</vt:i4>
      </vt:variant>
      <vt:variant>
        <vt:i4>50</vt:i4>
      </vt:variant>
      <vt:variant>
        <vt:i4>0</vt:i4>
      </vt:variant>
      <vt:variant>
        <vt:i4>5</vt:i4>
      </vt:variant>
      <vt:variant>
        <vt:lpwstr/>
      </vt:variant>
      <vt:variant>
        <vt:lpwstr>_Toc174355255</vt:lpwstr>
      </vt:variant>
      <vt:variant>
        <vt:i4>1245234</vt:i4>
      </vt:variant>
      <vt:variant>
        <vt:i4>44</vt:i4>
      </vt:variant>
      <vt:variant>
        <vt:i4>0</vt:i4>
      </vt:variant>
      <vt:variant>
        <vt:i4>5</vt:i4>
      </vt:variant>
      <vt:variant>
        <vt:lpwstr/>
      </vt:variant>
      <vt:variant>
        <vt:lpwstr>_Toc174355254</vt:lpwstr>
      </vt:variant>
      <vt:variant>
        <vt:i4>1245234</vt:i4>
      </vt:variant>
      <vt:variant>
        <vt:i4>38</vt:i4>
      </vt:variant>
      <vt:variant>
        <vt:i4>0</vt:i4>
      </vt:variant>
      <vt:variant>
        <vt:i4>5</vt:i4>
      </vt:variant>
      <vt:variant>
        <vt:lpwstr/>
      </vt:variant>
      <vt:variant>
        <vt:lpwstr>_Toc174355253</vt:lpwstr>
      </vt:variant>
      <vt:variant>
        <vt:i4>1245234</vt:i4>
      </vt:variant>
      <vt:variant>
        <vt:i4>32</vt:i4>
      </vt:variant>
      <vt:variant>
        <vt:i4>0</vt:i4>
      </vt:variant>
      <vt:variant>
        <vt:i4>5</vt:i4>
      </vt:variant>
      <vt:variant>
        <vt:lpwstr/>
      </vt:variant>
      <vt:variant>
        <vt:lpwstr>_Toc174355252</vt:lpwstr>
      </vt:variant>
      <vt:variant>
        <vt:i4>1245234</vt:i4>
      </vt:variant>
      <vt:variant>
        <vt:i4>26</vt:i4>
      </vt:variant>
      <vt:variant>
        <vt:i4>0</vt:i4>
      </vt:variant>
      <vt:variant>
        <vt:i4>5</vt:i4>
      </vt:variant>
      <vt:variant>
        <vt:lpwstr/>
      </vt:variant>
      <vt:variant>
        <vt:lpwstr>_Toc174355251</vt:lpwstr>
      </vt:variant>
      <vt:variant>
        <vt:i4>1245234</vt:i4>
      </vt:variant>
      <vt:variant>
        <vt:i4>20</vt:i4>
      </vt:variant>
      <vt:variant>
        <vt:i4>0</vt:i4>
      </vt:variant>
      <vt:variant>
        <vt:i4>5</vt:i4>
      </vt:variant>
      <vt:variant>
        <vt:lpwstr/>
      </vt:variant>
      <vt:variant>
        <vt:lpwstr>_Toc174355250</vt:lpwstr>
      </vt:variant>
      <vt:variant>
        <vt:i4>1179698</vt:i4>
      </vt:variant>
      <vt:variant>
        <vt:i4>14</vt:i4>
      </vt:variant>
      <vt:variant>
        <vt:i4>0</vt:i4>
      </vt:variant>
      <vt:variant>
        <vt:i4>5</vt:i4>
      </vt:variant>
      <vt:variant>
        <vt:lpwstr/>
      </vt:variant>
      <vt:variant>
        <vt:lpwstr>_Toc174355249</vt:lpwstr>
      </vt:variant>
      <vt:variant>
        <vt:i4>1179698</vt:i4>
      </vt:variant>
      <vt:variant>
        <vt:i4>8</vt:i4>
      </vt:variant>
      <vt:variant>
        <vt:i4>0</vt:i4>
      </vt:variant>
      <vt:variant>
        <vt:i4>5</vt:i4>
      </vt:variant>
      <vt:variant>
        <vt:lpwstr/>
      </vt:variant>
      <vt:variant>
        <vt:lpwstr>_Toc174355248</vt:lpwstr>
      </vt:variant>
      <vt:variant>
        <vt:i4>1179698</vt:i4>
      </vt:variant>
      <vt:variant>
        <vt:i4>2</vt:i4>
      </vt:variant>
      <vt:variant>
        <vt:i4>0</vt:i4>
      </vt:variant>
      <vt:variant>
        <vt:i4>5</vt:i4>
      </vt:variant>
      <vt:variant>
        <vt:lpwstr/>
      </vt:variant>
      <vt:variant>
        <vt:lpwstr>_Toc174355247</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2024-09-10T16:24:00Z</cp:lastPrinted>
  <dcterms:created xsi:type="dcterms:W3CDTF">2024-09-17T12:56:27Z</dcterms:created>
  <dcterms:modified xsi:type="dcterms:W3CDTF">2024-09-17T12:56:27Z</dcterms:modified>
</cp:coreProperties>
</file>