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86907" w:rsidP="00A86907" w:rsidRDefault="00A86907" w14:paraId="1D8E883F" w14:textId="77777777">
      <w:pPr>
        <w:pStyle w:val="Standard"/>
        <w:spacing w:line="240" w:lineRule="auto"/>
        <w:ind w:firstLine="0"/>
        <w:jc w:val="center"/>
        <w:rPr>
          <w:sz w:val="48"/>
          <w:szCs w:val="48"/>
        </w:rPr>
      </w:pPr>
    </w:p>
    <w:p w:rsidR="00A86907" w:rsidP="00A86907" w:rsidRDefault="00A86907" w14:paraId="247DCA0F" w14:textId="77777777">
      <w:pPr>
        <w:pStyle w:val="Standard"/>
        <w:spacing w:line="240" w:lineRule="auto"/>
        <w:ind w:firstLine="0"/>
        <w:jc w:val="center"/>
        <w:rPr>
          <w:sz w:val="48"/>
          <w:szCs w:val="48"/>
        </w:rPr>
      </w:pPr>
    </w:p>
    <w:p w:rsidR="00A86907" w:rsidP="00A86907" w:rsidRDefault="00A86907" w14:paraId="6777AD77" w14:textId="77777777">
      <w:pPr>
        <w:pStyle w:val="Standard"/>
        <w:spacing w:line="240" w:lineRule="auto"/>
        <w:ind w:firstLine="0"/>
        <w:jc w:val="center"/>
        <w:rPr>
          <w:sz w:val="48"/>
          <w:szCs w:val="48"/>
        </w:rPr>
      </w:pPr>
    </w:p>
    <w:p w:rsidR="00A86907" w:rsidP="00A86907" w:rsidRDefault="00A86907" w14:paraId="332BAF2C" w14:textId="77777777">
      <w:pPr>
        <w:pStyle w:val="Standard"/>
        <w:spacing w:line="240" w:lineRule="auto"/>
        <w:ind w:firstLine="0"/>
        <w:jc w:val="center"/>
        <w:rPr>
          <w:sz w:val="48"/>
          <w:szCs w:val="48"/>
        </w:rPr>
      </w:pPr>
    </w:p>
    <w:p w:rsidR="00A86907" w:rsidP="00A86907" w:rsidRDefault="00A86907" w14:paraId="4E6B9366" w14:textId="77777777">
      <w:pPr>
        <w:pStyle w:val="Standard"/>
        <w:spacing w:line="240" w:lineRule="auto"/>
        <w:ind w:firstLine="0"/>
        <w:jc w:val="center"/>
        <w:rPr>
          <w:sz w:val="48"/>
          <w:szCs w:val="48"/>
        </w:rPr>
      </w:pPr>
    </w:p>
    <w:p w:rsidR="00A86907" w:rsidP="00A86907" w:rsidRDefault="00A86907" w14:paraId="4CF521EA" w14:textId="77777777">
      <w:pPr>
        <w:pStyle w:val="Standard"/>
        <w:spacing w:line="240" w:lineRule="auto"/>
        <w:ind w:firstLine="0"/>
        <w:jc w:val="center"/>
        <w:rPr>
          <w:sz w:val="48"/>
          <w:szCs w:val="48"/>
        </w:rPr>
      </w:pPr>
    </w:p>
    <w:p w:rsidR="00A86907" w:rsidP="00A86907" w:rsidRDefault="00A86907" w14:paraId="1D6A3E67" w14:textId="77777777">
      <w:pPr>
        <w:pStyle w:val="Standard"/>
        <w:spacing w:line="240" w:lineRule="auto"/>
        <w:ind w:firstLine="0"/>
        <w:jc w:val="center"/>
        <w:rPr>
          <w:sz w:val="48"/>
          <w:szCs w:val="48"/>
        </w:rPr>
      </w:pPr>
    </w:p>
    <w:p w:rsidR="00A86907" w:rsidP="00A86907" w:rsidRDefault="00A86907" w14:paraId="6E058F72" w14:textId="77777777">
      <w:pPr>
        <w:pStyle w:val="Standard"/>
        <w:spacing w:line="240" w:lineRule="auto"/>
        <w:ind w:firstLine="0"/>
        <w:jc w:val="center"/>
        <w:rPr>
          <w:sz w:val="48"/>
          <w:szCs w:val="48"/>
        </w:rPr>
      </w:pPr>
    </w:p>
    <w:p w:rsidRPr="00461C10" w:rsidR="00A86907" w:rsidP="00A86907" w:rsidRDefault="00A86907" w14:paraId="68CDF56C" w14:textId="0FE8B8C8">
      <w:pPr>
        <w:pStyle w:val="Standard"/>
        <w:spacing w:line="240" w:lineRule="auto"/>
        <w:ind w:firstLine="0"/>
        <w:jc w:val="center"/>
        <w:rPr>
          <w:sz w:val="48"/>
          <w:szCs w:val="48"/>
        </w:rPr>
      </w:pPr>
      <w:r w:rsidRPr="00461C10">
        <w:rPr>
          <w:sz w:val="48"/>
          <w:szCs w:val="48"/>
        </w:rPr>
        <w:t>APPENDIX B</w:t>
      </w:r>
    </w:p>
    <w:p w:rsidR="00A86907" w:rsidP="00A86907" w:rsidRDefault="00A86907" w14:paraId="404D1071" w14:textId="77777777">
      <w:pPr>
        <w:pStyle w:val="Standard"/>
        <w:spacing w:line="240" w:lineRule="auto"/>
        <w:ind w:firstLine="0"/>
        <w:jc w:val="center"/>
        <w:rPr>
          <w:sz w:val="36"/>
          <w:szCs w:val="36"/>
        </w:rPr>
      </w:pPr>
      <w:bookmarkStart w:name="_Hlk176855864" w:id="0"/>
      <w:r w:rsidRPr="00461C10">
        <w:rPr>
          <w:sz w:val="36"/>
          <w:szCs w:val="36"/>
        </w:rPr>
        <w:t>Energization Target Reporting</w:t>
      </w:r>
      <w:r w:rsidRPr="00461C10">
        <w:rPr>
          <w:sz w:val="36"/>
          <w:szCs w:val="36"/>
        </w:rPr>
        <w:br/>
        <w:t>Template Requirements</w:t>
      </w:r>
    </w:p>
    <w:bookmarkEnd w:id="0"/>
    <w:p w:rsidR="00A86907" w:rsidP="00BB6EAB" w:rsidRDefault="00A86907" w14:paraId="135445D3" w14:textId="77777777">
      <w:pPr>
        <w:rPr>
          <w:b/>
          <w:bCs/>
        </w:rPr>
      </w:pPr>
    </w:p>
    <w:p w:rsidR="00A86907" w:rsidP="00BB6EAB" w:rsidRDefault="00A86907" w14:paraId="263594D6" w14:textId="77777777">
      <w:pPr>
        <w:rPr>
          <w:b/>
          <w:bCs/>
        </w:rPr>
        <w:sectPr w:rsidR="00A86907" w:rsidSect="00B12D36">
          <w:headerReference w:type="default" r:id="rId8"/>
          <w:pgSz w:w="12240" w:h="15840"/>
          <w:pgMar w:top="1728" w:right="1440" w:bottom="1440" w:left="1440" w:header="720" w:footer="720" w:gutter="0"/>
          <w:cols w:space="720"/>
          <w:docGrid w:linePitch="360"/>
        </w:sectPr>
      </w:pPr>
    </w:p>
    <w:p w:rsidR="00723B24" w:rsidP="00BB6EAB" w:rsidRDefault="032B2F05" w14:paraId="19E3DEDB" w14:textId="754582AB">
      <w:pPr>
        <w:rPr>
          <w:b/>
          <w:bCs/>
        </w:rPr>
      </w:pPr>
      <w:r w:rsidRPr="4D7D5EB3">
        <w:rPr>
          <w:b/>
          <w:bCs/>
        </w:rPr>
        <w:lastRenderedPageBreak/>
        <w:t>General Requirements</w:t>
      </w:r>
      <w:r w:rsidRPr="4D7D5EB3" w:rsidR="00723B24">
        <w:rPr>
          <w:b/>
          <w:bCs/>
        </w:rPr>
        <w:t xml:space="preserve">: </w:t>
      </w:r>
      <w:r w:rsidRPr="4D7D5EB3" w:rsidR="2E4FD4F0">
        <w:rPr>
          <w:b/>
          <w:bCs/>
        </w:rPr>
        <w:t xml:space="preserve">The large electric investor-owned </w:t>
      </w:r>
      <w:r w:rsidRPr="4D7D5EB3" w:rsidR="102774EA">
        <w:rPr>
          <w:b/>
          <w:bCs/>
        </w:rPr>
        <w:t>u</w:t>
      </w:r>
      <w:r w:rsidRPr="4D7D5EB3" w:rsidR="00723B24">
        <w:rPr>
          <w:b/>
          <w:bCs/>
        </w:rPr>
        <w:t xml:space="preserve">tilities should retain all </w:t>
      </w:r>
      <w:r w:rsidRPr="4D7D5EB3" w:rsidR="00BE146D">
        <w:rPr>
          <w:b/>
          <w:bCs/>
        </w:rPr>
        <w:t xml:space="preserve">reported </w:t>
      </w:r>
      <w:r w:rsidRPr="4D7D5EB3" w:rsidR="00723B24">
        <w:rPr>
          <w:b/>
          <w:bCs/>
        </w:rPr>
        <w:t>underlying application</w:t>
      </w:r>
      <w:r w:rsidRPr="4D7D5EB3" w:rsidR="7823A430">
        <w:rPr>
          <w:b/>
          <w:bCs/>
        </w:rPr>
        <w:t>-</w:t>
      </w:r>
      <w:r w:rsidRPr="4D7D5EB3" w:rsidR="00723B24">
        <w:rPr>
          <w:b/>
          <w:bCs/>
        </w:rPr>
        <w:t xml:space="preserve">related information </w:t>
      </w:r>
      <w:r w:rsidRPr="4D7D5EB3" w:rsidR="00C605FB">
        <w:rPr>
          <w:b/>
          <w:bCs/>
        </w:rPr>
        <w:t xml:space="preserve">to </w:t>
      </w:r>
      <w:r w:rsidRPr="4D7D5EB3" w:rsidR="00DA75FA">
        <w:rPr>
          <w:b/>
          <w:bCs/>
        </w:rPr>
        <w:t>support CPUC led evaluation</w:t>
      </w:r>
      <w:r w:rsidRPr="4D7D5EB3" w:rsidR="00B435B1">
        <w:rPr>
          <w:b/>
          <w:bCs/>
        </w:rPr>
        <w:t>,</w:t>
      </w:r>
      <w:r w:rsidRPr="4D7D5EB3" w:rsidR="0C633C1E">
        <w:rPr>
          <w:b/>
          <w:bCs/>
        </w:rPr>
        <w:t xml:space="preserve"> provide all data through Excel spreadsheets that include </w:t>
      </w:r>
      <w:r w:rsidRPr="4D7D5EB3" w:rsidR="1167A878">
        <w:rPr>
          <w:b/>
          <w:bCs/>
        </w:rPr>
        <w:t xml:space="preserve">the associated </w:t>
      </w:r>
      <w:r w:rsidRPr="4D7D5EB3" w:rsidR="0C633C1E">
        <w:rPr>
          <w:b/>
          <w:bCs/>
        </w:rPr>
        <w:t>formulas,</w:t>
      </w:r>
      <w:r w:rsidRPr="4D7D5EB3" w:rsidR="00B435B1">
        <w:rPr>
          <w:b/>
          <w:bCs/>
        </w:rPr>
        <w:t xml:space="preserve"> and </w:t>
      </w:r>
      <w:r w:rsidRPr="4D7D5EB3" w:rsidR="7818F6ED">
        <w:rPr>
          <w:b/>
          <w:bCs/>
        </w:rPr>
        <w:t xml:space="preserve">clearly </w:t>
      </w:r>
      <w:r w:rsidRPr="4D7D5EB3" w:rsidR="00B435B1">
        <w:rPr>
          <w:b/>
          <w:bCs/>
        </w:rPr>
        <w:t xml:space="preserve">provide all assumptions applied to generate the data requested below.  </w:t>
      </w:r>
    </w:p>
    <w:p w:rsidR="00557D63" w:rsidP="00B12D36" w:rsidRDefault="00557D63" w14:paraId="30FB3801" w14:textId="03A63249">
      <w:pPr>
        <w:spacing w:after="120"/>
        <w:rPr>
          <w:b/>
          <w:bCs/>
        </w:rPr>
      </w:pPr>
      <w:r>
        <w:rPr>
          <w:b/>
          <w:bCs/>
        </w:rPr>
        <w:t xml:space="preserve">Data Required </w:t>
      </w:r>
      <w:r w:rsidR="00F87B0F">
        <w:rPr>
          <w:b/>
          <w:bCs/>
        </w:rPr>
        <w:t>by AB 50 / SB 410</w:t>
      </w:r>
    </w:p>
    <w:p w:rsidR="0010554B" w:rsidP="00B12D36" w:rsidRDefault="0010554B" w14:paraId="1BAE17C2" w14:textId="16CA6FC3">
      <w:pPr>
        <w:pStyle w:val="ListParagraph"/>
        <w:numPr>
          <w:ilvl w:val="0"/>
          <w:numId w:val="4"/>
        </w:numPr>
        <w:spacing w:after="120" w:line="240" w:lineRule="auto"/>
        <w:contextualSpacing w:val="0"/>
      </w:pPr>
      <w:r>
        <w:t>The average, median, and standard deviation time</w:t>
      </w:r>
      <w:r w:rsidR="00713331">
        <w:t xml:space="preserve"> (</w:t>
      </w:r>
      <w:r w:rsidR="20B973F5">
        <w:t>i</w:t>
      </w:r>
      <w:r w:rsidR="3E047EAD">
        <w:t xml:space="preserve">n </w:t>
      </w:r>
      <w:r w:rsidR="00713331">
        <w:t>business days and calendar days)</w:t>
      </w:r>
      <w:r>
        <w:t xml:space="preserve"> between receiving an application </w:t>
      </w:r>
      <w:r w:rsidR="00C56767">
        <w:t>and</w:t>
      </w:r>
      <w:r>
        <w:t xml:space="preserve"> energizing the electrical service.</w:t>
      </w:r>
    </w:p>
    <w:p w:rsidR="0010554B" w:rsidP="00B12D36" w:rsidRDefault="0010554B" w14:paraId="00D22BE5" w14:textId="3040966A">
      <w:pPr>
        <w:pStyle w:val="ListParagraph"/>
        <w:numPr>
          <w:ilvl w:val="0"/>
          <w:numId w:val="4"/>
        </w:numPr>
        <w:spacing w:after="120" w:line="240" w:lineRule="auto"/>
        <w:contextualSpacing w:val="0"/>
      </w:pPr>
      <w:r>
        <w:t xml:space="preserve">The average, median, and standard deviation time </w:t>
      </w:r>
      <w:r w:rsidR="00713331">
        <w:t>(</w:t>
      </w:r>
      <w:r w:rsidR="7B2DC871">
        <w:t xml:space="preserve">in </w:t>
      </w:r>
      <w:r w:rsidR="00713331">
        <w:t xml:space="preserve">business days and calendar days) </w:t>
      </w:r>
      <w:r>
        <w:t>for each step of the energization process, both within and outside of the utility’s direct control.</w:t>
      </w:r>
      <w:r w:rsidR="009B0B80">
        <w:t xml:space="preserve"> </w:t>
      </w:r>
    </w:p>
    <w:p w:rsidR="009B0B80" w:rsidP="00B12D36" w:rsidRDefault="009B0B80" w14:paraId="67D83E4B" w14:textId="79590656">
      <w:pPr>
        <w:pStyle w:val="ListParagraph"/>
        <w:numPr>
          <w:ilvl w:val="1"/>
          <w:numId w:val="4"/>
        </w:numPr>
        <w:spacing w:after="0"/>
      </w:pPr>
      <w:r>
        <w:t>If applicable, identify the steps</w:t>
      </w:r>
      <w:r w:rsidR="00BE00FC">
        <w:t xml:space="preserve"> and the total timing</w:t>
      </w:r>
      <w:r>
        <w:t xml:space="preserve"> of the energization process that were performed concurrent</w:t>
      </w:r>
      <w:r w:rsidR="00BE00FC">
        <w:t xml:space="preserve">ly. </w:t>
      </w:r>
    </w:p>
    <w:p w:rsidR="0010554B" w:rsidP="00B12D36" w:rsidRDefault="0010554B" w14:paraId="19EAAF6F" w14:textId="6F2E5B69">
      <w:pPr>
        <w:pStyle w:val="ListParagraph"/>
        <w:numPr>
          <w:ilvl w:val="0"/>
          <w:numId w:val="4"/>
        </w:numPr>
        <w:spacing w:after="120" w:line="240" w:lineRule="auto"/>
        <w:contextualSpacing w:val="0"/>
      </w:pPr>
      <w:r>
        <w:t>The average, median, and standard deviation time</w:t>
      </w:r>
      <w:r w:rsidR="00713331">
        <w:t xml:space="preserve"> (</w:t>
      </w:r>
      <w:r w:rsidR="4DE45943">
        <w:t xml:space="preserve">in </w:t>
      </w:r>
      <w:r w:rsidR="00713331">
        <w:t>business days and calendar days)</w:t>
      </w:r>
      <w:r>
        <w:t xml:space="preserve"> for </w:t>
      </w:r>
      <w:r w:rsidR="451BE9B4">
        <w:t xml:space="preserve">each </w:t>
      </w:r>
      <w:r>
        <w:t>project with</w:t>
      </w:r>
      <w:r w:rsidR="00C56767">
        <w:t>in</w:t>
      </w:r>
      <w:r>
        <w:t xml:space="preserve"> the following capacity request categories: &lt;1MW, 1MW-2MW, &gt;2MW.</w:t>
      </w:r>
    </w:p>
    <w:p w:rsidR="00316EDC" w:rsidP="00B12D36" w:rsidRDefault="00316EDC" w14:paraId="735F91EA" w14:textId="45E3751F">
      <w:pPr>
        <w:pStyle w:val="ListParagraph"/>
        <w:numPr>
          <w:ilvl w:val="0"/>
          <w:numId w:val="4"/>
        </w:numPr>
        <w:spacing w:after="120" w:line="240" w:lineRule="auto"/>
        <w:contextualSpacing w:val="0"/>
      </w:pPr>
      <w:r>
        <w:t xml:space="preserve">The percentage of energization projects </w:t>
      </w:r>
      <w:r w:rsidR="00432A85">
        <w:t>deemed complete annually (Jan</w:t>
      </w:r>
      <w:r w:rsidR="00120023">
        <w:t>.</w:t>
      </w:r>
      <w:r w:rsidR="00432A85">
        <w:t xml:space="preserve"> 1 – Dec. 31).</w:t>
      </w:r>
    </w:p>
    <w:p w:rsidR="003E5C51" w:rsidP="00B12D36" w:rsidRDefault="003E5C51" w14:paraId="4CC4F43E" w14:textId="137F9A4A">
      <w:pPr>
        <w:pStyle w:val="ListParagraph"/>
        <w:numPr>
          <w:ilvl w:val="0"/>
          <w:numId w:val="4"/>
        </w:numPr>
        <w:spacing w:after="120" w:line="240" w:lineRule="auto"/>
        <w:contextualSpacing w:val="0"/>
      </w:pPr>
      <w:r>
        <w:t xml:space="preserve">The percentage of energization projects meeting </w:t>
      </w:r>
      <w:r w:rsidR="00120023">
        <w:t>the adopted average and maximum energization targets, annually (Jan. 1- Dec. 31)</w:t>
      </w:r>
    </w:p>
    <w:p w:rsidR="00CB70C9" w:rsidP="00B12D36" w:rsidRDefault="0010554B" w14:paraId="0F2A001A" w14:textId="423D71E6">
      <w:pPr>
        <w:pStyle w:val="ListParagraph"/>
        <w:numPr>
          <w:ilvl w:val="0"/>
          <w:numId w:val="4"/>
        </w:numPr>
        <w:spacing w:after="120" w:line="240" w:lineRule="auto"/>
        <w:contextualSpacing w:val="0"/>
      </w:pPr>
      <w:r>
        <w:t>Explanations for energization time periods that exceed the average and maximum energization targets.</w:t>
      </w:r>
    </w:p>
    <w:p w:rsidR="0010554B" w:rsidP="00B12D36" w:rsidRDefault="0010554B" w14:paraId="7EA84978" w14:textId="77777777">
      <w:pPr>
        <w:pStyle w:val="ListParagraph"/>
        <w:numPr>
          <w:ilvl w:val="0"/>
          <w:numId w:val="4"/>
        </w:numPr>
        <w:spacing w:after="120" w:line="240" w:lineRule="auto"/>
        <w:contextualSpacing w:val="0"/>
      </w:pPr>
      <w:r>
        <w:t>Constraints and obstacles to each type of energization, including funding limitations, qualified staffing availability, or equipment availability.</w:t>
      </w:r>
    </w:p>
    <w:p w:rsidR="0010554B" w:rsidP="00B12D36" w:rsidRDefault="0010554B" w14:paraId="191771E3" w14:textId="77777777">
      <w:pPr>
        <w:pStyle w:val="ListParagraph"/>
        <w:numPr>
          <w:ilvl w:val="0"/>
          <w:numId w:val="4"/>
        </w:numPr>
        <w:spacing w:after="120" w:line="240" w:lineRule="auto"/>
        <w:contextualSpacing w:val="0"/>
      </w:pPr>
      <w:r>
        <w:t>The total number of different end-use project types requesting service.</w:t>
      </w:r>
    </w:p>
    <w:p w:rsidR="0010554B" w:rsidP="00B12D36" w:rsidRDefault="0010554B" w14:paraId="3378DD85" w14:textId="15793904">
      <w:pPr>
        <w:pStyle w:val="ListParagraph"/>
        <w:numPr>
          <w:ilvl w:val="0"/>
          <w:numId w:val="4"/>
        </w:numPr>
        <w:spacing w:after="120" w:line="240" w:lineRule="auto"/>
        <w:contextualSpacing w:val="0"/>
      </w:pPr>
      <w:r>
        <w:t>If the energization project is located within a Disadvantage</w:t>
      </w:r>
      <w:r w:rsidR="00AB62B8">
        <w:t>d</w:t>
      </w:r>
      <w:r>
        <w:t xml:space="preserve"> Community, Underserved Community, </w:t>
      </w:r>
      <w:r w:rsidR="003E5C51">
        <w:t>and/</w:t>
      </w:r>
      <w:r>
        <w:t xml:space="preserve">or </w:t>
      </w:r>
      <w:r w:rsidR="003E5C51">
        <w:t>Tribal</w:t>
      </w:r>
      <w:r>
        <w:t xml:space="preserve"> Community.</w:t>
      </w:r>
    </w:p>
    <w:p w:rsidR="001E6EB6" w:rsidP="00B12D36" w:rsidRDefault="00B676E9" w14:paraId="013899E8" w14:textId="18AC9C77">
      <w:pPr>
        <w:keepNext/>
        <w:spacing w:before="240" w:after="120"/>
        <w:ind w:left="720" w:hanging="360"/>
        <w:rPr>
          <w:b/>
          <w:bCs/>
        </w:rPr>
      </w:pPr>
      <w:r>
        <w:rPr>
          <w:b/>
          <w:bCs/>
        </w:rPr>
        <w:t>General Data</w:t>
      </w:r>
    </w:p>
    <w:p w:rsidR="006F2C53" w:rsidP="00B12D36" w:rsidRDefault="00BC4248" w14:paraId="093B614E" w14:textId="2D23B522">
      <w:pPr>
        <w:pStyle w:val="ListParagraph"/>
        <w:numPr>
          <w:ilvl w:val="0"/>
          <w:numId w:val="4"/>
        </w:numPr>
        <w:spacing w:after="120" w:line="240" w:lineRule="auto"/>
        <w:contextualSpacing w:val="0"/>
      </w:pPr>
      <w:r>
        <w:t>T</w:t>
      </w:r>
      <w:r w:rsidR="006F2C53">
        <w:t>he total number of energization service requests received (annually), broken down by requested end-use (i.e., single-family residential, multi-unit dwelling, small commercial, electric vehicle charging, etc.)</w:t>
      </w:r>
      <w:r w:rsidR="001B376F">
        <w:t>.</w:t>
      </w:r>
    </w:p>
    <w:p w:rsidR="0038022D" w:rsidP="006D01AD" w:rsidRDefault="0038022D" w14:paraId="52FF68C9" w14:textId="6FD976E1">
      <w:pPr>
        <w:pStyle w:val="ListParagraph"/>
      </w:pPr>
      <w:r>
        <w:t>The total number of energization service requests that were approved to start the energization process (annually</w:t>
      </w:r>
      <w:r w:rsidR="00925681">
        <w:t>)</w:t>
      </w:r>
      <w:r w:rsidR="00FD08FD">
        <w:t>,</w:t>
      </w:r>
      <w:r w:rsidR="00925681">
        <w:t xml:space="preserve"> broken down by requested end-use (i.e., single-family residential, multi-unit dwelling, small commercial, electric vehicle charging, etc.).</w:t>
      </w:r>
    </w:p>
    <w:p w:rsidR="006F2C53" w:rsidP="00B12D36" w:rsidRDefault="006F2C53" w14:paraId="23F2CDC5" w14:textId="5C5CD7B6">
      <w:pPr>
        <w:pStyle w:val="ListParagraph"/>
        <w:numPr>
          <w:ilvl w:val="0"/>
          <w:numId w:val="4"/>
        </w:numPr>
        <w:spacing w:after="120" w:line="240" w:lineRule="auto"/>
        <w:contextualSpacing w:val="0"/>
      </w:pPr>
      <w:r>
        <w:t>The total number of energization projects that were completed</w:t>
      </w:r>
      <w:r w:rsidR="00F976AB">
        <w:t xml:space="preserve"> (annually), broken down by requested end-use (i.e., single-family residential, multi-unit dwelling, small commercial, electric vehicle charging, etc.)</w:t>
      </w:r>
      <w:r w:rsidR="001B376F">
        <w:t>.</w:t>
      </w:r>
    </w:p>
    <w:p w:rsidR="001F0AF9" w:rsidP="00B12D36" w:rsidRDefault="00DC04ED" w14:paraId="34416060" w14:textId="3BD73449">
      <w:pPr>
        <w:pStyle w:val="ListParagraph"/>
        <w:numPr>
          <w:ilvl w:val="0"/>
          <w:numId w:val="4"/>
        </w:numPr>
        <w:spacing w:after="120" w:line="240" w:lineRule="auto"/>
        <w:contextualSpacing w:val="0"/>
      </w:pPr>
      <w:r>
        <w:t>Total n</w:t>
      </w:r>
      <w:r w:rsidR="001F0AF9">
        <w:t>umber of applications that did not result in viable utility-side energization infrastructure deployments and why (description of why does not need to be per application, but a list of all reasons why in a given year)</w:t>
      </w:r>
      <w:r w:rsidR="00E315A9">
        <w:t>.</w:t>
      </w:r>
    </w:p>
    <w:p w:rsidR="003D1A10" w:rsidP="00B12D36" w:rsidRDefault="003D1A10" w14:paraId="056C915F" w14:textId="5D3AB534">
      <w:pPr>
        <w:pStyle w:val="ListParagraph"/>
        <w:numPr>
          <w:ilvl w:val="0"/>
          <w:numId w:val="4"/>
        </w:numPr>
        <w:spacing w:after="120" w:line="240" w:lineRule="auto"/>
        <w:contextualSpacing w:val="0"/>
      </w:pPr>
      <w:r>
        <w:t>On a per site/project basis, the total number of</w:t>
      </w:r>
      <w:r w:rsidR="00820D0D">
        <w:t xml:space="preserve"> days (business and calendar) </w:t>
      </w:r>
      <w:r>
        <w:t xml:space="preserve">between a customer’s service request and when the facility is energized, and the total number of days </w:t>
      </w:r>
      <w:r w:rsidR="00014FEC">
        <w:t xml:space="preserve">(business and calendar) </w:t>
      </w:r>
      <w:r>
        <w:t xml:space="preserve">for each step of the energization process as adopted in R.24-01-018, </w:t>
      </w:r>
      <w:r>
        <w:lastRenderedPageBreak/>
        <w:t>including description o</w:t>
      </w:r>
      <w:r w:rsidR="00DA0931">
        <w:t>f</w:t>
      </w:r>
      <w:r>
        <w:t xml:space="preserve"> the days in which the IOU is waiting for the AHJ, customer, or other non-utility responsibility.</w:t>
      </w:r>
    </w:p>
    <w:p w:rsidR="00357D6F" w:rsidP="00B22903" w:rsidRDefault="00357D6F" w14:paraId="1022A453" w14:textId="31CF8EB2">
      <w:pPr>
        <w:pStyle w:val="ListParagraph"/>
        <w:numPr>
          <w:ilvl w:val="1"/>
          <w:numId w:val="4"/>
        </w:numPr>
      </w:pPr>
      <w:r>
        <w:t>Where applicable, identify the steps</w:t>
      </w:r>
      <w:r w:rsidR="005F3B0F">
        <w:t xml:space="preserve"> that were performed concurrently,</w:t>
      </w:r>
      <w:r>
        <w:t xml:space="preserve"> and total time to complete </w:t>
      </w:r>
      <w:r w:rsidR="005F3B0F">
        <w:t>the step.</w:t>
      </w:r>
    </w:p>
    <w:p w:rsidR="00641F22" w:rsidP="00B12D36" w:rsidRDefault="00641F22" w14:paraId="3571C3FB" w14:textId="2179A5A5">
      <w:pPr>
        <w:pStyle w:val="ListParagraph"/>
        <w:numPr>
          <w:ilvl w:val="0"/>
          <w:numId w:val="4"/>
        </w:numPr>
        <w:spacing w:after="120" w:line="240" w:lineRule="auto"/>
        <w:contextualSpacing w:val="0"/>
      </w:pPr>
      <w:r>
        <w:t>On a per site/project basis, whether it is located in a disadvantaged community (DAC), another designated underserved community location (if so, which), or neither</w:t>
      </w:r>
      <w:r w:rsidR="00E315A9">
        <w:t>.</w:t>
      </w:r>
    </w:p>
    <w:p w:rsidR="00641F22" w:rsidP="00B12D36" w:rsidRDefault="00641F22" w14:paraId="6A8C6C63" w14:textId="701F5062">
      <w:pPr>
        <w:pStyle w:val="ListParagraph"/>
        <w:numPr>
          <w:ilvl w:val="0"/>
          <w:numId w:val="4"/>
        </w:numPr>
        <w:spacing w:after="120" w:line="240" w:lineRule="auto"/>
        <w:contextualSpacing w:val="0"/>
      </w:pPr>
      <w:r>
        <w:t>Identification of any constraints to infrastructure deployment including, but not limit</w:t>
      </w:r>
      <w:r w:rsidR="00CB1A71">
        <w:t>ed</w:t>
      </w:r>
      <w:r>
        <w:t xml:space="preserve"> to, materials, staffing, permitting, </w:t>
      </w:r>
      <w:r w:rsidR="00667B7E">
        <w:t xml:space="preserve">need for upstream distribution capacity upgrade, </w:t>
      </w:r>
      <w:r>
        <w:t>etc.</w:t>
      </w:r>
    </w:p>
    <w:p w:rsidR="006A11DE" w:rsidP="00B12D36" w:rsidRDefault="006A11DE" w14:paraId="635310F7" w14:textId="190419BC">
      <w:pPr>
        <w:pStyle w:val="ListParagraph"/>
        <w:numPr>
          <w:ilvl w:val="0"/>
          <w:numId w:val="4"/>
        </w:numPr>
        <w:spacing w:after="120" w:line="240" w:lineRule="auto"/>
        <w:contextualSpacing w:val="0"/>
      </w:pPr>
      <w:r>
        <w:t xml:space="preserve">Project specific data reflecting the timing for the utility to complete </w:t>
      </w:r>
      <w:r w:rsidR="005F1AA2">
        <w:t xml:space="preserve">the </w:t>
      </w:r>
      <w:r w:rsidR="000B144A">
        <w:t xml:space="preserve">eight </w:t>
      </w:r>
      <w:r>
        <w:t>step</w:t>
      </w:r>
      <w:r w:rsidR="005F1AA2">
        <w:t>s</w:t>
      </w:r>
      <w:r>
        <w:t xml:space="preserve"> of the energization process that are deemed to be within the utilities’ direct control.</w:t>
      </w:r>
    </w:p>
    <w:p w:rsidR="006A11DE" w:rsidP="00B12D36" w:rsidRDefault="006A11DE" w14:paraId="4719742C" w14:textId="5F705792">
      <w:pPr>
        <w:pStyle w:val="ListParagraph"/>
        <w:numPr>
          <w:ilvl w:val="0"/>
          <w:numId w:val="4"/>
        </w:numPr>
        <w:spacing w:after="120" w:line="240" w:lineRule="auto"/>
        <w:contextualSpacing w:val="0"/>
      </w:pPr>
      <w:r>
        <w:t>Project specific data reflecting the timing for the customer/third party, to complete each</w:t>
      </w:r>
      <w:r w:rsidR="00D016CC">
        <w:t xml:space="preserve"> of the </w:t>
      </w:r>
      <w:r w:rsidR="000B144A">
        <w:t xml:space="preserve">eight </w:t>
      </w:r>
      <w:r>
        <w:t>step</w:t>
      </w:r>
      <w:r w:rsidR="00D016CC">
        <w:t>s</w:t>
      </w:r>
      <w:r>
        <w:t xml:space="preserve"> of the energization process that are deemed to be outside of the utilities’ direct control.</w:t>
      </w:r>
    </w:p>
    <w:p w:rsidR="006A11DE" w:rsidP="00B12D36" w:rsidRDefault="006A11DE" w14:paraId="4D4CBBF5" w14:textId="6747855D">
      <w:pPr>
        <w:pStyle w:val="ListParagraph"/>
        <w:numPr>
          <w:ilvl w:val="0"/>
          <w:numId w:val="4"/>
        </w:numPr>
        <w:spacing w:after="120" w:line="240" w:lineRule="auto"/>
        <w:contextualSpacing w:val="0"/>
      </w:pPr>
      <w:r>
        <w:t>An aggregated summary of the average, standard deviation</w:t>
      </w:r>
      <w:r w:rsidR="15377547">
        <w:t>, and maximum</w:t>
      </w:r>
      <w:r>
        <w:t xml:space="preserve"> for the utility to complete each</w:t>
      </w:r>
      <w:r w:rsidR="004B2B92">
        <w:t xml:space="preserve"> of the </w:t>
      </w:r>
      <w:r w:rsidR="00AF2530">
        <w:t xml:space="preserve">eight </w:t>
      </w:r>
      <w:r>
        <w:t>step</w:t>
      </w:r>
      <w:r w:rsidR="004B2B92">
        <w:t>s</w:t>
      </w:r>
      <w:r>
        <w:t xml:space="preserve"> of the energization process that are deemed to be within the utilities’ direct control.</w:t>
      </w:r>
    </w:p>
    <w:p w:rsidR="006A11DE" w:rsidP="00B12D36" w:rsidRDefault="006A11DE" w14:paraId="13D380F8" w14:textId="3DD43958">
      <w:pPr>
        <w:pStyle w:val="ListParagraph"/>
        <w:numPr>
          <w:ilvl w:val="0"/>
          <w:numId w:val="4"/>
        </w:numPr>
        <w:spacing w:after="120" w:line="240" w:lineRule="auto"/>
        <w:contextualSpacing w:val="0"/>
      </w:pPr>
      <w:r>
        <w:t>An aggregated summary of the average, standard deviation</w:t>
      </w:r>
      <w:r w:rsidR="0CAB74C9">
        <w:t>, and maximum</w:t>
      </w:r>
      <w:r>
        <w:t xml:space="preserve"> for the customer/third party to complete each </w:t>
      </w:r>
      <w:r w:rsidR="004B2B92">
        <w:t xml:space="preserve">of the </w:t>
      </w:r>
      <w:r w:rsidR="00AF2530">
        <w:t xml:space="preserve">eight </w:t>
      </w:r>
      <w:r>
        <w:t>step</w:t>
      </w:r>
      <w:r w:rsidR="004B2B92">
        <w:t>s</w:t>
      </w:r>
      <w:r>
        <w:t xml:space="preserve"> of the energization process that are deemed to be outside of the utilities’ control. </w:t>
      </w:r>
    </w:p>
    <w:p w:rsidR="00F33E62" w:rsidP="00B12D36" w:rsidRDefault="00AF2530" w14:paraId="56611A9D" w14:textId="32E0CC7A">
      <w:pPr>
        <w:pStyle w:val="ListParagraph"/>
        <w:numPr>
          <w:ilvl w:val="0"/>
          <w:numId w:val="4"/>
        </w:numPr>
        <w:spacing w:after="120" w:line="240" w:lineRule="auto"/>
        <w:contextualSpacing w:val="0"/>
      </w:pPr>
      <w:r>
        <w:t xml:space="preserve">On a per site/project basis, the customer’s requested </w:t>
      </w:r>
      <w:r w:rsidR="00C328C8">
        <w:t>energization date</w:t>
      </w:r>
      <w:r w:rsidR="001404A5">
        <w:t xml:space="preserve"> at the time of </w:t>
      </w:r>
      <w:r w:rsidR="00F33E62">
        <w:t>the application’s approval.</w:t>
      </w:r>
    </w:p>
    <w:p w:rsidR="00F479E4" w:rsidP="00B12D36" w:rsidRDefault="1A43FC86" w14:paraId="317AAA31" w14:textId="7875C983">
      <w:pPr>
        <w:pStyle w:val="ListParagraph"/>
        <w:numPr>
          <w:ilvl w:val="0"/>
          <w:numId w:val="4"/>
        </w:numPr>
        <w:spacing w:after="120" w:line="240" w:lineRule="auto"/>
        <w:contextualSpacing w:val="0"/>
      </w:pPr>
      <w:r>
        <w:t xml:space="preserve">Explain any time </w:t>
      </w:r>
      <w:r w:rsidR="4A72B2DD">
        <w:t xml:space="preserve">the customer’s requested energization date </w:t>
      </w:r>
      <w:r w:rsidR="00F33E62">
        <w:t>change</w:t>
      </w:r>
      <w:r w:rsidR="69501661">
        <w:t xml:space="preserve">d </w:t>
      </w:r>
      <w:r w:rsidR="00FB1F5F">
        <w:t xml:space="preserve"> throughout the energization process</w:t>
      </w:r>
      <w:r w:rsidR="006D171C">
        <w:t xml:space="preserve">, </w:t>
      </w:r>
      <w:r w:rsidR="603F3087">
        <w:t xml:space="preserve">the difference between the customer’s requested energization date and the final energization date, </w:t>
      </w:r>
      <w:r w:rsidR="006D171C">
        <w:t xml:space="preserve">and </w:t>
      </w:r>
      <w:r w:rsidR="7345A156">
        <w:t>when</w:t>
      </w:r>
      <w:r w:rsidR="006D171C">
        <w:t xml:space="preserve"> available, an explanation for why the date was changed</w:t>
      </w:r>
      <w:r w:rsidR="00FB1F5F">
        <w:t>.</w:t>
      </w:r>
    </w:p>
    <w:p w:rsidR="00EB7DFB" w:rsidP="00B12D36" w:rsidRDefault="00EB7DFB" w14:paraId="2DCCAA7F" w14:textId="59C096E8">
      <w:pPr>
        <w:pStyle w:val="ListParagraph"/>
        <w:numPr>
          <w:ilvl w:val="0"/>
          <w:numId w:val="4"/>
        </w:numPr>
        <w:spacing w:after="120" w:line="240" w:lineRule="auto"/>
        <w:contextualSpacing w:val="0"/>
      </w:pPr>
      <w:r>
        <w:t xml:space="preserve">On a </w:t>
      </w:r>
      <w:r w:rsidR="00673BD0">
        <w:t>per site/</w:t>
      </w:r>
      <w:r>
        <w:t xml:space="preserve">project </w:t>
      </w:r>
      <w:r w:rsidR="00673BD0">
        <w:t>basis</w:t>
      </w:r>
      <w:r>
        <w:t>, t</w:t>
      </w:r>
      <w:r w:rsidR="006A11DE">
        <w:t xml:space="preserve">he total </w:t>
      </w:r>
      <w:r>
        <w:t xml:space="preserve">site </w:t>
      </w:r>
      <w:r w:rsidR="006A11DE">
        <w:t xml:space="preserve">capacity (kW) at the time of </w:t>
      </w:r>
      <w:r w:rsidR="41BB4EA6">
        <w:t>the customer’s</w:t>
      </w:r>
      <w:r>
        <w:t xml:space="preserve"> application for service</w:t>
      </w:r>
      <w:r w:rsidR="31F8875A">
        <w:t xml:space="preserve"> and the total site capacity (kW) requested as new or upgraded service</w:t>
      </w:r>
      <w:r w:rsidR="00B63CFE">
        <w:t>.</w:t>
      </w:r>
    </w:p>
    <w:p w:rsidR="00537FCC" w:rsidP="00AF2530" w:rsidRDefault="006A11DE" w14:paraId="21E48241" w14:textId="1CA351E1">
      <w:pPr>
        <w:pStyle w:val="ListParagraph"/>
        <w:numPr>
          <w:ilvl w:val="0"/>
          <w:numId w:val="4"/>
        </w:numPr>
      </w:pPr>
      <w:r>
        <w:t>On a per-site/project basis, how much, if any, additional capacity (kW) was installed for future electric load deployment</w:t>
      </w:r>
      <w:r w:rsidR="00B63CFE">
        <w:t>.</w:t>
      </w:r>
    </w:p>
    <w:p w:rsidR="0022176B" w:rsidP="00537FCC" w:rsidRDefault="39B77EAA" w14:paraId="777F6229" w14:textId="1E78BCE5">
      <w:pPr>
        <w:pStyle w:val="ListParagraph"/>
        <w:numPr>
          <w:ilvl w:val="0"/>
          <w:numId w:val="4"/>
        </w:numPr>
      </w:pPr>
      <w:r>
        <w:t xml:space="preserve">On a </w:t>
      </w:r>
      <w:r w:rsidR="14C07CA6">
        <w:t>p</w:t>
      </w:r>
      <w:r w:rsidR="00862CC5">
        <w:t xml:space="preserve">er site/project </w:t>
      </w:r>
      <w:r w:rsidR="311917FA">
        <w:t xml:space="preserve">basis, whether customers </w:t>
      </w:r>
      <w:r w:rsidR="00862CC5">
        <w:t>chose to install additional capacity to support the applicant’s anticipated future load growth</w:t>
      </w:r>
      <w:r w:rsidR="0C16C3F8">
        <w:t>. When feasible, provide</w:t>
      </w:r>
      <w:r w:rsidR="00862CC5">
        <w:t xml:space="preserve"> the timing for when the</w:t>
      </w:r>
      <w:r w:rsidR="4D724669">
        <w:t xml:space="preserve"> customer(s)</w:t>
      </w:r>
      <w:r w:rsidR="00862CC5">
        <w:t xml:space="preserve"> anticipate  the additional capacity</w:t>
      </w:r>
      <w:r w:rsidR="0E9AD9E7">
        <w:t xml:space="preserve"> to be necessary</w:t>
      </w:r>
      <w:r w:rsidR="00862CC5">
        <w:t xml:space="preserve">, </w:t>
      </w:r>
      <w:r w:rsidR="1008F9F5">
        <w:t xml:space="preserve">and </w:t>
      </w:r>
      <w:r w:rsidR="00862CC5">
        <w:t xml:space="preserve">the total additional kW capacity of </w:t>
      </w:r>
      <w:r w:rsidR="6F817F8E">
        <w:t xml:space="preserve">any necessary future </w:t>
      </w:r>
      <w:r w:rsidR="00862CC5">
        <w:t>upgrade, as listed on the customer’s application</w:t>
      </w:r>
      <w:r w:rsidR="3D972AE8">
        <w:t>.</w:t>
      </w:r>
      <w:r w:rsidR="00862CC5">
        <w:t xml:space="preserve"> </w:t>
      </w:r>
    </w:p>
    <w:p w:rsidR="0022176B" w:rsidP="00B12D36" w:rsidRDefault="0022176B" w14:paraId="15F1E340" w14:textId="13DD03DC">
      <w:pPr>
        <w:pStyle w:val="ListParagraph"/>
        <w:numPr>
          <w:ilvl w:val="0"/>
          <w:numId w:val="4"/>
        </w:numPr>
        <w:spacing w:after="120" w:line="240" w:lineRule="auto"/>
        <w:contextualSpacing w:val="0"/>
      </w:pPr>
      <w:r>
        <w:t xml:space="preserve">If full energization of the applicant’s site </w:t>
      </w:r>
      <w:r w:rsidR="5B26511C">
        <w:t>was</w:t>
      </w:r>
      <w:r>
        <w:t xml:space="preserve"> not feasible in a timely manner, </w:t>
      </w:r>
      <w:r w:rsidR="15268578">
        <w:t>explain whether any</w:t>
      </w:r>
      <w:r>
        <w:t xml:space="preserve"> load management or flexible service options were installed or utilized to provide the applicant with timely service.</w:t>
      </w:r>
    </w:p>
    <w:p w:rsidR="00A83F2A" w:rsidP="00B12D36" w:rsidRDefault="00A83F2A" w14:paraId="5499DBEB" w14:textId="7AA1C884">
      <w:pPr>
        <w:pStyle w:val="ListParagraph"/>
        <w:numPr>
          <w:ilvl w:val="0"/>
          <w:numId w:val="4"/>
        </w:numPr>
        <w:spacing w:after="120" w:line="240" w:lineRule="auto"/>
        <w:contextualSpacing w:val="0"/>
      </w:pPr>
      <w:r>
        <w:t xml:space="preserve">On a per site/project basis, the amount of load (kW) </w:t>
      </w:r>
      <w:r w:rsidR="76490F69">
        <w:t xml:space="preserve">that was </w:t>
      </w:r>
      <w:r>
        <w:t>provided to the applicant</w:t>
      </w:r>
      <w:r w:rsidR="13943ACC">
        <w:t xml:space="preserve"> using flexible service options</w:t>
      </w:r>
      <w:r>
        <w:t xml:space="preserve">, the remaining </w:t>
      </w:r>
      <w:r w:rsidR="260F7B34">
        <w:t>(or total)</w:t>
      </w:r>
      <w:r>
        <w:t xml:space="preserve"> load requested by the applicant, and an estimate for when full service will be provided to the applicant</w:t>
      </w:r>
      <w:r w:rsidR="00B63CFE">
        <w:t>.</w:t>
      </w:r>
    </w:p>
    <w:p w:rsidR="79529C02" w:rsidP="00B12D36" w:rsidRDefault="79529C02" w14:paraId="4DDF32F6" w14:textId="3DF58DFD">
      <w:pPr>
        <w:pStyle w:val="ListParagraph"/>
        <w:numPr>
          <w:ilvl w:val="0"/>
          <w:numId w:val="4"/>
        </w:numPr>
        <w:spacing w:after="120" w:line="240" w:lineRule="auto"/>
        <w:contextualSpacing w:val="0"/>
      </w:pPr>
      <w:r>
        <w:t xml:space="preserve">On a per site/project basis, for the 5% (or less) of projects that </w:t>
      </w:r>
      <w:r w:rsidR="0B8A0EBB">
        <w:t>exceed the maximum energization target within a 12-month period (Jan. 1 – Dec. 31</w:t>
      </w:r>
      <w:r w:rsidR="59E7B65A">
        <w:t>)</w:t>
      </w:r>
      <w:r w:rsidR="0B8A0EBB">
        <w:t xml:space="preserve">, provide </w:t>
      </w:r>
      <w:r w:rsidR="1E4BF258">
        <w:t>the requested end-use, capacity requested, location (to the circuit level)</w:t>
      </w:r>
      <w:r w:rsidR="7F4B74DF">
        <w:t xml:space="preserve">, </w:t>
      </w:r>
      <w:r w:rsidR="00C973B5">
        <w:t xml:space="preserve">application target date versus actual </w:t>
      </w:r>
      <w:r w:rsidR="00C973B5">
        <w:lastRenderedPageBreak/>
        <w:t>completion date,</w:t>
      </w:r>
      <w:r w:rsidR="7F4B74DF">
        <w:t xml:space="preserve"> an explanation of the delay (permitting challenges, etc.)</w:t>
      </w:r>
      <w:r w:rsidR="00C2566C">
        <w:t xml:space="preserve">, </w:t>
      </w:r>
      <w:r w:rsidR="00E668E3">
        <w:t xml:space="preserve">and </w:t>
      </w:r>
      <w:r w:rsidR="00730767">
        <w:t>alternat</w:t>
      </w:r>
      <w:r w:rsidR="006D38DD">
        <w:t>e approach</w:t>
      </w:r>
      <w:r w:rsidR="00730767">
        <w:t xml:space="preserve"> </w:t>
      </w:r>
      <w:r w:rsidR="00C2566C">
        <w:t>and</w:t>
      </w:r>
      <w:r w:rsidR="006D38DD">
        <w:t>/or</w:t>
      </w:r>
      <w:r w:rsidR="00C2566C">
        <w:t xml:space="preserve"> </w:t>
      </w:r>
      <w:r w:rsidR="00C357BC">
        <w:t xml:space="preserve">remedial </w:t>
      </w:r>
      <w:r w:rsidR="0030114B">
        <w:t>actions which can be implemented in future projects</w:t>
      </w:r>
      <w:r w:rsidR="0E135E51">
        <w:t>.</w:t>
      </w:r>
    </w:p>
    <w:p w:rsidR="00B676E9" w:rsidP="00B12D36" w:rsidRDefault="00B676E9" w14:paraId="264156E2" w14:textId="1858E634">
      <w:pPr>
        <w:keepNext/>
        <w:spacing w:before="240" w:after="120"/>
        <w:ind w:left="720" w:hanging="360"/>
        <w:rPr>
          <w:b/>
          <w:bCs/>
        </w:rPr>
      </w:pPr>
      <w:r>
        <w:rPr>
          <w:b/>
          <w:bCs/>
        </w:rPr>
        <w:t>Tariff Project Data</w:t>
      </w:r>
    </w:p>
    <w:p w:rsidR="00834649" w:rsidP="00B12D36" w:rsidRDefault="00AB6F0D" w14:paraId="0591AB98" w14:textId="2B966777">
      <w:pPr>
        <w:pStyle w:val="ListParagraph"/>
        <w:numPr>
          <w:ilvl w:val="0"/>
          <w:numId w:val="4"/>
        </w:numPr>
        <w:spacing w:after="120" w:line="240" w:lineRule="auto"/>
        <w:contextualSpacing w:val="0"/>
      </w:pPr>
      <w:r>
        <w:t xml:space="preserve">Total number of sites </w:t>
      </w:r>
      <w:r w:rsidR="02D03528">
        <w:t xml:space="preserve">requesting </w:t>
      </w:r>
      <w:r>
        <w:t>energization service through Electric Rule 16</w:t>
      </w:r>
      <w:r w:rsidR="00436AA2">
        <w:t xml:space="preserve"> (only)</w:t>
      </w:r>
      <w:r w:rsidR="00834649">
        <w:t>.</w:t>
      </w:r>
    </w:p>
    <w:p w:rsidR="00436AA2" w:rsidP="00B12D36" w:rsidRDefault="00834649" w14:paraId="6D3028A9" w14:textId="440C0F48">
      <w:pPr>
        <w:pStyle w:val="ListParagraph"/>
        <w:numPr>
          <w:ilvl w:val="0"/>
          <w:numId w:val="4"/>
        </w:numPr>
        <w:spacing w:after="120" w:line="240" w:lineRule="auto"/>
        <w:contextualSpacing w:val="0"/>
      </w:pPr>
      <w:r>
        <w:t>Total number of sites</w:t>
      </w:r>
      <w:r w:rsidR="00436AA2">
        <w:t xml:space="preserve"> </w:t>
      </w:r>
      <w:r w:rsidR="48C0D730">
        <w:t xml:space="preserve">requesting </w:t>
      </w:r>
      <w:r w:rsidR="00436AA2">
        <w:t xml:space="preserve">energization service through </w:t>
      </w:r>
      <w:r w:rsidR="00AB6F0D">
        <w:t>Electric Rule 29/45</w:t>
      </w:r>
      <w:r w:rsidR="00436AA2">
        <w:t xml:space="preserve"> (only)</w:t>
      </w:r>
      <w:r w:rsidR="00B63CFE">
        <w:t>.</w:t>
      </w:r>
    </w:p>
    <w:p w:rsidR="00D93F55" w:rsidP="00B12D36" w:rsidRDefault="00436AA2" w14:paraId="48147C28" w14:textId="1DB308D6">
      <w:pPr>
        <w:pStyle w:val="ListParagraph"/>
        <w:numPr>
          <w:ilvl w:val="0"/>
          <w:numId w:val="4"/>
        </w:numPr>
        <w:spacing w:after="120" w:line="240" w:lineRule="auto"/>
        <w:contextualSpacing w:val="0"/>
      </w:pPr>
      <w:r>
        <w:t xml:space="preserve">Total number of sites </w:t>
      </w:r>
      <w:r w:rsidR="3201AA28">
        <w:t xml:space="preserve">requesting </w:t>
      </w:r>
      <w:r>
        <w:t>energization service through Electric Rule 15 (only)</w:t>
      </w:r>
      <w:r w:rsidR="00B63CFE">
        <w:t>.</w:t>
      </w:r>
    </w:p>
    <w:p w:rsidR="00F34332" w:rsidP="00B12D36" w:rsidRDefault="00D93F55" w14:paraId="39714975" w14:textId="7866BEBF">
      <w:pPr>
        <w:pStyle w:val="ListParagraph"/>
        <w:numPr>
          <w:ilvl w:val="0"/>
          <w:numId w:val="4"/>
        </w:numPr>
        <w:spacing w:after="120" w:line="240" w:lineRule="auto"/>
        <w:contextualSpacing w:val="0"/>
      </w:pPr>
      <w:r>
        <w:t xml:space="preserve">Total number of sites </w:t>
      </w:r>
      <w:r w:rsidR="5294FF66">
        <w:t xml:space="preserve">requesting </w:t>
      </w:r>
      <w:r>
        <w:t xml:space="preserve">energization service through </w:t>
      </w:r>
      <w:r w:rsidR="00F72CC0">
        <w:t>both</w:t>
      </w:r>
      <w:r w:rsidR="00AB6F0D">
        <w:t xml:space="preserve"> Electric Rule 15</w:t>
      </w:r>
      <w:r w:rsidR="00F34332">
        <w:t xml:space="preserve"> and </w:t>
      </w:r>
      <w:r w:rsidR="00AB6F0D">
        <w:t>16</w:t>
      </w:r>
      <w:r w:rsidR="00B63CFE">
        <w:t>.</w:t>
      </w:r>
    </w:p>
    <w:p w:rsidR="00AB6F0D" w:rsidP="00B12D36" w:rsidRDefault="00F34332" w14:paraId="35C7B1D9" w14:textId="18B0B0C2">
      <w:pPr>
        <w:pStyle w:val="ListParagraph"/>
        <w:numPr>
          <w:ilvl w:val="0"/>
          <w:numId w:val="4"/>
        </w:numPr>
        <w:spacing w:after="120" w:line="240" w:lineRule="auto"/>
        <w:contextualSpacing w:val="0"/>
      </w:pPr>
      <w:r>
        <w:t xml:space="preserve">Total number of sites </w:t>
      </w:r>
      <w:r w:rsidR="00060F61">
        <w:t xml:space="preserve">requesting </w:t>
      </w:r>
      <w:r>
        <w:t>energization service through both</w:t>
      </w:r>
      <w:r w:rsidR="00E37262">
        <w:t xml:space="preserve"> Electric Rule</w:t>
      </w:r>
      <w:r w:rsidR="00AB6F0D">
        <w:t xml:space="preserve"> 15</w:t>
      </w:r>
      <w:r w:rsidR="00E37262">
        <w:t xml:space="preserve"> and </w:t>
      </w:r>
      <w:r w:rsidR="00AB6F0D">
        <w:t>29/45</w:t>
      </w:r>
      <w:r w:rsidR="00CD3DA3">
        <w:t>.</w:t>
      </w:r>
    </w:p>
    <w:p w:rsidR="008A030E" w:rsidP="00B12D36" w:rsidRDefault="00431429" w14:paraId="48FCE918" w14:textId="0E27017D">
      <w:pPr>
        <w:pStyle w:val="ListParagraph"/>
        <w:numPr>
          <w:ilvl w:val="0"/>
          <w:numId w:val="4"/>
        </w:numPr>
        <w:spacing w:after="120" w:line="240" w:lineRule="auto"/>
        <w:contextualSpacing w:val="0"/>
      </w:pPr>
      <w:r>
        <w:t xml:space="preserve">On a per site/project basis, </w:t>
      </w:r>
      <w:r w:rsidR="000D2ABB">
        <w:t xml:space="preserve">the timing between </w:t>
      </w:r>
      <w:r w:rsidR="00612E62">
        <w:t>identifying the need for a</w:t>
      </w:r>
      <w:r w:rsidR="00217037">
        <w:t>n Electric</w:t>
      </w:r>
      <w:r w:rsidR="00612E62">
        <w:t xml:space="preserve"> Rule </w:t>
      </w:r>
      <w:r w:rsidR="00217037">
        <w:t>15 upgrade and an Electric</w:t>
      </w:r>
      <w:r w:rsidR="0080376B">
        <w:t xml:space="preserve"> Rule 16/29/45 </w:t>
      </w:r>
      <w:r w:rsidR="00612E62">
        <w:t>upgrade</w:t>
      </w:r>
      <w:r w:rsidR="00B63CFE">
        <w:t>.</w:t>
      </w:r>
    </w:p>
    <w:p w:rsidR="00AF3465" w:rsidP="00B12D36" w:rsidRDefault="008A030E" w14:paraId="1A19FF29" w14:textId="5BFA1ACC">
      <w:pPr>
        <w:pStyle w:val="ListParagraph"/>
        <w:numPr>
          <w:ilvl w:val="0"/>
          <w:numId w:val="4"/>
        </w:numPr>
        <w:spacing w:after="120" w:line="240" w:lineRule="auto"/>
        <w:contextualSpacing w:val="0"/>
      </w:pPr>
      <w:r>
        <w:t xml:space="preserve">On a per site/project basis, the </w:t>
      </w:r>
      <w:r w:rsidR="00444563">
        <w:t xml:space="preserve">timing between when </w:t>
      </w:r>
      <w:r w:rsidR="229EF97A">
        <w:t xml:space="preserve">planning and </w:t>
      </w:r>
      <w:r w:rsidR="00A2638D">
        <w:t xml:space="preserve">construction </w:t>
      </w:r>
      <w:r w:rsidR="00444563">
        <w:t xml:space="preserve">work for an </w:t>
      </w:r>
      <w:r w:rsidR="00963611">
        <w:t xml:space="preserve">Electric Rule </w:t>
      </w:r>
      <w:r w:rsidR="00217037">
        <w:t xml:space="preserve">15 </w:t>
      </w:r>
      <w:r w:rsidR="00444563">
        <w:t xml:space="preserve">upgrade started and </w:t>
      </w:r>
      <w:r w:rsidR="00390AC8">
        <w:t xml:space="preserve">when </w:t>
      </w:r>
      <w:r w:rsidR="3392CA3E">
        <w:t xml:space="preserve">planning and </w:t>
      </w:r>
      <w:r w:rsidRPr="00A06E6C" w:rsidR="00A06E6C">
        <w:t xml:space="preserve">construction work for </w:t>
      </w:r>
      <w:r w:rsidR="00AF3465">
        <w:t xml:space="preserve">an </w:t>
      </w:r>
      <w:r w:rsidR="00963611">
        <w:t>Electric Rule 1</w:t>
      </w:r>
      <w:r w:rsidR="00217037">
        <w:t>6/29/45</w:t>
      </w:r>
      <w:r w:rsidR="00963611">
        <w:t xml:space="preserve"> </w:t>
      </w:r>
      <w:r w:rsidR="00AF3465">
        <w:t>upgrade started</w:t>
      </w:r>
      <w:r w:rsidR="00B63CFE">
        <w:t>.</w:t>
      </w:r>
    </w:p>
    <w:p w:rsidR="2E9F598A" w:rsidP="00B12D36" w:rsidRDefault="2E9F598A" w14:paraId="0E2BB19C" w14:textId="38A649DD">
      <w:pPr>
        <w:pStyle w:val="ListParagraph"/>
        <w:numPr>
          <w:ilvl w:val="0"/>
          <w:numId w:val="4"/>
        </w:numPr>
        <w:spacing w:after="120" w:line="240" w:lineRule="auto"/>
        <w:contextualSpacing w:val="0"/>
      </w:pPr>
      <w:r>
        <w:t>On a per site/project basis,</w:t>
      </w:r>
      <w:r w:rsidR="600F886A">
        <w:t xml:space="preserve"> for both Rule 15 and 16,</w:t>
      </w:r>
      <w:r>
        <w:t xml:space="preserve"> provide whether the customer elected to take on any typically IOU-completed scope and vice versa. </w:t>
      </w:r>
    </w:p>
    <w:p w:rsidRPr="00E331C9" w:rsidR="00431429" w:rsidP="00B12D36" w:rsidRDefault="00DF3D62" w14:paraId="35D6C59D" w14:textId="44F80590">
      <w:pPr>
        <w:pStyle w:val="ListParagraph"/>
        <w:numPr>
          <w:ilvl w:val="0"/>
          <w:numId w:val="4"/>
        </w:numPr>
        <w:spacing w:after="120" w:line="240" w:lineRule="auto"/>
        <w:contextualSpacing w:val="0"/>
      </w:pPr>
      <w:r>
        <w:t xml:space="preserve"> </w:t>
      </w:r>
      <w:r w:rsidR="00583C7B">
        <w:t>Please provide separate response</w:t>
      </w:r>
      <w:r w:rsidR="00BD7B1D">
        <w:t xml:space="preserve">s </w:t>
      </w:r>
      <w:r w:rsidRPr="00E331C9" w:rsidR="00BD7B1D">
        <w:t xml:space="preserve">for </w:t>
      </w:r>
      <w:r w:rsidRPr="004550A2" w:rsidR="00B85A56">
        <w:t xml:space="preserve">Questions </w:t>
      </w:r>
      <w:r w:rsidRPr="004550A2" w:rsidR="00E81701">
        <w:t>2</w:t>
      </w:r>
      <w:r w:rsidRPr="004550A2" w:rsidR="00E04E64">
        <w:t>8</w:t>
      </w:r>
      <w:r w:rsidRPr="004550A2" w:rsidR="00B85A56">
        <w:t xml:space="preserve"> through </w:t>
      </w:r>
      <w:r w:rsidRPr="004550A2" w:rsidR="00BE154B">
        <w:t>3</w:t>
      </w:r>
      <w:r w:rsidRPr="004550A2" w:rsidR="0078315C">
        <w:t>5</w:t>
      </w:r>
      <w:r w:rsidRPr="00E331C9" w:rsidR="00B85A56">
        <w:t xml:space="preserve"> </w:t>
      </w:r>
      <w:r w:rsidRPr="00E331C9" w:rsidR="00DA165E">
        <w:t xml:space="preserve">for overhead </w:t>
      </w:r>
      <w:r w:rsidRPr="00E331C9" w:rsidR="009223EC">
        <w:t>and underground projects.</w:t>
      </w:r>
      <w:r w:rsidRPr="00E331C9" w:rsidR="00B85A56">
        <w:t xml:space="preserve"> </w:t>
      </w:r>
    </w:p>
    <w:p w:rsidR="00A23723" w:rsidP="00B12D36" w:rsidRDefault="00A23723" w14:paraId="3A821A04" w14:textId="7857FAE9">
      <w:pPr>
        <w:pStyle w:val="ListParagraph"/>
        <w:numPr>
          <w:ilvl w:val="0"/>
          <w:numId w:val="4"/>
        </w:numPr>
        <w:spacing w:after="120" w:line="240" w:lineRule="auto"/>
        <w:contextualSpacing w:val="0"/>
      </w:pPr>
      <w:r>
        <w:t>O</w:t>
      </w:r>
      <w:r w:rsidR="00260C11">
        <w:t>n</w:t>
      </w:r>
      <w:r>
        <w:t xml:space="preserve"> a per site/project basis, whether any steps in the energization process were performed concurrently.</w:t>
      </w:r>
    </w:p>
    <w:p w:rsidR="00A23723" w:rsidP="00A23723" w:rsidRDefault="00A23723" w14:paraId="2687B9D8" w14:textId="06146437">
      <w:pPr>
        <w:pStyle w:val="ListParagraph"/>
        <w:numPr>
          <w:ilvl w:val="1"/>
          <w:numId w:val="4"/>
        </w:numPr>
      </w:pPr>
      <w:r>
        <w:t>I</w:t>
      </w:r>
      <w:r w:rsidR="6E93A656">
        <w:t>f so, i</w:t>
      </w:r>
      <w:r>
        <w:t>dentify</w:t>
      </w:r>
      <w:r w:rsidR="00B06A7E">
        <w:t xml:space="preserve"> </w:t>
      </w:r>
      <w:r w:rsidR="0D6EEECF">
        <w:t xml:space="preserve">which </w:t>
      </w:r>
      <w:r w:rsidR="00B06A7E">
        <w:t xml:space="preserve">steps </w:t>
      </w:r>
      <w:r w:rsidR="3C47ECDD">
        <w:t xml:space="preserve">occurred concurrently </w:t>
      </w:r>
      <w:r w:rsidR="00B06A7E">
        <w:t>and the tim</w:t>
      </w:r>
      <w:r w:rsidR="6FF0A613">
        <w:t>e necessary to complete</w:t>
      </w:r>
      <w:r w:rsidR="00B06A7E">
        <w:t xml:space="preserve"> the concurrent work.</w:t>
      </w:r>
    </w:p>
    <w:p w:rsidR="001D4B5E" w:rsidP="00B12D36" w:rsidRDefault="001D4B5E" w14:paraId="69AEA5CA" w14:textId="76172BA4">
      <w:pPr>
        <w:pStyle w:val="ListParagraph"/>
        <w:numPr>
          <w:ilvl w:val="0"/>
          <w:numId w:val="4"/>
        </w:numPr>
        <w:spacing w:after="120" w:line="240" w:lineRule="auto"/>
        <w:contextualSpacing w:val="0"/>
      </w:pPr>
      <w:r>
        <w:t>On a per site/project basis, whether the project was delayed due to a customer requested site design</w:t>
      </w:r>
      <w:r w:rsidR="001F354A">
        <w:t xml:space="preserve"> or change in project scope.</w:t>
      </w:r>
    </w:p>
    <w:p w:rsidR="00021020" w:rsidP="00021020" w:rsidRDefault="00F342CC" w14:paraId="75ABF8BF" w14:textId="09827337">
      <w:pPr>
        <w:pStyle w:val="ListParagraph"/>
        <w:numPr>
          <w:ilvl w:val="1"/>
          <w:numId w:val="4"/>
        </w:numPr>
      </w:pPr>
      <w:r>
        <w:t xml:space="preserve">Identify when in the energization process the </w:t>
      </w:r>
      <w:r w:rsidR="005339AE">
        <w:t>customer requested a change in the design or scope of the project</w:t>
      </w:r>
      <w:r w:rsidR="00526A52">
        <w:t>.</w:t>
      </w:r>
    </w:p>
    <w:p w:rsidR="00C87434" w:rsidP="00B12D36" w:rsidRDefault="00C87434" w14:paraId="517F15C9" w14:textId="0DDE93D6">
      <w:pPr>
        <w:pStyle w:val="ListParagraph"/>
        <w:numPr>
          <w:ilvl w:val="0"/>
          <w:numId w:val="4"/>
        </w:numPr>
        <w:spacing w:after="120" w:line="240" w:lineRule="auto"/>
        <w:contextualSpacing w:val="0"/>
      </w:pPr>
      <w:r>
        <w:t>On a per site/project basis, whether the project triggered the need for an upstream capacity project.</w:t>
      </w:r>
    </w:p>
    <w:p w:rsidR="00B428A1" w:rsidP="00B428A1" w:rsidRDefault="00B428A1" w14:paraId="6F2F5774" w14:textId="61785EC1">
      <w:pPr>
        <w:pStyle w:val="ListParagraph"/>
        <w:numPr>
          <w:ilvl w:val="1"/>
          <w:numId w:val="4"/>
        </w:numPr>
      </w:pPr>
      <w:r>
        <w:t>Note if the project was delayed or cancelled by the customer after the upstream capacity upgrade need was identified.</w:t>
      </w:r>
    </w:p>
    <w:p w:rsidR="00C52BB8" w:rsidP="00B12D36" w:rsidRDefault="00C52BB8" w14:paraId="7312FE8A" w14:textId="2652332D">
      <w:pPr>
        <w:pStyle w:val="ListParagraph"/>
        <w:numPr>
          <w:ilvl w:val="0"/>
          <w:numId w:val="4"/>
        </w:numPr>
        <w:spacing w:after="120" w:line="240" w:lineRule="auto"/>
        <w:contextualSpacing w:val="0"/>
      </w:pPr>
      <w:r>
        <w:t>On a per site/project basis</w:t>
      </w:r>
      <w:r w:rsidR="009F02B6">
        <w:t xml:space="preserve"> for all tariff projects, whether the site/project is located in a disadvantaged community (DAC</w:t>
      </w:r>
      <w:r w:rsidR="00940BBA">
        <w:t>), underserved community, and/or tribal community.</w:t>
      </w:r>
    </w:p>
    <w:p w:rsidR="00611D10" w:rsidP="00B12D36" w:rsidRDefault="00611D10" w14:paraId="14BA7AEC" w14:textId="77777777">
      <w:pPr>
        <w:pStyle w:val="ListParagraph"/>
        <w:numPr>
          <w:ilvl w:val="0"/>
          <w:numId w:val="4"/>
        </w:numPr>
        <w:spacing w:after="120" w:line="240" w:lineRule="auto"/>
        <w:contextualSpacing w:val="0"/>
      </w:pPr>
      <w:r>
        <w:t>Customer Desired Energization date broken down by customer type.</w:t>
      </w:r>
    </w:p>
    <w:p w:rsidR="00B676E9" w:rsidP="00B12D36" w:rsidRDefault="00B676E9" w14:paraId="510FF205" w14:textId="06DC2574">
      <w:pPr>
        <w:keepNext/>
        <w:spacing w:before="240" w:after="120"/>
        <w:ind w:left="720" w:hanging="360"/>
        <w:rPr>
          <w:b/>
          <w:bCs/>
        </w:rPr>
      </w:pPr>
      <w:r>
        <w:rPr>
          <w:b/>
          <w:bCs/>
        </w:rPr>
        <w:t>Non-Tariff Project Data</w:t>
      </w:r>
    </w:p>
    <w:p w:rsidRPr="00821666" w:rsidR="00CD3DA3" w:rsidP="00B12D36" w:rsidRDefault="00CD3DA3" w14:paraId="1C29A913" w14:textId="7BD81C5F">
      <w:pPr>
        <w:pStyle w:val="ListParagraph"/>
        <w:numPr>
          <w:ilvl w:val="0"/>
          <w:numId w:val="4"/>
        </w:numPr>
        <w:spacing w:after="120" w:line="240" w:lineRule="auto"/>
        <w:contextualSpacing w:val="0"/>
      </w:pPr>
      <w:r w:rsidRPr="00821666">
        <w:t xml:space="preserve">Total number of </w:t>
      </w:r>
      <w:r w:rsidR="00F53069">
        <w:t xml:space="preserve">main </w:t>
      </w:r>
      <w:r w:rsidRPr="00821666" w:rsidR="00813650">
        <w:t>p</w:t>
      </w:r>
      <w:r w:rsidRPr="00821666">
        <w:t xml:space="preserve">anel </w:t>
      </w:r>
      <w:r w:rsidRPr="00821666" w:rsidR="00813650">
        <w:t>u</w:t>
      </w:r>
      <w:r w:rsidRPr="00821666">
        <w:t>pgrades completed.</w:t>
      </w:r>
    </w:p>
    <w:p w:rsidR="00CD3DA3" w:rsidP="00B12D36" w:rsidRDefault="00CD3DA3" w14:paraId="2737C600" w14:textId="2B743224">
      <w:pPr>
        <w:pStyle w:val="ListParagraph"/>
        <w:numPr>
          <w:ilvl w:val="0"/>
          <w:numId w:val="4"/>
        </w:numPr>
        <w:spacing w:after="120" w:line="240" w:lineRule="auto"/>
        <w:contextualSpacing w:val="0"/>
      </w:pPr>
      <w:r w:rsidRPr="00063F29">
        <w:t xml:space="preserve">On a </w:t>
      </w:r>
      <w:r w:rsidR="009B1C75">
        <w:t>per site/</w:t>
      </w:r>
      <w:r w:rsidRPr="00063F29">
        <w:t>project</w:t>
      </w:r>
      <w:r w:rsidR="009B1C75">
        <w:t xml:space="preserve"> basis</w:t>
      </w:r>
      <w:r w:rsidRPr="00063F29">
        <w:t xml:space="preserve">, the size of the </w:t>
      </w:r>
      <w:r w:rsidR="009B1C75">
        <w:t>installed</w:t>
      </w:r>
      <w:r w:rsidR="00160174">
        <w:t xml:space="preserve"> main </w:t>
      </w:r>
      <w:r w:rsidRPr="00063F29" w:rsidR="005F0F67">
        <w:t>panel upgrade</w:t>
      </w:r>
      <w:r w:rsidR="00784F1B">
        <w:t xml:space="preserve"> (Amps)</w:t>
      </w:r>
      <w:r w:rsidR="00B63CFE">
        <w:t>.</w:t>
      </w:r>
    </w:p>
    <w:p w:rsidR="005F0F67" w:rsidP="00B12D36" w:rsidRDefault="000F1A18" w14:paraId="542E86BB" w14:textId="23B46BC4">
      <w:pPr>
        <w:pStyle w:val="ListParagraph"/>
        <w:numPr>
          <w:ilvl w:val="0"/>
          <w:numId w:val="4"/>
        </w:numPr>
        <w:spacing w:after="120" w:line="240" w:lineRule="auto"/>
        <w:contextualSpacing w:val="0"/>
      </w:pPr>
      <w:r>
        <w:t>On a per site/project basis, t</w:t>
      </w:r>
      <w:r w:rsidR="005F0F67">
        <w:t>he timing (business days</w:t>
      </w:r>
      <w:r w:rsidR="0087506F">
        <w:t xml:space="preserve"> and </w:t>
      </w:r>
      <w:r w:rsidR="00D41316">
        <w:t>calendar days</w:t>
      </w:r>
      <w:r w:rsidR="005F0F67">
        <w:t xml:space="preserve">) to complete </w:t>
      </w:r>
      <w:r>
        <w:t>a</w:t>
      </w:r>
      <w:r w:rsidR="00160174">
        <w:t xml:space="preserve"> main panel</w:t>
      </w:r>
      <w:r w:rsidR="00813650">
        <w:t xml:space="preserve"> upgrade</w:t>
      </w:r>
      <w:r w:rsidR="00B63CFE">
        <w:t>.</w:t>
      </w:r>
    </w:p>
    <w:p w:rsidR="009B1C75" w:rsidP="00B12D36" w:rsidRDefault="000F1A18" w14:paraId="7D319FBA" w14:textId="5B970C21">
      <w:pPr>
        <w:pStyle w:val="ListParagraph"/>
        <w:numPr>
          <w:ilvl w:val="0"/>
          <w:numId w:val="4"/>
        </w:numPr>
        <w:spacing w:after="120" w:line="240" w:lineRule="auto"/>
        <w:contextualSpacing w:val="0"/>
      </w:pPr>
      <w:r>
        <w:lastRenderedPageBreak/>
        <w:t xml:space="preserve">On a per site/project basis, whether the scheduled installation of a </w:t>
      </w:r>
      <w:r w:rsidR="00160174">
        <w:t xml:space="preserve">main </w:t>
      </w:r>
      <w:r>
        <w:t>panel upgrade was canceled and/or rescheduled</w:t>
      </w:r>
      <w:r w:rsidR="00B63CFE">
        <w:t>.</w:t>
      </w:r>
    </w:p>
    <w:p w:rsidR="00C4035F" w:rsidP="00B22903" w:rsidRDefault="00C4035F" w14:paraId="157549C9" w14:textId="75F6AE22">
      <w:pPr>
        <w:pStyle w:val="ListParagraph"/>
        <w:numPr>
          <w:ilvl w:val="1"/>
          <w:numId w:val="4"/>
        </w:numPr>
      </w:pPr>
      <w:r>
        <w:t xml:space="preserve">Provide a reason for why the </w:t>
      </w:r>
      <w:r w:rsidR="00755757">
        <w:t>upgrade was canceled and/or rescheduled.</w:t>
      </w:r>
    </w:p>
    <w:p w:rsidR="00C4035F" w:rsidP="00B12D36" w:rsidRDefault="000F1A18" w14:paraId="7538A9B1" w14:textId="4CB9243B">
      <w:pPr>
        <w:pStyle w:val="ListParagraph"/>
        <w:numPr>
          <w:ilvl w:val="0"/>
          <w:numId w:val="4"/>
        </w:numPr>
        <w:spacing w:after="120" w:line="240" w:lineRule="auto"/>
        <w:contextualSpacing w:val="0"/>
      </w:pPr>
      <w:r>
        <w:t>On a per site/project basis, the additional amount of time</w:t>
      </w:r>
      <w:r w:rsidR="00D41316">
        <w:t xml:space="preserve"> (business days and calendar days)</w:t>
      </w:r>
      <w:r>
        <w:t xml:space="preserve"> between the initial schedule to install a m</w:t>
      </w:r>
      <w:r w:rsidR="00160174">
        <w:t xml:space="preserve">ain </w:t>
      </w:r>
      <w:r>
        <w:t xml:space="preserve">panel upgrade and the rescheduled </w:t>
      </w:r>
      <w:r w:rsidR="00E34667">
        <w:t>dat</w:t>
      </w:r>
      <w:r w:rsidR="00D17E92">
        <w:t>e</w:t>
      </w:r>
      <w:r w:rsidR="00B63CFE">
        <w:t>.</w:t>
      </w:r>
    </w:p>
    <w:p w:rsidRPr="005F0F67" w:rsidR="00B51BAE" w:rsidP="00B12D36" w:rsidRDefault="00B51BAE" w14:paraId="22754F5F" w14:textId="08F2824C">
      <w:pPr>
        <w:pStyle w:val="ListParagraph"/>
        <w:numPr>
          <w:ilvl w:val="0"/>
          <w:numId w:val="4"/>
        </w:numPr>
        <w:spacing w:after="120" w:line="240" w:lineRule="auto"/>
        <w:contextualSpacing w:val="0"/>
      </w:pPr>
      <w:r>
        <w:t xml:space="preserve">On a per site/project basis, </w:t>
      </w:r>
      <w:r w:rsidR="00EC70D2">
        <w:t>whether the site/project is located in a disadvantage community (DAC), underserved community, and/or tribal community.</w:t>
      </w:r>
    </w:p>
    <w:p w:rsidR="00B676E9" w:rsidP="00B12D36" w:rsidRDefault="00B676E9" w14:paraId="7AFBF493" w14:textId="7C950CDA">
      <w:pPr>
        <w:keepNext/>
        <w:spacing w:before="240" w:after="120"/>
        <w:ind w:left="720" w:hanging="360"/>
        <w:rPr>
          <w:b/>
          <w:bCs/>
        </w:rPr>
      </w:pPr>
      <w:r>
        <w:rPr>
          <w:b/>
          <w:bCs/>
        </w:rPr>
        <w:t>Upstream Capacity Project Data</w:t>
      </w:r>
    </w:p>
    <w:p w:rsidR="006A11DE" w:rsidP="00B12D36" w:rsidRDefault="006A11DE" w14:paraId="1D5CAA10" w14:textId="55FD2177">
      <w:pPr>
        <w:pStyle w:val="ListParagraph"/>
        <w:numPr>
          <w:ilvl w:val="0"/>
          <w:numId w:val="4"/>
        </w:numPr>
        <w:spacing w:after="120" w:line="240" w:lineRule="auto"/>
        <w:contextualSpacing w:val="0"/>
      </w:pPr>
      <w:r>
        <w:t xml:space="preserve">Whether the site triggered an upstream capacity upgrade necessary </w:t>
      </w:r>
      <w:r w:rsidR="689D0913">
        <w:t>to meet the new or upgraded</w:t>
      </w:r>
      <w:r>
        <w:t xml:space="preserve"> </w:t>
      </w:r>
      <w:r w:rsidR="58332CC9">
        <w:t>customer</w:t>
      </w:r>
      <w:r>
        <w:t xml:space="preserve"> e</w:t>
      </w:r>
      <w:r w:rsidR="3D672500">
        <w:t>nergization request</w:t>
      </w:r>
      <w:r w:rsidR="00B44540">
        <w:t>.</w:t>
      </w:r>
    </w:p>
    <w:p w:rsidR="00D205A1" w:rsidP="00B12D36" w:rsidRDefault="00D205A1" w14:paraId="2D922A64" w14:textId="77777777">
      <w:pPr>
        <w:pStyle w:val="ListParagraph"/>
        <w:numPr>
          <w:ilvl w:val="0"/>
          <w:numId w:val="4"/>
        </w:numPr>
        <w:spacing w:after="120" w:line="240" w:lineRule="auto"/>
        <w:contextualSpacing w:val="0"/>
      </w:pPr>
      <w:r>
        <w:t>Customer Desired Energization date broken down by customer type.</w:t>
      </w:r>
    </w:p>
    <w:p w:rsidR="006A11DE" w:rsidDel="00CE1F60" w:rsidP="00B12D36" w:rsidRDefault="006A11DE" w14:paraId="2BA8B0CC" w14:textId="0E2B8CAC">
      <w:pPr>
        <w:keepNext/>
        <w:spacing w:before="240" w:after="120"/>
        <w:ind w:left="720" w:hanging="360"/>
        <w:rPr>
          <w:b/>
          <w:bCs/>
        </w:rPr>
      </w:pPr>
      <w:r w:rsidDel="00CE1F60">
        <w:rPr>
          <w:b/>
          <w:bCs/>
        </w:rPr>
        <w:t>Cost Data</w:t>
      </w:r>
    </w:p>
    <w:p w:rsidR="006A11DE" w:rsidDel="00CE1F60" w:rsidP="00B12D36" w:rsidRDefault="006A11DE" w14:paraId="04F900A3" w14:textId="1FC3E3BC">
      <w:pPr>
        <w:pStyle w:val="ListParagraph"/>
        <w:numPr>
          <w:ilvl w:val="0"/>
          <w:numId w:val="4"/>
        </w:numPr>
        <w:spacing w:after="120" w:line="240" w:lineRule="auto"/>
        <w:contextualSpacing w:val="0"/>
      </w:pPr>
      <w:r>
        <w:t xml:space="preserve">Total </w:t>
      </w:r>
      <w:r w:rsidR="00B86196">
        <w:t>staffing,</w:t>
      </w:r>
      <w:r>
        <w:t xml:space="preserve"> labor</w:t>
      </w:r>
      <w:r w:rsidR="00B86196">
        <w:t>,</w:t>
      </w:r>
      <w:r>
        <w:t xml:space="preserve"> and material costs </w:t>
      </w:r>
      <w:r w:rsidR="00021F41">
        <w:t xml:space="preserve">(capital and expense) </w:t>
      </w:r>
      <w:r>
        <w:t>on a per site/project basis</w:t>
      </w:r>
      <w:r w:rsidR="40CC9925">
        <w:t>, as defined by energization request type defined in Section 7</w:t>
      </w:r>
      <w:r w:rsidR="38A87620">
        <w:t xml:space="preserve">, Table 1 </w:t>
      </w:r>
      <w:r w:rsidR="40CC9925">
        <w:t xml:space="preserve">of this decision, </w:t>
      </w:r>
      <w:r w:rsidR="41AE44DD">
        <w:t xml:space="preserve">Average </w:t>
      </w:r>
      <w:r w:rsidR="40CC9925">
        <w:t>Energization Targets</w:t>
      </w:r>
      <w:r w:rsidR="34CA5682">
        <w:t xml:space="preserve"> effective September 2024</w:t>
      </w:r>
      <w:r w:rsidR="00B44540">
        <w:t>.</w:t>
      </w:r>
    </w:p>
    <w:p w:rsidR="006A11DE" w:rsidDel="00CE1F60" w:rsidP="00B12D36" w:rsidRDefault="006A11DE" w14:paraId="272FBDBD" w14:textId="49366BCD">
      <w:pPr>
        <w:pStyle w:val="ListParagraph"/>
        <w:numPr>
          <w:ilvl w:val="0"/>
          <w:numId w:val="4"/>
        </w:numPr>
        <w:spacing w:after="120" w:line="240" w:lineRule="auto"/>
        <w:contextualSpacing w:val="0"/>
      </w:pPr>
      <w:r w:rsidDel="00CE1F60">
        <w:t>Site/project specific costs</w:t>
      </w:r>
      <w:r w:rsidDel="00CE1F60" w:rsidR="00527516">
        <w:t xml:space="preserve"> (capital and expense)</w:t>
      </w:r>
      <w:r w:rsidDel="00CE1F60">
        <w:t xml:space="preserve"> broken out by all equipment the </w:t>
      </w:r>
      <w:r w:rsidR="000C0C63">
        <w:t>large electric IOU is responsible f</w:t>
      </w:r>
      <w:r w:rsidR="00B71343">
        <w:t xml:space="preserve">or covering </w:t>
      </w:r>
      <w:r w:rsidR="000312B9">
        <w:t xml:space="preserve">for </w:t>
      </w:r>
      <w:r w:rsidDel="00CE1F60">
        <w:t xml:space="preserve">each </w:t>
      </w:r>
      <w:r w:rsidR="00914006">
        <w:t xml:space="preserve">type of </w:t>
      </w:r>
      <w:r w:rsidDel="00CE1F60">
        <w:t>upstream capacity projects, Electric Rule 15, Electric Rule 16, and Electric Rule 29/45</w:t>
      </w:r>
      <w:r w:rsidR="00CC3196">
        <w:t xml:space="preserve">, and </w:t>
      </w:r>
      <w:r w:rsidR="00F53069">
        <w:t xml:space="preserve">main </w:t>
      </w:r>
      <w:r w:rsidR="00CC3196">
        <w:t>panel upgrade</w:t>
      </w:r>
      <w:r w:rsidDel="00CE1F60" w:rsidR="00B44540">
        <w:t>.</w:t>
      </w:r>
    </w:p>
    <w:p w:rsidR="006A11DE" w:rsidDel="00CE1F60" w:rsidP="00B12D36" w:rsidRDefault="006A11DE" w14:paraId="6D8ED3B3" w14:textId="47D261E0">
      <w:pPr>
        <w:pStyle w:val="ListParagraph"/>
        <w:numPr>
          <w:ilvl w:val="0"/>
          <w:numId w:val="4"/>
        </w:numPr>
        <w:spacing w:after="120" w:line="240" w:lineRule="auto"/>
        <w:contextualSpacing w:val="0"/>
      </w:pPr>
      <w:r w:rsidDel="00CE1F60">
        <w:t>Site-specific/project-specific costs</w:t>
      </w:r>
      <w:r w:rsidDel="00CE1F60" w:rsidR="00527516">
        <w:t xml:space="preserve"> (capital and expense)</w:t>
      </w:r>
      <w:r w:rsidDel="00CE1F60">
        <w:t xml:space="preserve"> for anything else the </w:t>
      </w:r>
      <w:r w:rsidR="00E6207F">
        <w:t xml:space="preserve">large electric IOU </w:t>
      </w:r>
      <w:r>
        <w:t>covers</w:t>
      </w:r>
      <w:r w:rsidR="00B44540">
        <w:t>.</w:t>
      </w:r>
    </w:p>
    <w:p w:rsidR="009E724F" w:rsidDel="00CE1F60" w:rsidP="00B12D36" w:rsidRDefault="009E724F" w14:paraId="0007B4DA" w14:textId="23576878">
      <w:pPr>
        <w:pStyle w:val="ListParagraph"/>
        <w:numPr>
          <w:ilvl w:val="1"/>
          <w:numId w:val="4"/>
        </w:numPr>
        <w:spacing w:after="120"/>
      </w:pPr>
      <w:r w:rsidDel="00CE1F60">
        <w:t>List out the</w:t>
      </w:r>
      <w:r w:rsidDel="00CE1F60" w:rsidR="00B66301">
        <w:t xml:space="preserve"> specific items </w:t>
      </w:r>
      <w:r w:rsidDel="00CE1F60" w:rsidR="007E12E6">
        <w:t>that are not</w:t>
      </w:r>
      <w:r w:rsidDel="00CE1F60" w:rsidR="00293079">
        <w:t xml:space="preserve"> explicitly</w:t>
      </w:r>
      <w:r w:rsidDel="00CE1F60" w:rsidR="007E12E6">
        <w:t xml:space="preserve"> scoped </w:t>
      </w:r>
      <w:r w:rsidDel="00CE1F60" w:rsidR="00293079">
        <w:t>as</w:t>
      </w:r>
      <w:r w:rsidDel="00CE1F60" w:rsidR="007E12E6">
        <w:t xml:space="preserve"> the </w:t>
      </w:r>
      <w:r w:rsidR="007D6182">
        <w:t>large electric IOU</w:t>
      </w:r>
      <w:r w:rsidDel="00CE1F60" w:rsidR="00293079">
        <w:t>-responsibility for Electric Rule 15/16/29/45.</w:t>
      </w:r>
    </w:p>
    <w:p w:rsidR="006A11DE" w:rsidDel="00CE1F60" w:rsidP="00B12D36" w:rsidRDefault="006A11DE" w14:paraId="197D261D" w14:textId="6271516A">
      <w:pPr>
        <w:pStyle w:val="ListParagraph"/>
        <w:numPr>
          <w:ilvl w:val="0"/>
          <w:numId w:val="4"/>
        </w:numPr>
        <w:spacing w:after="120" w:line="240" w:lineRule="auto"/>
        <w:contextualSpacing w:val="0"/>
      </w:pPr>
      <w:r w:rsidDel="00CE1F60">
        <w:t>Total construction and overhead costs for each site/project</w:t>
      </w:r>
      <w:r w:rsidDel="00CE1F60" w:rsidR="00B44540">
        <w:t>.</w:t>
      </w:r>
    </w:p>
    <w:p w:rsidR="0013071E" w:rsidDel="00CE1F60" w:rsidP="00B12D36" w:rsidRDefault="0013071E" w14:paraId="087D4696" w14:textId="050F047F">
      <w:pPr>
        <w:pStyle w:val="ListParagraph"/>
        <w:numPr>
          <w:ilvl w:val="0"/>
          <w:numId w:val="4"/>
        </w:numPr>
        <w:spacing w:after="120" w:line="240" w:lineRule="auto"/>
        <w:contextualSpacing w:val="0"/>
      </w:pPr>
      <w:r w:rsidDel="00CE1F60">
        <w:t>Total</w:t>
      </w:r>
      <w:r w:rsidDel="00CE1F60" w:rsidR="00E331C9">
        <w:t xml:space="preserve"> customer</w:t>
      </w:r>
      <w:r w:rsidDel="00CE1F60">
        <w:t xml:space="preserve"> allowance </w:t>
      </w:r>
      <w:r w:rsidDel="00CE1F60" w:rsidR="00E331C9">
        <w:t>cost for each site/project.</w:t>
      </w:r>
    </w:p>
    <w:p w:rsidR="00E331C9" w:rsidDel="00CE1F60" w:rsidP="004550A2" w:rsidRDefault="00E331C9" w14:paraId="7D7612A9" w14:textId="0C892811">
      <w:pPr>
        <w:pStyle w:val="ListParagraph"/>
        <w:numPr>
          <w:ilvl w:val="1"/>
          <w:numId w:val="4"/>
        </w:numPr>
      </w:pPr>
      <w:r w:rsidDel="00CE1F60">
        <w:t>Total cost exceeding customer allowance for each site/project</w:t>
      </w:r>
      <w:r w:rsidR="005B4129">
        <w:t>.</w:t>
      </w:r>
    </w:p>
    <w:p w:rsidR="006A11DE" w:rsidP="00B12D36" w:rsidRDefault="006A11DE" w14:paraId="2A529E49" w14:textId="56254DAF">
      <w:pPr>
        <w:pStyle w:val="ListParagraph"/>
        <w:numPr>
          <w:ilvl w:val="0"/>
          <w:numId w:val="4"/>
        </w:numPr>
        <w:spacing w:after="120" w:line="240" w:lineRule="auto"/>
        <w:contextualSpacing w:val="0"/>
      </w:pPr>
      <w:r w:rsidDel="00CE1F60">
        <w:t>Difference between the forecasted construction and overhead costs for each site/project and the actual costs at the time of energization.</w:t>
      </w:r>
    </w:p>
    <w:p w:rsidR="00B12D36" w:rsidP="00B12D36" w:rsidRDefault="00B12D36" w14:paraId="0DDCA01D" w14:textId="272AF7FF">
      <w:pPr>
        <w:pStyle w:val="ListParagraph"/>
        <w:numPr>
          <w:ilvl w:val="0"/>
          <w:numId w:val="4"/>
        </w:numPr>
        <w:spacing w:after="120" w:line="240" w:lineRule="auto"/>
        <w:contextualSpacing w:val="0"/>
      </w:pPr>
      <w:r w:rsidRPr="00B12D36">
        <w:t>Total cost associated with completing all energization requests (Electric Rules and upstream distribution capacity projects) annually (Jan. 1 – Dec. 31).</w:t>
      </w:r>
    </w:p>
    <w:p w:rsidR="00B12D36" w:rsidP="00B12D36" w:rsidRDefault="00B12D36" w14:paraId="781EF91D" w14:textId="30E1337C">
      <w:pPr>
        <w:jc w:val="center"/>
        <w:rPr>
          <w:rFonts w:ascii="Book Antiqua" w:hAnsi="Book Antiqua"/>
          <w:sz w:val="26"/>
          <w:szCs w:val="26"/>
        </w:rPr>
      </w:pPr>
    </w:p>
    <w:p w:rsidRPr="00B12D36" w:rsidR="00BE7549" w:rsidP="00B12D36" w:rsidRDefault="00BE7549" w14:paraId="6A1F8D20" w14:textId="77777777">
      <w:pPr>
        <w:jc w:val="center"/>
        <w:rPr>
          <w:rFonts w:ascii="Book Antiqua" w:hAnsi="Book Antiqua"/>
          <w:sz w:val="26"/>
          <w:szCs w:val="26"/>
        </w:rPr>
      </w:pPr>
    </w:p>
    <w:p w:rsidRPr="00BE7549" w:rsidR="00CF5B81" w:rsidP="00B12D36" w:rsidRDefault="00B12D36" w14:paraId="7EB9DCB4" w14:textId="60A54883">
      <w:pPr>
        <w:jc w:val="center"/>
        <w:rPr>
          <w:rFonts w:ascii="Book Antiqua" w:hAnsi="Book Antiqua"/>
          <w:b/>
          <w:bCs/>
          <w:sz w:val="26"/>
          <w:szCs w:val="26"/>
        </w:rPr>
      </w:pPr>
      <w:r w:rsidRPr="00BE7549">
        <w:rPr>
          <w:rFonts w:ascii="Book Antiqua" w:hAnsi="Book Antiqua"/>
          <w:b/>
          <w:bCs/>
          <w:sz w:val="26"/>
          <w:szCs w:val="26"/>
        </w:rPr>
        <w:t>(END OF APPENDIX B)</w:t>
      </w:r>
    </w:p>
    <w:sectPr w:rsidRPr="00BE7549" w:rsidR="00CF5B81" w:rsidSect="00A86907">
      <w:footerReference w:type="default" r:id="rId9"/>
      <w:pgSz w:w="12240" w:h="15840"/>
      <w:pgMar w:top="1728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45828" w14:textId="77777777" w:rsidR="00811138" w:rsidRDefault="00811138" w:rsidP="008E55DB">
      <w:pPr>
        <w:spacing w:after="0" w:line="240" w:lineRule="auto"/>
      </w:pPr>
      <w:r>
        <w:separator/>
      </w:r>
    </w:p>
  </w:endnote>
  <w:endnote w:type="continuationSeparator" w:id="0">
    <w:p w14:paraId="259A93D7" w14:textId="77777777" w:rsidR="00811138" w:rsidRDefault="00811138" w:rsidP="008E55DB">
      <w:pPr>
        <w:spacing w:after="0" w:line="240" w:lineRule="auto"/>
      </w:pPr>
      <w:r>
        <w:continuationSeparator/>
      </w:r>
    </w:p>
  </w:endnote>
  <w:endnote w:type="continuationNotice" w:id="1">
    <w:p w14:paraId="797F95AC" w14:textId="77777777" w:rsidR="00811138" w:rsidRDefault="008111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57DDB" w14:textId="74F2B9B4" w:rsidR="00A86907" w:rsidRPr="00A86907" w:rsidRDefault="00A86907" w:rsidP="00A86907">
    <w:pPr>
      <w:pStyle w:val="Footer"/>
      <w:jc w:val="center"/>
      <w:rPr>
        <w:rFonts w:ascii="Book Antiqua" w:hAnsi="Book Antiqua"/>
        <w:sz w:val="26"/>
        <w:szCs w:val="26"/>
      </w:rPr>
    </w:pPr>
    <w:r>
      <w:rPr>
        <w:rFonts w:ascii="Book Antiqua" w:hAnsi="Book Antiqua"/>
        <w:sz w:val="26"/>
        <w:szCs w:val="26"/>
      </w:rPr>
      <w:t>B-</w:t>
    </w:r>
    <w:r w:rsidRPr="00A86907">
      <w:rPr>
        <w:rFonts w:ascii="Book Antiqua" w:hAnsi="Book Antiqua"/>
        <w:sz w:val="26"/>
        <w:szCs w:val="26"/>
      </w:rPr>
      <w:fldChar w:fldCharType="begin"/>
    </w:r>
    <w:r w:rsidRPr="00A86907">
      <w:rPr>
        <w:rFonts w:ascii="Book Antiqua" w:hAnsi="Book Antiqua"/>
        <w:sz w:val="26"/>
        <w:szCs w:val="26"/>
      </w:rPr>
      <w:instrText xml:space="preserve"> PAGE   \* MERGEFORMAT </w:instrText>
    </w:r>
    <w:r w:rsidRPr="00A86907">
      <w:rPr>
        <w:rFonts w:ascii="Book Antiqua" w:hAnsi="Book Antiqua"/>
        <w:sz w:val="26"/>
        <w:szCs w:val="26"/>
      </w:rPr>
      <w:fldChar w:fldCharType="separate"/>
    </w:r>
    <w:r w:rsidRPr="00A86907">
      <w:rPr>
        <w:rFonts w:ascii="Book Antiqua" w:hAnsi="Book Antiqua"/>
        <w:noProof/>
        <w:sz w:val="26"/>
        <w:szCs w:val="26"/>
      </w:rPr>
      <w:t>1</w:t>
    </w:r>
    <w:r w:rsidRPr="00A86907">
      <w:rPr>
        <w:rFonts w:ascii="Book Antiqua" w:hAnsi="Book Antiqua"/>
        <w:noProof/>
        <w:sz w:val="26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582E0" w14:textId="77777777" w:rsidR="00811138" w:rsidRDefault="00811138" w:rsidP="008E55DB">
      <w:pPr>
        <w:spacing w:after="0" w:line="240" w:lineRule="auto"/>
      </w:pPr>
      <w:r>
        <w:separator/>
      </w:r>
    </w:p>
  </w:footnote>
  <w:footnote w:type="continuationSeparator" w:id="0">
    <w:p w14:paraId="6776695F" w14:textId="77777777" w:rsidR="00811138" w:rsidRDefault="00811138" w:rsidP="008E55DB">
      <w:pPr>
        <w:spacing w:after="0" w:line="240" w:lineRule="auto"/>
      </w:pPr>
      <w:r>
        <w:continuationSeparator/>
      </w:r>
    </w:p>
  </w:footnote>
  <w:footnote w:type="continuationNotice" w:id="1">
    <w:p w14:paraId="7B72D22B" w14:textId="77777777" w:rsidR="00811138" w:rsidRDefault="008111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4278F" w14:textId="5BF4C7E6" w:rsidR="00063F29" w:rsidRPr="00B12D36" w:rsidRDefault="00B12D36">
    <w:pPr>
      <w:pStyle w:val="Header"/>
      <w:rPr>
        <w:rFonts w:ascii="Book Antiqua" w:hAnsi="Book Antiqua"/>
        <w:sz w:val="26"/>
        <w:szCs w:val="26"/>
      </w:rPr>
    </w:pPr>
    <w:r w:rsidRPr="00B12D36">
      <w:rPr>
        <w:rFonts w:ascii="Book Antiqua" w:hAnsi="Book Antiqua"/>
        <w:sz w:val="26"/>
        <w:szCs w:val="26"/>
      </w:rPr>
      <w:t>R.24-01-018 COM/ARD/jnf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E7508"/>
    <w:multiLevelType w:val="hybridMultilevel"/>
    <w:tmpl w:val="FC1C4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A0458"/>
    <w:multiLevelType w:val="hybridMultilevel"/>
    <w:tmpl w:val="DACC5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A768B"/>
    <w:multiLevelType w:val="hybridMultilevel"/>
    <w:tmpl w:val="18F6F47A"/>
    <w:lvl w:ilvl="0" w:tplc="EFEA9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E71E1"/>
    <w:multiLevelType w:val="hybridMultilevel"/>
    <w:tmpl w:val="0AC0A70E"/>
    <w:lvl w:ilvl="0" w:tplc="3DA2C292">
      <w:start w:val="1"/>
      <w:numFmt w:val="decimal"/>
      <w:lvlText w:val="%1)"/>
      <w:lvlJc w:val="left"/>
      <w:pPr>
        <w:ind w:left="720" w:hanging="360"/>
      </w:pPr>
    </w:lvl>
    <w:lvl w:ilvl="1" w:tplc="0A141662">
      <w:start w:val="1"/>
      <w:numFmt w:val="lowerLetter"/>
      <w:lvlText w:val="%2."/>
      <w:lvlJc w:val="left"/>
      <w:pPr>
        <w:ind w:left="1440" w:hanging="360"/>
      </w:pPr>
    </w:lvl>
    <w:lvl w:ilvl="2" w:tplc="168C5C4A">
      <w:start w:val="1"/>
      <w:numFmt w:val="lowerRoman"/>
      <w:lvlText w:val="%3."/>
      <w:lvlJc w:val="right"/>
      <w:pPr>
        <w:ind w:left="2160" w:hanging="180"/>
      </w:pPr>
    </w:lvl>
    <w:lvl w:ilvl="3" w:tplc="DAC8CA72">
      <w:start w:val="1"/>
      <w:numFmt w:val="decimal"/>
      <w:lvlText w:val="%4."/>
      <w:lvlJc w:val="left"/>
      <w:pPr>
        <w:ind w:left="2880" w:hanging="360"/>
      </w:pPr>
    </w:lvl>
    <w:lvl w:ilvl="4" w:tplc="F6BE6946">
      <w:start w:val="1"/>
      <w:numFmt w:val="lowerLetter"/>
      <w:lvlText w:val="%5."/>
      <w:lvlJc w:val="left"/>
      <w:pPr>
        <w:ind w:left="3600" w:hanging="360"/>
      </w:pPr>
    </w:lvl>
    <w:lvl w:ilvl="5" w:tplc="14D0E08C">
      <w:start w:val="1"/>
      <w:numFmt w:val="lowerRoman"/>
      <w:lvlText w:val="%6."/>
      <w:lvlJc w:val="right"/>
      <w:pPr>
        <w:ind w:left="4320" w:hanging="180"/>
      </w:pPr>
    </w:lvl>
    <w:lvl w:ilvl="6" w:tplc="DE503300">
      <w:start w:val="1"/>
      <w:numFmt w:val="decimal"/>
      <w:lvlText w:val="%7."/>
      <w:lvlJc w:val="left"/>
      <w:pPr>
        <w:ind w:left="5040" w:hanging="360"/>
      </w:pPr>
    </w:lvl>
    <w:lvl w:ilvl="7" w:tplc="F798447C">
      <w:start w:val="1"/>
      <w:numFmt w:val="lowerLetter"/>
      <w:lvlText w:val="%8."/>
      <w:lvlJc w:val="left"/>
      <w:pPr>
        <w:ind w:left="5760" w:hanging="360"/>
      </w:pPr>
    </w:lvl>
    <w:lvl w:ilvl="8" w:tplc="D9E251E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32C53"/>
    <w:multiLevelType w:val="hybridMultilevel"/>
    <w:tmpl w:val="78665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901522">
    <w:abstractNumId w:val="3"/>
  </w:num>
  <w:num w:numId="2" w16cid:durableId="687759959">
    <w:abstractNumId w:val="4"/>
  </w:num>
  <w:num w:numId="3" w16cid:durableId="171723727">
    <w:abstractNumId w:val="1"/>
  </w:num>
  <w:num w:numId="4" w16cid:durableId="203790">
    <w:abstractNumId w:val="0"/>
  </w:num>
  <w:num w:numId="5" w16cid:durableId="1383138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5DB"/>
    <w:rsid w:val="000046AB"/>
    <w:rsid w:val="00014FEC"/>
    <w:rsid w:val="00021020"/>
    <w:rsid w:val="00021F41"/>
    <w:rsid w:val="00023DA9"/>
    <w:rsid w:val="00030C5A"/>
    <w:rsid w:val="000312B9"/>
    <w:rsid w:val="000359D6"/>
    <w:rsid w:val="00040128"/>
    <w:rsid w:val="00040B4B"/>
    <w:rsid w:val="00041CF7"/>
    <w:rsid w:val="00055BD5"/>
    <w:rsid w:val="00057D45"/>
    <w:rsid w:val="00060253"/>
    <w:rsid w:val="00060F61"/>
    <w:rsid w:val="00063F29"/>
    <w:rsid w:val="00065393"/>
    <w:rsid w:val="000664FB"/>
    <w:rsid w:val="00066D49"/>
    <w:rsid w:val="00067054"/>
    <w:rsid w:val="000707A8"/>
    <w:rsid w:val="00070AAF"/>
    <w:rsid w:val="0007173B"/>
    <w:rsid w:val="00073226"/>
    <w:rsid w:val="000743D1"/>
    <w:rsid w:val="00074890"/>
    <w:rsid w:val="00087114"/>
    <w:rsid w:val="0009065E"/>
    <w:rsid w:val="000942E0"/>
    <w:rsid w:val="000942F7"/>
    <w:rsid w:val="0009797B"/>
    <w:rsid w:val="000A250F"/>
    <w:rsid w:val="000A2F2E"/>
    <w:rsid w:val="000A5BA6"/>
    <w:rsid w:val="000B144A"/>
    <w:rsid w:val="000B294C"/>
    <w:rsid w:val="000B4DB1"/>
    <w:rsid w:val="000B6080"/>
    <w:rsid w:val="000C0C63"/>
    <w:rsid w:val="000C586E"/>
    <w:rsid w:val="000C79A1"/>
    <w:rsid w:val="000C7AD7"/>
    <w:rsid w:val="000D2ABB"/>
    <w:rsid w:val="000D638D"/>
    <w:rsid w:val="000F1A18"/>
    <w:rsid w:val="000F622F"/>
    <w:rsid w:val="000F763F"/>
    <w:rsid w:val="00101B21"/>
    <w:rsid w:val="00102950"/>
    <w:rsid w:val="00104F3C"/>
    <w:rsid w:val="0010554B"/>
    <w:rsid w:val="00106E30"/>
    <w:rsid w:val="00113AA8"/>
    <w:rsid w:val="00117C03"/>
    <w:rsid w:val="00120023"/>
    <w:rsid w:val="00123416"/>
    <w:rsid w:val="001256D7"/>
    <w:rsid w:val="0013071E"/>
    <w:rsid w:val="00131895"/>
    <w:rsid w:val="001319C5"/>
    <w:rsid w:val="00131FE1"/>
    <w:rsid w:val="0013565A"/>
    <w:rsid w:val="001404A5"/>
    <w:rsid w:val="00141B1F"/>
    <w:rsid w:val="00150A01"/>
    <w:rsid w:val="00160174"/>
    <w:rsid w:val="00161B0B"/>
    <w:rsid w:val="00167CF9"/>
    <w:rsid w:val="00172442"/>
    <w:rsid w:val="00173B52"/>
    <w:rsid w:val="001748B2"/>
    <w:rsid w:val="00175829"/>
    <w:rsid w:val="00177561"/>
    <w:rsid w:val="0018048F"/>
    <w:rsid w:val="00184476"/>
    <w:rsid w:val="00185227"/>
    <w:rsid w:val="0018713A"/>
    <w:rsid w:val="00192315"/>
    <w:rsid w:val="00192D8D"/>
    <w:rsid w:val="00193524"/>
    <w:rsid w:val="00194776"/>
    <w:rsid w:val="001972C7"/>
    <w:rsid w:val="001A2F8A"/>
    <w:rsid w:val="001A4981"/>
    <w:rsid w:val="001A5EB8"/>
    <w:rsid w:val="001A6254"/>
    <w:rsid w:val="001B02C5"/>
    <w:rsid w:val="001B2B51"/>
    <w:rsid w:val="001B376F"/>
    <w:rsid w:val="001B46F8"/>
    <w:rsid w:val="001D311F"/>
    <w:rsid w:val="001D4B5E"/>
    <w:rsid w:val="001D5EB5"/>
    <w:rsid w:val="001E0E27"/>
    <w:rsid w:val="001E6EB6"/>
    <w:rsid w:val="001E7797"/>
    <w:rsid w:val="001F0AF9"/>
    <w:rsid w:val="001F1532"/>
    <w:rsid w:val="001F354A"/>
    <w:rsid w:val="001F5E2A"/>
    <w:rsid w:val="001F5E7F"/>
    <w:rsid w:val="001F63E7"/>
    <w:rsid w:val="001F6A0B"/>
    <w:rsid w:val="00200B94"/>
    <w:rsid w:val="002022C2"/>
    <w:rsid w:val="002025D2"/>
    <w:rsid w:val="00205C4B"/>
    <w:rsid w:val="00206A2C"/>
    <w:rsid w:val="002104BD"/>
    <w:rsid w:val="00213B91"/>
    <w:rsid w:val="00213D34"/>
    <w:rsid w:val="00214E90"/>
    <w:rsid w:val="00217037"/>
    <w:rsid w:val="002214FD"/>
    <w:rsid w:val="0022176B"/>
    <w:rsid w:val="00223078"/>
    <w:rsid w:val="00226CA6"/>
    <w:rsid w:val="002331CB"/>
    <w:rsid w:val="002367E9"/>
    <w:rsid w:val="00241DD1"/>
    <w:rsid w:val="0024273C"/>
    <w:rsid w:val="00243046"/>
    <w:rsid w:val="00246848"/>
    <w:rsid w:val="00247714"/>
    <w:rsid w:val="002517E8"/>
    <w:rsid w:val="00260C11"/>
    <w:rsid w:val="00264278"/>
    <w:rsid w:val="002644CA"/>
    <w:rsid w:val="00280075"/>
    <w:rsid w:val="0028642F"/>
    <w:rsid w:val="00293079"/>
    <w:rsid w:val="00294953"/>
    <w:rsid w:val="0029572E"/>
    <w:rsid w:val="002A1E45"/>
    <w:rsid w:val="002A3171"/>
    <w:rsid w:val="002B02D6"/>
    <w:rsid w:val="002B7B33"/>
    <w:rsid w:val="002C061D"/>
    <w:rsid w:val="002C09C8"/>
    <w:rsid w:val="002C17A2"/>
    <w:rsid w:val="002C340F"/>
    <w:rsid w:val="002C51B8"/>
    <w:rsid w:val="002C758D"/>
    <w:rsid w:val="002D254C"/>
    <w:rsid w:val="002D2C84"/>
    <w:rsid w:val="002D376A"/>
    <w:rsid w:val="002D4415"/>
    <w:rsid w:val="002D5210"/>
    <w:rsid w:val="002F06E3"/>
    <w:rsid w:val="002F0E35"/>
    <w:rsid w:val="002F6C50"/>
    <w:rsid w:val="002F6F1F"/>
    <w:rsid w:val="002F767A"/>
    <w:rsid w:val="0030114B"/>
    <w:rsid w:val="0030480C"/>
    <w:rsid w:val="0030576D"/>
    <w:rsid w:val="00306726"/>
    <w:rsid w:val="00306DF9"/>
    <w:rsid w:val="00316EDC"/>
    <w:rsid w:val="00320945"/>
    <w:rsid w:val="00321C65"/>
    <w:rsid w:val="00324201"/>
    <w:rsid w:val="00324DC4"/>
    <w:rsid w:val="00326E06"/>
    <w:rsid w:val="0032738C"/>
    <w:rsid w:val="00330B8E"/>
    <w:rsid w:val="00330F6B"/>
    <w:rsid w:val="00340718"/>
    <w:rsid w:val="00341E88"/>
    <w:rsid w:val="00344F5D"/>
    <w:rsid w:val="0034517C"/>
    <w:rsid w:val="003478FF"/>
    <w:rsid w:val="00352CD7"/>
    <w:rsid w:val="00357D6F"/>
    <w:rsid w:val="00362692"/>
    <w:rsid w:val="00365638"/>
    <w:rsid w:val="00365858"/>
    <w:rsid w:val="0036619E"/>
    <w:rsid w:val="00366FB4"/>
    <w:rsid w:val="00372093"/>
    <w:rsid w:val="003766BD"/>
    <w:rsid w:val="00380088"/>
    <w:rsid w:val="0038022D"/>
    <w:rsid w:val="003822FE"/>
    <w:rsid w:val="003856E3"/>
    <w:rsid w:val="00385A7E"/>
    <w:rsid w:val="00390AC8"/>
    <w:rsid w:val="0039290A"/>
    <w:rsid w:val="003B6364"/>
    <w:rsid w:val="003B6DF4"/>
    <w:rsid w:val="003B700F"/>
    <w:rsid w:val="003C1B33"/>
    <w:rsid w:val="003C2F9E"/>
    <w:rsid w:val="003C4A71"/>
    <w:rsid w:val="003C4F23"/>
    <w:rsid w:val="003C6A14"/>
    <w:rsid w:val="003D1A10"/>
    <w:rsid w:val="003D3A7F"/>
    <w:rsid w:val="003D67D3"/>
    <w:rsid w:val="003E5C51"/>
    <w:rsid w:val="003E65E8"/>
    <w:rsid w:val="003F0AFC"/>
    <w:rsid w:val="003F2B34"/>
    <w:rsid w:val="00405378"/>
    <w:rsid w:val="004074DB"/>
    <w:rsid w:val="00414373"/>
    <w:rsid w:val="0041684B"/>
    <w:rsid w:val="00416DC2"/>
    <w:rsid w:val="004171F9"/>
    <w:rsid w:val="00420481"/>
    <w:rsid w:val="00431429"/>
    <w:rsid w:val="00432565"/>
    <w:rsid w:val="00432A85"/>
    <w:rsid w:val="00436AA2"/>
    <w:rsid w:val="00444563"/>
    <w:rsid w:val="00444FC1"/>
    <w:rsid w:val="004476BC"/>
    <w:rsid w:val="004550A2"/>
    <w:rsid w:val="00456CB0"/>
    <w:rsid w:val="0045731F"/>
    <w:rsid w:val="00460C37"/>
    <w:rsid w:val="00473793"/>
    <w:rsid w:val="00475735"/>
    <w:rsid w:val="004827D8"/>
    <w:rsid w:val="00487167"/>
    <w:rsid w:val="0049079C"/>
    <w:rsid w:val="0049212F"/>
    <w:rsid w:val="004949E0"/>
    <w:rsid w:val="00496405"/>
    <w:rsid w:val="004A26A1"/>
    <w:rsid w:val="004A40C7"/>
    <w:rsid w:val="004B0104"/>
    <w:rsid w:val="004B1E16"/>
    <w:rsid w:val="004B2B92"/>
    <w:rsid w:val="004B3EAF"/>
    <w:rsid w:val="004B7844"/>
    <w:rsid w:val="004C146B"/>
    <w:rsid w:val="004C6EBA"/>
    <w:rsid w:val="004D0843"/>
    <w:rsid w:val="004E4638"/>
    <w:rsid w:val="004E69ED"/>
    <w:rsid w:val="004F59F4"/>
    <w:rsid w:val="004F7BB2"/>
    <w:rsid w:val="00500E3D"/>
    <w:rsid w:val="0050118E"/>
    <w:rsid w:val="00501E1D"/>
    <w:rsid w:val="00506BDB"/>
    <w:rsid w:val="00506CA5"/>
    <w:rsid w:val="005125E8"/>
    <w:rsid w:val="0051282D"/>
    <w:rsid w:val="0051619F"/>
    <w:rsid w:val="005222F8"/>
    <w:rsid w:val="0052392A"/>
    <w:rsid w:val="005248D5"/>
    <w:rsid w:val="00524B81"/>
    <w:rsid w:val="00525253"/>
    <w:rsid w:val="00526A52"/>
    <w:rsid w:val="00527516"/>
    <w:rsid w:val="00530B0D"/>
    <w:rsid w:val="00530B4B"/>
    <w:rsid w:val="005339AE"/>
    <w:rsid w:val="00535998"/>
    <w:rsid w:val="00537FCC"/>
    <w:rsid w:val="00550640"/>
    <w:rsid w:val="0055281E"/>
    <w:rsid w:val="00554B36"/>
    <w:rsid w:val="00554F05"/>
    <w:rsid w:val="00555222"/>
    <w:rsid w:val="00557D63"/>
    <w:rsid w:val="00561B0A"/>
    <w:rsid w:val="005626EF"/>
    <w:rsid w:val="00565587"/>
    <w:rsid w:val="005661EA"/>
    <w:rsid w:val="005704CB"/>
    <w:rsid w:val="005745B6"/>
    <w:rsid w:val="005803AD"/>
    <w:rsid w:val="0058070B"/>
    <w:rsid w:val="005813D3"/>
    <w:rsid w:val="00583C7B"/>
    <w:rsid w:val="00597F4D"/>
    <w:rsid w:val="005A1300"/>
    <w:rsid w:val="005A28B8"/>
    <w:rsid w:val="005A4F70"/>
    <w:rsid w:val="005A72FB"/>
    <w:rsid w:val="005B1184"/>
    <w:rsid w:val="005B4129"/>
    <w:rsid w:val="005C5133"/>
    <w:rsid w:val="005D101C"/>
    <w:rsid w:val="005D3CBE"/>
    <w:rsid w:val="005D5723"/>
    <w:rsid w:val="005D5D3E"/>
    <w:rsid w:val="005E0125"/>
    <w:rsid w:val="005E0F07"/>
    <w:rsid w:val="005E37B5"/>
    <w:rsid w:val="005F05A5"/>
    <w:rsid w:val="005F0F67"/>
    <w:rsid w:val="005F1AA2"/>
    <w:rsid w:val="005F2922"/>
    <w:rsid w:val="005F3B0F"/>
    <w:rsid w:val="005F61BA"/>
    <w:rsid w:val="005F7DB6"/>
    <w:rsid w:val="00600CCB"/>
    <w:rsid w:val="0060252F"/>
    <w:rsid w:val="006064C0"/>
    <w:rsid w:val="00611D10"/>
    <w:rsid w:val="00611D8F"/>
    <w:rsid w:val="006127FE"/>
    <w:rsid w:val="00612E62"/>
    <w:rsid w:val="00612F42"/>
    <w:rsid w:val="0061758C"/>
    <w:rsid w:val="00622652"/>
    <w:rsid w:val="00622798"/>
    <w:rsid w:val="00623F05"/>
    <w:rsid w:val="00625263"/>
    <w:rsid w:val="00630891"/>
    <w:rsid w:val="00632318"/>
    <w:rsid w:val="0063316C"/>
    <w:rsid w:val="006332A4"/>
    <w:rsid w:val="0063430A"/>
    <w:rsid w:val="00640051"/>
    <w:rsid w:val="00641F22"/>
    <w:rsid w:val="00642F9E"/>
    <w:rsid w:val="00650428"/>
    <w:rsid w:val="00650DE6"/>
    <w:rsid w:val="00653413"/>
    <w:rsid w:val="00655ABC"/>
    <w:rsid w:val="0066213B"/>
    <w:rsid w:val="00667B7E"/>
    <w:rsid w:val="006705AE"/>
    <w:rsid w:val="00673BD0"/>
    <w:rsid w:val="0067567A"/>
    <w:rsid w:val="0068460B"/>
    <w:rsid w:val="0068485B"/>
    <w:rsid w:val="00686C37"/>
    <w:rsid w:val="006871CB"/>
    <w:rsid w:val="006955FC"/>
    <w:rsid w:val="006A11DE"/>
    <w:rsid w:val="006A7056"/>
    <w:rsid w:val="006A77CD"/>
    <w:rsid w:val="006B3020"/>
    <w:rsid w:val="006B3842"/>
    <w:rsid w:val="006C668E"/>
    <w:rsid w:val="006C74D5"/>
    <w:rsid w:val="006D01AD"/>
    <w:rsid w:val="006D171C"/>
    <w:rsid w:val="006D38DD"/>
    <w:rsid w:val="006D3AEA"/>
    <w:rsid w:val="006D3C9E"/>
    <w:rsid w:val="006F2C53"/>
    <w:rsid w:val="006F7848"/>
    <w:rsid w:val="0070023F"/>
    <w:rsid w:val="007023F9"/>
    <w:rsid w:val="00713331"/>
    <w:rsid w:val="00715D02"/>
    <w:rsid w:val="00716C67"/>
    <w:rsid w:val="00722904"/>
    <w:rsid w:val="0072390E"/>
    <w:rsid w:val="00723B24"/>
    <w:rsid w:val="0072511E"/>
    <w:rsid w:val="00730767"/>
    <w:rsid w:val="00731DB4"/>
    <w:rsid w:val="007372D2"/>
    <w:rsid w:val="00743061"/>
    <w:rsid w:val="007439C9"/>
    <w:rsid w:val="00747418"/>
    <w:rsid w:val="007508B2"/>
    <w:rsid w:val="007508CA"/>
    <w:rsid w:val="00755757"/>
    <w:rsid w:val="00760CDC"/>
    <w:rsid w:val="00763CAD"/>
    <w:rsid w:val="00772E5B"/>
    <w:rsid w:val="00781641"/>
    <w:rsid w:val="0078315C"/>
    <w:rsid w:val="00783D63"/>
    <w:rsid w:val="00784F1B"/>
    <w:rsid w:val="00786A90"/>
    <w:rsid w:val="00790E61"/>
    <w:rsid w:val="0079442F"/>
    <w:rsid w:val="00796032"/>
    <w:rsid w:val="007A59EF"/>
    <w:rsid w:val="007A6F40"/>
    <w:rsid w:val="007B53DE"/>
    <w:rsid w:val="007B7886"/>
    <w:rsid w:val="007B7F04"/>
    <w:rsid w:val="007C160B"/>
    <w:rsid w:val="007C3127"/>
    <w:rsid w:val="007C5DC3"/>
    <w:rsid w:val="007D1BBE"/>
    <w:rsid w:val="007D6182"/>
    <w:rsid w:val="007D6B9F"/>
    <w:rsid w:val="007E0360"/>
    <w:rsid w:val="007E12E6"/>
    <w:rsid w:val="007E40E7"/>
    <w:rsid w:val="007E4166"/>
    <w:rsid w:val="007E4580"/>
    <w:rsid w:val="007F45B6"/>
    <w:rsid w:val="00800F94"/>
    <w:rsid w:val="0080376B"/>
    <w:rsid w:val="00811138"/>
    <w:rsid w:val="00813650"/>
    <w:rsid w:val="00820D0D"/>
    <w:rsid w:val="00821564"/>
    <w:rsid w:val="00821666"/>
    <w:rsid w:val="00821D9B"/>
    <w:rsid w:val="008245C3"/>
    <w:rsid w:val="00833FF3"/>
    <w:rsid w:val="00834649"/>
    <w:rsid w:val="00835A9E"/>
    <w:rsid w:val="00837087"/>
    <w:rsid w:val="00837531"/>
    <w:rsid w:val="00840EB6"/>
    <w:rsid w:val="0084346C"/>
    <w:rsid w:val="00844185"/>
    <w:rsid w:val="00853CAB"/>
    <w:rsid w:val="00853D29"/>
    <w:rsid w:val="0085458C"/>
    <w:rsid w:val="0085465E"/>
    <w:rsid w:val="00856122"/>
    <w:rsid w:val="00857B5C"/>
    <w:rsid w:val="00861559"/>
    <w:rsid w:val="008626BB"/>
    <w:rsid w:val="00862CC5"/>
    <w:rsid w:val="00864288"/>
    <w:rsid w:val="008666B4"/>
    <w:rsid w:val="008676E0"/>
    <w:rsid w:val="00871F84"/>
    <w:rsid w:val="008722E9"/>
    <w:rsid w:val="0087506F"/>
    <w:rsid w:val="008815F7"/>
    <w:rsid w:val="00881DCC"/>
    <w:rsid w:val="0089274F"/>
    <w:rsid w:val="008937B5"/>
    <w:rsid w:val="008A030E"/>
    <w:rsid w:val="008A182F"/>
    <w:rsid w:val="008A4697"/>
    <w:rsid w:val="008A4E43"/>
    <w:rsid w:val="008A60BE"/>
    <w:rsid w:val="008B0580"/>
    <w:rsid w:val="008B4BC1"/>
    <w:rsid w:val="008B5F0B"/>
    <w:rsid w:val="008C0A6D"/>
    <w:rsid w:val="008C732E"/>
    <w:rsid w:val="008D22DA"/>
    <w:rsid w:val="008D596F"/>
    <w:rsid w:val="008E1E38"/>
    <w:rsid w:val="008E271F"/>
    <w:rsid w:val="008E3ECC"/>
    <w:rsid w:val="008E55DB"/>
    <w:rsid w:val="008E6B91"/>
    <w:rsid w:val="008E7714"/>
    <w:rsid w:val="008F24F2"/>
    <w:rsid w:val="008F27B0"/>
    <w:rsid w:val="008F746B"/>
    <w:rsid w:val="0090064F"/>
    <w:rsid w:val="009009C7"/>
    <w:rsid w:val="00900CB8"/>
    <w:rsid w:val="009012E2"/>
    <w:rsid w:val="00911148"/>
    <w:rsid w:val="00914006"/>
    <w:rsid w:val="00916167"/>
    <w:rsid w:val="00916626"/>
    <w:rsid w:val="009223EC"/>
    <w:rsid w:val="00923E77"/>
    <w:rsid w:val="00925681"/>
    <w:rsid w:val="009256AD"/>
    <w:rsid w:val="00926331"/>
    <w:rsid w:val="00926872"/>
    <w:rsid w:val="009320D0"/>
    <w:rsid w:val="00932258"/>
    <w:rsid w:val="00932908"/>
    <w:rsid w:val="00940BBA"/>
    <w:rsid w:val="00946266"/>
    <w:rsid w:val="00946EBB"/>
    <w:rsid w:val="00951B13"/>
    <w:rsid w:val="00960431"/>
    <w:rsid w:val="00962C45"/>
    <w:rsid w:val="00963611"/>
    <w:rsid w:val="009645AA"/>
    <w:rsid w:val="009655CE"/>
    <w:rsid w:val="009736BC"/>
    <w:rsid w:val="00975BB7"/>
    <w:rsid w:val="009823BE"/>
    <w:rsid w:val="00982A7D"/>
    <w:rsid w:val="00983D16"/>
    <w:rsid w:val="00983EAD"/>
    <w:rsid w:val="00991152"/>
    <w:rsid w:val="009939BE"/>
    <w:rsid w:val="009A226A"/>
    <w:rsid w:val="009A46F0"/>
    <w:rsid w:val="009A5017"/>
    <w:rsid w:val="009A55E5"/>
    <w:rsid w:val="009B0B80"/>
    <w:rsid w:val="009B1C75"/>
    <w:rsid w:val="009B5184"/>
    <w:rsid w:val="009B705D"/>
    <w:rsid w:val="009C49B3"/>
    <w:rsid w:val="009C5A80"/>
    <w:rsid w:val="009C66AF"/>
    <w:rsid w:val="009E1927"/>
    <w:rsid w:val="009E28BA"/>
    <w:rsid w:val="009E4228"/>
    <w:rsid w:val="009E724F"/>
    <w:rsid w:val="009F02B6"/>
    <w:rsid w:val="009F1A10"/>
    <w:rsid w:val="009F2F1D"/>
    <w:rsid w:val="00A05536"/>
    <w:rsid w:val="00A06211"/>
    <w:rsid w:val="00A06E6C"/>
    <w:rsid w:val="00A07DEF"/>
    <w:rsid w:val="00A13557"/>
    <w:rsid w:val="00A13578"/>
    <w:rsid w:val="00A17830"/>
    <w:rsid w:val="00A20241"/>
    <w:rsid w:val="00A22A94"/>
    <w:rsid w:val="00A23723"/>
    <w:rsid w:val="00A23F19"/>
    <w:rsid w:val="00A25B74"/>
    <w:rsid w:val="00A2638D"/>
    <w:rsid w:val="00A26AC3"/>
    <w:rsid w:val="00A31D72"/>
    <w:rsid w:val="00A33D14"/>
    <w:rsid w:val="00A34C3C"/>
    <w:rsid w:val="00A4161A"/>
    <w:rsid w:val="00A56C3F"/>
    <w:rsid w:val="00A60274"/>
    <w:rsid w:val="00A63421"/>
    <w:rsid w:val="00A67A9A"/>
    <w:rsid w:val="00A729AC"/>
    <w:rsid w:val="00A73A01"/>
    <w:rsid w:val="00A76446"/>
    <w:rsid w:val="00A83F2A"/>
    <w:rsid w:val="00A85816"/>
    <w:rsid w:val="00A86907"/>
    <w:rsid w:val="00A92B74"/>
    <w:rsid w:val="00A93D71"/>
    <w:rsid w:val="00A94C51"/>
    <w:rsid w:val="00A94FAD"/>
    <w:rsid w:val="00AA0626"/>
    <w:rsid w:val="00AA0BEE"/>
    <w:rsid w:val="00AA3BAC"/>
    <w:rsid w:val="00AB12B9"/>
    <w:rsid w:val="00AB2CC8"/>
    <w:rsid w:val="00AB31C3"/>
    <w:rsid w:val="00AB5220"/>
    <w:rsid w:val="00AB62B8"/>
    <w:rsid w:val="00AB6F0D"/>
    <w:rsid w:val="00AB7033"/>
    <w:rsid w:val="00AC42F2"/>
    <w:rsid w:val="00AD2096"/>
    <w:rsid w:val="00AD216B"/>
    <w:rsid w:val="00AD2AFF"/>
    <w:rsid w:val="00AD4D07"/>
    <w:rsid w:val="00AE4DA9"/>
    <w:rsid w:val="00AF2530"/>
    <w:rsid w:val="00AF2B90"/>
    <w:rsid w:val="00AF3465"/>
    <w:rsid w:val="00AF4257"/>
    <w:rsid w:val="00AF5D60"/>
    <w:rsid w:val="00AF7470"/>
    <w:rsid w:val="00B002F0"/>
    <w:rsid w:val="00B016E6"/>
    <w:rsid w:val="00B06A7E"/>
    <w:rsid w:val="00B07131"/>
    <w:rsid w:val="00B0759E"/>
    <w:rsid w:val="00B12AAC"/>
    <w:rsid w:val="00B12D36"/>
    <w:rsid w:val="00B13786"/>
    <w:rsid w:val="00B161B1"/>
    <w:rsid w:val="00B21AE9"/>
    <w:rsid w:val="00B22903"/>
    <w:rsid w:val="00B3410E"/>
    <w:rsid w:val="00B428A1"/>
    <w:rsid w:val="00B435B1"/>
    <w:rsid w:val="00B43FA7"/>
    <w:rsid w:val="00B44540"/>
    <w:rsid w:val="00B469F8"/>
    <w:rsid w:val="00B470AB"/>
    <w:rsid w:val="00B47E1C"/>
    <w:rsid w:val="00B51BAE"/>
    <w:rsid w:val="00B539CA"/>
    <w:rsid w:val="00B60820"/>
    <w:rsid w:val="00B63CFE"/>
    <w:rsid w:val="00B66301"/>
    <w:rsid w:val="00B668A2"/>
    <w:rsid w:val="00B676E9"/>
    <w:rsid w:val="00B70961"/>
    <w:rsid w:val="00B71343"/>
    <w:rsid w:val="00B71F8E"/>
    <w:rsid w:val="00B7327B"/>
    <w:rsid w:val="00B77F7C"/>
    <w:rsid w:val="00B847A8"/>
    <w:rsid w:val="00B85A56"/>
    <w:rsid w:val="00B86196"/>
    <w:rsid w:val="00B9346A"/>
    <w:rsid w:val="00B97E23"/>
    <w:rsid w:val="00BA298F"/>
    <w:rsid w:val="00BA617D"/>
    <w:rsid w:val="00BB02C3"/>
    <w:rsid w:val="00BB0749"/>
    <w:rsid w:val="00BB6EAB"/>
    <w:rsid w:val="00BC4248"/>
    <w:rsid w:val="00BC64D8"/>
    <w:rsid w:val="00BD224C"/>
    <w:rsid w:val="00BD5D61"/>
    <w:rsid w:val="00BD7B1D"/>
    <w:rsid w:val="00BE00FC"/>
    <w:rsid w:val="00BE146D"/>
    <w:rsid w:val="00BE154B"/>
    <w:rsid w:val="00BE5210"/>
    <w:rsid w:val="00BE7549"/>
    <w:rsid w:val="00BF1462"/>
    <w:rsid w:val="00BF2BF8"/>
    <w:rsid w:val="00BF3CA1"/>
    <w:rsid w:val="00BF5A80"/>
    <w:rsid w:val="00BF69FA"/>
    <w:rsid w:val="00C00BE7"/>
    <w:rsid w:val="00C168D5"/>
    <w:rsid w:val="00C178E1"/>
    <w:rsid w:val="00C21331"/>
    <w:rsid w:val="00C225F7"/>
    <w:rsid w:val="00C24E27"/>
    <w:rsid w:val="00C2566C"/>
    <w:rsid w:val="00C258A7"/>
    <w:rsid w:val="00C30084"/>
    <w:rsid w:val="00C328C8"/>
    <w:rsid w:val="00C342B7"/>
    <w:rsid w:val="00C357BC"/>
    <w:rsid w:val="00C361D9"/>
    <w:rsid w:val="00C4035F"/>
    <w:rsid w:val="00C41838"/>
    <w:rsid w:val="00C51600"/>
    <w:rsid w:val="00C52BB8"/>
    <w:rsid w:val="00C541D8"/>
    <w:rsid w:val="00C55E87"/>
    <w:rsid w:val="00C55FDF"/>
    <w:rsid w:val="00C56767"/>
    <w:rsid w:val="00C579DB"/>
    <w:rsid w:val="00C605FB"/>
    <w:rsid w:val="00C64290"/>
    <w:rsid w:val="00C645D6"/>
    <w:rsid w:val="00C7233A"/>
    <w:rsid w:val="00C7599B"/>
    <w:rsid w:val="00C76802"/>
    <w:rsid w:val="00C77B4C"/>
    <w:rsid w:val="00C87434"/>
    <w:rsid w:val="00C91DA3"/>
    <w:rsid w:val="00C9489C"/>
    <w:rsid w:val="00C9552F"/>
    <w:rsid w:val="00C973B5"/>
    <w:rsid w:val="00C97A22"/>
    <w:rsid w:val="00CA2F48"/>
    <w:rsid w:val="00CA300D"/>
    <w:rsid w:val="00CA302B"/>
    <w:rsid w:val="00CA5691"/>
    <w:rsid w:val="00CB0C0C"/>
    <w:rsid w:val="00CB1A71"/>
    <w:rsid w:val="00CB65D3"/>
    <w:rsid w:val="00CB6AAE"/>
    <w:rsid w:val="00CB6DE8"/>
    <w:rsid w:val="00CB70C9"/>
    <w:rsid w:val="00CC3196"/>
    <w:rsid w:val="00CC39A8"/>
    <w:rsid w:val="00CC4D5D"/>
    <w:rsid w:val="00CD0C0E"/>
    <w:rsid w:val="00CD2A70"/>
    <w:rsid w:val="00CD3DA3"/>
    <w:rsid w:val="00CE1F60"/>
    <w:rsid w:val="00CF076C"/>
    <w:rsid w:val="00CF5B24"/>
    <w:rsid w:val="00CF5B81"/>
    <w:rsid w:val="00CF7EC9"/>
    <w:rsid w:val="00D00979"/>
    <w:rsid w:val="00D016CC"/>
    <w:rsid w:val="00D06F9B"/>
    <w:rsid w:val="00D17E92"/>
    <w:rsid w:val="00D205A1"/>
    <w:rsid w:val="00D20739"/>
    <w:rsid w:val="00D236CB"/>
    <w:rsid w:val="00D25A2D"/>
    <w:rsid w:val="00D32DF0"/>
    <w:rsid w:val="00D41316"/>
    <w:rsid w:val="00D43DCB"/>
    <w:rsid w:val="00D4471B"/>
    <w:rsid w:val="00D558F3"/>
    <w:rsid w:val="00D576BD"/>
    <w:rsid w:val="00D62364"/>
    <w:rsid w:val="00D706AA"/>
    <w:rsid w:val="00D737A6"/>
    <w:rsid w:val="00D740E8"/>
    <w:rsid w:val="00D74924"/>
    <w:rsid w:val="00D762CB"/>
    <w:rsid w:val="00D769EF"/>
    <w:rsid w:val="00D774D1"/>
    <w:rsid w:val="00D81202"/>
    <w:rsid w:val="00D867C4"/>
    <w:rsid w:val="00D87F61"/>
    <w:rsid w:val="00D92F7E"/>
    <w:rsid w:val="00D93F55"/>
    <w:rsid w:val="00D94858"/>
    <w:rsid w:val="00D94BA8"/>
    <w:rsid w:val="00D9532E"/>
    <w:rsid w:val="00D974BE"/>
    <w:rsid w:val="00DA0931"/>
    <w:rsid w:val="00DA1106"/>
    <w:rsid w:val="00DA165E"/>
    <w:rsid w:val="00DA24DA"/>
    <w:rsid w:val="00DA75FA"/>
    <w:rsid w:val="00DC04ED"/>
    <w:rsid w:val="00DC20A3"/>
    <w:rsid w:val="00DC2D9B"/>
    <w:rsid w:val="00DC362A"/>
    <w:rsid w:val="00DC478B"/>
    <w:rsid w:val="00DC4F78"/>
    <w:rsid w:val="00DC7026"/>
    <w:rsid w:val="00DD0265"/>
    <w:rsid w:val="00DD1B74"/>
    <w:rsid w:val="00DD6DA2"/>
    <w:rsid w:val="00DE08D7"/>
    <w:rsid w:val="00DE2B42"/>
    <w:rsid w:val="00DE2DD9"/>
    <w:rsid w:val="00DE47EB"/>
    <w:rsid w:val="00DE4A94"/>
    <w:rsid w:val="00DE526C"/>
    <w:rsid w:val="00DE5D72"/>
    <w:rsid w:val="00DF1691"/>
    <w:rsid w:val="00DF3D62"/>
    <w:rsid w:val="00DF454B"/>
    <w:rsid w:val="00E03B65"/>
    <w:rsid w:val="00E04912"/>
    <w:rsid w:val="00E04E64"/>
    <w:rsid w:val="00E0574F"/>
    <w:rsid w:val="00E11672"/>
    <w:rsid w:val="00E120EE"/>
    <w:rsid w:val="00E147D6"/>
    <w:rsid w:val="00E2142F"/>
    <w:rsid w:val="00E220A2"/>
    <w:rsid w:val="00E24B14"/>
    <w:rsid w:val="00E2553C"/>
    <w:rsid w:val="00E315A9"/>
    <w:rsid w:val="00E331C9"/>
    <w:rsid w:val="00E34667"/>
    <w:rsid w:val="00E364D8"/>
    <w:rsid w:val="00E37262"/>
    <w:rsid w:val="00E44ABF"/>
    <w:rsid w:val="00E4574C"/>
    <w:rsid w:val="00E45F93"/>
    <w:rsid w:val="00E45FAC"/>
    <w:rsid w:val="00E47E6D"/>
    <w:rsid w:val="00E6207F"/>
    <w:rsid w:val="00E655A6"/>
    <w:rsid w:val="00E668E3"/>
    <w:rsid w:val="00E67BCD"/>
    <w:rsid w:val="00E71F43"/>
    <w:rsid w:val="00E72E25"/>
    <w:rsid w:val="00E7525B"/>
    <w:rsid w:val="00E75806"/>
    <w:rsid w:val="00E8068C"/>
    <w:rsid w:val="00E81701"/>
    <w:rsid w:val="00E824DE"/>
    <w:rsid w:val="00E90108"/>
    <w:rsid w:val="00E96381"/>
    <w:rsid w:val="00EA0A95"/>
    <w:rsid w:val="00EA13BA"/>
    <w:rsid w:val="00EA4C47"/>
    <w:rsid w:val="00EA5597"/>
    <w:rsid w:val="00EA7E36"/>
    <w:rsid w:val="00EB10D5"/>
    <w:rsid w:val="00EB7834"/>
    <w:rsid w:val="00EB7DFB"/>
    <w:rsid w:val="00EC4FA3"/>
    <w:rsid w:val="00EC6041"/>
    <w:rsid w:val="00EC70D2"/>
    <w:rsid w:val="00ED2B9C"/>
    <w:rsid w:val="00ED501F"/>
    <w:rsid w:val="00ED58F2"/>
    <w:rsid w:val="00EE1063"/>
    <w:rsid w:val="00EE1CD5"/>
    <w:rsid w:val="00EE5392"/>
    <w:rsid w:val="00EF304E"/>
    <w:rsid w:val="00EF5867"/>
    <w:rsid w:val="00EF5F6C"/>
    <w:rsid w:val="00EF61BE"/>
    <w:rsid w:val="00EF7EC7"/>
    <w:rsid w:val="00F1088D"/>
    <w:rsid w:val="00F10A5F"/>
    <w:rsid w:val="00F10D3E"/>
    <w:rsid w:val="00F12D18"/>
    <w:rsid w:val="00F1546A"/>
    <w:rsid w:val="00F15764"/>
    <w:rsid w:val="00F16508"/>
    <w:rsid w:val="00F22DAC"/>
    <w:rsid w:val="00F2331A"/>
    <w:rsid w:val="00F269B2"/>
    <w:rsid w:val="00F26E80"/>
    <w:rsid w:val="00F3201A"/>
    <w:rsid w:val="00F33E62"/>
    <w:rsid w:val="00F342CC"/>
    <w:rsid w:val="00F34332"/>
    <w:rsid w:val="00F36E1D"/>
    <w:rsid w:val="00F3783B"/>
    <w:rsid w:val="00F42F91"/>
    <w:rsid w:val="00F4607A"/>
    <w:rsid w:val="00F479E4"/>
    <w:rsid w:val="00F51B57"/>
    <w:rsid w:val="00F53069"/>
    <w:rsid w:val="00F56455"/>
    <w:rsid w:val="00F617CB"/>
    <w:rsid w:val="00F6190E"/>
    <w:rsid w:val="00F71B47"/>
    <w:rsid w:val="00F7296C"/>
    <w:rsid w:val="00F72CC0"/>
    <w:rsid w:val="00F80033"/>
    <w:rsid w:val="00F86813"/>
    <w:rsid w:val="00F86B09"/>
    <w:rsid w:val="00F87B0F"/>
    <w:rsid w:val="00F9105F"/>
    <w:rsid w:val="00F91C93"/>
    <w:rsid w:val="00F93B2D"/>
    <w:rsid w:val="00F9604D"/>
    <w:rsid w:val="00F976AB"/>
    <w:rsid w:val="00FA1DFE"/>
    <w:rsid w:val="00FA5311"/>
    <w:rsid w:val="00FA6658"/>
    <w:rsid w:val="00FB0161"/>
    <w:rsid w:val="00FB1F5F"/>
    <w:rsid w:val="00FB3970"/>
    <w:rsid w:val="00FC3AEC"/>
    <w:rsid w:val="00FC46B8"/>
    <w:rsid w:val="00FC4900"/>
    <w:rsid w:val="00FC6438"/>
    <w:rsid w:val="00FD026F"/>
    <w:rsid w:val="00FD08FD"/>
    <w:rsid w:val="00FD1413"/>
    <w:rsid w:val="00FD61EB"/>
    <w:rsid w:val="00FD6531"/>
    <w:rsid w:val="00FD7AC0"/>
    <w:rsid w:val="00FE0738"/>
    <w:rsid w:val="00FF004B"/>
    <w:rsid w:val="00FF03ED"/>
    <w:rsid w:val="00FF2830"/>
    <w:rsid w:val="00FF2E2E"/>
    <w:rsid w:val="00FF5DAF"/>
    <w:rsid w:val="00FF5F53"/>
    <w:rsid w:val="00FF7ADA"/>
    <w:rsid w:val="00FF7E68"/>
    <w:rsid w:val="01E202F5"/>
    <w:rsid w:val="02D03528"/>
    <w:rsid w:val="032B2F05"/>
    <w:rsid w:val="04A716EE"/>
    <w:rsid w:val="075EEE37"/>
    <w:rsid w:val="07D18836"/>
    <w:rsid w:val="08DD9DEE"/>
    <w:rsid w:val="09041A7B"/>
    <w:rsid w:val="09B53591"/>
    <w:rsid w:val="0A6AC8D2"/>
    <w:rsid w:val="0B8A0EBB"/>
    <w:rsid w:val="0B9B642A"/>
    <w:rsid w:val="0BF0895E"/>
    <w:rsid w:val="0C16C3F8"/>
    <w:rsid w:val="0C633C1E"/>
    <w:rsid w:val="0CAB74C9"/>
    <w:rsid w:val="0D6EEECF"/>
    <w:rsid w:val="0D7A1AE9"/>
    <w:rsid w:val="0E135E51"/>
    <w:rsid w:val="0E9AD9E7"/>
    <w:rsid w:val="1008F9F5"/>
    <w:rsid w:val="102774EA"/>
    <w:rsid w:val="10DD0113"/>
    <w:rsid w:val="1153E339"/>
    <w:rsid w:val="1163DFC1"/>
    <w:rsid w:val="1167A878"/>
    <w:rsid w:val="11C2463B"/>
    <w:rsid w:val="135D95B2"/>
    <w:rsid w:val="13943ACC"/>
    <w:rsid w:val="13CC0C12"/>
    <w:rsid w:val="14C07CA6"/>
    <w:rsid w:val="15268578"/>
    <w:rsid w:val="15377547"/>
    <w:rsid w:val="169EF968"/>
    <w:rsid w:val="16A608A8"/>
    <w:rsid w:val="1728B514"/>
    <w:rsid w:val="18C6E918"/>
    <w:rsid w:val="19459BE4"/>
    <w:rsid w:val="1A43FC86"/>
    <w:rsid w:val="1A8832E1"/>
    <w:rsid w:val="1AD7C551"/>
    <w:rsid w:val="1AE68D25"/>
    <w:rsid w:val="1DF69D63"/>
    <w:rsid w:val="1E0CE5B5"/>
    <w:rsid w:val="1E4BF258"/>
    <w:rsid w:val="1EF109FE"/>
    <w:rsid w:val="1F81C4CA"/>
    <w:rsid w:val="1FDE3765"/>
    <w:rsid w:val="2048A458"/>
    <w:rsid w:val="20B973F5"/>
    <w:rsid w:val="213A6156"/>
    <w:rsid w:val="21DE3C09"/>
    <w:rsid w:val="229EF97A"/>
    <w:rsid w:val="23DD4186"/>
    <w:rsid w:val="2418F347"/>
    <w:rsid w:val="25B29189"/>
    <w:rsid w:val="260F3906"/>
    <w:rsid w:val="260F7B34"/>
    <w:rsid w:val="26A33582"/>
    <w:rsid w:val="27021037"/>
    <w:rsid w:val="2A113B3E"/>
    <w:rsid w:val="2A470488"/>
    <w:rsid w:val="2B2F8E56"/>
    <w:rsid w:val="2D9A765D"/>
    <w:rsid w:val="2DD97324"/>
    <w:rsid w:val="2E4FD4F0"/>
    <w:rsid w:val="2E7FE29A"/>
    <w:rsid w:val="2E9F598A"/>
    <w:rsid w:val="2FF33874"/>
    <w:rsid w:val="301D7074"/>
    <w:rsid w:val="311917FA"/>
    <w:rsid w:val="312918F5"/>
    <w:rsid w:val="31F8875A"/>
    <w:rsid w:val="3201AA28"/>
    <w:rsid w:val="321091C5"/>
    <w:rsid w:val="32E47DCD"/>
    <w:rsid w:val="335CC0BC"/>
    <w:rsid w:val="3392CA3E"/>
    <w:rsid w:val="33B6A1B7"/>
    <w:rsid w:val="3407C2AC"/>
    <w:rsid w:val="34CA5682"/>
    <w:rsid w:val="3511D38B"/>
    <w:rsid w:val="357C472D"/>
    <w:rsid w:val="38A87620"/>
    <w:rsid w:val="39B77EAA"/>
    <w:rsid w:val="3C47ECDD"/>
    <w:rsid w:val="3C9C0866"/>
    <w:rsid w:val="3D672500"/>
    <w:rsid w:val="3D972AE8"/>
    <w:rsid w:val="3E047EAD"/>
    <w:rsid w:val="3E609C3D"/>
    <w:rsid w:val="3E84C2E7"/>
    <w:rsid w:val="4051CECB"/>
    <w:rsid w:val="40CC9925"/>
    <w:rsid w:val="41AE44DD"/>
    <w:rsid w:val="41BB3F78"/>
    <w:rsid w:val="41BB4EA6"/>
    <w:rsid w:val="4348793B"/>
    <w:rsid w:val="434E64B4"/>
    <w:rsid w:val="451BE9B4"/>
    <w:rsid w:val="45E70343"/>
    <w:rsid w:val="47DC0C80"/>
    <w:rsid w:val="480259B6"/>
    <w:rsid w:val="48B10137"/>
    <w:rsid w:val="48C0D730"/>
    <w:rsid w:val="4A72B2DD"/>
    <w:rsid w:val="4A7DD81B"/>
    <w:rsid w:val="4B0D899F"/>
    <w:rsid w:val="4D724669"/>
    <w:rsid w:val="4D7D5EB3"/>
    <w:rsid w:val="4DE45943"/>
    <w:rsid w:val="4EE908AF"/>
    <w:rsid w:val="500C60F7"/>
    <w:rsid w:val="5099AB4F"/>
    <w:rsid w:val="5217158C"/>
    <w:rsid w:val="5294FF66"/>
    <w:rsid w:val="579A0790"/>
    <w:rsid w:val="58049F4A"/>
    <w:rsid w:val="58332CC9"/>
    <w:rsid w:val="583A4EAA"/>
    <w:rsid w:val="591F1EBF"/>
    <w:rsid w:val="59679C8C"/>
    <w:rsid w:val="59E7B65A"/>
    <w:rsid w:val="5A9EC78C"/>
    <w:rsid w:val="5AAEF78D"/>
    <w:rsid w:val="5B26511C"/>
    <w:rsid w:val="5E96A19A"/>
    <w:rsid w:val="600F886A"/>
    <w:rsid w:val="603F3087"/>
    <w:rsid w:val="6097A3D6"/>
    <w:rsid w:val="60D4596A"/>
    <w:rsid w:val="6303FF72"/>
    <w:rsid w:val="64A23149"/>
    <w:rsid w:val="66EFB89F"/>
    <w:rsid w:val="6715477F"/>
    <w:rsid w:val="689D0913"/>
    <w:rsid w:val="69219B2F"/>
    <w:rsid w:val="69501661"/>
    <w:rsid w:val="6B56F728"/>
    <w:rsid w:val="6E097C2B"/>
    <w:rsid w:val="6E6F8978"/>
    <w:rsid w:val="6E93A656"/>
    <w:rsid w:val="6F817F8E"/>
    <w:rsid w:val="6FF0A613"/>
    <w:rsid w:val="710D07B6"/>
    <w:rsid w:val="7176B016"/>
    <w:rsid w:val="72E1B0E9"/>
    <w:rsid w:val="7345A156"/>
    <w:rsid w:val="7380C403"/>
    <w:rsid w:val="73C6A745"/>
    <w:rsid w:val="73E09B26"/>
    <w:rsid w:val="740518D5"/>
    <w:rsid w:val="75549E55"/>
    <w:rsid w:val="76345148"/>
    <w:rsid w:val="76490F69"/>
    <w:rsid w:val="769154DE"/>
    <w:rsid w:val="7818F6ED"/>
    <w:rsid w:val="7823A430"/>
    <w:rsid w:val="78DD5D38"/>
    <w:rsid w:val="7904F0FF"/>
    <w:rsid w:val="79529C02"/>
    <w:rsid w:val="796F0F1E"/>
    <w:rsid w:val="79D7C524"/>
    <w:rsid w:val="79FDBA5F"/>
    <w:rsid w:val="7B2DC871"/>
    <w:rsid w:val="7B3E93B0"/>
    <w:rsid w:val="7B9EC03C"/>
    <w:rsid w:val="7C98F09F"/>
    <w:rsid w:val="7D9F36E6"/>
    <w:rsid w:val="7E09A952"/>
    <w:rsid w:val="7F4B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B4D3C"/>
  <w15:chartTrackingRefBased/>
  <w15:docId w15:val="{FFDF7A03-AE1E-458A-A44A-20950AF0D94F}"/>
  <w:removePersonalInformation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5DB"/>
  </w:style>
  <w:style w:type="paragraph" w:styleId="Heading1">
    <w:name w:val="heading 1"/>
    <w:basedOn w:val="Normal"/>
    <w:next w:val="Normal"/>
    <w:link w:val="Heading1Char"/>
    <w:uiPriority w:val="9"/>
    <w:qFormat/>
    <w:rsid w:val="008E55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55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55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55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55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55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55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55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55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55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55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55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55D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55D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55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55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55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55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55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5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55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55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55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55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55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55D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55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55D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55DB"/>
    <w:rPr>
      <w:b/>
      <w:bCs/>
      <w:smallCaps/>
      <w:color w:val="2F5496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unhideWhenUsed/>
    <w:rsid w:val="008E55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55D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E55DB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55D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55D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55D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75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735"/>
  </w:style>
  <w:style w:type="paragraph" w:styleId="Footer">
    <w:name w:val="footer"/>
    <w:basedOn w:val="Normal"/>
    <w:link w:val="FooterChar"/>
    <w:uiPriority w:val="99"/>
    <w:unhideWhenUsed/>
    <w:rsid w:val="00475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735"/>
  </w:style>
  <w:style w:type="paragraph" w:styleId="Revision">
    <w:name w:val="Revision"/>
    <w:hidden/>
    <w:uiPriority w:val="99"/>
    <w:semiHidden/>
    <w:rsid w:val="00055BD5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F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F29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63F29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63F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3F29"/>
    <w:rPr>
      <w:color w:val="605E5C"/>
      <w:shd w:val="clear" w:color="auto" w:fill="E1DFDD"/>
    </w:rPr>
  </w:style>
  <w:style w:type="paragraph" w:customStyle="1" w:styleId="Standard">
    <w:name w:val="Standard"/>
    <w:basedOn w:val="Normal"/>
    <w:link w:val="StandardChar"/>
    <w:qFormat/>
    <w:rsid w:val="00A86907"/>
    <w:pPr>
      <w:spacing w:after="0" w:line="360" w:lineRule="auto"/>
      <w:ind w:firstLine="720"/>
    </w:pPr>
    <w:rPr>
      <w:rFonts w:ascii="Book Antiqua" w:hAnsi="Book Antiqua"/>
      <w:kern w:val="0"/>
      <w:sz w:val="26"/>
      <w14:ligatures w14:val="none"/>
    </w:rPr>
  </w:style>
  <w:style w:type="character" w:customStyle="1" w:styleId="StandardChar">
    <w:name w:val="Standard Char"/>
    <w:basedOn w:val="DefaultParagraphFont"/>
    <w:link w:val="Standard"/>
    <w:rsid w:val="00A86907"/>
    <w:rPr>
      <w:rFonts w:ascii="Book Antiqua" w:hAnsi="Book Antiqua"/>
      <w:kern w:val="0"/>
      <w:sz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119A4-BB07-4BEE-A50C-8896B3258E46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5</ap:Pages>
  <ap:Words>1567</ap:Words>
  <ap:Characters>8933</ap:Characters>
  <ap:Application>Microsoft Office Word</ap:Application>
  <ap:DocSecurity>0</ap:DocSecurity>
  <ap:Lines>74</ap:Lines>
  <ap:Paragraphs>20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10480</ap:CharactersWithSpaces>
  <ap:SharedDoc>false</ap:SharedDoc>
  <ap:HyperlinksChanged>false</ap:HyperlinksChanged>
  <ap:AppVersion>12.0000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2024-09-09T16:49:00Z</cp:lastPrinted>
  <dcterms:created xsi:type="dcterms:W3CDTF">2024-09-17T12:56:40Z</dcterms:created>
  <dcterms:modified xsi:type="dcterms:W3CDTF">2024-09-17T12:56:40Z</dcterms:modified>
</cp:coreProperties>
</file>