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D1901" w:rsidR="00B60421" w:rsidP="003E581E" w:rsidRDefault="009C13E3" w14:paraId="7FEDB587" w14:textId="6D7E664E">
      <w:pPr>
        <w:tabs>
          <w:tab w:val="center" w:pos="4500"/>
          <w:tab w:val="right" w:pos="9360"/>
        </w:tabs>
        <w:spacing w:line="240" w:lineRule="auto"/>
        <w:ind w:firstLine="0"/>
      </w:pPr>
      <w:r w:rsidRPr="002D1901">
        <w:t>COM/JR5/nd3</w:t>
      </w:r>
      <w:r w:rsidR="00300375">
        <w:t>/jnf</w:t>
      </w:r>
      <w:r w:rsidRPr="002D1901" w:rsidR="007E0FEE">
        <w:tab/>
      </w:r>
      <w:r w:rsidRPr="002D1901" w:rsidR="00DA7B5D">
        <w:rPr>
          <w:rFonts w:cs="Arial"/>
          <w:b/>
          <w:szCs w:val="32"/>
        </w:rPr>
        <w:t>PROPOSED DECISION</w:t>
      </w:r>
      <w:r w:rsidRPr="002D1901" w:rsidR="00DA7B5D">
        <w:tab/>
      </w:r>
      <w:r w:rsidRPr="002D1901" w:rsidR="00DA7B5D">
        <w:rPr>
          <w:b/>
        </w:rPr>
        <w:t>Agenda ID #</w:t>
      </w:r>
      <w:r w:rsidRPr="0060589D" w:rsidR="0060589D">
        <w:rPr>
          <w:b/>
        </w:rPr>
        <w:t>22926</w:t>
      </w:r>
      <w:r w:rsidR="003E581E">
        <w:rPr>
          <w:b/>
        </w:rPr>
        <w:t xml:space="preserve"> (Rev. 1)</w:t>
      </w:r>
    </w:p>
    <w:p w:rsidRPr="00EE4315" w:rsidR="00DA7B5D" w:rsidP="00632207" w:rsidRDefault="009C13E3" w14:paraId="5D59EA69" w14:textId="732C1464">
      <w:pPr>
        <w:spacing w:line="240" w:lineRule="auto"/>
        <w:jc w:val="right"/>
        <w:rPr>
          <w:b/>
        </w:rPr>
      </w:pPr>
      <w:r>
        <w:rPr>
          <w:b/>
        </w:rPr>
        <w:t>Quasi</w:t>
      </w:r>
      <w:r w:rsidR="006951D5">
        <w:rPr>
          <w:b/>
        </w:rPr>
        <w:noBreakHyphen/>
      </w:r>
      <w:r>
        <w:rPr>
          <w:b/>
        </w:rPr>
        <w:t>legislative</w:t>
      </w:r>
    </w:p>
    <w:p w:rsidRPr="003E581E" w:rsidR="00DA7B5D" w:rsidP="003E581E" w:rsidRDefault="003E581E" w14:paraId="5D82AD69" w14:textId="323DADFA">
      <w:pPr>
        <w:spacing w:line="240" w:lineRule="auto"/>
        <w:ind w:firstLine="0"/>
        <w:jc w:val="right"/>
        <w:rPr>
          <w:b/>
          <w:bCs/>
        </w:rPr>
      </w:pPr>
      <w:r>
        <w:rPr>
          <w:b/>
          <w:bCs/>
        </w:rPr>
        <w:t>11/7/2024 Item #5</w:t>
      </w:r>
    </w:p>
    <w:p w:rsidR="00ED6856" w:rsidP="00ED6856" w:rsidRDefault="00ED6856" w14:paraId="333E3CD7" w14:textId="77777777">
      <w:pPr>
        <w:spacing w:line="240" w:lineRule="auto"/>
        <w:ind w:firstLine="0"/>
      </w:pPr>
    </w:p>
    <w:p w:rsidR="00AB756C" w:rsidP="00ED6856" w:rsidRDefault="00AB756C" w14:paraId="4DA0DE30" w14:textId="77777777">
      <w:pPr>
        <w:spacing w:line="240" w:lineRule="auto"/>
        <w:ind w:firstLine="0"/>
      </w:pPr>
    </w:p>
    <w:p w:rsidRPr="00EE3060" w:rsidR="00DA7B5D" w:rsidP="00E279DA" w:rsidRDefault="00DA7B5D" w14:paraId="79438B3A" w14:textId="627EB4DA">
      <w:pPr>
        <w:spacing w:line="240" w:lineRule="auto"/>
        <w:ind w:left="1051" w:hanging="1051"/>
      </w:pPr>
      <w:r>
        <w:t xml:space="preserve">Decision </w:t>
      </w:r>
      <w:r w:rsidRPr="00B85E65" w:rsidR="00E279DA">
        <w:rPr>
          <w:b/>
          <w:bCs/>
          <w:u w:val="single"/>
        </w:rPr>
        <w:t xml:space="preserve">PROPOSED DECISION OF </w:t>
      </w:r>
      <w:r w:rsidR="00E279DA">
        <w:rPr>
          <w:b/>
          <w:bCs/>
          <w:u w:val="single"/>
        </w:rPr>
        <w:t>COMMISSIONER JOHN REYNOLDS</w:t>
      </w:r>
      <w:r w:rsidRPr="006754EC" w:rsidR="00E279DA">
        <w:rPr>
          <w:b/>
          <w:bCs/>
        </w:rPr>
        <w:t xml:space="preserve"> </w:t>
      </w:r>
      <w:r w:rsidR="00E279DA">
        <w:rPr>
          <w:b/>
          <w:bCs/>
        </w:rPr>
        <w:t xml:space="preserve">(Mailed </w:t>
      </w:r>
      <w:r w:rsidR="0060589D">
        <w:rPr>
          <w:b/>
          <w:bCs/>
        </w:rPr>
        <w:t>9/13</w:t>
      </w:r>
      <w:r w:rsidR="00E279DA">
        <w:rPr>
          <w:b/>
          <w:bCs/>
        </w:rPr>
        <w:t>/2024)</w:t>
      </w:r>
    </w:p>
    <w:p w:rsidR="00DA7B5D" w:rsidP="00ED6856" w:rsidRDefault="00DA7B5D" w14:paraId="2F413A77" w14:textId="77777777">
      <w:pPr>
        <w:spacing w:line="240" w:lineRule="auto"/>
        <w:ind w:firstLine="0"/>
        <w:rPr>
          <w:u w:val="single"/>
        </w:rPr>
      </w:pPr>
    </w:p>
    <w:p w:rsidR="00ED6856" w:rsidP="00ED6856" w:rsidRDefault="00ED6856" w14:paraId="1A33B1CA" w14:textId="77777777">
      <w:pPr>
        <w:spacing w:line="240" w:lineRule="auto"/>
        <w:ind w:firstLine="0"/>
        <w:rPr>
          <w:u w:val="single"/>
        </w:rPr>
      </w:pPr>
    </w:p>
    <w:p w:rsidR="00DA7B5D" w:rsidP="00BB0243" w:rsidRDefault="00DA7B5D" w14:paraId="746CAD96"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84C42D7"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6B3E4462" w14:textId="77777777">
        <w:trPr>
          <w:jc w:val="center"/>
        </w:trPr>
        <w:tc>
          <w:tcPr>
            <w:tcW w:w="5040" w:type="dxa"/>
            <w:tcBorders>
              <w:top w:val="nil"/>
              <w:left w:val="nil"/>
              <w:bottom w:val="single" w:color="auto" w:sz="4" w:space="0"/>
              <w:right w:val="single" w:color="auto" w:sz="4" w:space="0"/>
            </w:tcBorders>
          </w:tcPr>
          <w:p w:rsidR="00DA7B5D" w:rsidP="00C10B5F" w:rsidRDefault="0065654F" w14:paraId="1A48962C" w14:textId="77777777">
            <w:pPr>
              <w:spacing w:line="240" w:lineRule="auto"/>
              <w:ind w:firstLine="0"/>
              <w:rPr>
                <w:rFonts w:cs="Arial"/>
                <w:color w:val="000000" w:themeColor="text1"/>
                <w:szCs w:val="26"/>
              </w:rPr>
            </w:pPr>
            <w:r w:rsidRPr="0065654F">
              <w:rPr>
                <w:rFonts w:cs="Arial"/>
                <w:color w:val="000000" w:themeColor="text1"/>
                <w:szCs w:val="26"/>
              </w:rPr>
              <w:t>Order Instituting Rulemaking Proceeding to Consider Changes to Licensing Status and Obligations of Interconnected Voice over Internet Protocol Carriers.</w:t>
            </w:r>
          </w:p>
          <w:p w:rsidRPr="00DA7B5D" w:rsidR="0065654F" w:rsidP="00C10B5F" w:rsidRDefault="0065654F" w14:paraId="70ACE295" w14:textId="65698900">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DA7B5D" w:rsidP="00412C83" w:rsidRDefault="00F6107E" w14:paraId="337D5BFA" w14:textId="7C84A707">
            <w:pPr>
              <w:spacing w:line="240" w:lineRule="auto"/>
              <w:ind w:firstLine="0"/>
              <w:jc w:val="center"/>
              <w:rPr>
                <w:rFonts w:cs="Arial"/>
                <w:szCs w:val="26"/>
              </w:rPr>
            </w:pPr>
            <w:r w:rsidRPr="00803CDA">
              <w:rPr>
                <w:rFonts w:cs="Arial"/>
                <w:color w:val="000000" w:themeColor="text1"/>
                <w:szCs w:val="26"/>
              </w:rPr>
              <w:t>Rulemaking 22</w:t>
            </w:r>
            <w:r w:rsidR="006951D5">
              <w:rPr>
                <w:rFonts w:cs="Arial"/>
                <w:color w:val="000000" w:themeColor="text1"/>
                <w:szCs w:val="26"/>
              </w:rPr>
              <w:noBreakHyphen/>
            </w:r>
            <w:r w:rsidRPr="00803CDA">
              <w:rPr>
                <w:rFonts w:cs="Arial"/>
                <w:color w:val="000000" w:themeColor="text1"/>
                <w:szCs w:val="26"/>
              </w:rPr>
              <w:t>08</w:t>
            </w:r>
            <w:r w:rsidR="006951D5">
              <w:rPr>
                <w:rFonts w:cs="Arial"/>
                <w:color w:val="000000" w:themeColor="text1"/>
                <w:szCs w:val="26"/>
              </w:rPr>
              <w:noBreakHyphen/>
            </w:r>
            <w:r w:rsidRPr="00803CDA">
              <w:rPr>
                <w:rFonts w:cs="Arial"/>
                <w:color w:val="000000" w:themeColor="text1"/>
                <w:szCs w:val="26"/>
              </w:rPr>
              <w:t>008</w:t>
            </w:r>
          </w:p>
        </w:tc>
      </w:tr>
    </w:tbl>
    <w:p w:rsidR="00DA7B5D" w:rsidP="008F0116" w:rsidRDefault="00DA7B5D" w14:paraId="4ED25724" w14:textId="77777777">
      <w:pPr>
        <w:spacing w:line="240" w:lineRule="auto"/>
        <w:ind w:firstLine="0"/>
        <w:rPr>
          <w:rFonts w:ascii="Arial" w:hAnsi="Arial" w:cs="Arial"/>
          <w:sz w:val="24"/>
          <w:szCs w:val="24"/>
        </w:rPr>
      </w:pPr>
    </w:p>
    <w:p w:rsidR="00DA7B5D" w:rsidP="008F0116" w:rsidRDefault="00DA7B5D" w14:paraId="7665DD83" w14:textId="77777777">
      <w:pPr>
        <w:spacing w:line="240" w:lineRule="auto"/>
        <w:ind w:firstLine="0"/>
        <w:rPr>
          <w:rFonts w:ascii="Arial" w:hAnsi="Arial" w:cs="Arial"/>
          <w:sz w:val="24"/>
          <w:szCs w:val="24"/>
        </w:rPr>
      </w:pPr>
    </w:p>
    <w:bookmarkStart w:name="_Toc171711535" w:id="0"/>
    <w:bookmarkStart w:name="_Toc171891884" w:id="1"/>
    <w:bookmarkStart w:name="_Toc171902605" w:id="2"/>
    <w:bookmarkStart w:name="_Toc172041279" w:id="3"/>
    <w:p w:rsidRPr="00645D56" w:rsidR="00F92385" w:rsidP="00645D56" w:rsidRDefault="003F2C76" w14:paraId="7FA7F3CF" w14:textId="6DACC786">
      <w:pPr>
        <w:pStyle w:val="Dummy"/>
        <w:jc w:val="center"/>
      </w:pPr>
      <w:r w:rsidRPr="00645D56">
        <w:rPr>
          <w:color w:val="000000" w:themeColor="text1"/>
        </w:rPr>
        <w:fldChar w:fldCharType="begin"/>
      </w:r>
      <w:r w:rsidRPr="00645D56">
        <w:rPr>
          <w:color w:val="000000" w:themeColor="text1"/>
        </w:rPr>
        <w:instrText xml:space="preserve"> REF Title \h </w:instrText>
      </w:r>
      <w:r w:rsidRPr="00645D56">
        <w:rPr>
          <w:color w:val="000000" w:themeColor="text1"/>
        </w:rPr>
      </w:r>
      <w:r w:rsidR="00645D56">
        <w:rPr>
          <w:color w:val="000000" w:themeColor="text1"/>
        </w:rPr>
        <w:instrText xml:space="preserve"> \* MERGEFORMAT </w:instrText>
      </w:r>
      <w:r w:rsidRPr="00645D56">
        <w:rPr>
          <w:color w:val="000000" w:themeColor="text1"/>
        </w:rPr>
        <w:fldChar w:fldCharType="separate"/>
      </w:r>
      <w:bookmarkStart w:name="_Toc176770924" w:id="4"/>
      <w:bookmarkStart w:name="_Toc177021122" w:id="5"/>
      <w:bookmarkStart w:name="_Toc181692870" w:id="6"/>
      <w:r w:rsidRPr="00645D56" w:rsidR="00273313">
        <w:t>DECISION ESTABLISHING REGULATORY FRAMEWORK</w:t>
      </w:r>
      <w:r w:rsidRPr="00645D56" w:rsidR="00273313">
        <w:rPr>
          <w:caps/>
        </w:rPr>
        <w:t xml:space="preserve"> </w:t>
      </w:r>
      <w:r w:rsidRPr="00645D56" w:rsidR="00273313">
        <w:t>FOR</w:t>
      </w:r>
      <w:r w:rsidRPr="00645D56" w:rsidR="00273313">
        <w:rPr>
          <w:caps/>
        </w:rPr>
        <w:br/>
      </w:r>
      <w:r w:rsidRPr="00645D56" w:rsidR="00273313">
        <w:t>TELEPHONE CORPORATIONS PROVIDING INTERCONNECTED</w:t>
      </w:r>
      <w:r w:rsidRPr="00645D56" w:rsidR="00273313">
        <w:br/>
        <w:t>VOICE OVER INTERNET PROTOCOL SERVIC</w:t>
      </w:r>
      <w:r w:rsidR="00645D56">
        <w:t>E AND</w:t>
      </w:r>
      <w:r w:rsidR="00645D56">
        <w:br/>
        <w:t>LAUNCHING SECOND PHASE OF PROCEEDING</w:t>
      </w:r>
      <w:bookmarkEnd w:id="4"/>
      <w:bookmarkEnd w:id="5"/>
      <w:bookmarkEnd w:id="6"/>
      <w:r w:rsidRPr="00645D56">
        <w:rPr>
          <w:color w:val="000000" w:themeColor="text1"/>
        </w:rPr>
        <w:fldChar w:fldCharType="end"/>
      </w:r>
      <w:bookmarkEnd w:id="0"/>
      <w:bookmarkEnd w:id="1"/>
      <w:bookmarkEnd w:id="2"/>
      <w:bookmarkEnd w:id="3"/>
    </w:p>
    <w:p w:rsidRPr="00887C6F" w:rsidR="00887C6F" w:rsidP="00887C6F" w:rsidRDefault="00887C6F" w14:paraId="3CEFD7D6" w14:textId="07D2BC7F">
      <w:pPr>
        <w:ind w:firstLine="0"/>
        <w:sectPr w:rsidRPr="00887C6F" w:rsidR="00887C6F" w:rsidSect="00C03B33">
          <w:headerReference w:type="default" r:id="rId11"/>
          <w:footerReference w:type="default" r:id="rId12"/>
          <w:headerReference w:type="first" r:id="rId13"/>
          <w:footerReference w:type="first" r:id="rId14"/>
          <w:pgSz w:w="12240" w:h="15840"/>
          <w:pgMar w:top="1728" w:right="1440" w:bottom="1440" w:left="1440" w:header="720" w:footer="720" w:gutter="0"/>
          <w:pgNumType w:start="1"/>
          <w:cols w:space="720"/>
          <w:titlePg/>
          <w:docGrid w:linePitch="360"/>
        </w:sectPr>
      </w:pPr>
    </w:p>
    <w:p w:rsidRPr="001E2A62" w:rsidR="00D50119" w:rsidP="00E15AC5" w:rsidRDefault="00D50119" w14:paraId="58380049" w14:textId="77777777">
      <w:pPr>
        <w:pStyle w:val="TOCHeading"/>
      </w:pPr>
      <w:r w:rsidRPr="001E2A62">
        <w:lastRenderedPageBreak/>
        <w:t>TABLE OF CONTENTS</w:t>
      </w:r>
    </w:p>
    <w:p w:rsidRPr="00D50119" w:rsidR="00D50119" w:rsidP="00E15AC5" w:rsidRDefault="00D50119" w14:paraId="776FDEA9" w14:textId="77777777">
      <w:pPr>
        <w:tabs>
          <w:tab w:val="right" w:pos="9360"/>
        </w:tabs>
        <w:spacing w:line="240" w:lineRule="auto"/>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645D56" w:rsidP="00645D56" w:rsidRDefault="008C7413" w14:paraId="27C3C276" w14:textId="390A00B9">
          <w:pPr>
            <w:pStyle w:val="TOC1"/>
            <w:tabs>
              <w:tab w:val="right" w:leader="dot" w:pos="9350"/>
            </w:tabs>
            <w:ind w:left="0" w:firstLine="0"/>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81692870">
            <w:r w:rsidRPr="00833D53" w:rsidR="00645D56">
              <w:rPr>
                <w:rStyle w:val="Hyperlink"/>
                <w:noProof/>
              </w:rPr>
              <w:t>DECISION ESTABLISHING REGULATORY FRAMEWORK</w:t>
            </w:r>
            <w:r w:rsidRPr="00833D53" w:rsidR="00645D56">
              <w:rPr>
                <w:rStyle w:val="Hyperlink"/>
                <w:caps/>
                <w:noProof/>
              </w:rPr>
              <w:t xml:space="preserve"> </w:t>
            </w:r>
            <w:r w:rsidRPr="00833D53" w:rsidR="00645D56">
              <w:rPr>
                <w:rStyle w:val="Hyperlink"/>
                <w:noProof/>
              </w:rPr>
              <w:t>FOR</w:t>
            </w:r>
            <w:r w:rsidRPr="00833D53" w:rsidR="00645D56">
              <w:rPr>
                <w:rStyle w:val="Hyperlink"/>
                <w:caps/>
                <w:noProof/>
              </w:rPr>
              <w:t xml:space="preserve"> </w:t>
            </w:r>
            <w:r w:rsidRPr="00833D53" w:rsidR="00645D56">
              <w:rPr>
                <w:rStyle w:val="Hyperlink"/>
                <w:noProof/>
              </w:rPr>
              <w:t>TELEPHONE CORPORATIONS PROVIDING INTERCONNECTED VOICE OVER INTERNET PROTOCOL SERVICE AND LAUNCHING SECOND PHASE OF PROCEEDING</w:t>
            </w:r>
            <w:r w:rsidR="00645D56">
              <w:rPr>
                <w:noProof/>
                <w:webHidden/>
              </w:rPr>
              <w:tab/>
            </w:r>
            <w:r w:rsidR="00645D56">
              <w:rPr>
                <w:noProof/>
                <w:webHidden/>
              </w:rPr>
              <w:fldChar w:fldCharType="begin"/>
            </w:r>
            <w:r w:rsidR="00645D56">
              <w:rPr>
                <w:noProof/>
                <w:webHidden/>
              </w:rPr>
              <w:instrText xml:space="preserve"> PAGEREF _Toc181692870 \h </w:instrText>
            </w:r>
            <w:r w:rsidR="00645D56">
              <w:rPr>
                <w:noProof/>
                <w:webHidden/>
              </w:rPr>
            </w:r>
            <w:r w:rsidR="00645D56">
              <w:rPr>
                <w:noProof/>
                <w:webHidden/>
              </w:rPr>
              <w:fldChar w:fldCharType="separate"/>
            </w:r>
            <w:r w:rsidR="00645D56">
              <w:rPr>
                <w:noProof/>
                <w:webHidden/>
              </w:rPr>
              <w:t>1</w:t>
            </w:r>
            <w:r w:rsidR="00645D56">
              <w:rPr>
                <w:noProof/>
                <w:webHidden/>
              </w:rPr>
              <w:fldChar w:fldCharType="end"/>
            </w:r>
          </w:hyperlink>
        </w:p>
        <w:p w:rsidR="00645D56" w:rsidRDefault="00645D56" w14:paraId="1C08040F" w14:textId="284E6585">
          <w:pPr>
            <w:pStyle w:val="TOC1"/>
            <w:tabs>
              <w:tab w:val="right" w:leader="dot" w:pos="9350"/>
            </w:tabs>
            <w:rPr>
              <w:rFonts w:asciiTheme="minorHAnsi" w:hAnsiTheme="minorHAnsi" w:cstheme="minorBidi"/>
              <w:noProof/>
              <w:kern w:val="2"/>
              <w:sz w:val="24"/>
              <w:szCs w:val="24"/>
              <w14:ligatures w14:val="standardContextual"/>
            </w:rPr>
          </w:pPr>
          <w:hyperlink w:history="1" w:anchor="_Toc181692871">
            <w:r w:rsidRPr="00833D53">
              <w:rPr>
                <w:rStyle w:val="Hyperlink"/>
                <w:noProof/>
              </w:rPr>
              <w:t>Summary</w:t>
            </w:r>
            <w:r>
              <w:rPr>
                <w:noProof/>
                <w:webHidden/>
              </w:rPr>
              <w:tab/>
            </w:r>
            <w:r>
              <w:rPr>
                <w:noProof/>
                <w:webHidden/>
              </w:rPr>
              <w:fldChar w:fldCharType="begin"/>
            </w:r>
            <w:r>
              <w:rPr>
                <w:noProof/>
                <w:webHidden/>
              </w:rPr>
              <w:instrText xml:space="preserve"> PAGEREF _Toc181692871 \h </w:instrText>
            </w:r>
            <w:r>
              <w:rPr>
                <w:noProof/>
                <w:webHidden/>
              </w:rPr>
            </w:r>
            <w:r>
              <w:rPr>
                <w:noProof/>
                <w:webHidden/>
              </w:rPr>
              <w:fldChar w:fldCharType="separate"/>
            </w:r>
            <w:r>
              <w:rPr>
                <w:noProof/>
                <w:webHidden/>
              </w:rPr>
              <w:t>2</w:t>
            </w:r>
            <w:r>
              <w:rPr>
                <w:noProof/>
                <w:webHidden/>
              </w:rPr>
              <w:fldChar w:fldCharType="end"/>
            </w:r>
          </w:hyperlink>
        </w:p>
        <w:p w:rsidR="00645D56" w:rsidRDefault="00645D56" w14:paraId="7A906918" w14:textId="79031965">
          <w:pPr>
            <w:pStyle w:val="TOC1"/>
            <w:tabs>
              <w:tab w:val="right" w:leader="dot" w:pos="9350"/>
            </w:tabs>
            <w:rPr>
              <w:rFonts w:asciiTheme="minorHAnsi" w:hAnsiTheme="minorHAnsi" w:cstheme="minorBidi"/>
              <w:noProof/>
              <w:kern w:val="2"/>
              <w:sz w:val="24"/>
              <w:szCs w:val="24"/>
              <w14:ligatures w14:val="standardContextual"/>
            </w:rPr>
          </w:pPr>
          <w:hyperlink w:history="1" w:anchor="_Toc181692872">
            <w:r w:rsidRPr="00833D53">
              <w:rPr>
                <w:rStyle w:val="Hyperlink"/>
                <w:noProof/>
              </w:rPr>
              <w:t>1.</w:t>
            </w:r>
            <w:r>
              <w:rPr>
                <w:rFonts w:asciiTheme="minorHAnsi" w:hAnsiTheme="minorHAnsi" w:cstheme="minorBidi"/>
                <w:noProof/>
                <w:kern w:val="2"/>
                <w:sz w:val="24"/>
                <w:szCs w:val="24"/>
                <w14:ligatures w14:val="standardContextual"/>
              </w:rPr>
              <w:tab/>
            </w:r>
            <w:r w:rsidRPr="00833D53">
              <w:rPr>
                <w:rStyle w:val="Hyperlink"/>
                <w:noProof/>
              </w:rPr>
              <w:t>Background</w:t>
            </w:r>
            <w:r>
              <w:rPr>
                <w:noProof/>
                <w:webHidden/>
              </w:rPr>
              <w:tab/>
            </w:r>
            <w:r>
              <w:rPr>
                <w:noProof/>
                <w:webHidden/>
              </w:rPr>
              <w:fldChar w:fldCharType="begin"/>
            </w:r>
            <w:r>
              <w:rPr>
                <w:noProof/>
                <w:webHidden/>
              </w:rPr>
              <w:instrText xml:space="preserve"> PAGEREF _Toc181692872 \h </w:instrText>
            </w:r>
            <w:r>
              <w:rPr>
                <w:noProof/>
                <w:webHidden/>
              </w:rPr>
            </w:r>
            <w:r>
              <w:rPr>
                <w:noProof/>
                <w:webHidden/>
              </w:rPr>
              <w:fldChar w:fldCharType="separate"/>
            </w:r>
            <w:r>
              <w:rPr>
                <w:noProof/>
                <w:webHidden/>
              </w:rPr>
              <w:t>3</w:t>
            </w:r>
            <w:r>
              <w:rPr>
                <w:noProof/>
                <w:webHidden/>
              </w:rPr>
              <w:fldChar w:fldCharType="end"/>
            </w:r>
          </w:hyperlink>
        </w:p>
        <w:p w:rsidR="00645D56" w:rsidRDefault="00645D56" w14:paraId="111CC006" w14:textId="521A6840">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873">
            <w:r w:rsidRPr="00833D53">
              <w:rPr>
                <w:rStyle w:val="Hyperlink"/>
                <w:noProof/>
              </w:rPr>
              <w:t>1.1.</w:t>
            </w:r>
            <w:r>
              <w:rPr>
                <w:rFonts w:asciiTheme="minorHAnsi" w:hAnsiTheme="minorHAnsi" w:cstheme="minorBidi"/>
                <w:noProof/>
                <w:kern w:val="2"/>
                <w:sz w:val="24"/>
                <w:szCs w:val="24"/>
                <w14:ligatures w14:val="standardContextual"/>
              </w:rPr>
              <w:tab/>
            </w:r>
            <w:r w:rsidRPr="00833D53">
              <w:rPr>
                <w:rStyle w:val="Hyperlink"/>
                <w:noProof/>
              </w:rPr>
              <w:t>Procedural Background</w:t>
            </w:r>
            <w:r>
              <w:rPr>
                <w:noProof/>
                <w:webHidden/>
              </w:rPr>
              <w:tab/>
            </w:r>
            <w:r>
              <w:rPr>
                <w:noProof/>
                <w:webHidden/>
              </w:rPr>
              <w:fldChar w:fldCharType="begin"/>
            </w:r>
            <w:r>
              <w:rPr>
                <w:noProof/>
                <w:webHidden/>
              </w:rPr>
              <w:instrText xml:space="preserve"> PAGEREF _Toc181692873 \h </w:instrText>
            </w:r>
            <w:r>
              <w:rPr>
                <w:noProof/>
                <w:webHidden/>
              </w:rPr>
            </w:r>
            <w:r>
              <w:rPr>
                <w:noProof/>
                <w:webHidden/>
              </w:rPr>
              <w:fldChar w:fldCharType="separate"/>
            </w:r>
            <w:r>
              <w:rPr>
                <w:noProof/>
                <w:webHidden/>
              </w:rPr>
              <w:t>9</w:t>
            </w:r>
            <w:r>
              <w:rPr>
                <w:noProof/>
                <w:webHidden/>
              </w:rPr>
              <w:fldChar w:fldCharType="end"/>
            </w:r>
          </w:hyperlink>
        </w:p>
        <w:p w:rsidR="00645D56" w:rsidRDefault="00645D56" w14:paraId="16FF54DD" w14:textId="62EC8BC7">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874">
            <w:r w:rsidRPr="00833D53">
              <w:rPr>
                <w:rStyle w:val="Hyperlink"/>
                <w:noProof/>
              </w:rPr>
              <w:t>1.2.</w:t>
            </w:r>
            <w:r>
              <w:rPr>
                <w:rFonts w:asciiTheme="minorHAnsi" w:hAnsiTheme="minorHAnsi" w:cstheme="minorBidi"/>
                <w:noProof/>
                <w:kern w:val="2"/>
                <w:sz w:val="24"/>
                <w:szCs w:val="24"/>
                <w14:ligatures w14:val="standardContextual"/>
              </w:rPr>
              <w:tab/>
            </w:r>
            <w:r w:rsidRPr="00833D53">
              <w:rPr>
                <w:rStyle w:val="Hyperlink"/>
                <w:noProof/>
              </w:rPr>
              <w:t>Workshops</w:t>
            </w:r>
            <w:r>
              <w:rPr>
                <w:noProof/>
                <w:webHidden/>
              </w:rPr>
              <w:tab/>
            </w:r>
            <w:r>
              <w:rPr>
                <w:noProof/>
                <w:webHidden/>
              </w:rPr>
              <w:fldChar w:fldCharType="begin"/>
            </w:r>
            <w:r>
              <w:rPr>
                <w:noProof/>
                <w:webHidden/>
              </w:rPr>
              <w:instrText xml:space="preserve"> PAGEREF _Toc181692874 \h </w:instrText>
            </w:r>
            <w:r>
              <w:rPr>
                <w:noProof/>
                <w:webHidden/>
              </w:rPr>
            </w:r>
            <w:r>
              <w:rPr>
                <w:noProof/>
                <w:webHidden/>
              </w:rPr>
              <w:fldChar w:fldCharType="separate"/>
            </w:r>
            <w:r>
              <w:rPr>
                <w:noProof/>
                <w:webHidden/>
              </w:rPr>
              <w:t>11</w:t>
            </w:r>
            <w:r>
              <w:rPr>
                <w:noProof/>
                <w:webHidden/>
              </w:rPr>
              <w:fldChar w:fldCharType="end"/>
            </w:r>
          </w:hyperlink>
        </w:p>
        <w:p w:rsidR="00645D56" w:rsidRDefault="00645D56" w14:paraId="5C675BFB" w14:textId="7AA45BC0">
          <w:pPr>
            <w:pStyle w:val="TOC1"/>
            <w:tabs>
              <w:tab w:val="right" w:leader="dot" w:pos="9350"/>
            </w:tabs>
            <w:rPr>
              <w:rFonts w:asciiTheme="minorHAnsi" w:hAnsiTheme="minorHAnsi" w:cstheme="minorBidi"/>
              <w:noProof/>
              <w:kern w:val="2"/>
              <w:sz w:val="24"/>
              <w:szCs w:val="24"/>
              <w14:ligatures w14:val="standardContextual"/>
            </w:rPr>
          </w:pPr>
          <w:hyperlink w:history="1" w:anchor="_Toc181692875">
            <w:r w:rsidRPr="00833D53">
              <w:rPr>
                <w:rStyle w:val="Hyperlink"/>
                <w:noProof/>
              </w:rPr>
              <w:t>2.</w:t>
            </w:r>
            <w:r>
              <w:rPr>
                <w:rFonts w:asciiTheme="minorHAnsi" w:hAnsiTheme="minorHAnsi" w:cstheme="minorBidi"/>
                <w:noProof/>
                <w:kern w:val="2"/>
                <w:sz w:val="24"/>
                <w:szCs w:val="24"/>
                <w14:ligatures w14:val="standardContextual"/>
              </w:rPr>
              <w:tab/>
            </w:r>
            <w:r w:rsidRPr="00833D53">
              <w:rPr>
                <w:rStyle w:val="Hyperlink"/>
                <w:noProof/>
              </w:rPr>
              <w:t>Submission Date</w:t>
            </w:r>
            <w:r>
              <w:rPr>
                <w:noProof/>
                <w:webHidden/>
              </w:rPr>
              <w:tab/>
            </w:r>
            <w:r>
              <w:rPr>
                <w:noProof/>
                <w:webHidden/>
              </w:rPr>
              <w:fldChar w:fldCharType="begin"/>
            </w:r>
            <w:r>
              <w:rPr>
                <w:noProof/>
                <w:webHidden/>
              </w:rPr>
              <w:instrText xml:space="preserve"> PAGEREF _Toc181692875 \h </w:instrText>
            </w:r>
            <w:r>
              <w:rPr>
                <w:noProof/>
                <w:webHidden/>
              </w:rPr>
            </w:r>
            <w:r>
              <w:rPr>
                <w:noProof/>
                <w:webHidden/>
              </w:rPr>
              <w:fldChar w:fldCharType="separate"/>
            </w:r>
            <w:r>
              <w:rPr>
                <w:noProof/>
                <w:webHidden/>
              </w:rPr>
              <w:t>13</w:t>
            </w:r>
            <w:r>
              <w:rPr>
                <w:noProof/>
                <w:webHidden/>
              </w:rPr>
              <w:fldChar w:fldCharType="end"/>
            </w:r>
          </w:hyperlink>
        </w:p>
        <w:p w:rsidR="00645D56" w:rsidRDefault="00645D56" w14:paraId="044080C8" w14:textId="723D8323">
          <w:pPr>
            <w:pStyle w:val="TOC1"/>
            <w:tabs>
              <w:tab w:val="right" w:leader="dot" w:pos="9350"/>
            </w:tabs>
            <w:rPr>
              <w:rFonts w:asciiTheme="minorHAnsi" w:hAnsiTheme="minorHAnsi" w:cstheme="minorBidi"/>
              <w:noProof/>
              <w:kern w:val="2"/>
              <w:sz w:val="24"/>
              <w:szCs w:val="24"/>
              <w14:ligatures w14:val="standardContextual"/>
            </w:rPr>
          </w:pPr>
          <w:hyperlink w:history="1" w:anchor="_Toc181692876">
            <w:r w:rsidRPr="00833D53">
              <w:rPr>
                <w:rStyle w:val="Hyperlink"/>
                <w:noProof/>
              </w:rPr>
              <w:t>3.</w:t>
            </w:r>
            <w:r>
              <w:rPr>
                <w:rFonts w:asciiTheme="minorHAnsi" w:hAnsiTheme="minorHAnsi" w:cstheme="minorBidi"/>
                <w:noProof/>
                <w:kern w:val="2"/>
                <w:sz w:val="24"/>
                <w:szCs w:val="24"/>
                <w14:ligatures w14:val="standardContextual"/>
              </w:rPr>
              <w:tab/>
            </w:r>
            <w:r w:rsidRPr="00833D53">
              <w:rPr>
                <w:rStyle w:val="Hyperlink"/>
                <w:noProof/>
              </w:rPr>
              <w:t>Issues Before the Commission</w:t>
            </w:r>
            <w:r>
              <w:rPr>
                <w:noProof/>
                <w:webHidden/>
              </w:rPr>
              <w:tab/>
            </w:r>
            <w:r>
              <w:rPr>
                <w:noProof/>
                <w:webHidden/>
              </w:rPr>
              <w:fldChar w:fldCharType="begin"/>
            </w:r>
            <w:r>
              <w:rPr>
                <w:noProof/>
                <w:webHidden/>
              </w:rPr>
              <w:instrText xml:space="preserve"> PAGEREF _Toc181692876 \h </w:instrText>
            </w:r>
            <w:r>
              <w:rPr>
                <w:noProof/>
                <w:webHidden/>
              </w:rPr>
            </w:r>
            <w:r>
              <w:rPr>
                <w:noProof/>
                <w:webHidden/>
              </w:rPr>
              <w:fldChar w:fldCharType="separate"/>
            </w:r>
            <w:r>
              <w:rPr>
                <w:noProof/>
                <w:webHidden/>
              </w:rPr>
              <w:t>13</w:t>
            </w:r>
            <w:r>
              <w:rPr>
                <w:noProof/>
                <w:webHidden/>
              </w:rPr>
              <w:fldChar w:fldCharType="end"/>
            </w:r>
          </w:hyperlink>
        </w:p>
        <w:p w:rsidR="00645D56" w:rsidRDefault="00645D56" w14:paraId="39992EE8" w14:textId="436DF647">
          <w:pPr>
            <w:pStyle w:val="TOC1"/>
            <w:tabs>
              <w:tab w:val="right" w:leader="dot" w:pos="9350"/>
            </w:tabs>
            <w:rPr>
              <w:rFonts w:asciiTheme="minorHAnsi" w:hAnsiTheme="minorHAnsi" w:cstheme="minorBidi"/>
              <w:noProof/>
              <w:kern w:val="2"/>
              <w:sz w:val="24"/>
              <w:szCs w:val="24"/>
              <w14:ligatures w14:val="standardContextual"/>
            </w:rPr>
          </w:pPr>
          <w:hyperlink w:history="1" w:anchor="_Toc181692877">
            <w:r w:rsidRPr="00833D53">
              <w:rPr>
                <w:rStyle w:val="Hyperlink"/>
                <w:noProof/>
              </w:rPr>
              <w:t>4.</w:t>
            </w:r>
            <w:r>
              <w:rPr>
                <w:rFonts w:asciiTheme="minorHAnsi" w:hAnsiTheme="minorHAnsi" w:cstheme="minorBidi"/>
                <w:noProof/>
                <w:kern w:val="2"/>
                <w:sz w:val="24"/>
                <w:szCs w:val="24"/>
                <w14:ligatures w14:val="standardContextual"/>
              </w:rPr>
              <w:tab/>
            </w:r>
            <w:r w:rsidRPr="00833D53">
              <w:rPr>
                <w:rStyle w:val="Hyperlink"/>
                <w:noProof/>
              </w:rPr>
              <w:t>Jurisdiction</w:t>
            </w:r>
            <w:r>
              <w:rPr>
                <w:noProof/>
                <w:webHidden/>
              </w:rPr>
              <w:tab/>
            </w:r>
            <w:r>
              <w:rPr>
                <w:noProof/>
                <w:webHidden/>
              </w:rPr>
              <w:fldChar w:fldCharType="begin"/>
            </w:r>
            <w:r>
              <w:rPr>
                <w:noProof/>
                <w:webHidden/>
              </w:rPr>
              <w:instrText xml:space="preserve"> PAGEREF _Toc181692877 \h </w:instrText>
            </w:r>
            <w:r>
              <w:rPr>
                <w:noProof/>
                <w:webHidden/>
              </w:rPr>
            </w:r>
            <w:r>
              <w:rPr>
                <w:noProof/>
                <w:webHidden/>
              </w:rPr>
              <w:fldChar w:fldCharType="separate"/>
            </w:r>
            <w:r>
              <w:rPr>
                <w:noProof/>
                <w:webHidden/>
              </w:rPr>
              <w:t>15</w:t>
            </w:r>
            <w:r>
              <w:rPr>
                <w:noProof/>
                <w:webHidden/>
              </w:rPr>
              <w:fldChar w:fldCharType="end"/>
            </w:r>
          </w:hyperlink>
        </w:p>
        <w:p w:rsidR="00645D56" w:rsidRDefault="00645D56" w14:paraId="44A9413D" w14:textId="119E7D57">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878">
            <w:r w:rsidRPr="00833D53">
              <w:rPr>
                <w:rStyle w:val="Hyperlink"/>
                <w:noProof/>
              </w:rPr>
              <w:t>4.1.</w:t>
            </w:r>
            <w:r>
              <w:rPr>
                <w:rFonts w:asciiTheme="minorHAnsi" w:hAnsiTheme="minorHAnsi" w:cstheme="minorBidi"/>
                <w:noProof/>
                <w:kern w:val="2"/>
                <w:sz w:val="24"/>
                <w:szCs w:val="24"/>
                <w14:ligatures w14:val="standardContextual"/>
              </w:rPr>
              <w:tab/>
            </w:r>
            <w:r w:rsidRPr="00833D53">
              <w:rPr>
                <w:rStyle w:val="Hyperlink"/>
                <w:noProof/>
              </w:rPr>
              <w:t>Interconnected Voice Over Internet Protocol Service Providers Are Public Utility Telephone Corporations</w:t>
            </w:r>
            <w:r>
              <w:rPr>
                <w:noProof/>
                <w:webHidden/>
              </w:rPr>
              <w:tab/>
            </w:r>
            <w:r>
              <w:rPr>
                <w:noProof/>
                <w:webHidden/>
              </w:rPr>
              <w:fldChar w:fldCharType="begin"/>
            </w:r>
            <w:r>
              <w:rPr>
                <w:noProof/>
                <w:webHidden/>
              </w:rPr>
              <w:instrText xml:space="preserve"> PAGEREF _Toc181692878 \h </w:instrText>
            </w:r>
            <w:r>
              <w:rPr>
                <w:noProof/>
                <w:webHidden/>
              </w:rPr>
            </w:r>
            <w:r>
              <w:rPr>
                <w:noProof/>
                <w:webHidden/>
              </w:rPr>
              <w:fldChar w:fldCharType="separate"/>
            </w:r>
            <w:r>
              <w:rPr>
                <w:noProof/>
                <w:webHidden/>
              </w:rPr>
              <w:t>15</w:t>
            </w:r>
            <w:r>
              <w:rPr>
                <w:noProof/>
                <w:webHidden/>
              </w:rPr>
              <w:fldChar w:fldCharType="end"/>
            </w:r>
          </w:hyperlink>
        </w:p>
        <w:p w:rsidR="00645D56" w:rsidRDefault="00645D56" w14:paraId="2C389B86" w14:textId="712FCB99">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879">
            <w:r w:rsidRPr="00833D53">
              <w:rPr>
                <w:rStyle w:val="Hyperlink"/>
                <w:noProof/>
              </w:rPr>
              <w:t>4.2.</w:t>
            </w:r>
            <w:r>
              <w:rPr>
                <w:rFonts w:asciiTheme="minorHAnsi" w:hAnsiTheme="minorHAnsi" w:cstheme="minorBidi"/>
                <w:noProof/>
                <w:kern w:val="2"/>
                <w:sz w:val="24"/>
                <w:szCs w:val="24"/>
                <w14:ligatures w14:val="standardContextual"/>
              </w:rPr>
              <w:tab/>
            </w:r>
            <w:r w:rsidRPr="00833D53">
              <w:rPr>
                <w:rStyle w:val="Hyperlink"/>
                <w:noProof/>
              </w:rPr>
              <w:t>Market Entry Requirements Applicable to Interconnected Voice Over Internet Protocol Service Providers</w:t>
            </w:r>
            <w:r>
              <w:rPr>
                <w:noProof/>
                <w:webHidden/>
              </w:rPr>
              <w:tab/>
            </w:r>
            <w:r>
              <w:rPr>
                <w:noProof/>
                <w:webHidden/>
              </w:rPr>
              <w:fldChar w:fldCharType="begin"/>
            </w:r>
            <w:r>
              <w:rPr>
                <w:noProof/>
                <w:webHidden/>
              </w:rPr>
              <w:instrText xml:space="preserve"> PAGEREF _Toc181692879 \h </w:instrText>
            </w:r>
            <w:r>
              <w:rPr>
                <w:noProof/>
                <w:webHidden/>
              </w:rPr>
            </w:r>
            <w:r>
              <w:rPr>
                <w:noProof/>
                <w:webHidden/>
              </w:rPr>
              <w:fldChar w:fldCharType="separate"/>
            </w:r>
            <w:r>
              <w:rPr>
                <w:noProof/>
                <w:webHidden/>
              </w:rPr>
              <w:t>19</w:t>
            </w:r>
            <w:r>
              <w:rPr>
                <w:noProof/>
                <w:webHidden/>
              </w:rPr>
              <w:fldChar w:fldCharType="end"/>
            </w:r>
          </w:hyperlink>
        </w:p>
        <w:p w:rsidR="00645D56" w:rsidRDefault="00645D56" w14:paraId="12B33FC5" w14:textId="514BCAAF">
          <w:pPr>
            <w:pStyle w:val="TOC1"/>
            <w:tabs>
              <w:tab w:val="right" w:leader="dot" w:pos="9350"/>
            </w:tabs>
            <w:rPr>
              <w:rFonts w:asciiTheme="minorHAnsi" w:hAnsiTheme="minorHAnsi" w:cstheme="minorBidi"/>
              <w:noProof/>
              <w:kern w:val="2"/>
              <w:sz w:val="24"/>
              <w:szCs w:val="24"/>
              <w14:ligatures w14:val="standardContextual"/>
            </w:rPr>
          </w:pPr>
          <w:hyperlink w:history="1" w:anchor="_Toc181692880">
            <w:r w:rsidRPr="00833D53">
              <w:rPr>
                <w:rStyle w:val="Hyperlink"/>
                <w:noProof/>
              </w:rPr>
              <w:t>5.</w:t>
            </w:r>
            <w:r>
              <w:rPr>
                <w:rFonts w:asciiTheme="minorHAnsi" w:hAnsiTheme="minorHAnsi" w:cstheme="minorBidi"/>
                <w:noProof/>
                <w:kern w:val="2"/>
                <w:sz w:val="24"/>
                <w:szCs w:val="24"/>
                <w14:ligatures w14:val="standardContextual"/>
              </w:rPr>
              <w:tab/>
            </w:r>
            <w:r w:rsidRPr="00833D53">
              <w:rPr>
                <w:rStyle w:val="Hyperlink"/>
                <w:noProof/>
              </w:rPr>
              <w:t>Regulatory Framework for Interconnected Voice Over Internet Protocol Service Providers</w:t>
            </w:r>
            <w:r>
              <w:rPr>
                <w:noProof/>
                <w:webHidden/>
              </w:rPr>
              <w:tab/>
            </w:r>
            <w:r>
              <w:rPr>
                <w:noProof/>
                <w:webHidden/>
              </w:rPr>
              <w:fldChar w:fldCharType="begin"/>
            </w:r>
            <w:r>
              <w:rPr>
                <w:noProof/>
                <w:webHidden/>
              </w:rPr>
              <w:instrText xml:space="preserve"> PAGEREF _Toc181692880 \h </w:instrText>
            </w:r>
            <w:r>
              <w:rPr>
                <w:noProof/>
                <w:webHidden/>
              </w:rPr>
            </w:r>
            <w:r>
              <w:rPr>
                <w:noProof/>
                <w:webHidden/>
              </w:rPr>
              <w:fldChar w:fldCharType="separate"/>
            </w:r>
            <w:r>
              <w:rPr>
                <w:noProof/>
                <w:webHidden/>
              </w:rPr>
              <w:t>28</w:t>
            </w:r>
            <w:r>
              <w:rPr>
                <w:noProof/>
                <w:webHidden/>
              </w:rPr>
              <w:fldChar w:fldCharType="end"/>
            </w:r>
          </w:hyperlink>
        </w:p>
        <w:p w:rsidR="00645D56" w:rsidRDefault="00645D56" w14:paraId="01A2251D" w14:textId="2B4A75B5">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881">
            <w:r w:rsidRPr="00833D53">
              <w:rPr>
                <w:rStyle w:val="Hyperlink"/>
                <w:noProof/>
              </w:rPr>
              <w:t>5.1.</w:t>
            </w:r>
            <w:r>
              <w:rPr>
                <w:rFonts w:asciiTheme="minorHAnsi" w:hAnsiTheme="minorHAnsi" w:cstheme="minorBidi"/>
                <w:noProof/>
                <w:kern w:val="2"/>
                <w:sz w:val="24"/>
                <w:szCs w:val="24"/>
                <w14:ligatures w14:val="standardContextual"/>
              </w:rPr>
              <w:tab/>
            </w:r>
            <w:r w:rsidRPr="00833D53">
              <w:rPr>
                <w:rStyle w:val="Hyperlink"/>
                <w:noProof/>
              </w:rPr>
              <w:t>Fixed Interconnected Voice Over Internet Protocol Service Functionally Similar to Traditional Wireline Phone Service</w:t>
            </w:r>
            <w:r>
              <w:rPr>
                <w:noProof/>
                <w:webHidden/>
              </w:rPr>
              <w:tab/>
            </w:r>
            <w:r>
              <w:rPr>
                <w:noProof/>
                <w:webHidden/>
              </w:rPr>
              <w:fldChar w:fldCharType="begin"/>
            </w:r>
            <w:r>
              <w:rPr>
                <w:noProof/>
                <w:webHidden/>
              </w:rPr>
              <w:instrText xml:space="preserve"> PAGEREF _Toc181692881 \h </w:instrText>
            </w:r>
            <w:r>
              <w:rPr>
                <w:noProof/>
                <w:webHidden/>
              </w:rPr>
            </w:r>
            <w:r>
              <w:rPr>
                <w:noProof/>
                <w:webHidden/>
              </w:rPr>
              <w:fldChar w:fldCharType="separate"/>
            </w:r>
            <w:r>
              <w:rPr>
                <w:noProof/>
                <w:webHidden/>
              </w:rPr>
              <w:t>31</w:t>
            </w:r>
            <w:r>
              <w:rPr>
                <w:noProof/>
                <w:webHidden/>
              </w:rPr>
              <w:fldChar w:fldCharType="end"/>
            </w:r>
          </w:hyperlink>
        </w:p>
        <w:p w:rsidR="00645D56" w:rsidRDefault="00645D56" w14:paraId="44767405" w14:textId="7DFAE223">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882">
            <w:r w:rsidRPr="00833D53">
              <w:rPr>
                <w:rStyle w:val="Hyperlink"/>
                <w:noProof/>
              </w:rPr>
              <w:t>5.2.</w:t>
            </w:r>
            <w:r>
              <w:rPr>
                <w:rFonts w:asciiTheme="minorHAnsi" w:hAnsiTheme="minorHAnsi" w:cstheme="minorBidi"/>
                <w:noProof/>
                <w:kern w:val="2"/>
                <w:sz w:val="24"/>
                <w:szCs w:val="24"/>
                <w14:ligatures w14:val="standardContextual"/>
              </w:rPr>
              <w:tab/>
            </w:r>
            <w:r w:rsidRPr="00833D53">
              <w:rPr>
                <w:rStyle w:val="Hyperlink"/>
                <w:noProof/>
              </w:rPr>
              <w:t>Uniform Licensing Requirements Necessary for Competitive and Technological Neutrality</w:t>
            </w:r>
            <w:r>
              <w:rPr>
                <w:noProof/>
                <w:webHidden/>
              </w:rPr>
              <w:tab/>
            </w:r>
            <w:r>
              <w:rPr>
                <w:noProof/>
                <w:webHidden/>
              </w:rPr>
              <w:fldChar w:fldCharType="begin"/>
            </w:r>
            <w:r>
              <w:rPr>
                <w:noProof/>
                <w:webHidden/>
              </w:rPr>
              <w:instrText xml:space="preserve"> PAGEREF _Toc181692882 \h </w:instrText>
            </w:r>
            <w:r>
              <w:rPr>
                <w:noProof/>
                <w:webHidden/>
              </w:rPr>
            </w:r>
            <w:r>
              <w:rPr>
                <w:noProof/>
                <w:webHidden/>
              </w:rPr>
              <w:fldChar w:fldCharType="separate"/>
            </w:r>
            <w:r>
              <w:rPr>
                <w:noProof/>
                <w:webHidden/>
              </w:rPr>
              <w:t>32</w:t>
            </w:r>
            <w:r>
              <w:rPr>
                <w:noProof/>
                <w:webHidden/>
              </w:rPr>
              <w:fldChar w:fldCharType="end"/>
            </w:r>
          </w:hyperlink>
        </w:p>
        <w:p w:rsidR="00645D56" w:rsidRDefault="00645D56" w14:paraId="0F4DBD49" w14:textId="7BE8EAD0">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883">
            <w:r w:rsidRPr="00833D53">
              <w:rPr>
                <w:rStyle w:val="Hyperlink"/>
                <w:noProof/>
              </w:rPr>
              <w:t>5.3.</w:t>
            </w:r>
            <w:r>
              <w:rPr>
                <w:rFonts w:asciiTheme="minorHAnsi" w:hAnsiTheme="minorHAnsi" w:cstheme="minorBidi"/>
                <w:noProof/>
                <w:kern w:val="2"/>
                <w:sz w:val="24"/>
                <w:szCs w:val="24"/>
                <w14:ligatures w14:val="standardContextual"/>
              </w:rPr>
              <w:tab/>
            </w:r>
            <w:r w:rsidRPr="00833D53">
              <w:rPr>
                <w:rStyle w:val="Hyperlink"/>
                <w:noProof/>
              </w:rPr>
              <w:t>Interconnected Voice Over Internet Protocol Service Generally</w:t>
            </w:r>
            <w:r>
              <w:rPr>
                <w:noProof/>
                <w:webHidden/>
              </w:rPr>
              <w:tab/>
            </w:r>
            <w:r>
              <w:rPr>
                <w:noProof/>
                <w:webHidden/>
              </w:rPr>
              <w:fldChar w:fldCharType="begin"/>
            </w:r>
            <w:r>
              <w:rPr>
                <w:noProof/>
                <w:webHidden/>
              </w:rPr>
              <w:instrText xml:space="preserve"> PAGEREF _Toc181692883 \h </w:instrText>
            </w:r>
            <w:r>
              <w:rPr>
                <w:noProof/>
                <w:webHidden/>
              </w:rPr>
            </w:r>
            <w:r>
              <w:rPr>
                <w:noProof/>
                <w:webHidden/>
              </w:rPr>
              <w:fldChar w:fldCharType="separate"/>
            </w:r>
            <w:r>
              <w:rPr>
                <w:noProof/>
                <w:webHidden/>
              </w:rPr>
              <w:t>34</w:t>
            </w:r>
            <w:r>
              <w:rPr>
                <w:noProof/>
                <w:webHidden/>
              </w:rPr>
              <w:fldChar w:fldCharType="end"/>
            </w:r>
          </w:hyperlink>
        </w:p>
        <w:p w:rsidR="00645D56" w:rsidRDefault="00645D56" w14:paraId="346353D1" w14:textId="5FFAE36A">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884">
            <w:r w:rsidRPr="00833D53">
              <w:rPr>
                <w:rStyle w:val="Hyperlink"/>
                <w:noProof/>
              </w:rPr>
              <w:t>5.4.</w:t>
            </w:r>
            <w:r>
              <w:rPr>
                <w:rFonts w:asciiTheme="minorHAnsi" w:hAnsiTheme="minorHAnsi" w:cstheme="minorBidi"/>
                <w:noProof/>
                <w:kern w:val="2"/>
                <w:sz w:val="24"/>
                <w:szCs w:val="24"/>
                <w14:ligatures w14:val="standardContextual"/>
              </w:rPr>
              <w:tab/>
            </w:r>
            <w:r w:rsidRPr="00833D53">
              <w:rPr>
                <w:rStyle w:val="Hyperlink"/>
                <w:noProof/>
              </w:rPr>
              <w:t>Facilities Status</w:t>
            </w:r>
            <w:r>
              <w:rPr>
                <w:noProof/>
                <w:webHidden/>
              </w:rPr>
              <w:tab/>
            </w:r>
            <w:r>
              <w:rPr>
                <w:noProof/>
                <w:webHidden/>
              </w:rPr>
              <w:fldChar w:fldCharType="begin"/>
            </w:r>
            <w:r>
              <w:rPr>
                <w:noProof/>
                <w:webHidden/>
              </w:rPr>
              <w:instrText xml:space="preserve"> PAGEREF _Toc181692884 \h </w:instrText>
            </w:r>
            <w:r>
              <w:rPr>
                <w:noProof/>
                <w:webHidden/>
              </w:rPr>
            </w:r>
            <w:r>
              <w:rPr>
                <w:noProof/>
                <w:webHidden/>
              </w:rPr>
              <w:fldChar w:fldCharType="separate"/>
            </w:r>
            <w:r>
              <w:rPr>
                <w:noProof/>
                <w:webHidden/>
              </w:rPr>
              <w:t>37</w:t>
            </w:r>
            <w:r>
              <w:rPr>
                <w:noProof/>
                <w:webHidden/>
              </w:rPr>
              <w:fldChar w:fldCharType="end"/>
            </w:r>
          </w:hyperlink>
        </w:p>
        <w:p w:rsidR="00645D56" w:rsidRDefault="00645D56" w14:paraId="6193388A" w14:textId="79E8A0A3">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885">
            <w:r w:rsidRPr="00833D53">
              <w:rPr>
                <w:rStyle w:val="Hyperlink"/>
                <w:noProof/>
              </w:rPr>
              <w:t>5.5.</w:t>
            </w:r>
            <w:r>
              <w:rPr>
                <w:rFonts w:asciiTheme="minorHAnsi" w:hAnsiTheme="minorHAnsi" w:cstheme="minorBidi"/>
                <w:noProof/>
                <w:kern w:val="2"/>
                <w:sz w:val="24"/>
                <w:szCs w:val="24"/>
                <w14:ligatures w14:val="standardContextual"/>
              </w:rPr>
              <w:tab/>
            </w:r>
            <w:r w:rsidRPr="00833D53">
              <w:rPr>
                <w:rStyle w:val="Hyperlink"/>
                <w:noProof/>
              </w:rPr>
              <w:t>Nomadic Registration</w:t>
            </w:r>
            <w:r>
              <w:rPr>
                <w:noProof/>
                <w:webHidden/>
              </w:rPr>
              <w:tab/>
            </w:r>
            <w:r>
              <w:rPr>
                <w:noProof/>
                <w:webHidden/>
              </w:rPr>
              <w:fldChar w:fldCharType="begin"/>
            </w:r>
            <w:r>
              <w:rPr>
                <w:noProof/>
                <w:webHidden/>
              </w:rPr>
              <w:instrText xml:space="preserve"> PAGEREF _Toc181692885 \h </w:instrText>
            </w:r>
            <w:r>
              <w:rPr>
                <w:noProof/>
                <w:webHidden/>
              </w:rPr>
            </w:r>
            <w:r>
              <w:rPr>
                <w:noProof/>
                <w:webHidden/>
              </w:rPr>
              <w:fldChar w:fldCharType="separate"/>
            </w:r>
            <w:r>
              <w:rPr>
                <w:noProof/>
                <w:webHidden/>
              </w:rPr>
              <w:t>40</w:t>
            </w:r>
            <w:r>
              <w:rPr>
                <w:noProof/>
                <w:webHidden/>
              </w:rPr>
              <w:fldChar w:fldCharType="end"/>
            </w:r>
          </w:hyperlink>
        </w:p>
        <w:p w:rsidR="00645D56" w:rsidRDefault="00645D56" w14:paraId="67ECE823" w14:textId="12576549">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886">
            <w:r w:rsidRPr="00833D53">
              <w:rPr>
                <w:rStyle w:val="Hyperlink"/>
                <w:noProof/>
              </w:rPr>
              <w:t>5.6.</w:t>
            </w:r>
            <w:r>
              <w:rPr>
                <w:rFonts w:asciiTheme="minorHAnsi" w:hAnsiTheme="minorHAnsi" w:cstheme="minorBidi"/>
                <w:noProof/>
                <w:kern w:val="2"/>
                <w:sz w:val="24"/>
                <w:szCs w:val="24"/>
                <w14:ligatures w14:val="standardContextual"/>
              </w:rPr>
              <w:tab/>
            </w:r>
            <w:r w:rsidRPr="00833D53">
              <w:rPr>
                <w:rStyle w:val="Hyperlink"/>
                <w:noProof/>
              </w:rPr>
              <w:t>Compliance with Licensing and Registration</w:t>
            </w:r>
            <w:r>
              <w:rPr>
                <w:noProof/>
                <w:webHidden/>
              </w:rPr>
              <w:tab/>
            </w:r>
            <w:r>
              <w:rPr>
                <w:noProof/>
                <w:webHidden/>
              </w:rPr>
              <w:fldChar w:fldCharType="begin"/>
            </w:r>
            <w:r>
              <w:rPr>
                <w:noProof/>
                <w:webHidden/>
              </w:rPr>
              <w:instrText xml:space="preserve"> PAGEREF _Toc181692886 \h </w:instrText>
            </w:r>
            <w:r>
              <w:rPr>
                <w:noProof/>
                <w:webHidden/>
              </w:rPr>
            </w:r>
            <w:r>
              <w:rPr>
                <w:noProof/>
                <w:webHidden/>
              </w:rPr>
              <w:fldChar w:fldCharType="separate"/>
            </w:r>
            <w:r>
              <w:rPr>
                <w:noProof/>
                <w:webHidden/>
              </w:rPr>
              <w:t>42</w:t>
            </w:r>
            <w:r>
              <w:rPr>
                <w:noProof/>
                <w:webHidden/>
              </w:rPr>
              <w:fldChar w:fldCharType="end"/>
            </w:r>
          </w:hyperlink>
        </w:p>
        <w:p w:rsidR="00645D56" w:rsidRDefault="00645D56" w14:paraId="06927709" w14:textId="05C68887">
          <w:pPr>
            <w:pStyle w:val="TOC1"/>
            <w:tabs>
              <w:tab w:val="right" w:leader="dot" w:pos="9350"/>
            </w:tabs>
            <w:rPr>
              <w:rFonts w:asciiTheme="minorHAnsi" w:hAnsiTheme="minorHAnsi" w:cstheme="minorBidi"/>
              <w:noProof/>
              <w:kern w:val="2"/>
              <w:sz w:val="24"/>
              <w:szCs w:val="24"/>
              <w14:ligatures w14:val="standardContextual"/>
            </w:rPr>
          </w:pPr>
          <w:hyperlink w:history="1" w:anchor="_Toc181692887">
            <w:r w:rsidRPr="00833D53">
              <w:rPr>
                <w:rStyle w:val="Hyperlink"/>
                <w:noProof/>
              </w:rPr>
              <w:t>6.</w:t>
            </w:r>
            <w:r>
              <w:rPr>
                <w:rFonts w:asciiTheme="minorHAnsi" w:hAnsiTheme="minorHAnsi" w:cstheme="minorBidi"/>
                <w:noProof/>
                <w:kern w:val="2"/>
                <w:sz w:val="24"/>
                <w:szCs w:val="24"/>
                <w14:ligatures w14:val="standardContextual"/>
              </w:rPr>
              <w:tab/>
            </w:r>
            <w:r w:rsidRPr="00833D53">
              <w:rPr>
                <w:rStyle w:val="Hyperlink"/>
                <w:noProof/>
              </w:rPr>
              <w:t>Streamlining the Application and Registration Processes for all Telephone Corporations Including Interconnected Voice Over Internet Protocol Service Providers</w:t>
            </w:r>
            <w:r>
              <w:rPr>
                <w:noProof/>
                <w:webHidden/>
              </w:rPr>
              <w:tab/>
            </w:r>
            <w:r>
              <w:rPr>
                <w:noProof/>
                <w:webHidden/>
              </w:rPr>
              <w:fldChar w:fldCharType="begin"/>
            </w:r>
            <w:r>
              <w:rPr>
                <w:noProof/>
                <w:webHidden/>
              </w:rPr>
              <w:instrText xml:space="preserve"> PAGEREF _Toc181692887 \h </w:instrText>
            </w:r>
            <w:r>
              <w:rPr>
                <w:noProof/>
                <w:webHidden/>
              </w:rPr>
            </w:r>
            <w:r>
              <w:rPr>
                <w:noProof/>
                <w:webHidden/>
              </w:rPr>
              <w:fldChar w:fldCharType="separate"/>
            </w:r>
            <w:r>
              <w:rPr>
                <w:noProof/>
                <w:webHidden/>
              </w:rPr>
              <w:t>43</w:t>
            </w:r>
            <w:r>
              <w:rPr>
                <w:noProof/>
                <w:webHidden/>
              </w:rPr>
              <w:fldChar w:fldCharType="end"/>
            </w:r>
          </w:hyperlink>
        </w:p>
        <w:p w:rsidR="00645D56" w:rsidRDefault="00645D56" w14:paraId="3BED5276" w14:textId="1D3B255C">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888">
            <w:r w:rsidRPr="00833D53">
              <w:rPr>
                <w:rStyle w:val="Hyperlink"/>
                <w:noProof/>
              </w:rPr>
              <w:t>6.1.</w:t>
            </w:r>
            <w:r>
              <w:rPr>
                <w:rFonts w:asciiTheme="minorHAnsi" w:hAnsiTheme="minorHAnsi" w:cstheme="minorBidi"/>
                <w:noProof/>
                <w:kern w:val="2"/>
                <w:sz w:val="24"/>
                <w:szCs w:val="24"/>
                <w14:ligatures w14:val="standardContextual"/>
              </w:rPr>
              <w:tab/>
            </w:r>
            <w:r w:rsidRPr="00833D53">
              <w:rPr>
                <w:rStyle w:val="Hyperlink"/>
                <w:noProof/>
              </w:rPr>
              <w:t>Certificate of Public Convenience and Necessity Application and Section 1013 Registration Updates</w:t>
            </w:r>
            <w:r>
              <w:rPr>
                <w:noProof/>
                <w:webHidden/>
              </w:rPr>
              <w:tab/>
            </w:r>
            <w:r>
              <w:rPr>
                <w:noProof/>
                <w:webHidden/>
              </w:rPr>
              <w:fldChar w:fldCharType="begin"/>
            </w:r>
            <w:r>
              <w:rPr>
                <w:noProof/>
                <w:webHidden/>
              </w:rPr>
              <w:instrText xml:space="preserve"> PAGEREF _Toc181692888 \h </w:instrText>
            </w:r>
            <w:r>
              <w:rPr>
                <w:noProof/>
                <w:webHidden/>
              </w:rPr>
            </w:r>
            <w:r>
              <w:rPr>
                <w:noProof/>
                <w:webHidden/>
              </w:rPr>
              <w:fldChar w:fldCharType="separate"/>
            </w:r>
            <w:r>
              <w:rPr>
                <w:noProof/>
                <w:webHidden/>
              </w:rPr>
              <w:t>46</w:t>
            </w:r>
            <w:r>
              <w:rPr>
                <w:noProof/>
                <w:webHidden/>
              </w:rPr>
              <w:fldChar w:fldCharType="end"/>
            </w:r>
          </w:hyperlink>
        </w:p>
        <w:p w:rsidR="00645D56" w:rsidRDefault="00645D56" w14:paraId="1A814991" w14:textId="64415E9E">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889">
            <w:r w:rsidRPr="00833D53">
              <w:rPr>
                <w:rStyle w:val="Hyperlink"/>
                <w:noProof/>
              </w:rPr>
              <w:t>6.1.1.</w:t>
            </w:r>
            <w:r>
              <w:rPr>
                <w:rFonts w:asciiTheme="minorHAnsi" w:hAnsiTheme="minorHAnsi" w:cstheme="minorBidi"/>
                <w:noProof/>
                <w:kern w:val="2"/>
                <w:sz w:val="24"/>
                <w:szCs w:val="24"/>
                <w14:ligatures w14:val="standardContextual"/>
              </w:rPr>
              <w:tab/>
            </w:r>
            <w:r w:rsidRPr="00833D53">
              <w:rPr>
                <w:rStyle w:val="Hyperlink"/>
                <w:noProof/>
              </w:rPr>
              <w:t>Application Fee Related to Section 1013 Registration Reassignments</w:t>
            </w:r>
            <w:r>
              <w:rPr>
                <w:noProof/>
                <w:webHidden/>
              </w:rPr>
              <w:tab/>
            </w:r>
            <w:r>
              <w:rPr>
                <w:noProof/>
                <w:webHidden/>
              </w:rPr>
              <w:fldChar w:fldCharType="begin"/>
            </w:r>
            <w:r>
              <w:rPr>
                <w:noProof/>
                <w:webHidden/>
              </w:rPr>
              <w:instrText xml:space="preserve"> PAGEREF _Toc181692889 \h </w:instrText>
            </w:r>
            <w:r>
              <w:rPr>
                <w:noProof/>
                <w:webHidden/>
              </w:rPr>
            </w:r>
            <w:r>
              <w:rPr>
                <w:noProof/>
                <w:webHidden/>
              </w:rPr>
              <w:fldChar w:fldCharType="separate"/>
            </w:r>
            <w:r>
              <w:rPr>
                <w:noProof/>
                <w:webHidden/>
              </w:rPr>
              <w:t>47</w:t>
            </w:r>
            <w:r>
              <w:rPr>
                <w:noProof/>
                <w:webHidden/>
              </w:rPr>
              <w:fldChar w:fldCharType="end"/>
            </w:r>
          </w:hyperlink>
        </w:p>
        <w:p w:rsidR="00645D56" w:rsidRDefault="00645D56" w14:paraId="6CF00B33" w14:textId="67EFAECB">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890">
            <w:r w:rsidRPr="00833D53">
              <w:rPr>
                <w:rStyle w:val="Hyperlink"/>
                <w:noProof/>
              </w:rPr>
              <w:t>6.1.2.</w:t>
            </w:r>
            <w:r>
              <w:rPr>
                <w:rFonts w:asciiTheme="minorHAnsi" w:hAnsiTheme="minorHAnsi" w:cstheme="minorBidi"/>
                <w:noProof/>
                <w:kern w:val="2"/>
                <w:sz w:val="24"/>
                <w:szCs w:val="24"/>
                <w14:ligatures w14:val="standardContextual"/>
              </w:rPr>
              <w:tab/>
            </w:r>
            <w:r w:rsidRPr="00833D53">
              <w:rPr>
                <w:rStyle w:val="Hyperlink"/>
                <w:noProof/>
              </w:rPr>
              <w:t>Licensing and Registration Application Information</w:t>
            </w:r>
            <w:r>
              <w:rPr>
                <w:noProof/>
                <w:webHidden/>
              </w:rPr>
              <w:tab/>
            </w:r>
            <w:r>
              <w:rPr>
                <w:noProof/>
                <w:webHidden/>
              </w:rPr>
              <w:fldChar w:fldCharType="begin"/>
            </w:r>
            <w:r>
              <w:rPr>
                <w:noProof/>
                <w:webHidden/>
              </w:rPr>
              <w:instrText xml:space="preserve"> PAGEREF _Toc181692890 \h </w:instrText>
            </w:r>
            <w:r>
              <w:rPr>
                <w:noProof/>
                <w:webHidden/>
              </w:rPr>
            </w:r>
            <w:r>
              <w:rPr>
                <w:noProof/>
                <w:webHidden/>
              </w:rPr>
              <w:fldChar w:fldCharType="separate"/>
            </w:r>
            <w:r>
              <w:rPr>
                <w:noProof/>
                <w:webHidden/>
              </w:rPr>
              <w:t>47</w:t>
            </w:r>
            <w:r>
              <w:rPr>
                <w:noProof/>
                <w:webHidden/>
              </w:rPr>
              <w:fldChar w:fldCharType="end"/>
            </w:r>
          </w:hyperlink>
        </w:p>
        <w:p w:rsidR="00645D56" w:rsidRDefault="00645D56" w14:paraId="4FEAA753" w14:textId="4A8DEE68">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891">
            <w:r w:rsidRPr="00833D53">
              <w:rPr>
                <w:rStyle w:val="Hyperlink"/>
                <w:noProof/>
              </w:rPr>
              <w:t>6.1.3.</w:t>
            </w:r>
            <w:r>
              <w:rPr>
                <w:rFonts w:asciiTheme="minorHAnsi" w:hAnsiTheme="minorHAnsi" w:cstheme="minorBidi"/>
                <w:noProof/>
                <w:kern w:val="2"/>
                <w:sz w:val="24"/>
                <w:szCs w:val="24"/>
                <w14:ligatures w14:val="standardContextual"/>
              </w:rPr>
              <w:tab/>
            </w:r>
            <w:r w:rsidRPr="00833D53">
              <w:rPr>
                <w:rStyle w:val="Hyperlink"/>
                <w:noProof/>
              </w:rPr>
              <w:t>Presumption of Confidentiality for Certain Financial Documents, Construction Costs, and Customer Numbers</w:t>
            </w:r>
            <w:r>
              <w:rPr>
                <w:noProof/>
                <w:webHidden/>
              </w:rPr>
              <w:tab/>
            </w:r>
            <w:r>
              <w:rPr>
                <w:noProof/>
                <w:webHidden/>
              </w:rPr>
              <w:fldChar w:fldCharType="begin"/>
            </w:r>
            <w:r>
              <w:rPr>
                <w:noProof/>
                <w:webHidden/>
              </w:rPr>
              <w:instrText xml:space="preserve"> PAGEREF _Toc181692891 \h </w:instrText>
            </w:r>
            <w:r>
              <w:rPr>
                <w:noProof/>
                <w:webHidden/>
              </w:rPr>
            </w:r>
            <w:r>
              <w:rPr>
                <w:noProof/>
                <w:webHidden/>
              </w:rPr>
              <w:fldChar w:fldCharType="separate"/>
            </w:r>
            <w:r>
              <w:rPr>
                <w:noProof/>
                <w:webHidden/>
              </w:rPr>
              <w:t>48</w:t>
            </w:r>
            <w:r>
              <w:rPr>
                <w:noProof/>
                <w:webHidden/>
              </w:rPr>
              <w:fldChar w:fldCharType="end"/>
            </w:r>
          </w:hyperlink>
        </w:p>
        <w:p w:rsidR="00645D56" w:rsidRDefault="00645D56" w14:paraId="78220878" w14:textId="539441DB">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892">
            <w:r w:rsidRPr="00833D53">
              <w:rPr>
                <w:rStyle w:val="Hyperlink"/>
                <w:noProof/>
              </w:rPr>
              <w:t>6.1.4.</w:t>
            </w:r>
            <w:r>
              <w:rPr>
                <w:rFonts w:asciiTheme="minorHAnsi" w:hAnsiTheme="minorHAnsi" w:cstheme="minorBidi"/>
                <w:noProof/>
                <w:kern w:val="2"/>
                <w:sz w:val="24"/>
                <w:szCs w:val="24"/>
                <w14:ligatures w14:val="standardContextual"/>
              </w:rPr>
              <w:tab/>
            </w:r>
            <w:r w:rsidRPr="00833D53">
              <w:rPr>
                <w:rStyle w:val="Hyperlink"/>
                <w:noProof/>
              </w:rPr>
              <w:t>Clarification of Cash Requirements for New Market Entrants</w:t>
            </w:r>
            <w:r>
              <w:rPr>
                <w:noProof/>
                <w:webHidden/>
              </w:rPr>
              <w:tab/>
            </w:r>
            <w:r>
              <w:rPr>
                <w:noProof/>
                <w:webHidden/>
              </w:rPr>
              <w:fldChar w:fldCharType="begin"/>
            </w:r>
            <w:r>
              <w:rPr>
                <w:noProof/>
                <w:webHidden/>
              </w:rPr>
              <w:instrText xml:space="preserve"> PAGEREF _Toc181692892 \h </w:instrText>
            </w:r>
            <w:r>
              <w:rPr>
                <w:noProof/>
                <w:webHidden/>
              </w:rPr>
            </w:r>
            <w:r>
              <w:rPr>
                <w:noProof/>
                <w:webHidden/>
              </w:rPr>
              <w:fldChar w:fldCharType="separate"/>
            </w:r>
            <w:r>
              <w:rPr>
                <w:noProof/>
                <w:webHidden/>
              </w:rPr>
              <w:t>54</w:t>
            </w:r>
            <w:r>
              <w:rPr>
                <w:noProof/>
                <w:webHidden/>
              </w:rPr>
              <w:fldChar w:fldCharType="end"/>
            </w:r>
          </w:hyperlink>
        </w:p>
        <w:p w:rsidR="00645D56" w:rsidRDefault="00645D56" w14:paraId="4CABE452" w14:textId="23C0BE9E">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893">
            <w:r w:rsidRPr="00833D53">
              <w:rPr>
                <w:rStyle w:val="Hyperlink"/>
                <w:noProof/>
              </w:rPr>
              <w:t>6.1.5.</w:t>
            </w:r>
            <w:r>
              <w:rPr>
                <w:rFonts w:asciiTheme="minorHAnsi" w:hAnsiTheme="minorHAnsi" w:cstheme="minorBidi"/>
                <w:noProof/>
                <w:kern w:val="2"/>
                <w:sz w:val="24"/>
                <w:szCs w:val="24"/>
                <w14:ligatures w14:val="standardContextual"/>
              </w:rPr>
              <w:tab/>
            </w:r>
            <w:r w:rsidRPr="00833D53">
              <w:rPr>
                <w:rStyle w:val="Hyperlink"/>
                <w:noProof/>
              </w:rPr>
              <w:t>California Environmental Quality Act Review</w:t>
            </w:r>
            <w:r>
              <w:rPr>
                <w:noProof/>
                <w:webHidden/>
              </w:rPr>
              <w:tab/>
            </w:r>
            <w:r>
              <w:rPr>
                <w:noProof/>
                <w:webHidden/>
              </w:rPr>
              <w:fldChar w:fldCharType="begin"/>
            </w:r>
            <w:r>
              <w:rPr>
                <w:noProof/>
                <w:webHidden/>
              </w:rPr>
              <w:instrText xml:space="preserve"> PAGEREF _Toc181692893 \h </w:instrText>
            </w:r>
            <w:r>
              <w:rPr>
                <w:noProof/>
                <w:webHidden/>
              </w:rPr>
            </w:r>
            <w:r>
              <w:rPr>
                <w:noProof/>
                <w:webHidden/>
              </w:rPr>
              <w:fldChar w:fldCharType="separate"/>
            </w:r>
            <w:r>
              <w:rPr>
                <w:noProof/>
                <w:webHidden/>
              </w:rPr>
              <w:t>56</w:t>
            </w:r>
            <w:r>
              <w:rPr>
                <w:noProof/>
                <w:webHidden/>
              </w:rPr>
              <w:fldChar w:fldCharType="end"/>
            </w:r>
          </w:hyperlink>
        </w:p>
        <w:p w:rsidR="00645D56" w:rsidRDefault="00645D56" w14:paraId="7962FA06" w14:textId="0D2A97FD">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894">
            <w:r w:rsidRPr="00833D53">
              <w:rPr>
                <w:rStyle w:val="Hyperlink"/>
                <w:noProof/>
              </w:rPr>
              <w:t>6.2.</w:t>
            </w:r>
            <w:r>
              <w:rPr>
                <w:rFonts w:asciiTheme="minorHAnsi" w:hAnsiTheme="minorHAnsi" w:cstheme="minorBidi"/>
                <w:noProof/>
                <w:kern w:val="2"/>
                <w:sz w:val="24"/>
                <w:szCs w:val="24"/>
                <w14:ligatures w14:val="standardContextual"/>
              </w:rPr>
              <w:tab/>
            </w:r>
            <w:r w:rsidRPr="00833D53">
              <w:rPr>
                <w:rStyle w:val="Hyperlink"/>
                <w:noProof/>
              </w:rPr>
              <w:t>Communications Division May Revise Application and Registration Forms Consistent with Commission Decisions</w:t>
            </w:r>
            <w:r>
              <w:rPr>
                <w:noProof/>
                <w:webHidden/>
              </w:rPr>
              <w:tab/>
            </w:r>
            <w:r>
              <w:rPr>
                <w:noProof/>
                <w:webHidden/>
              </w:rPr>
              <w:fldChar w:fldCharType="begin"/>
            </w:r>
            <w:r>
              <w:rPr>
                <w:noProof/>
                <w:webHidden/>
              </w:rPr>
              <w:instrText xml:space="preserve"> PAGEREF _Toc181692894 \h </w:instrText>
            </w:r>
            <w:r>
              <w:rPr>
                <w:noProof/>
                <w:webHidden/>
              </w:rPr>
            </w:r>
            <w:r>
              <w:rPr>
                <w:noProof/>
                <w:webHidden/>
              </w:rPr>
              <w:fldChar w:fldCharType="separate"/>
            </w:r>
            <w:r>
              <w:rPr>
                <w:noProof/>
                <w:webHidden/>
              </w:rPr>
              <w:t>58</w:t>
            </w:r>
            <w:r>
              <w:rPr>
                <w:noProof/>
                <w:webHidden/>
              </w:rPr>
              <w:fldChar w:fldCharType="end"/>
            </w:r>
          </w:hyperlink>
        </w:p>
        <w:p w:rsidR="00645D56" w:rsidRDefault="00645D56" w14:paraId="651EA905" w14:textId="366C86BA">
          <w:pPr>
            <w:pStyle w:val="TOC1"/>
            <w:tabs>
              <w:tab w:val="right" w:leader="dot" w:pos="9350"/>
            </w:tabs>
            <w:rPr>
              <w:rFonts w:asciiTheme="minorHAnsi" w:hAnsiTheme="minorHAnsi" w:cstheme="minorBidi"/>
              <w:noProof/>
              <w:kern w:val="2"/>
              <w:sz w:val="24"/>
              <w:szCs w:val="24"/>
              <w14:ligatures w14:val="standardContextual"/>
            </w:rPr>
          </w:pPr>
          <w:hyperlink w:history="1" w:anchor="_Toc181692895">
            <w:r w:rsidRPr="00833D53">
              <w:rPr>
                <w:rStyle w:val="Hyperlink"/>
                <w:noProof/>
              </w:rPr>
              <w:t>7.</w:t>
            </w:r>
            <w:r>
              <w:rPr>
                <w:rFonts w:asciiTheme="minorHAnsi" w:hAnsiTheme="minorHAnsi" w:cstheme="minorBidi"/>
                <w:noProof/>
                <w:kern w:val="2"/>
                <w:sz w:val="24"/>
                <w:szCs w:val="24"/>
                <w14:ligatures w14:val="standardContextual"/>
              </w:rPr>
              <w:tab/>
            </w:r>
            <w:r w:rsidRPr="00833D53">
              <w:rPr>
                <w:rStyle w:val="Hyperlink"/>
                <w:noProof/>
              </w:rPr>
              <w:t>Migration Process for Interconnected Voice Over Internet Protocol Service Providers Holding Prior Section 285 Registration or Section 1001 or Section 1013 Operating Authority</w:t>
            </w:r>
            <w:r>
              <w:rPr>
                <w:noProof/>
                <w:webHidden/>
              </w:rPr>
              <w:tab/>
            </w:r>
            <w:r>
              <w:rPr>
                <w:noProof/>
                <w:webHidden/>
              </w:rPr>
              <w:fldChar w:fldCharType="begin"/>
            </w:r>
            <w:r>
              <w:rPr>
                <w:noProof/>
                <w:webHidden/>
              </w:rPr>
              <w:instrText xml:space="preserve"> PAGEREF _Toc181692895 \h </w:instrText>
            </w:r>
            <w:r>
              <w:rPr>
                <w:noProof/>
                <w:webHidden/>
              </w:rPr>
            </w:r>
            <w:r>
              <w:rPr>
                <w:noProof/>
                <w:webHidden/>
              </w:rPr>
              <w:fldChar w:fldCharType="separate"/>
            </w:r>
            <w:r>
              <w:rPr>
                <w:noProof/>
                <w:webHidden/>
              </w:rPr>
              <w:t>60</w:t>
            </w:r>
            <w:r>
              <w:rPr>
                <w:noProof/>
                <w:webHidden/>
              </w:rPr>
              <w:fldChar w:fldCharType="end"/>
            </w:r>
          </w:hyperlink>
        </w:p>
        <w:p w:rsidR="00645D56" w:rsidRDefault="00645D56" w14:paraId="644713EF" w14:textId="284629C7">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896">
            <w:r w:rsidRPr="00833D53">
              <w:rPr>
                <w:rStyle w:val="Hyperlink"/>
                <w:noProof/>
              </w:rPr>
              <w:t>7.1.</w:t>
            </w:r>
            <w:r>
              <w:rPr>
                <w:rFonts w:asciiTheme="minorHAnsi" w:hAnsiTheme="minorHAnsi" w:cstheme="minorBidi"/>
                <w:noProof/>
                <w:kern w:val="2"/>
                <w:sz w:val="24"/>
                <w:szCs w:val="24"/>
                <w14:ligatures w14:val="standardContextual"/>
              </w:rPr>
              <w:tab/>
            </w:r>
            <w:r w:rsidRPr="00833D53">
              <w:rPr>
                <w:rStyle w:val="Hyperlink"/>
                <w:noProof/>
              </w:rPr>
              <w:t>Migration for Providers Already Registered as Section 285 Service Providers</w:t>
            </w:r>
            <w:r>
              <w:rPr>
                <w:noProof/>
                <w:webHidden/>
              </w:rPr>
              <w:tab/>
            </w:r>
            <w:r>
              <w:rPr>
                <w:noProof/>
                <w:webHidden/>
              </w:rPr>
              <w:fldChar w:fldCharType="begin"/>
            </w:r>
            <w:r>
              <w:rPr>
                <w:noProof/>
                <w:webHidden/>
              </w:rPr>
              <w:instrText xml:space="preserve"> PAGEREF _Toc181692896 \h </w:instrText>
            </w:r>
            <w:r>
              <w:rPr>
                <w:noProof/>
                <w:webHidden/>
              </w:rPr>
            </w:r>
            <w:r>
              <w:rPr>
                <w:noProof/>
                <w:webHidden/>
              </w:rPr>
              <w:fldChar w:fldCharType="separate"/>
            </w:r>
            <w:r>
              <w:rPr>
                <w:noProof/>
                <w:webHidden/>
              </w:rPr>
              <w:t>62</w:t>
            </w:r>
            <w:r>
              <w:rPr>
                <w:noProof/>
                <w:webHidden/>
              </w:rPr>
              <w:fldChar w:fldCharType="end"/>
            </w:r>
          </w:hyperlink>
        </w:p>
        <w:p w:rsidR="00645D56" w:rsidRDefault="00645D56" w14:paraId="15D49FFA" w14:textId="43648DDA">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897">
            <w:r w:rsidRPr="00833D53">
              <w:rPr>
                <w:rStyle w:val="Hyperlink"/>
                <w:noProof/>
              </w:rPr>
              <w:t>7.1.1.</w:t>
            </w:r>
            <w:r>
              <w:rPr>
                <w:rFonts w:asciiTheme="minorHAnsi" w:hAnsiTheme="minorHAnsi" w:cstheme="minorBidi"/>
                <w:noProof/>
                <w:kern w:val="2"/>
                <w:sz w:val="24"/>
                <w:szCs w:val="24"/>
                <w14:ligatures w14:val="standardContextual"/>
              </w:rPr>
              <w:tab/>
            </w:r>
            <w:r w:rsidRPr="00833D53">
              <w:rPr>
                <w:rStyle w:val="Hyperlink"/>
                <w:noProof/>
              </w:rPr>
              <w:t>Automatic Migration from Digital Voice Service to Digital Voice Fixed Status</w:t>
            </w:r>
            <w:r>
              <w:rPr>
                <w:noProof/>
                <w:webHidden/>
              </w:rPr>
              <w:tab/>
            </w:r>
            <w:r>
              <w:rPr>
                <w:noProof/>
                <w:webHidden/>
              </w:rPr>
              <w:fldChar w:fldCharType="begin"/>
            </w:r>
            <w:r>
              <w:rPr>
                <w:noProof/>
                <w:webHidden/>
              </w:rPr>
              <w:instrText xml:space="preserve"> PAGEREF _Toc181692897 \h </w:instrText>
            </w:r>
            <w:r>
              <w:rPr>
                <w:noProof/>
                <w:webHidden/>
              </w:rPr>
            </w:r>
            <w:r>
              <w:rPr>
                <w:noProof/>
                <w:webHidden/>
              </w:rPr>
              <w:fldChar w:fldCharType="separate"/>
            </w:r>
            <w:r>
              <w:rPr>
                <w:noProof/>
                <w:webHidden/>
              </w:rPr>
              <w:t>62</w:t>
            </w:r>
            <w:r>
              <w:rPr>
                <w:noProof/>
                <w:webHidden/>
              </w:rPr>
              <w:fldChar w:fldCharType="end"/>
            </w:r>
          </w:hyperlink>
        </w:p>
        <w:p w:rsidR="00645D56" w:rsidRDefault="00645D56" w14:paraId="1909FFBB" w14:textId="48552A62">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898">
            <w:r w:rsidRPr="00833D53">
              <w:rPr>
                <w:rStyle w:val="Hyperlink"/>
                <w:noProof/>
              </w:rPr>
              <w:t>7.1.2.</w:t>
            </w:r>
            <w:r>
              <w:rPr>
                <w:rFonts w:asciiTheme="minorHAnsi" w:hAnsiTheme="minorHAnsi" w:cstheme="minorBidi"/>
                <w:noProof/>
                <w:kern w:val="2"/>
                <w:sz w:val="24"/>
                <w:szCs w:val="24"/>
                <w14:ligatures w14:val="standardContextual"/>
              </w:rPr>
              <w:tab/>
            </w:r>
            <w:r w:rsidRPr="00833D53">
              <w:rPr>
                <w:rStyle w:val="Hyperlink"/>
                <w:noProof/>
              </w:rPr>
              <w:t>Opt</w:t>
            </w:r>
            <w:r w:rsidRPr="00833D53">
              <w:rPr>
                <w:rStyle w:val="Hyperlink"/>
                <w:noProof/>
              </w:rPr>
              <w:noBreakHyphen/>
              <w:t>Out from Automatic Migration Options</w:t>
            </w:r>
            <w:r>
              <w:rPr>
                <w:noProof/>
                <w:webHidden/>
              </w:rPr>
              <w:tab/>
            </w:r>
            <w:r>
              <w:rPr>
                <w:noProof/>
                <w:webHidden/>
              </w:rPr>
              <w:fldChar w:fldCharType="begin"/>
            </w:r>
            <w:r>
              <w:rPr>
                <w:noProof/>
                <w:webHidden/>
              </w:rPr>
              <w:instrText xml:space="preserve"> PAGEREF _Toc181692898 \h </w:instrText>
            </w:r>
            <w:r>
              <w:rPr>
                <w:noProof/>
                <w:webHidden/>
              </w:rPr>
            </w:r>
            <w:r>
              <w:rPr>
                <w:noProof/>
                <w:webHidden/>
              </w:rPr>
              <w:fldChar w:fldCharType="separate"/>
            </w:r>
            <w:r>
              <w:rPr>
                <w:noProof/>
                <w:webHidden/>
              </w:rPr>
              <w:t>63</w:t>
            </w:r>
            <w:r>
              <w:rPr>
                <w:noProof/>
                <w:webHidden/>
              </w:rPr>
              <w:fldChar w:fldCharType="end"/>
            </w:r>
          </w:hyperlink>
        </w:p>
        <w:p w:rsidR="00645D56" w:rsidRDefault="00645D56" w14:paraId="2FA46E78" w14:textId="5CCBA1BF">
          <w:pPr>
            <w:pStyle w:val="TOC4"/>
            <w:tabs>
              <w:tab w:val="left" w:pos="3007"/>
              <w:tab w:val="right" w:leader="dot" w:pos="9350"/>
            </w:tabs>
            <w:rPr>
              <w:rFonts w:asciiTheme="minorHAnsi" w:hAnsiTheme="minorHAnsi" w:eastAsiaTheme="minorEastAsia"/>
              <w:noProof/>
              <w:kern w:val="2"/>
              <w:sz w:val="24"/>
              <w:szCs w:val="24"/>
              <w14:ligatures w14:val="standardContextual"/>
            </w:rPr>
          </w:pPr>
          <w:hyperlink w:history="1" w:anchor="_Toc181692899">
            <w:r w:rsidRPr="00833D53">
              <w:rPr>
                <w:rStyle w:val="Hyperlink"/>
                <w:noProof/>
              </w:rPr>
              <w:t>7.1.2.1.</w:t>
            </w:r>
            <w:r>
              <w:rPr>
                <w:rFonts w:asciiTheme="minorHAnsi" w:hAnsiTheme="minorHAnsi" w:eastAsiaTheme="minorEastAsia"/>
                <w:noProof/>
                <w:kern w:val="2"/>
                <w:sz w:val="24"/>
                <w:szCs w:val="24"/>
                <w14:ligatures w14:val="standardContextual"/>
              </w:rPr>
              <w:tab/>
            </w:r>
            <w:r w:rsidRPr="00833D53">
              <w:rPr>
                <w:rStyle w:val="Hyperlink"/>
                <w:noProof/>
              </w:rPr>
              <w:t>Opt</w:t>
            </w:r>
            <w:r w:rsidRPr="00833D53">
              <w:rPr>
                <w:rStyle w:val="Hyperlink"/>
                <w:noProof/>
              </w:rPr>
              <w:noBreakHyphen/>
              <w:t>Out for Section 285 Nomadic</w:t>
            </w:r>
            <w:r w:rsidRPr="00833D53">
              <w:rPr>
                <w:rStyle w:val="Hyperlink"/>
                <w:noProof/>
              </w:rPr>
              <w:noBreakHyphen/>
              <w:t>Only Interconnected Voice Over Internet Protocol Service Providers</w:t>
            </w:r>
            <w:r>
              <w:rPr>
                <w:noProof/>
                <w:webHidden/>
              </w:rPr>
              <w:tab/>
            </w:r>
            <w:r>
              <w:rPr>
                <w:noProof/>
                <w:webHidden/>
              </w:rPr>
              <w:fldChar w:fldCharType="begin"/>
            </w:r>
            <w:r>
              <w:rPr>
                <w:noProof/>
                <w:webHidden/>
              </w:rPr>
              <w:instrText xml:space="preserve"> PAGEREF _Toc181692899 \h </w:instrText>
            </w:r>
            <w:r>
              <w:rPr>
                <w:noProof/>
                <w:webHidden/>
              </w:rPr>
            </w:r>
            <w:r>
              <w:rPr>
                <w:noProof/>
                <w:webHidden/>
              </w:rPr>
              <w:fldChar w:fldCharType="separate"/>
            </w:r>
            <w:r>
              <w:rPr>
                <w:noProof/>
                <w:webHidden/>
              </w:rPr>
              <w:t>63</w:t>
            </w:r>
            <w:r>
              <w:rPr>
                <w:noProof/>
                <w:webHidden/>
              </w:rPr>
              <w:fldChar w:fldCharType="end"/>
            </w:r>
          </w:hyperlink>
        </w:p>
        <w:p w:rsidR="00645D56" w:rsidRDefault="00645D56" w14:paraId="522EBAA6" w14:textId="1415A214">
          <w:pPr>
            <w:pStyle w:val="TOC4"/>
            <w:tabs>
              <w:tab w:val="left" w:pos="3007"/>
              <w:tab w:val="right" w:leader="dot" w:pos="9350"/>
            </w:tabs>
            <w:rPr>
              <w:rFonts w:asciiTheme="minorHAnsi" w:hAnsiTheme="minorHAnsi" w:eastAsiaTheme="minorEastAsia"/>
              <w:noProof/>
              <w:kern w:val="2"/>
              <w:sz w:val="24"/>
              <w:szCs w:val="24"/>
              <w14:ligatures w14:val="standardContextual"/>
            </w:rPr>
          </w:pPr>
          <w:hyperlink w:history="1" w:anchor="_Toc181692900">
            <w:r w:rsidRPr="00833D53">
              <w:rPr>
                <w:rStyle w:val="Hyperlink"/>
                <w:noProof/>
              </w:rPr>
              <w:t>7.1.2.2.</w:t>
            </w:r>
            <w:r>
              <w:rPr>
                <w:rFonts w:asciiTheme="minorHAnsi" w:hAnsiTheme="minorHAnsi" w:eastAsiaTheme="minorEastAsia"/>
                <w:noProof/>
                <w:kern w:val="2"/>
                <w:sz w:val="24"/>
                <w:szCs w:val="24"/>
                <w14:ligatures w14:val="standardContextual"/>
              </w:rPr>
              <w:tab/>
            </w:r>
            <w:r w:rsidRPr="00833D53">
              <w:rPr>
                <w:rStyle w:val="Hyperlink"/>
                <w:noProof/>
              </w:rPr>
              <w:t>Opt</w:t>
            </w:r>
            <w:r w:rsidRPr="00833D53">
              <w:rPr>
                <w:rStyle w:val="Hyperlink"/>
                <w:noProof/>
              </w:rPr>
              <w:noBreakHyphen/>
              <w:t>Out for Section 285 Providers Planning to Cease Operations</w:t>
            </w:r>
            <w:r>
              <w:rPr>
                <w:noProof/>
                <w:webHidden/>
              </w:rPr>
              <w:tab/>
            </w:r>
            <w:r>
              <w:rPr>
                <w:noProof/>
                <w:webHidden/>
              </w:rPr>
              <w:fldChar w:fldCharType="begin"/>
            </w:r>
            <w:r>
              <w:rPr>
                <w:noProof/>
                <w:webHidden/>
              </w:rPr>
              <w:instrText xml:space="preserve"> PAGEREF _Toc181692900 \h </w:instrText>
            </w:r>
            <w:r>
              <w:rPr>
                <w:noProof/>
                <w:webHidden/>
              </w:rPr>
            </w:r>
            <w:r>
              <w:rPr>
                <w:noProof/>
                <w:webHidden/>
              </w:rPr>
              <w:fldChar w:fldCharType="separate"/>
            </w:r>
            <w:r>
              <w:rPr>
                <w:noProof/>
                <w:webHidden/>
              </w:rPr>
              <w:t>64</w:t>
            </w:r>
            <w:r>
              <w:rPr>
                <w:noProof/>
                <w:webHidden/>
              </w:rPr>
              <w:fldChar w:fldCharType="end"/>
            </w:r>
          </w:hyperlink>
        </w:p>
        <w:p w:rsidR="00645D56" w:rsidRDefault="00645D56" w14:paraId="65BB4FF7" w14:textId="47798730">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01">
            <w:r w:rsidRPr="00833D53">
              <w:rPr>
                <w:rStyle w:val="Hyperlink"/>
                <w:noProof/>
              </w:rPr>
              <w:t>7.1.3.</w:t>
            </w:r>
            <w:r>
              <w:rPr>
                <w:rFonts w:asciiTheme="minorHAnsi" w:hAnsiTheme="minorHAnsi" w:cstheme="minorBidi"/>
                <w:noProof/>
                <w:kern w:val="2"/>
                <w:sz w:val="24"/>
                <w:szCs w:val="24"/>
                <w14:ligatures w14:val="standardContextual"/>
              </w:rPr>
              <w:tab/>
            </w:r>
            <w:r w:rsidRPr="00833D53">
              <w:rPr>
                <w:rStyle w:val="Hyperlink"/>
                <w:noProof/>
              </w:rPr>
              <w:t>Providers Changing Status After Conclusion of Migration Process</w:t>
            </w:r>
            <w:r>
              <w:rPr>
                <w:noProof/>
                <w:webHidden/>
              </w:rPr>
              <w:tab/>
            </w:r>
            <w:r>
              <w:rPr>
                <w:noProof/>
                <w:webHidden/>
              </w:rPr>
              <w:fldChar w:fldCharType="begin"/>
            </w:r>
            <w:r>
              <w:rPr>
                <w:noProof/>
                <w:webHidden/>
              </w:rPr>
              <w:instrText xml:space="preserve"> PAGEREF _Toc181692901 \h </w:instrText>
            </w:r>
            <w:r>
              <w:rPr>
                <w:noProof/>
                <w:webHidden/>
              </w:rPr>
            </w:r>
            <w:r>
              <w:rPr>
                <w:noProof/>
                <w:webHidden/>
              </w:rPr>
              <w:fldChar w:fldCharType="separate"/>
            </w:r>
            <w:r>
              <w:rPr>
                <w:noProof/>
                <w:webHidden/>
              </w:rPr>
              <w:t>65</w:t>
            </w:r>
            <w:r>
              <w:rPr>
                <w:noProof/>
                <w:webHidden/>
              </w:rPr>
              <w:fldChar w:fldCharType="end"/>
            </w:r>
          </w:hyperlink>
        </w:p>
        <w:p w:rsidR="00645D56" w:rsidRDefault="00645D56" w14:paraId="5DF79284" w14:textId="0A7DC835">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02">
            <w:r w:rsidRPr="00833D53">
              <w:rPr>
                <w:rStyle w:val="Hyperlink"/>
                <w:noProof/>
              </w:rPr>
              <w:t>7.1.4.</w:t>
            </w:r>
            <w:r>
              <w:rPr>
                <w:rFonts w:asciiTheme="minorHAnsi" w:hAnsiTheme="minorHAnsi" w:cstheme="minorBidi"/>
                <w:noProof/>
                <w:kern w:val="2"/>
                <w:sz w:val="24"/>
                <w:szCs w:val="24"/>
                <w14:ligatures w14:val="standardContextual"/>
              </w:rPr>
              <w:tab/>
            </w:r>
            <w:r w:rsidRPr="00833D53">
              <w:rPr>
                <w:rStyle w:val="Hyperlink"/>
                <w:noProof/>
              </w:rPr>
              <w:t>Options for Interconnected VoIP Service Providers Holding Operating Authority</w:t>
            </w:r>
            <w:r>
              <w:rPr>
                <w:noProof/>
                <w:webHidden/>
              </w:rPr>
              <w:tab/>
            </w:r>
            <w:r>
              <w:rPr>
                <w:noProof/>
                <w:webHidden/>
              </w:rPr>
              <w:fldChar w:fldCharType="begin"/>
            </w:r>
            <w:r>
              <w:rPr>
                <w:noProof/>
                <w:webHidden/>
              </w:rPr>
              <w:instrText xml:space="preserve"> PAGEREF _Toc181692902 \h </w:instrText>
            </w:r>
            <w:r>
              <w:rPr>
                <w:noProof/>
                <w:webHidden/>
              </w:rPr>
            </w:r>
            <w:r>
              <w:rPr>
                <w:noProof/>
                <w:webHidden/>
              </w:rPr>
              <w:fldChar w:fldCharType="separate"/>
            </w:r>
            <w:r>
              <w:rPr>
                <w:noProof/>
                <w:webHidden/>
              </w:rPr>
              <w:t>65</w:t>
            </w:r>
            <w:r>
              <w:rPr>
                <w:noProof/>
                <w:webHidden/>
              </w:rPr>
              <w:fldChar w:fldCharType="end"/>
            </w:r>
          </w:hyperlink>
        </w:p>
        <w:p w:rsidR="00645D56" w:rsidRDefault="00645D56" w14:paraId="7DBCBF58" w14:textId="70E26652">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903">
            <w:r w:rsidRPr="00833D53">
              <w:rPr>
                <w:rStyle w:val="Hyperlink"/>
                <w:noProof/>
              </w:rPr>
              <w:t>7.2.</w:t>
            </w:r>
            <w:r>
              <w:rPr>
                <w:rFonts w:asciiTheme="minorHAnsi" w:hAnsiTheme="minorHAnsi" w:cstheme="minorBidi"/>
                <w:noProof/>
                <w:kern w:val="2"/>
                <w:sz w:val="24"/>
                <w:szCs w:val="24"/>
                <w14:ligatures w14:val="standardContextual"/>
              </w:rPr>
              <w:tab/>
            </w:r>
            <w:r w:rsidRPr="00833D53">
              <w:rPr>
                <w:rStyle w:val="Hyperlink"/>
                <w:noProof/>
              </w:rPr>
              <w:t>Existing Interconnected Voice Over Internet Protocol Service Providers Granted Section 1001 or Section 1013 Operating Authority Since August 2022</w:t>
            </w:r>
            <w:r>
              <w:rPr>
                <w:noProof/>
                <w:webHidden/>
              </w:rPr>
              <w:tab/>
            </w:r>
            <w:r>
              <w:rPr>
                <w:noProof/>
                <w:webHidden/>
              </w:rPr>
              <w:fldChar w:fldCharType="begin"/>
            </w:r>
            <w:r>
              <w:rPr>
                <w:noProof/>
                <w:webHidden/>
              </w:rPr>
              <w:instrText xml:space="preserve"> PAGEREF _Toc181692903 \h </w:instrText>
            </w:r>
            <w:r>
              <w:rPr>
                <w:noProof/>
                <w:webHidden/>
              </w:rPr>
            </w:r>
            <w:r>
              <w:rPr>
                <w:noProof/>
                <w:webHidden/>
              </w:rPr>
              <w:fldChar w:fldCharType="separate"/>
            </w:r>
            <w:r>
              <w:rPr>
                <w:noProof/>
                <w:webHidden/>
              </w:rPr>
              <w:t>66</w:t>
            </w:r>
            <w:r>
              <w:rPr>
                <w:noProof/>
                <w:webHidden/>
              </w:rPr>
              <w:fldChar w:fldCharType="end"/>
            </w:r>
          </w:hyperlink>
        </w:p>
        <w:p w:rsidR="00645D56" w:rsidRDefault="00645D56" w14:paraId="4D059AAA" w14:textId="7B4EC661">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04">
            <w:r w:rsidRPr="00833D53">
              <w:rPr>
                <w:rStyle w:val="Hyperlink"/>
                <w:noProof/>
              </w:rPr>
              <w:t>7.2.1.</w:t>
            </w:r>
            <w:r>
              <w:rPr>
                <w:rFonts w:asciiTheme="minorHAnsi" w:hAnsiTheme="minorHAnsi" w:cstheme="minorBidi"/>
                <w:noProof/>
                <w:kern w:val="2"/>
                <w:sz w:val="24"/>
                <w:szCs w:val="24"/>
                <w14:ligatures w14:val="standardContextual"/>
              </w:rPr>
              <w:tab/>
            </w:r>
            <w:r w:rsidRPr="00833D53">
              <w:rPr>
                <w:rStyle w:val="Hyperlink"/>
                <w:noProof/>
              </w:rPr>
              <w:t>Automatic Migration from Interexchange Reseller Status to Digital Voice Fixed Status</w:t>
            </w:r>
            <w:r>
              <w:rPr>
                <w:noProof/>
                <w:webHidden/>
              </w:rPr>
              <w:tab/>
            </w:r>
            <w:r>
              <w:rPr>
                <w:noProof/>
                <w:webHidden/>
              </w:rPr>
              <w:fldChar w:fldCharType="begin"/>
            </w:r>
            <w:r>
              <w:rPr>
                <w:noProof/>
                <w:webHidden/>
              </w:rPr>
              <w:instrText xml:space="preserve"> PAGEREF _Toc181692904 \h </w:instrText>
            </w:r>
            <w:r>
              <w:rPr>
                <w:noProof/>
                <w:webHidden/>
              </w:rPr>
            </w:r>
            <w:r>
              <w:rPr>
                <w:noProof/>
                <w:webHidden/>
              </w:rPr>
              <w:fldChar w:fldCharType="separate"/>
            </w:r>
            <w:r>
              <w:rPr>
                <w:noProof/>
                <w:webHidden/>
              </w:rPr>
              <w:t>67</w:t>
            </w:r>
            <w:r>
              <w:rPr>
                <w:noProof/>
                <w:webHidden/>
              </w:rPr>
              <w:fldChar w:fldCharType="end"/>
            </w:r>
          </w:hyperlink>
        </w:p>
        <w:p w:rsidR="00645D56" w:rsidRDefault="00645D56" w14:paraId="6B0B43CC" w14:textId="7FB895CF">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05">
            <w:r w:rsidRPr="00833D53">
              <w:rPr>
                <w:rStyle w:val="Hyperlink"/>
                <w:noProof/>
              </w:rPr>
              <w:t>7.2.2.</w:t>
            </w:r>
            <w:r>
              <w:rPr>
                <w:rFonts w:asciiTheme="minorHAnsi" w:hAnsiTheme="minorHAnsi" w:cstheme="minorBidi"/>
                <w:noProof/>
                <w:kern w:val="2"/>
                <w:sz w:val="24"/>
                <w:szCs w:val="24"/>
                <w14:ligatures w14:val="standardContextual"/>
              </w:rPr>
              <w:tab/>
            </w:r>
            <w:r w:rsidRPr="00833D53">
              <w:rPr>
                <w:rStyle w:val="Hyperlink"/>
                <w:noProof/>
              </w:rPr>
              <w:t>Opt</w:t>
            </w:r>
            <w:r w:rsidRPr="00833D53">
              <w:rPr>
                <w:rStyle w:val="Hyperlink"/>
                <w:noProof/>
              </w:rPr>
              <w:noBreakHyphen/>
              <w:t>Out of Migration From Interexchange Reseller Status to Digital Voice Fixed Status</w:t>
            </w:r>
            <w:r>
              <w:rPr>
                <w:noProof/>
                <w:webHidden/>
              </w:rPr>
              <w:tab/>
            </w:r>
            <w:r>
              <w:rPr>
                <w:noProof/>
                <w:webHidden/>
              </w:rPr>
              <w:fldChar w:fldCharType="begin"/>
            </w:r>
            <w:r>
              <w:rPr>
                <w:noProof/>
                <w:webHidden/>
              </w:rPr>
              <w:instrText xml:space="preserve"> PAGEREF _Toc181692905 \h </w:instrText>
            </w:r>
            <w:r>
              <w:rPr>
                <w:noProof/>
                <w:webHidden/>
              </w:rPr>
            </w:r>
            <w:r>
              <w:rPr>
                <w:noProof/>
                <w:webHidden/>
              </w:rPr>
              <w:fldChar w:fldCharType="separate"/>
            </w:r>
            <w:r>
              <w:rPr>
                <w:noProof/>
                <w:webHidden/>
              </w:rPr>
              <w:t>67</w:t>
            </w:r>
            <w:r>
              <w:rPr>
                <w:noProof/>
                <w:webHidden/>
              </w:rPr>
              <w:fldChar w:fldCharType="end"/>
            </w:r>
          </w:hyperlink>
        </w:p>
        <w:p w:rsidR="00645D56" w:rsidRDefault="00645D56" w14:paraId="2A34D35C" w14:textId="06C28750">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906">
            <w:r w:rsidRPr="00833D53">
              <w:rPr>
                <w:rStyle w:val="Hyperlink"/>
                <w:noProof/>
              </w:rPr>
              <w:t>7.3.</w:t>
            </w:r>
            <w:r>
              <w:rPr>
                <w:rFonts w:asciiTheme="minorHAnsi" w:hAnsiTheme="minorHAnsi" w:cstheme="minorBidi"/>
                <w:noProof/>
                <w:kern w:val="2"/>
                <w:sz w:val="24"/>
                <w:szCs w:val="24"/>
                <w14:ligatures w14:val="standardContextual"/>
              </w:rPr>
              <w:tab/>
            </w:r>
            <w:r w:rsidRPr="00833D53">
              <w:rPr>
                <w:rStyle w:val="Hyperlink"/>
                <w:noProof/>
              </w:rPr>
              <w:t>Existing Interconnected Voice Over Internet Protocol Service Providers Granted Section 1001 or Section 1013 Operating Authority Prior to August 2022</w:t>
            </w:r>
            <w:r>
              <w:rPr>
                <w:noProof/>
                <w:webHidden/>
              </w:rPr>
              <w:tab/>
            </w:r>
            <w:r>
              <w:rPr>
                <w:noProof/>
                <w:webHidden/>
              </w:rPr>
              <w:fldChar w:fldCharType="begin"/>
            </w:r>
            <w:r>
              <w:rPr>
                <w:noProof/>
                <w:webHidden/>
              </w:rPr>
              <w:instrText xml:space="preserve"> PAGEREF _Toc181692906 \h </w:instrText>
            </w:r>
            <w:r>
              <w:rPr>
                <w:noProof/>
                <w:webHidden/>
              </w:rPr>
            </w:r>
            <w:r>
              <w:rPr>
                <w:noProof/>
                <w:webHidden/>
              </w:rPr>
              <w:fldChar w:fldCharType="separate"/>
            </w:r>
            <w:r>
              <w:rPr>
                <w:noProof/>
                <w:webHidden/>
              </w:rPr>
              <w:t>67</w:t>
            </w:r>
            <w:r>
              <w:rPr>
                <w:noProof/>
                <w:webHidden/>
              </w:rPr>
              <w:fldChar w:fldCharType="end"/>
            </w:r>
          </w:hyperlink>
        </w:p>
        <w:p w:rsidR="00645D56" w:rsidRDefault="00645D56" w14:paraId="479D39C7" w14:textId="25BA94A2">
          <w:pPr>
            <w:pStyle w:val="TOC1"/>
            <w:tabs>
              <w:tab w:val="right" w:leader="dot" w:pos="9350"/>
            </w:tabs>
            <w:rPr>
              <w:rFonts w:asciiTheme="minorHAnsi" w:hAnsiTheme="minorHAnsi" w:cstheme="minorBidi"/>
              <w:noProof/>
              <w:kern w:val="2"/>
              <w:sz w:val="24"/>
              <w:szCs w:val="24"/>
              <w14:ligatures w14:val="standardContextual"/>
            </w:rPr>
          </w:pPr>
          <w:hyperlink w:history="1" w:anchor="_Toc181692907">
            <w:r w:rsidRPr="00833D53">
              <w:rPr>
                <w:rStyle w:val="Hyperlink"/>
                <w:noProof/>
              </w:rPr>
              <w:t>8.</w:t>
            </w:r>
            <w:r>
              <w:rPr>
                <w:rFonts w:asciiTheme="minorHAnsi" w:hAnsiTheme="minorHAnsi" w:cstheme="minorBidi"/>
                <w:noProof/>
                <w:kern w:val="2"/>
                <w:sz w:val="24"/>
                <w:szCs w:val="24"/>
                <w14:ligatures w14:val="standardContextual"/>
              </w:rPr>
              <w:tab/>
            </w:r>
            <w:r w:rsidRPr="00833D53">
              <w:rPr>
                <w:rStyle w:val="Hyperlink"/>
                <w:noProof/>
              </w:rPr>
              <w:t>Regulatory Obligations for All Interconnected Voice Over Internet Protocol Service Providers</w:t>
            </w:r>
            <w:r>
              <w:rPr>
                <w:noProof/>
                <w:webHidden/>
              </w:rPr>
              <w:tab/>
            </w:r>
            <w:r>
              <w:rPr>
                <w:noProof/>
                <w:webHidden/>
              </w:rPr>
              <w:fldChar w:fldCharType="begin"/>
            </w:r>
            <w:r>
              <w:rPr>
                <w:noProof/>
                <w:webHidden/>
              </w:rPr>
              <w:instrText xml:space="preserve"> PAGEREF _Toc181692907 \h </w:instrText>
            </w:r>
            <w:r>
              <w:rPr>
                <w:noProof/>
                <w:webHidden/>
              </w:rPr>
            </w:r>
            <w:r>
              <w:rPr>
                <w:noProof/>
                <w:webHidden/>
              </w:rPr>
              <w:fldChar w:fldCharType="separate"/>
            </w:r>
            <w:r>
              <w:rPr>
                <w:noProof/>
                <w:webHidden/>
              </w:rPr>
              <w:t>68</w:t>
            </w:r>
            <w:r>
              <w:rPr>
                <w:noProof/>
                <w:webHidden/>
              </w:rPr>
              <w:fldChar w:fldCharType="end"/>
            </w:r>
          </w:hyperlink>
        </w:p>
        <w:p w:rsidR="00645D56" w:rsidRDefault="00645D56" w14:paraId="75BE5A76" w14:textId="3D8E2BD3">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908">
            <w:r w:rsidRPr="00833D53">
              <w:rPr>
                <w:rStyle w:val="Hyperlink"/>
                <w:noProof/>
              </w:rPr>
              <w:t>8.1.</w:t>
            </w:r>
            <w:r>
              <w:rPr>
                <w:rFonts w:asciiTheme="minorHAnsi" w:hAnsiTheme="minorHAnsi" w:cstheme="minorBidi"/>
                <w:noProof/>
                <w:kern w:val="2"/>
                <w:sz w:val="24"/>
                <w:szCs w:val="24"/>
                <w14:ligatures w14:val="standardContextual"/>
              </w:rPr>
              <w:tab/>
            </w:r>
            <w:r w:rsidRPr="00833D53">
              <w:rPr>
                <w:rStyle w:val="Hyperlink"/>
                <w:noProof/>
              </w:rPr>
              <w:t>Existing Obligations Ongoing and Unchanged by This Decision</w:t>
            </w:r>
            <w:r>
              <w:rPr>
                <w:noProof/>
                <w:webHidden/>
              </w:rPr>
              <w:tab/>
            </w:r>
            <w:r>
              <w:rPr>
                <w:noProof/>
                <w:webHidden/>
              </w:rPr>
              <w:fldChar w:fldCharType="begin"/>
            </w:r>
            <w:r>
              <w:rPr>
                <w:noProof/>
                <w:webHidden/>
              </w:rPr>
              <w:instrText xml:space="preserve"> PAGEREF _Toc181692908 \h </w:instrText>
            </w:r>
            <w:r>
              <w:rPr>
                <w:noProof/>
                <w:webHidden/>
              </w:rPr>
            </w:r>
            <w:r>
              <w:rPr>
                <w:noProof/>
                <w:webHidden/>
              </w:rPr>
              <w:fldChar w:fldCharType="separate"/>
            </w:r>
            <w:r>
              <w:rPr>
                <w:noProof/>
                <w:webHidden/>
              </w:rPr>
              <w:t>68</w:t>
            </w:r>
            <w:r>
              <w:rPr>
                <w:noProof/>
                <w:webHidden/>
              </w:rPr>
              <w:fldChar w:fldCharType="end"/>
            </w:r>
          </w:hyperlink>
        </w:p>
        <w:p w:rsidR="00645D56" w:rsidRDefault="00645D56" w14:paraId="22A15289" w14:textId="64196318">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09">
            <w:r w:rsidRPr="00833D53">
              <w:rPr>
                <w:rStyle w:val="Hyperlink"/>
                <w:noProof/>
              </w:rPr>
              <w:t>8.1.1.</w:t>
            </w:r>
            <w:r>
              <w:rPr>
                <w:rFonts w:asciiTheme="minorHAnsi" w:hAnsiTheme="minorHAnsi" w:cstheme="minorBidi"/>
                <w:noProof/>
                <w:kern w:val="2"/>
                <w:sz w:val="24"/>
                <w:szCs w:val="24"/>
                <w14:ligatures w14:val="standardContextual"/>
              </w:rPr>
              <w:tab/>
            </w:r>
            <w:r w:rsidRPr="00833D53">
              <w:rPr>
                <w:rStyle w:val="Hyperlink"/>
                <w:noProof/>
              </w:rPr>
              <w:t>Universal Service Surcharge Obligations</w:t>
            </w:r>
            <w:r>
              <w:rPr>
                <w:noProof/>
                <w:webHidden/>
              </w:rPr>
              <w:tab/>
            </w:r>
            <w:r>
              <w:rPr>
                <w:noProof/>
                <w:webHidden/>
              </w:rPr>
              <w:fldChar w:fldCharType="begin"/>
            </w:r>
            <w:r>
              <w:rPr>
                <w:noProof/>
                <w:webHidden/>
              </w:rPr>
              <w:instrText xml:space="preserve"> PAGEREF _Toc181692909 \h </w:instrText>
            </w:r>
            <w:r>
              <w:rPr>
                <w:noProof/>
                <w:webHidden/>
              </w:rPr>
            </w:r>
            <w:r>
              <w:rPr>
                <w:noProof/>
                <w:webHidden/>
              </w:rPr>
              <w:fldChar w:fldCharType="separate"/>
            </w:r>
            <w:r>
              <w:rPr>
                <w:noProof/>
                <w:webHidden/>
              </w:rPr>
              <w:t>69</w:t>
            </w:r>
            <w:r>
              <w:rPr>
                <w:noProof/>
                <w:webHidden/>
              </w:rPr>
              <w:fldChar w:fldCharType="end"/>
            </w:r>
          </w:hyperlink>
        </w:p>
        <w:p w:rsidR="00645D56" w:rsidRDefault="00645D56" w14:paraId="21E81A61" w14:textId="4AF54B98">
          <w:pPr>
            <w:pStyle w:val="TOC4"/>
            <w:tabs>
              <w:tab w:val="left" w:pos="3007"/>
              <w:tab w:val="right" w:leader="dot" w:pos="9350"/>
            </w:tabs>
            <w:rPr>
              <w:rFonts w:asciiTheme="minorHAnsi" w:hAnsiTheme="minorHAnsi" w:eastAsiaTheme="minorEastAsia"/>
              <w:noProof/>
              <w:kern w:val="2"/>
              <w:sz w:val="24"/>
              <w:szCs w:val="24"/>
              <w14:ligatures w14:val="standardContextual"/>
            </w:rPr>
          </w:pPr>
          <w:hyperlink w:history="1" w:anchor="_Toc181692910">
            <w:r w:rsidRPr="00833D53">
              <w:rPr>
                <w:rStyle w:val="Hyperlink"/>
                <w:noProof/>
              </w:rPr>
              <w:t>8.1.1.1.</w:t>
            </w:r>
            <w:r>
              <w:rPr>
                <w:rFonts w:asciiTheme="minorHAnsi" w:hAnsiTheme="minorHAnsi" w:eastAsiaTheme="minorEastAsia"/>
                <w:noProof/>
                <w:kern w:val="2"/>
                <w:sz w:val="24"/>
                <w:szCs w:val="24"/>
                <w14:ligatures w14:val="standardContextual"/>
              </w:rPr>
              <w:tab/>
            </w:r>
            <w:r w:rsidRPr="00833D53">
              <w:rPr>
                <w:rStyle w:val="Hyperlink"/>
                <w:noProof/>
              </w:rPr>
              <w:t>Failure to Comply with Surcharge Obligation</w:t>
            </w:r>
            <w:r>
              <w:rPr>
                <w:noProof/>
                <w:webHidden/>
              </w:rPr>
              <w:tab/>
            </w:r>
            <w:r>
              <w:rPr>
                <w:noProof/>
                <w:webHidden/>
              </w:rPr>
              <w:fldChar w:fldCharType="begin"/>
            </w:r>
            <w:r>
              <w:rPr>
                <w:noProof/>
                <w:webHidden/>
              </w:rPr>
              <w:instrText xml:space="preserve"> PAGEREF _Toc181692910 \h </w:instrText>
            </w:r>
            <w:r>
              <w:rPr>
                <w:noProof/>
                <w:webHidden/>
              </w:rPr>
            </w:r>
            <w:r>
              <w:rPr>
                <w:noProof/>
                <w:webHidden/>
              </w:rPr>
              <w:fldChar w:fldCharType="separate"/>
            </w:r>
            <w:r>
              <w:rPr>
                <w:noProof/>
                <w:webHidden/>
              </w:rPr>
              <w:t>70</w:t>
            </w:r>
            <w:r>
              <w:rPr>
                <w:noProof/>
                <w:webHidden/>
              </w:rPr>
              <w:fldChar w:fldCharType="end"/>
            </w:r>
          </w:hyperlink>
        </w:p>
        <w:p w:rsidR="00645D56" w:rsidRDefault="00645D56" w14:paraId="6048AF16" w14:textId="135C1ACB">
          <w:pPr>
            <w:pStyle w:val="TOC4"/>
            <w:tabs>
              <w:tab w:val="left" w:pos="3007"/>
              <w:tab w:val="right" w:leader="dot" w:pos="9350"/>
            </w:tabs>
            <w:rPr>
              <w:rFonts w:asciiTheme="minorHAnsi" w:hAnsiTheme="minorHAnsi" w:eastAsiaTheme="minorEastAsia"/>
              <w:noProof/>
              <w:kern w:val="2"/>
              <w:sz w:val="24"/>
              <w:szCs w:val="24"/>
              <w14:ligatures w14:val="standardContextual"/>
            </w:rPr>
          </w:pPr>
          <w:hyperlink w:history="1" w:anchor="_Toc181692911">
            <w:r w:rsidRPr="00833D53">
              <w:rPr>
                <w:rStyle w:val="Hyperlink"/>
                <w:noProof/>
              </w:rPr>
              <w:t>8.1.1.2.</w:t>
            </w:r>
            <w:r>
              <w:rPr>
                <w:rFonts w:asciiTheme="minorHAnsi" w:hAnsiTheme="minorHAnsi" w:eastAsiaTheme="minorEastAsia"/>
                <w:noProof/>
                <w:kern w:val="2"/>
                <w:sz w:val="24"/>
                <w:szCs w:val="24"/>
                <w14:ligatures w14:val="standardContextual"/>
              </w:rPr>
              <w:tab/>
            </w:r>
            <w:r w:rsidRPr="00833D53">
              <w:rPr>
                <w:rStyle w:val="Hyperlink"/>
                <w:noProof/>
              </w:rPr>
              <w:t>Collection of Past Surcharges Owed</w:t>
            </w:r>
            <w:r>
              <w:rPr>
                <w:noProof/>
                <w:webHidden/>
              </w:rPr>
              <w:tab/>
            </w:r>
            <w:r>
              <w:rPr>
                <w:noProof/>
                <w:webHidden/>
              </w:rPr>
              <w:fldChar w:fldCharType="begin"/>
            </w:r>
            <w:r>
              <w:rPr>
                <w:noProof/>
                <w:webHidden/>
              </w:rPr>
              <w:instrText xml:space="preserve"> PAGEREF _Toc181692911 \h </w:instrText>
            </w:r>
            <w:r>
              <w:rPr>
                <w:noProof/>
                <w:webHidden/>
              </w:rPr>
            </w:r>
            <w:r>
              <w:rPr>
                <w:noProof/>
                <w:webHidden/>
              </w:rPr>
              <w:fldChar w:fldCharType="separate"/>
            </w:r>
            <w:r>
              <w:rPr>
                <w:noProof/>
                <w:webHidden/>
              </w:rPr>
              <w:t>72</w:t>
            </w:r>
            <w:r>
              <w:rPr>
                <w:noProof/>
                <w:webHidden/>
              </w:rPr>
              <w:fldChar w:fldCharType="end"/>
            </w:r>
          </w:hyperlink>
        </w:p>
        <w:p w:rsidR="00645D56" w:rsidRDefault="00645D56" w14:paraId="5F71D381" w14:textId="39EF1E4A">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12">
            <w:r w:rsidRPr="00833D53">
              <w:rPr>
                <w:rStyle w:val="Hyperlink"/>
                <w:noProof/>
              </w:rPr>
              <w:t>8.1.2.</w:t>
            </w:r>
            <w:r>
              <w:rPr>
                <w:rFonts w:asciiTheme="minorHAnsi" w:hAnsiTheme="minorHAnsi" w:cstheme="minorBidi"/>
                <w:noProof/>
                <w:kern w:val="2"/>
                <w:sz w:val="24"/>
                <w:szCs w:val="24"/>
                <w14:ligatures w14:val="standardContextual"/>
              </w:rPr>
              <w:tab/>
            </w:r>
            <w:r w:rsidRPr="00833D53">
              <w:rPr>
                <w:rStyle w:val="Hyperlink"/>
                <w:noProof/>
              </w:rPr>
              <w:t>Public Safety</w:t>
            </w:r>
            <w:r>
              <w:rPr>
                <w:noProof/>
                <w:webHidden/>
              </w:rPr>
              <w:tab/>
            </w:r>
            <w:r>
              <w:rPr>
                <w:noProof/>
                <w:webHidden/>
              </w:rPr>
              <w:fldChar w:fldCharType="begin"/>
            </w:r>
            <w:r>
              <w:rPr>
                <w:noProof/>
                <w:webHidden/>
              </w:rPr>
              <w:instrText xml:space="preserve"> PAGEREF _Toc181692912 \h </w:instrText>
            </w:r>
            <w:r>
              <w:rPr>
                <w:noProof/>
                <w:webHidden/>
              </w:rPr>
            </w:r>
            <w:r>
              <w:rPr>
                <w:noProof/>
                <w:webHidden/>
              </w:rPr>
              <w:fldChar w:fldCharType="separate"/>
            </w:r>
            <w:r>
              <w:rPr>
                <w:noProof/>
                <w:webHidden/>
              </w:rPr>
              <w:t>73</w:t>
            </w:r>
            <w:r>
              <w:rPr>
                <w:noProof/>
                <w:webHidden/>
              </w:rPr>
              <w:fldChar w:fldCharType="end"/>
            </w:r>
          </w:hyperlink>
        </w:p>
        <w:p w:rsidR="00645D56" w:rsidRDefault="00645D56" w14:paraId="2CCBE703" w14:textId="0B148F41">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13">
            <w:r w:rsidRPr="00833D53">
              <w:rPr>
                <w:rStyle w:val="Hyperlink"/>
                <w:noProof/>
              </w:rPr>
              <w:t>8.1.3.</w:t>
            </w:r>
            <w:r>
              <w:rPr>
                <w:rFonts w:asciiTheme="minorHAnsi" w:hAnsiTheme="minorHAnsi" w:cstheme="minorBidi"/>
                <w:noProof/>
                <w:kern w:val="2"/>
                <w:sz w:val="24"/>
                <w:szCs w:val="24"/>
                <w14:ligatures w14:val="standardContextual"/>
              </w:rPr>
              <w:tab/>
            </w:r>
            <w:r w:rsidRPr="00833D53">
              <w:rPr>
                <w:rStyle w:val="Hyperlink"/>
                <w:noProof/>
              </w:rPr>
              <w:t>State Law</w:t>
            </w:r>
            <w:r>
              <w:rPr>
                <w:noProof/>
                <w:webHidden/>
              </w:rPr>
              <w:tab/>
            </w:r>
            <w:r>
              <w:rPr>
                <w:noProof/>
                <w:webHidden/>
              </w:rPr>
              <w:fldChar w:fldCharType="begin"/>
            </w:r>
            <w:r>
              <w:rPr>
                <w:noProof/>
                <w:webHidden/>
              </w:rPr>
              <w:instrText xml:space="preserve"> PAGEREF _Toc181692913 \h </w:instrText>
            </w:r>
            <w:r>
              <w:rPr>
                <w:noProof/>
                <w:webHidden/>
              </w:rPr>
            </w:r>
            <w:r>
              <w:rPr>
                <w:noProof/>
                <w:webHidden/>
              </w:rPr>
              <w:fldChar w:fldCharType="separate"/>
            </w:r>
            <w:r>
              <w:rPr>
                <w:noProof/>
                <w:webHidden/>
              </w:rPr>
              <w:t>76</w:t>
            </w:r>
            <w:r>
              <w:rPr>
                <w:noProof/>
                <w:webHidden/>
              </w:rPr>
              <w:fldChar w:fldCharType="end"/>
            </w:r>
          </w:hyperlink>
        </w:p>
        <w:p w:rsidR="00645D56" w:rsidRDefault="00645D56" w14:paraId="256A2E31" w14:textId="4E66F783">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14">
            <w:r w:rsidRPr="00833D53">
              <w:rPr>
                <w:rStyle w:val="Hyperlink"/>
                <w:noProof/>
              </w:rPr>
              <w:t>8.1.4.</w:t>
            </w:r>
            <w:r>
              <w:rPr>
                <w:rFonts w:asciiTheme="minorHAnsi" w:hAnsiTheme="minorHAnsi" w:cstheme="minorBidi"/>
                <w:noProof/>
                <w:kern w:val="2"/>
                <w:sz w:val="24"/>
                <w:szCs w:val="24"/>
                <w14:ligatures w14:val="standardContextual"/>
              </w:rPr>
              <w:tab/>
            </w:r>
            <w:r w:rsidRPr="00833D53">
              <w:rPr>
                <w:rStyle w:val="Hyperlink"/>
                <w:noProof/>
              </w:rPr>
              <w:t>Consumer Protection</w:t>
            </w:r>
            <w:r>
              <w:rPr>
                <w:noProof/>
                <w:webHidden/>
              </w:rPr>
              <w:tab/>
            </w:r>
            <w:r>
              <w:rPr>
                <w:noProof/>
                <w:webHidden/>
              </w:rPr>
              <w:fldChar w:fldCharType="begin"/>
            </w:r>
            <w:r>
              <w:rPr>
                <w:noProof/>
                <w:webHidden/>
              </w:rPr>
              <w:instrText xml:space="preserve"> PAGEREF _Toc181692914 \h </w:instrText>
            </w:r>
            <w:r>
              <w:rPr>
                <w:noProof/>
                <w:webHidden/>
              </w:rPr>
            </w:r>
            <w:r>
              <w:rPr>
                <w:noProof/>
                <w:webHidden/>
              </w:rPr>
              <w:fldChar w:fldCharType="separate"/>
            </w:r>
            <w:r>
              <w:rPr>
                <w:noProof/>
                <w:webHidden/>
              </w:rPr>
              <w:t>77</w:t>
            </w:r>
            <w:r>
              <w:rPr>
                <w:noProof/>
                <w:webHidden/>
              </w:rPr>
              <w:fldChar w:fldCharType="end"/>
            </w:r>
          </w:hyperlink>
        </w:p>
        <w:p w:rsidR="00645D56" w:rsidRDefault="00645D56" w14:paraId="757AC7F1" w14:textId="7BC5A217">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915">
            <w:r w:rsidRPr="00833D53">
              <w:rPr>
                <w:rStyle w:val="Hyperlink"/>
                <w:noProof/>
              </w:rPr>
              <w:t>8.2.</w:t>
            </w:r>
            <w:r>
              <w:rPr>
                <w:rFonts w:asciiTheme="minorHAnsi" w:hAnsiTheme="minorHAnsi" w:cstheme="minorBidi"/>
                <w:noProof/>
                <w:kern w:val="2"/>
                <w:sz w:val="24"/>
                <w:szCs w:val="24"/>
                <w14:ligatures w14:val="standardContextual"/>
              </w:rPr>
              <w:tab/>
            </w:r>
            <w:r w:rsidRPr="00833D53">
              <w:rPr>
                <w:rStyle w:val="Hyperlink"/>
                <w:noProof/>
              </w:rPr>
              <w:t>New Obligations and Exemptions Applicable to All Interconnected Voice Over Internet Protocol Service Providers</w:t>
            </w:r>
            <w:r>
              <w:rPr>
                <w:noProof/>
                <w:webHidden/>
              </w:rPr>
              <w:tab/>
            </w:r>
            <w:r>
              <w:rPr>
                <w:noProof/>
                <w:webHidden/>
              </w:rPr>
              <w:fldChar w:fldCharType="begin"/>
            </w:r>
            <w:r>
              <w:rPr>
                <w:noProof/>
                <w:webHidden/>
              </w:rPr>
              <w:instrText xml:space="preserve"> PAGEREF _Toc181692915 \h </w:instrText>
            </w:r>
            <w:r>
              <w:rPr>
                <w:noProof/>
                <w:webHidden/>
              </w:rPr>
            </w:r>
            <w:r>
              <w:rPr>
                <w:noProof/>
                <w:webHidden/>
              </w:rPr>
              <w:fldChar w:fldCharType="separate"/>
            </w:r>
            <w:r>
              <w:rPr>
                <w:noProof/>
                <w:webHidden/>
              </w:rPr>
              <w:t>79</w:t>
            </w:r>
            <w:r>
              <w:rPr>
                <w:noProof/>
                <w:webHidden/>
              </w:rPr>
              <w:fldChar w:fldCharType="end"/>
            </w:r>
          </w:hyperlink>
        </w:p>
        <w:p w:rsidR="00645D56" w:rsidRDefault="00645D56" w14:paraId="025566F5" w14:textId="577AFD10">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16">
            <w:r w:rsidRPr="00833D53">
              <w:rPr>
                <w:rStyle w:val="Hyperlink"/>
                <w:noProof/>
              </w:rPr>
              <w:t>8.2.1.</w:t>
            </w:r>
            <w:r>
              <w:rPr>
                <w:rFonts w:asciiTheme="minorHAnsi" w:hAnsiTheme="minorHAnsi" w:cstheme="minorBidi"/>
                <w:noProof/>
                <w:kern w:val="2"/>
                <w:sz w:val="24"/>
                <w:szCs w:val="24"/>
                <w14:ligatures w14:val="standardContextual"/>
              </w:rPr>
              <w:tab/>
            </w:r>
            <w:r w:rsidRPr="00833D53">
              <w:rPr>
                <w:rStyle w:val="Hyperlink"/>
                <w:noProof/>
              </w:rPr>
              <w:t>Initial and Annual Performance Bond</w:t>
            </w:r>
            <w:r>
              <w:rPr>
                <w:noProof/>
                <w:webHidden/>
              </w:rPr>
              <w:tab/>
            </w:r>
            <w:r>
              <w:rPr>
                <w:noProof/>
                <w:webHidden/>
              </w:rPr>
              <w:fldChar w:fldCharType="begin"/>
            </w:r>
            <w:r>
              <w:rPr>
                <w:noProof/>
                <w:webHidden/>
              </w:rPr>
              <w:instrText xml:space="preserve"> PAGEREF _Toc181692916 \h </w:instrText>
            </w:r>
            <w:r>
              <w:rPr>
                <w:noProof/>
                <w:webHidden/>
              </w:rPr>
            </w:r>
            <w:r>
              <w:rPr>
                <w:noProof/>
                <w:webHidden/>
              </w:rPr>
              <w:fldChar w:fldCharType="separate"/>
            </w:r>
            <w:r>
              <w:rPr>
                <w:noProof/>
                <w:webHidden/>
              </w:rPr>
              <w:t>79</w:t>
            </w:r>
            <w:r>
              <w:rPr>
                <w:noProof/>
                <w:webHidden/>
              </w:rPr>
              <w:fldChar w:fldCharType="end"/>
            </w:r>
          </w:hyperlink>
        </w:p>
        <w:p w:rsidR="00645D56" w:rsidRDefault="00645D56" w14:paraId="215B88F7" w14:textId="5981F3D7">
          <w:pPr>
            <w:pStyle w:val="TOC4"/>
            <w:tabs>
              <w:tab w:val="left" w:pos="3007"/>
              <w:tab w:val="right" w:leader="dot" w:pos="9350"/>
            </w:tabs>
            <w:rPr>
              <w:rFonts w:asciiTheme="minorHAnsi" w:hAnsiTheme="minorHAnsi" w:eastAsiaTheme="minorEastAsia"/>
              <w:noProof/>
              <w:kern w:val="2"/>
              <w:sz w:val="24"/>
              <w:szCs w:val="24"/>
              <w14:ligatures w14:val="standardContextual"/>
            </w:rPr>
          </w:pPr>
          <w:hyperlink w:history="1" w:anchor="_Toc181692917">
            <w:r w:rsidRPr="00833D53">
              <w:rPr>
                <w:rStyle w:val="Hyperlink"/>
                <w:noProof/>
              </w:rPr>
              <w:t>8.2.1.1.</w:t>
            </w:r>
            <w:r>
              <w:rPr>
                <w:rFonts w:asciiTheme="minorHAnsi" w:hAnsiTheme="minorHAnsi" w:eastAsiaTheme="minorEastAsia"/>
                <w:noProof/>
                <w:kern w:val="2"/>
                <w:sz w:val="24"/>
                <w:szCs w:val="24"/>
                <w14:ligatures w14:val="standardContextual"/>
              </w:rPr>
              <w:tab/>
            </w:r>
            <w:r w:rsidRPr="00833D53">
              <w:rPr>
                <w:rStyle w:val="Hyperlink"/>
                <w:noProof/>
              </w:rPr>
              <w:t>Performance Bond Requirements Updates</w:t>
            </w:r>
            <w:r>
              <w:rPr>
                <w:noProof/>
                <w:webHidden/>
              </w:rPr>
              <w:tab/>
            </w:r>
            <w:r>
              <w:rPr>
                <w:noProof/>
                <w:webHidden/>
              </w:rPr>
              <w:fldChar w:fldCharType="begin"/>
            </w:r>
            <w:r>
              <w:rPr>
                <w:noProof/>
                <w:webHidden/>
              </w:rPr>
              <w:instrText xml:space="preserve"> PAGEREF _Toc181692917 \h </w:instrText>
            </w:r>
            <w:r>
              <w:rPr>
                <w:noProof/>
                <w:webHidden/>
              </w:rPr>
            </w:r>
            <w:r>
              <w:rPr>
                <w:noProof/>
                <w:webHidden/>
              </w:rPr>
              <w:fldChar w:fldCharType="separate"/>
            </w:r>
            <w:r>
              <w:rPr>
                <w:noProof/>
                <w:webHidden/>
              </w:rPr>
              <w:t>81</w:t>
            </w:r>
            <w:r>
              <w:rPr>
                <w:noProof/>
                <w:webHidden/>
              </w:rPr>
              <w:fldChar w:fldCharType="end"/>
            </w:r>
          </w:hyperlink>
        </w:p>
        <w:p w:rsidR="00645D56" w:rsidRDefault="00645D56" w14:paraId="4FA23BE8" w14:textId="78524DF4">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18">
            <w:r w:rsidRPr="00833D53">
              <w:rPr>
                <w:rStyle w:val="Hyperlink"/>
                <w:noProof/>
              </w:rPr>
              <w:t>8.2.2.</w:t>
            </w:r>
            <w:r>
              <w:rPr>
                <w:rFonts w:asciiTheme="minorHAnsi" w:hAnsiTheme="minorHAnsi" w:cstheme="minorBidi"/>
                <w:noProof/>
                <w:kern w:val="2"/>
                <w:sz w:val="24"/>
                <w:szCs w:val="24"/>
                <w14:ligatures w14:val="standardContextual"/>
              </w:rPr>
              <w:tab/>
            </w:r>
            <w:r w:rsidRPr="00833D53">
              <w:rPr>
                <w:rStyle w:val="Hyperlink"/>
                <w:noProof/>
              </w:rPr>
              <w:t>California Public Utilities Commission User Fees</w:t>
            </w:r>
            <w:r>
              <w:rPr>
                <w:noProof/>
                <w:webHidden/>
              </w:rPr>
              <w:tab/>
            </w:r>
            <w:r>
              <w:rPr>
                <w:noProof/>
                <w:webHidden/>
              </w:rPr>
              <w:fldChar w:fldCharType="begin"/>
            </w:r>
            <w:r>
              <w:rPr>
                <w:noProof/>
                <w:webHidden/>
              </w:rPr>
              <w:instrText xml:space="preserve"> PAGEREF _Toc181692918 \h </w:instrText>
            </w:r>
            <w:r>
              <w:rPr>
                <w:noProof/>
                <w:webHidden/>
              </w:rPr>
            </w:r>
            <w:r>
              <w:rPr>
                <w:noProof/>
                <w:webHidden/>
              </w:rPr>
              <w:fldChar w:fldCharType="separate"/>
            </w:r>
            <w:r>
              <w:rPr>
                <w:noProof/>
                <w:webHidden/>
              </w:rPr>
              <w:t>83</w:t>
            </w:r>
            <w:r>
              <w:rPr>
                <w:noProof/>
                <w:webHidden/>
              </w:rPr>
              <w:fldChar w:fldCharType="end"/>
            </w:r>
          </w:hyperlink>
        </w:p>
        <w:p w:rsidR="00645D56" w:rsidRDefault="00645D56" w14:paraId="1DE10B66" w14:textId="04150FBE">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19">
            <w:r w:rsidRPr="00833D53">
              <w:rPr>
                <w:rStyle w:val="Hyperlink"/>
                <w:noProof/>
              </w:rPr>
              <w:t>8.2.3.</w:t>
            </w:r>
            <w:r>
              <w:rPr>
                <w:rFonts w:asciiTheme="minorHAnsi" w:hAnsiTheme="minorHAnsi" w:cstheme="minorBidi"/>
                <w:noProof/>
                <w:kern w:val="2"/>
                <w:sz w:val="24"/>
                <w:szCs w:val="24"/>
                <w14:ligatures w14:val="standardContextual"/>
              </w:rPr>
              <w:tab/>
            </w:r>
            <w:r w:rsidRPr="00833D53">
              <w:rPr>
                <w:rStyle w:val="Hyperlink"/>
                <w:noProof/>
              </w:rPr>
              <w:t>Annual Affiliate Transaction Report</w:t>
            </w:r>
            <w:r>
              <w:rPr>
                <w:noProof/>
                <w:webHidden/>
              </w:rPr>
              <w:tab/>
            </w:r>
            <w:r>
              <w:rPr>
                <w:noProof/>
                <w:webHidden/>
              </w:rPr>
              <w:fldChar w:fldCharType="begin"/>
            </w:r>
            <w:r>
              <w:rPr>
                <w:noProof/>
                <w:webHidden/>
              </w:rPr>
              <w:instrText xml:space="preserve"> PAGEREF _Toc181692919 \h </w:instrText>
            </w:r>
            <w:r>
              <w:rPr>
                <w:noProof/>
                <w:webHidden/>
              </w:rPr>
            </w:r>
            <w:r>
              <w:rPr>
                <w:noProof/>
                <w:webHidden/>
              </w:rPr>
              <w:fldChar w:fldCharType="separate"/>
            </w:r>
            <w:r>
              <w:rPr>
                <w:noProof/>
                <w:webHidden/>
              </w:rPr>
              <w:t>85</w:t>
            </w:r>
            <w:r>
              <w:rPr>
                <w:noProof/>
                <w:webHidden/>
              </w:rPr>
              <w:fldChar w:fldCharType="end"/>
            </w:r>
          </w:hyperlink>
        </w:p>
        <w:p w:rsidR="00645D56" w:rsidRDefault="00645D56" w14:paraId="5D7F12E8" w14:textId="069474A7">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20">
            <w:r w:rsidRPr="00833D53">
              <w:rPr>
                <w:rStyle w:val="Hyperlink"/>
                <w:noProof/>
              </w:rPr>
              <w:t>8.2.4.</w:t>
            </w:r>
            <w:r>
              <w:rPr>
                <w:rFonts w:asciiTheme="minorHAnsi" w:hAnsiTheme="minorHAnsi" w:cstheme="minorBidi"/>
                <w:noProof/>
                <w:kern w:val="2"/>
                <w:sz w:val="24"/>
                <w:szCs w:val="24"/>
                <w14:ligatures w14:val="standardContextual"/>
              </w:rPr>
              <w:tab/>
            </w:r>
            <w:r w:rsidRPr="00833D53">
              <w:rPr>
                <w:rStyle w:val="Hyperlink"/>
                <w:noProof/>
              </w:rPr>
              <w:t>Annual Report on Operations and Financials Pursuant to General Order 104</w:t>
            </w:r>
            <w:r w:rsidRPr="00833D53">
              <w:rPr>
                <w:rStyle w:val="Hyperlink"/>
                <w:noProof/>
              </w:rPr>
              <w:noBreakHyphen/>
              <w:t>A</w:t>
            </w:r>
            <w:r>
              <w:rPr>
                <w:noProof/>
                <w:webHidden/>
              </w:rPr>
              <w:tab/>
            </w:r>
            <w:r>
              <w:rPr>
                <w:noProof/>
                <w:webHidden/>
              </w:rPr>
              <w:fldChar w:fldCharType="begin"/>
            </w:r>
            <w:r>
              <w:rPr>
                <w:noProof/>
                <w:webHidden/>
              </w:rPr>
              <w:instrText xml:space="preserve"> PAGEREF _Toc181692920 \h </w:instrText>
            </w:r>
            <w:r>
              <w:rPr>
                <w:noProof/>
                <w:webHidden/>
              </w:rPr>
            </w:r>
            <w:r>
              <w:rPr>
                <w:noProof/>
                <w:webHidden/>
              </w:rPr>
              <w:fldChar w:fldCharType="separate"/>
            </w:r>
            <w:r>
              <w:rPr>
                <w:noProof/>
                <w:webHidden/>
              </w:rPr>
              <w:t>86</w:t>
            </w:r>
            <w:r>
              <w:rPr>
                <w:noProof/>
                <w:webHidden/>
              </w:rPr>
              <w:fldChar w:fldCharType="end"/>
            </w:r>
          </w:hyperlink>
        </w:p>
        <w:p w:rsidR="00645D56" w:rsidRDefault="00645D56" w14:paraId="6F0539BA" w14:textId="02B89947">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21">
            <w:r w:rsidRPr="00833D53">
              <w:rPr>
                <w:rStyle w:val="Hyperlink"/>
                <w:noProof/>
              </w:rPr>
              <w:t>8.2.5.</w:t>
            </w:r>
            <w:r>
              <w:rPr>
                <w:rFonts w:asciiTheme="minorHAnsi" w:hAnsiTheme="minorHAnsi" w:cstheme="minorBidi"/>
                <w:noProof/>
                <w:kern w:val="2"/>
                <w:sz w:val="24"/>
                <w:szCs w:val="24"/>
                <w14:ligatures w14:val="standardContextual"/>
              </w:rPr>
              <w:tab/>
            </w:r>
            <w:r w:rsidRPr="00833D53">
              <w:rPr>
                <w:rStyle w:val="Hyperlink"/>
                <w:noProof/>
              </w:rPr>
              <w:t>Maintenance of Books and Records with Generally Accepted Accounting Principles</w:t>
            </w:r>
            <w:r>
              <w:rPr>
                <w:noProof/>
                <w:webHidden/>
              </w:rPr>
              <w:tab/>
            </w:r>
            <w:r>
              <w:rPr>
                <w:noProof/>
                <w:webHidden/>
              </w:rPr>
              <w:fldChar w:fldCharType="begin"/>
            </w:r>
            <w:r>
              <w:rPr>
                <w:noProof/>
                <w:webHidden/>
              </w:rPr>
              <w:instrText xml:space="preserve"> PAGEREF _Toc181692921 \h </w:instrText>
            </w:r>
            <w:r>
              <w:rPr>
                <w:noProof/>
                <w:webHidden/>
              </w:rPr>
            </w:r>
            <w:r>
              <w:rPr>
                <w:noProof/>
                <w:webHidden/>
              </w:rPr>
              <w:fldChar w:fldCharType="separate"/>
            </w:r>
            <w:r>
              <w:rPr>
                <w:noProof/>
                <w:webHidden/>
              </w:rPr>
              <w:t>87</w:t>
            </w:r>
            <w:r>
              <w:rPr>
                <w:noProof/>
                <w:webHidden/>
              </w:rPr>
              <w:fldChar w:fldCharType="end"/>
            </w:r>
          </w:hyperlink>
        </w:p>
        <w:p w:rsidR="00645D56" w:rsidRDefault="00645D56" w14:paraId="3684808B" w14:textId="7C9CE3E2">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22">
            <w:r w:rsidRPr="00833D53">
              <w:rPr>
                <w:rStyle w:val="Hyperlink"/>
                <w:noProof/>
              </w:rPr>
              <w:t>8.2.6.</w:t>
            </w:r>
            <w:r>
              <w:rPr>
                <w:rFonts w:asciiTheme="minorHAnsi" w:hAnsiTheme="minorHAnsi" w:cstheme="minorBidi"/>
                <w:noProof/>
                <w:kern w:val="2"/>
                <w:sz w:val="24"/>
                <w:szCs w:val="24"/>
                <w14:ligatures w14:val="standardContextual"/>
              </w:rPr>
              <w:tab/>
            </w:r>
            <w:r w:rsidRPr="00833D53">
              <w:rPr>
                <w:rStyle w:val="Hyperlink"/>
                <w:noProof/>
              </w:rPr>
              <w:t>Rates of Service</w:t>
            </w:r>
            <w:r>
              <w:rPr>
                <w:noProof/>
                <w:webHidden/>
              </w:rPr>
              <w:tab/>
            </w:r>
            <w:r>
              <w:rPr>
                <w:noProof/>
                <w:webHidden/>
              </w:rPr>
              <w:fldChar w:fldCharType="begin"/>
            </w:r>
            <w:r>
              <w:rPr>
                <w:noProof/>
                <w:webHidden/>
              </w:rPr>
              <w:instrText xml:space="preserve"> PAGEREF _Toc181692922 \h </w:instrText>
            </w:r>
            <w:r>
              <w:rPr>
                <w:noProof/>
                <w:webHidden/>
              </w:rPr>
            </w:r>
            <w:r>
              <w:rPr>
                <w:noProof/>
                <w:webHidden/>
              </w:rPr>
              <w:fldChar w:fldCharType="separate"/>
            </w:r>
            <w:r>
              <w:rPr>
                <w:noProof/>
                <w:webHidden/>
              </w:rPr>
              <w:t>87</w:t>
            </w:r>
            <w:r>
              <w:rPr>
                <w:noProof/>
                <w:webHidden/>
              </w:rPr>
              <w:fldChar w:fldCharType="end"/>
            </w:r>
          </w:hyperlink>
        </w:p>
        <w:p w:rsidR="00645D56" w:rsidRDefault="00645D56" w14:paraId="14442499" w14:textId="55B324A1">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23">
            <w:r w:rsidRPr="00833D53">
              <w:rPr>
                <w:rStyle w:val="Hyperlink"/>
                <w:noProof/>
              </w:rPr>
              <w:t>8.2.7.</w:t>
            </w:r>
            <w:r>
              <w:rPr>
                <w:rFonts w:asciiTheme="minorHAnsi" w:hAnsiTheme="minorHAnsi" w:cstheme="minorBidi"/>
                <w:noProof/>
                <w:kern w:val="2"/>
                <w:sz w:val="24"/>
                <w:szCs w:val="24"/>
                <w14:ligatures w14:val="standardContextual"/>
              </w:rPr>
              <w:tab/>
            </w:r>
            <w:r w:rsidRPr="00833D53">
              <w:rPr>
                <w:rStyle w:val="Hyperlink"/>
                <w:noProof/>
              </w:rPr>
              <w:t>Tariff Exemptions</w:t>
            </w:r>
            <w:r>
              <w:rPr>
                <w:noProof/>
                <w:webHidden/>
              </w:rPr>
              <w:tab/>
            </w:r>
            <w:r>
              <w:rPr>
                <w:noProof/>
                <w:webHidden/>
              </w:rPr>
              <w:fldChar w:fldCharType="begin"/>
            </w:r>
            <w:r>
              <w:rPr>
                <w:noProof/>
                <w:webHidden/>
              </w:rPr>
              <w:instrText xml:space="preserve"> PAGEREF _Toc181692923 \h </w:instrText>
            </w:r>
            <w:r>
              <w:rPr>
                <w:noProof/>
                <w:webHidden/>
              </w:rPr>
            </w:r>
            <w:r>
              <w:rPr>
                <w:noProof/>
                <w:webHidden/>
              </w:rPr>
              <w:fldChar w:fldCharType="separate"/>
            </w:r>
            <w:r>
              <w:rPr>
                <w:noProof/>
                <w:webHidden/>
              </w:rPr>
              <w:t>88</w:t>
            </w:r>
            <w:r>
              <w:rPr>
                <w:noProof/>
                <w:webHidden/>
              </w:rPr>
              <w:fldChar w:fldCharType="end"/>
            </w:r>
          </w:hyperlink>
        </w:p>
        <w:p w:rsidR="00645D56" w:rsidRDefault="00645D56" w14:paraId="153CBBBB" w14:textId="412EDA16">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24">
            <w:r w:rsidRPr="00833D53">
              <w:rPr>
                <w:rStyle w:val="Hyperlink"/>
                <w:noProof/>
              </w:rPr>
              <w:t>8.2.8.</w:t>
            </w:r>
            <w:r>
              <w:rPr>
                <w:rFonts w:asciiTheme="minorHAnsi" w:hAnsiTheme="minorHAnsi" w:cstheme="minorBidi"/>
                <w:noProof/>
                <w:kern w:val="2"/>
                <w:sz w:val="24"/>
                <w:szCs w:val="24"/>
                <w14:ligatures w14:val="standardContextual"/>
              </w:rPr>
              <w:tab/>
            </w:r>
            <w:r w:rsidRPr="00833D53">
              <w:rPr>
                <w:rStyle w:val="Hyperlink"/>
                <w:noProof/>
              </w:rPr>
              <w:t>Transfer of Control or Assets Pursuant to Sections 851</w:t>
            </w:r>
            <w:r w:rsidRPr="00833D53">
              <w:rPr>
                <w:rStyle w:val="Hyperlink"/>
                <w:noProof/>
              </w:rPr>
              <w:noBreakHyphen/>
              <w:t>854</w:t>
            </w:r>
            <w:r>
              <w:rPr>
                <w:noProof/>
                <w:webHidden/>
              </w:rPr>
              <w:tab/>
            </w:r>
            <w:r>
              <w:rPr>
                <w:noProof/>
                <w:webHidden/>
              </w:rPr>
              <w:fldChar w:fldCharType="begin"/>
            </w:r>
            <w:r>
              <w:rPr>
                <w:noProof/>
                <w:webHidden/>
              </w:rPr>
              <w:instrText xml:space="preserve"> PAGEREF _Toc181692924 \h </w:instrText>
            </w:r>
            <w:r>
              <w:rPr>
                <w:noProof/>
                <w:webHidden/>
              </w:rPr>
            </w:r>
            <w:r>
              <w:rPr>
                <w:noProof/>
                <w:webHidden/>
              </w:rPr>
              <w:fldChar w:fldCharType="separate"/>
            </w:r>
            <w:r>
              <w:rPr>
                <w:noProof/>
                <w:webHidden/>
              </w:rPr>
              <w:t>91</w:t>
            </w:r>
            <w:r>
              <w:rPr>
                <w:noProof/>
                <w:webHidden/>
              </w:rPr>
              <w:fldChar w:fldCharType="end"/>
            </w:r>
          </w:hyperlink>
        </w:p>
        <w:p w:rsidR="00645D56" w:rsidRDefault="00645D56" w14:paraId="55FAA69C" w14:textId="125A4550">
          <w:pPr>
            <w:pStyle w:val="TOC4"/>
            <w:tabs>
              <w:tab w:val="left" w:pos="3007"/>
              <w:tab w:val="right" w:leader="dot" w:pos="9350"/>
            </w:tabs>
            <w:rPr>
              <w:rFonts w:asciiTheme="minorHAnsi" w:hAnsiTheme="minorHAnsi" w:eastAsiaTheme="minorEastAsia"/>
              <w:noProof/>
              <w:kern w:val="2"/>
              <w:sz w:val="24"/>
              <w:szCs w:val="24"/>
              <w14:ligatures w14:val="standardContextual"/>
            </w:rPr>
          </w:pPr>
          <w:hyperlink w:history="1" w:anchor="_Toc181692925">
            <w:r w:rsidRPr="00833D53">
              <w:rPr>
                <w:rStyle w:val="Hyperlink"/>
                <w:noProof/>
              </w:rPr>
              <w:t>8.2.8.1.</w:t>
            </w:r>
            <w:r>
              <w:rPr>
                <w:rFonts w:asciiTheme="minorHAnsi" w:hAnsiTheme="minorHAnsi" w:eastAsiaTheme="minorEastAsia"/>
                <w:noProof/>
                <w:kern w:val="2"/>
                <w:sz w:val="24"/>
                <w:szCs w:val="24"/>
                <w14:ligatures w14:val="standardContextual"/>
              </w:rPr>
              <w:tab/>
            </w:r>
            <w:r w:rsidRPr="00833D53">
              <w:rPr>
                <w:rStyle w:val="Hyperlink"/>
                <w:noProof/>
              </w:rPr>
              <w:t>Transfers Involving Nomadic</w:t>
            </w:r>
            <w:r w:rsidRPr="00833D53">
              <w:rPr>
                <w:rStyle w:val="Hyperlink"/>
                <w:noProof/>
              </w:rPr>
              <w:noBreakHyphen/>
              <w:t>Only Interconnected Voice Over Internet Protocol Service Providers</w:t>
            </w:r>
            <w:r>
              <w:rPr>
                <w:noProof/>
                <w:webHidden/>
              </w:rPr>
              <w:tab/>
            </w:r>
            <w:r>
              <w:rPr>
                <w:noProof/>
                <w:webHidden/>
              </w:rPr>
              <w:fldChar w:fldCharType="begin"/>
            </w:r>
            <w:r>
              <w:rPr>
                <w:noProof/>
                <w:webHidden/>
              </w:rPr>
              <w:instrText xml:space="preserve"> PAGEREF _Toc181692925 \h </w:instrText>
            </w:r>
            <w:r>
              <w:rPr>
                <w:noProof/>
                <w:webHidden/>
              </w:rPr>
            </w:r>
            <w:r>
              <w:rPr>
                <w:noProof/>
                <w:webHidden/>
              </w:rPr>
              <w:fldChar w:fldCharType="separate"/>
            </w:r>
            <w:r>
              <w:rPr>
                <w:noProof/>
                <w:webHidden/>
              </w:rPr>
              <w:t>92</w:t>
            </w:r>
            <w:r>
              <w:rPr>
                <w:noProof/>
                <w:webHidden/>
              </w:rPr>
              <w:fldChar w:fldCharType="end"/>
            </w:r>
          </w:hyperlink>
        </w:p>
        <w:p w:rsidR="00645D56" w:rsidRDefault="00645D56" w14:paraId="0BD698EC" w14:textId="740A5D33">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81692926">
            <w:r w:rsidRPr="00833D53">
              <w:rPr>
                <w:rStyle w:val="Hyperlink"/>
                <w:noProof/>
              </w:rPr>
              <w:t>8.2.9.</w:t>
            </w:r>
            <w:r>
              <w:rPr>
                <w:rFonts w:asciiTheme="minorHAnsi" w:hAnsiTheme="minorHAnsi" w:cstheme="minorBidi"/>
                <w:noProof/>
                <w:kern w:val="2"/>
                <w:sz w:val="24"/>
                <w:szCs w:val="24"/>
                <w14:ligatures w14:val="standardContextual"/>
              </w:rPr>
              <w:tab/>
            </w:r>
            <w:r w:rsidRPr="00833D53">
              <w:rPr>
                <w:rStyle w:val="Hyperlink"/>
                <w:noProof/>
              </w:rPr>
              <w:t>Exemption for Transfers of Assets for Purposes of Securing Debt, and Issuance of Stocks and Securities Under Sections 816</w:t>
            </w:r>
            <w:r w:rsidRPr="00833D53">
              <w:rPr>
                <w:rStyle w:val="Hyperlink"/>
                <w:noProof/>
              </w:rPr>
              <w:noBreakHyphen/>
              <w:t>830 and Section 851</w:t>
            </w:r>
            <w:r>
              <w:rPr>
                <w:noProof/>
                <w:webHidden/>
              </w:rPr>
              <w:tab/>
            </w:r>
            <w:r>
              <w:rPr>
                <w:noProof/>
                <w:webHidden/>
              </w:rPr>
              <w:fldChar w:fldCharType="begin"/>
            </w:r>
            <w:r>
              <w:rPr>
                <w:noProof/>
                <w:webHidden/>
              </w:rPr>
              <w:instrText xml:space="preserve"> PAGEREF _Toc181692926 \h </w:instrText>
            </w:r>
            <w:r>
              <w:rPr>
                <w:noProof/>
                <w:webHidden/>
              </w:rPr>
            </w:r>
            <w:r>
              <w:rPr>
                <w:noProof/>
                <w:webHidden/>
              </w:rPr>
              <w:fldChar w:fldCharType="separate"/>
            </w:r>
            <w:r>
              <w:rPr>
                <w:noProof/>
                <w:webHidden/>
              </w:rPr>
              <w:t>93</w:t>
            </w:r>
            <w:r>
              <w:rPr>
                <w:noProof/>
                <w:webHidden/>
              </w:rPr>
              <w:fldChar w:fldCharType="end"/>
            </w:r>
          </w:hyperlink>
        </w:p>
        <w:p w:rsidR="00645D56" w:rsidRDefault="00645D56" w14:paraId="42B55EF1" w14:textId="4E10B339">
          <w:pPr>
            <w:pStyle w:val="TOC3"/>
            <w:tabs>
              <w:tab w:val="left" w:pos="2995"/>
              <w:tab w:val="right" w:leader="dot" w:pos="9350"/>
            </w:tabs>
            <w:rPr>
              <w:rFonts w:asciiTheme="minorHAnsi" w:hAnsiTheme="minorHAnsi" w:cstheme="minorBidi"/>
              <w:noProof/>
              <w:kern w:val="2"/>
              <w:sz w:val="24"/>
              <w:szCs w:val="24"/>
              <w14:ligatures w14:val="standardContextual"/>
            </w:rPr>
          </w:pPr>
          <w:hyperlink w:history="1" w:anchor="_Toc181692927">
            <w:r w:rsidRPr="00833D53">
              <w:rPr>
                <w:rStyle w:val="Hyperlink"/>
                <w:noProof/>
              </w:rPr>
              <w:t>8.2.10.</w:t>
            </w:r>
            <w:r>
              <w:rPr>
                <w:rFonts w:asciiTheme="minorHAnsi" w:hAnsiTheme="minorHAnsi" w:cstheme="minorBidi"/>
                <w:noProof/>
                <w:kern w:val="2"/>
                <w:sz w:val="24"/>
                <w:szCs w:val="24"/>
                <w14:ligatures w14:val="standardContextual"/>
              </w:rPr>
              <w:tab/>
            </w:r>
            <w:r w:rsidRPr="00833D53">
              <w:rPr>
                <w:rStyle w:val="Hyperlink"/>
                <w:noProof/>
              </w:rPr>
              <w:t>Service Offered in Small LEC Service Territories</w:t>
            </w:r>
            <w:r>
              <w:rPr>
                <w:noProof/>
                <w:webHidden/>
              </w:rPr>
              <w:tab/>
            </w:r>
            <w:r>
              <w:rPr>
                <w:noProof/>
                <w:webHidden/>
              </w:rPr>
              <w:fldChar w:fldCharType="begin"/>
            </w:r>
            <w:r>
              <w:rPr>
                <w:noProof/>
                <w:webHidden/>
              </w:rPr>
              <w:instrText xml:space="preserve"> PAGEREF _Toc181692927 \h </w:instrText>
            </w:r>
            <w:r>
              <w:rPr>
                <w:noProof/>
                <w:webHidden/>
              </w:rPr>
            </w:r>
            <w:r>
              <w:rPr>
                <w:noProof/>
                <w:webHidden/>
              </w:rPr>
              <w:fldChar w:fldCharType="separate"/>
            </w:r>
            <w:r>
              <w:rPr>
                <w:noProof/>
                <w:webHidden/>
              </w:rPr>
              <w:t>94</w:t>
            </w:r>
            <w:r>
              <w:rPr>
                <w:noProof/>
                <w:webHidden/>
              </w:rPr>
              <w:fldChar w:fldCharType="end"/>
            </w:r>
          </w:hyperlink>
        </w:p>
        <w:p w:rsidR="00645D56" w:rsidRDefault="00645D56" w14:paraId="430808C9" w14:textId="45F1CBC6">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928">
            <w:r w:rsidRPr="00833D53">
              <w:rPr>
                <w:rStyle w:val="Hyperlink"/>
                <w:noProof/>
              </w:rPr>
              <w:t>8.3.</w:t>
            </w:r>
            <w:r>
              <w:rPr>
                <w:rFonts w:asciiTheme="minorHAnsi" w:hAnsiTheme="minorHAnsi" w:cstheme="minorBidi"/>
                <w:noProof/>
                <w:kern w:val="2"/>
                <w:sz w:val="24"/>
                <w:szCs w:val="24"/>
                <w14:ligatures w14:val="standardContextual"/>
              </w:rPr>
              <w:tab/>
            </w:r>
            <w:r w:rsidRPr="00833D53">
              <w:rPr>
                <w:rStyle w:val="Hyperlink"/>
                <w:noProof/>
              </w:rPr>
              <w:t>Enforcement</w:t>
            </w:r>
            <w:r>
              <w:rPr>
                <w:noProof/>
                <w:webHidden/>
              </w:rPr>
              <w:tab/>
            </w:r>
            <w:r>
              <w:rPr>
                <w:noProof/>
                <w:webHidden/>
              </w:rPr>
              <w:fldChar w:fldCharType="begin"/>
            </w:r>
            <w:r>
              <w:rPr>
                <w:noProof/>
                <w:webHidden/>
              </w:rPr>
              <w:instrText xml:space="preserve"> PAGEREF _Toc181692928 \h </w:instrText>
            </w:r>
            <w:r>
              <w:rPr>
                <w:noProof/>
                <w:webHidden/>
              </w:rPr>
            </w:r>
            <w:r>
              <w:rPr>
                <w:noProof/>
                <w:webHidden/>
              </w:rPr>
              <w:fldChar w:fldCharType="separate"/>
            </w:r>
            <w:r>
              <w:rPr>
                <w:noProof/>
                <w:webHidden/>
              </w:rPr>
              <w:t>95</w:t>
            </w:r>
            <w:r>
              <w:rPr>
                <w:noProof/>
                <w:webHidden/>
              </w:rPr>
              <w:fldChar w:fldCharType="end"/>
            </w:r>
          </w:hyperlink>
        </w:p>
        <w:p w:rsidR="00645D56" w:rsidRDefault="00645D56" w14:paraId="2645DA91" w14:textId="084C895A">
          <w:pPr>
            <w:pStyle w:val="TOC1"/>
            <w:tabs>
              <w:tab w:val="right" w:leader="dot" w:pos="9350"/>
            </w:tabs>
            <w:rPr>
              <w:rFonts w:asciiTheme="minorHAnsi" w:hAnsiTheme="minorHAnsi" w:cstheme="minorBidi"/>
              <w:noProof/>
              <w:kern w:val="2"/>
              <w:sz w:val="24"/>
              <w:szCs w:val="24"/>
              <w14:ligatures w14:val="standardContextual"/>
            </w:rPr>
          </w:pPr>
          <w:hyperlink w:history="1" w:anchor="_Toc181692929">
            <w:r w:rsidRPr="00833D53">
              <w:rPr>
                <w:rStyle w:val="Hyperlink"/>
                <w:noProof/>
              </w:rPr>
              <w:t>9.</w:t>
            </w:r>
            <w:r>
              <w:rPr>
                <w:rFonts w:asciiTheme="minorHAnsi" w:hAnsiTheme="minorHAnsi" w:cstheme="minorBidi"/>
                <w:noProof/>
                <w:kern w:val="2"/>
                <w:sz w:val="24"/>
                <w:szCs w:val="24"/>
                <w14:ligatures w14:val="standardContextual"/>
              </w:rPr>
              <w:tab/>
            </w:r>
            <w:r w:rsidRPr="00833D53">
              <w:rPr>
                <w:rStyle w:val="Hyperlink"/>
                <w:noProof/>
              </w:rPr>
              <w:t>Second Phase of Proceeding for Implementation</w:t>
            </w:r>
            <w:r>
              <w:rPr>
                <w:noProof/>
                <w:webHidden/>
              </w:rPr>
              <w:tab/>
            </w:r>
            <w:r>
              <w:rPr>
                <w:noProof/>
                <w:webHidden/>
              </w:rPr>
              <w:fldChar w:fldCharType="begin"/>
            </w:r>
            <w:r>
              <w:rPr>
                <w:noProof/>
                <w:webHidden/>
              </w:rPr>
              <w:instrText xml:space="preserve"> PAGEREF _Toc181692929 \h </w:instrText>
            </w:r>
            <w:r>
              <w:rPr>
                <w:noProof/>
                <w:webHidden/>
              </w:rPr>
            </w:r>
            <w:r>
              <w:rPr>
                <w:noProof/>
                <w:webHidden/>
              </w:rPr>
              <w:fldChar w:fldCharType="separate"/>
            </w:r>
            <w:r>
              <w:rPr>
                <w:noProof/>
                <w:webHidden/>
              </w:rPr>
              <w:t>95</w:t>
            </w:r>
            <w:r>
              <w:rPr>
                <w:noProof/>
                <w:webHidden/>
              </w:rPr>
              <w:fldChar w:fldCharType="end"/>
            </w:r>
          </w:hyperlink>
        </w:p>
        <w:p w:rsidR="00645D56" w:rsidRDefault="00645D56" w14:paraId="60DEB475" w14:textId="0BCE2B82">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930">
            <w:r w:rsidRPr="00833D53">
              <w:rPr>
                <w:rStyle w:val="Hyperlink"/>
                <w:noProof/>
              </w:rPr>
              <w:t>9.1.</w:t>
            </w:r>
            <w:r>
              <w:rPr>
                <w:rFonts w:asciiTheme="minorHAnsi" w:hAnsiTheme="minorHAnsi" w:cstheme="minorBidi"/>
                <w:noProof/>
                <w:kern w:val="2"/>
                <w:sz w:val="24"/>
                <w:szCs w:val="24"/>
                <w14:ligatures w14:val="standardContextual"/>
              </w:rPr>
              <w:tab/>
            </w:r>
            <w:r w:rsidRPr="00833D53">
              <w:rPr>
                <w:rStyle w:val="Hyperlink"/>
                <w:noProof/>
              </w:rPr>
              <w:t>Workshop on Technical Aspects of Interconnected VoIP Services</w:t>
            </w:r>
            <w:r>
              <w:rPr>
                <w:noProof/>
                <w:webHidden/>
              </w:rPr>
              <w:tab/>
            </w:r>
            <w:r>
              <w:rPr>
                <w:noProof/>
                <w:webHidden/>
              </w:rPr>
              <w:fldChar w:fldCharType="begin"/>
            </w:r>
            <w:r>
              <w:rPr>
                <w:noProof/>
                <w:webHidden/>
              </w:rPr>
              <w:instrText xml:space="preserve"> PAGEREF _Toc181692930 \h </w:instrText>
            </w:r>
            <w:r>
              <w:rPr>
                <w:noProof/>
                <w:webHidden/>
              </w:rPr>
            </w:r>
            <w:r>
              <w:rPr>
                <w:noProof/>
                <w:webHidden/>
              </w:rPr>
              <w:fldChar w:fldCharType="separate"/>
            </w:r>
            <w:r>
              <w:rPr>
                <w:noProof/>
                <w:webHidden/>
              </w:rPr>
              <w:t>95</w:t>
            </w:r>
            <w:r>
              <w:rPr>
                <w:noProof/>
                <w:webHidden/>
              </w:rPr>
              <w:fldChar w:fldCharType="end"/>
            </w:r>
          </w:hyperlink>
        </w:p>
        <w:p w:rsidR="00645D56" w:rsidRDefault="00645D56" w14:paraId="5ABDC6CB" w14:textId="0452BC94">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81692931">
            <w:r w:rsidRPr="00833D53">
              <w:rPr>
                <w:rStyle w:val="Hyperlink"/>
                <w:noProof/>
              </w:rPr>
              <w:t>9.2.</w:t>
            </w:r>
            <w:r>
              <w:rPr>
                <w:rFonts w:asciiTheme="minorHAnsi" w:hAnsiTheme="minorHAnsi" w:cstheme="minorBidi"/>
                <w:noProof/>
                <w:kern w:val="2"/>
                <w:sz w:val="24"/>
                <w:szCs w:val="24"/>
                <w14:ligatures w14:val="standardContextual"/>
              </w:rPr>
              <w:tab/>
            </w:r>
            <w:r w:rsidRPr="00833D53">
              <w:rPr>
                <w:rStyle w:val="Hyperlink"/>
                <w:noProof/>
              </w:rPr>
              <w:t>Statutory Deadline Extension</w:t>
            </w:r>
            <w:r>
              <w:rPr>
                <w:noProof/>
                <w:webHidden/>
              </w:rPr>
              <w:tab/>
            </w:r>
            <w:r>
              <w:rPr>
                <w:noProof/>
                <w:webHidden/>
              </w:rPr>
              <w:fldChar w:fldCharType="begin"/>
            </w:r>
            <w:r>
              <w:rPr>
                <w:noProof/>
                <w:webHidden/>
              </w:rPr>
              <w:instrText xml:space="preserve"> PAGEREF _Toc181692931 \h </w:instrText>
            </w:r>
            <w:r>
              <w:rPr>
                <w:noProof/>
                <w:webHidden/>
              </w:rPr>
            </w:r>
            <w:r>
              <w:rPr>
                <w:noProof/>
                <w:webHidden/>
              </w:rPr>
              <w:fldChar w:fldCharType="separate"/>
            </w:r>
            <w:r>
              <w:rPr>
                <w:noProof/>
                <w:webHidden/>
              </w:rPr>
              <w:t>97</w:t>
            </w:r>
            <w:r>
              <w:rPr>
                <w:noProof/>
                <w:webHidden/>
              </w:rPr>
              <w:fldChar w:fldCharType="end"/>
            </w:r>
          </w:hyperlink>
        </w:p>
        <w:p w:rsidR="00645D56" w:rsidRDefault="00645D56" w14:paraId="3D802EDD" w14:textId="3C5721E7">
          <w:pPr>
            <w:pStyle w:val="TOC1"/>
            <w:tabs>
              <w:tab w:val="right" w:leader="dot" w:pos="9350"/>
            </w:tabs>
            <w:rPr>
              <w:rFonts w:asciiTheme="minorHAnsi" w:hAnsiTheme="minorHAnsi" w:cstheme="minorBidi"/>
              <w:noProof/>
              <w:kern w:val="2"/>
              <w:sz w:val="24"/>
              <w:szCs w:val="24"/>
              <w14:ligatures w14:val="standardContextual"/>
            </w:rPr>
          </w:pPr>
          <w:hyperlink w:history="1" w:anchor="_Toc181692932">
            <w:r w:rsidRPr="00833D53">
              <w:rPr>
                <w:rStyle w:val="Hyperlink"/>
                <w:noProof/>
              </w:rPr>
              <w:t>10.</w:t>
            </w:r>
            <w:r>
              <w:rPr>
                <w:rFonts w:asciiTheme="minorHAnsi" w:hAnsiTheme="minorHAnsi" w:cstheme="minorBidi"/>
                <w:noProof/>
                <w:kern w:val="2"/>
                <w:sz w:val="24"/>
                <w:szCs w:val="24"/>
                <w14:ligatures w14:val="standardContextual"/>
              </w:rPr>
              <w:tab/>
            </w:r>
            <w:r w:rsidRPr="00833D53">
              <w:rPr>
                <w:rStyle w:val="Hyperlink"/>
                <w:noProof/>
              </w:rPr>
              <w:t>Summary of Public Comment</w:t>
            </w:r>
            <w:r>
              <w:rPr>
                <w:noProof/>
                <w:webHidden/>
              </w:rPr>
              <w:tab/>
            </w:r>
            <w:r>
              <w:rPr>
                <w:noProof/>
                <w:webHidden/>
              </w:rPr>
              <w:fldChar w:fldCharType="begin"/>
            </w:r>
            <w:r>
              <w:rPr>
                <w:noProof/>
                <w:webHidden/>
              </w:rPr>
              <w:instrText xml:space="preserve"> PAGEREF _Toc181692932 \h </w:instrText>
            </w:r>
            <w:r>
              <w:rPr>
                <w:noProof/>
                <w:webHidden/>
              </w:rPr>
            </w:r>
            <w:r>
              <w:rPr>
                <w:noProof/>
                <w:webHidden/>
              </w:rPr>
              <w:fldChar w:fldCharType="separate"/>
            </w:r>
            <w:r>
              <w:rPr>
                <w:noProof/>
                <w:webHidden/>
              </w:rPr>
              <w:t>97</w:t>
            </w:r>
            <w:r>
              <w:rPr>
                <w:noProof/>
                <w:webHidden/>
              </w:rPr>
              <w:fldChar w:fldCharType="end"/>
            </w:r>
          </w:hyperlink>
        </w:p>
        <w:p w:rsidR="00645D56" w:rsidRDefault="00645D56" w14:paraId="7992BB4F" w14:textId="0972AC5F">
          <w:pPr>
            <w:pStyle w:val="TOC1"/>
            <w:tabs>
              <w:tab w:val="right" w:leader="dot" w:pos="9350"/>
            </w:tabs>
            <w:rPr>
              <w:rFonts w:asciiTheme="minorHAnsi" w:hAnsiTheme="minorHAnsi" w:cstheme="minorBidi"/>
              <w:noProof/>
              <w:kern w:val="2"/>
              <w:sz w:val="24"/>
              <w:szCs w:val="24"/>
              <w14:ligatures w14:val="standardContextual"/>
            </w:rPr>
          </w:pPr>
          <w:hyperlink w:history="1" w:anchor="_Toc181692933">
            <w:r w:rsidRPr="00833D53">
              <w:rPr>
                <w:rStyle w:val="Hyperlink"/>
                <w:noProof/>
              </w:rPr>
              <w:t>11.</w:t>
            </w:r>
            <w:r>
              <w:rPr>
                <w:rFonts w:asciiTheme="minorHAnsi" w:hAnsiTheme="minorHAnsi" w:cstheme="minorBidi"/>
                <w:noProof/>
                <w:kern w:val="2"/>
                <w:sz w:val="24"/>
                <w:szCs w:val="24"/>
                <w14:ligatures w14:val="standardContextual"/>
              </w:rPr>
              <w:tab/>
            </w:r>
            <w:r w:rsidRPr="00833D53">
              <w:rPr>
                <w:rStyle w:val="Hyperlink"/>
                <w:noProof/>
              </w:rPr>
              <w:t>Conclusion</w:t>
            </w:r>
            <w:r>
              <w:rPr>
                <w:noProof/>
                <w:webHidden/>
              </w:rPr>
              <w:tab/>
            </w:r>
            <w:r>
              <w:rPr>
                <w:noProof/>
                <w:webHidden/>
              </w:rPr>
              <w:fldChar w:fldCharType="begin"/>
            </w:r>
            <w:r>
              <w:rPr>
                <w:noProof/>
                <w:webHidden/>
              </w:rPr>
              <w:instrText xml:space="preserve"> PAGEREF _Toc181692933 \h </w:instrText>
            </w:r>
            <w:r>
              <w:rPr>
                <w:noProof/>
                <w:webHidden/>
              </w:rPr>
            </w:r>
            <w:r>
              <w:rPr>
                <w:noProof/>
                <w:webHidden/>
              </w:rPr>
              <w:fldChar w:fldCharType="separate"/>
            </w:r>
            <w:r>
              <w:rPr>
                <w:noProof/>
                <w:webHidden/>
              </w:rPr>
              <w:t>97</w:t>
            </w:r>
            <w:r>
              <w:rPr>
                <w:noProof/>
                <w:webHidden/>
              </w:rPr>
              <w:fldChar w:fldCharType="end"/>
            </w:r>
          </w:hyperlink>
        </w:p>
        <w:p w:rsidR="00645D56" w:rsidRDefault="00645D56" w14:paraId="0D28BC8A" w14:textId="1B80EFD8">
          <w:pPr>
            <w:pStyle w:val="TOC1"/>
            <w:tabs>
              <w:tab w:val="right" w:leader="dot" w:pos="9350"/>
            </w:tabs>
            <w:rPr>
              <w:rFonts w:asciiTheme="minorHAnsi" w:hAnsiTheme="minorHAnsi" w:cstheme="minorBidi"/>
              <w:noProof/>
              <w:kern w:val="2"/>
              <w:sz w:val="24"/>
              <w:szCs w:val="24"/>
              <w14:ligatures w14:val="standardContextual"/>
            </w:rPr>
          </w:pPr>
          <w:hyperlink w:history="1" w:anchor="_Toc181692934">
            <w:r w:rsidRPr="00833D53">
              <w:rPr>
                <w:rStyle w:val="Hyperlink"/>
                <w:noProof/>
              </w:rPr>
              <w:t>12.</w:t>
            </w:r>
            <w:r>
              <w:rPr>
                <w:rFonts w:asciiTheme="minorHAnsi" w:hAnsiTheme="minorHAnsi" w:cstheme="minorBidi"/>
                <w:noProof/>
                <w:kern w:val="2"/>
                <w:sz w:val="24"/>
                <w:szCs w:val="24"/>
                <w14:ligatures w14:val="standardContextual"/>
              </w:rPr>
              <w:tab/>
            </w:r>
            <w:r w:rsidRPr="00833D53">
              <w:rPr>
                <w:rStyle w:val="Hyperlink"/>
                <w:noProof/>
              </w:rPr>
              <w:t>Request to File Under Seal and other Procedural Matters</w:t>
            </w:r>
            <w:r>
              <w:rPr>
                <w:noProof/>
                <w:webHidden/>
              </w:rPr>
              <w:tab/>
            </w:r>
            <w:r>
              <w:rPr>
                <w:noProof/>
                <w:webHidden/>
              </w:rPr>
              <w:fldChar w:fldCharType="begin"/>
            </w:r>
            <w:r>
              <w:rPr>
                <w:noProof/>
                <w:webHidden/>
              </w:rPr>
              <w:instrText xml:space="preserve"> PAGEREF _Toc181692934 \h </w:instrText>
            </w:r>
            <w:r>
              <w:rPr>
                <w:noProof/>
                <w:webHidden/>
              </w:rPr>
            </w:r>
            <w:r>
              <w:rPr>
                <w:noProof/>
                <w:webHidden/>
              </w:rPr>
              <w:fldChar w:fldCharType="separate"/>
            </w:r>
            <w:r>
              <w:rPr>
                <w:noProof/>
                <w:webHidden/>
              </w:rPr>
              <w:t>98</w:t>
            </w:r>
            <w:r>
              <w:rPr>
                <w:noProof/>
                <w:webHidden/>
              </w:rPr>
              <w:fldChar w:fldCharType="end"/>
            </w:r>
          </w:hyperlink>
        </w:p>
        <w:p w:rsidR="00645D56" w:rsidRDefault="00645D56" w14:paraId="6ED5B0E7" w14:textId="001E7D7D">
          <w:pPr>
            <w:pStyle w:val="TOC1"/>
            <w:tabs>
              <w:tab w:val="right" w:leader="dot" w:pos="9350"/>
            </w:tabs>
            <w:rPr>
              <w:rFonts w:asciiTheme="minorHAnsi" w:hAnsiTheme="minorHAnsi" w:cstheme="minorBidi"/>
              <w:noProof/>
              <w:kern w:val="2"/>
              <w:sz w:val="24"/>
              <w:szCs w:val="24"/>
              <w14:ligatures w14:val="standardContextual"/>
            </w:rPr>
          </w:pPr>
          <w:hyperlink w:history="1" w:anchor="_Toc181692935">
            <w:r w:rsidRPr="00833D53">
              <w:rPr>
                <w:rStyle w:val="Hyperlink"/>
                <w:noProof/>
              </w:rPr>
              <w:t>13.</w:t>
            </w:r>
            <w:r>
              <w:rPr>
                <w:rFonts w:asciiTheme="minorHAnsi" w:hAnsiTheme="minorHAnsi" w:cstheme="minorBidi"/>
                <w:noProof/>
                <w:kern w:val="2"/>
                <w:sz w:val="24"/>
                <w:szCs w:val="24"/>
                <w14:ligatures w14:val="standardContextual"/>
              </w:rPr>
              <w:tab/>
            </w:r>
            <w:r w:rsidRPr="00833D53">
              <w:rPr>
                <w:rStyle w:val="Hyperlink"/>
                <w:noProof/>
              </w:rPr>
              <w:t>Comments on Proposed Decision</w:t>
            </w:r>
            <w:r>
              <w:rPr>
                <w:noProof/>
                <w:webHidden/>
              </w:rPr>
              <w:tab/>
            </w:r>
            <w:r>
              <w:rPr>
                <w:noProof/>
                <w:webHidden/>
              </w:rPr>
              <w:fldChar w:fldCharType="begin"/>
            </w:r>
            <w:r>
              <w:rPr>
                <w:noProof/>
                <w:webHidden/>
              </w:rPr>
              <w:instrText xml:space="preserve"> PAGEREF _Toc181692935 \h </w:instrText>
            </w:r>
            <w:r>
              <w:rPr>
                <w:noProof/>
                <w:webHidden/>
              </w:rPr>
            </w:r>
            <w:r>
              <w:rPr>
                <w:noProof/>
                <w:webHidden/>
              </w:rPr>
              <w:fldChar w:fldCharType="separate"/>
            </w:r>
            <w:r>
              <w:rPr>
                <w:noProof/>
                <w:webHidden/>
              </w:rPr>
              <w:t>99</w:t>
            </w:r>
            <w:r>
              <w:rPr>
                <w:noProof/>
                <w:webHidden/>
              </w:rPr>
              <w:fldChar w:fldCharType="end"/>
            </w:r>
          </w:hyperlink>
        </w:p>
        <w:p w:rsidR="00645D56" w:rsidRDefault="00645D56" w14:paraId="16F085A8" w14:textId="66029D68">
          <w:pPr>
            <w:pStyle w:val="TOC1"/>
            <w:tabs>
              <w:tab w:val="right" w:leader="dot" w:pos="9350"/>
            </w:tabs>
            <w:rPr>
              <w:rFonts w:asciiTheme="minorHAnsi" w:hAnsiTheme="minorHAnsi" w:cstheme="minorBidi"/>
              <w:noProof/>
              <w:kern w:val="2"/>
              <w:sz w:val="24"/>
              <w:szCs w:val="24"/>
              <w14:ligatures w14:val="standardContextual"/>
            </w:rPr>
          </w:pPr>
          <w:hyperlink w:history="1" w:anchor="_Toc181692936">
            <w:r w:rsidRPr="00833D53">
              <w:rPr>
                <w:rStyle w:val="Hyperlink"/>
                <w:noProof/>
              </w:rPr>
              <w:t>14.</w:t>
            </w:r>
            <w:r>
              <w:rPr>
                <w:rFonts w:asciiTheme="minorHAnsi" w:hAnsiTheme="minorHAnsi" w:cstheme="minorBidi"/>
                <w:noProof/>
                <w:kern w:val="2"/>
                <w:sz w:val="24"/>
                <w:szCs w:val="24"/>
                <w14:ligatures w14:val="standardContextual"/>
              </w:rPr>
              <w:tab/>
            </w:r>
            <w:r w:rsidRPr="00833D53">
              <w:rPr>
                <w:rStyle w:val="Hyperlink"/>
                <w:noProof/>
              </w:rPr>
              <w:t>Assignment of Proceeding</w:t>
            </w:r>
            <w:r>
              <w:rPr>
                <w:noProof/>
                <w:webHidden/>
              </w:rPr>
              <w:tab/>
            </w:r>
            <w:r>
              <w:rPr>
                <w:noProof/>
                <w:webHidden/>
              </w:rPr>
              <w:fldChar w:fldCharType="begin"/>
            </w:r>
            <w:r>
              <w:rPr>
                <w:noProof/>
                <w:webHidden/>
              </w:rPr>
              <w:instrText xml:space="preserve"> PAGEREF _Toc181692936 \h </w:instrText>
            </w:r>
            <w:r>
              <w:rPr>
                <w:noProof/>
                <w:webHidden/>
              </w:rPr>
            </w:r>
            <w:r>
              <w:rPr>
                <w:noProof/>
                <w:webHidden/>
              </w:rPr>
              <w:fldChar w:fldCharType="separate"/>
            </w:r>
            <w:r>
              <w:rPr>
                <w:noProof/>
                <w:webHidden/>
              </w:rPr>
              <w:t>101</w:t>
            </w:r>
            <w:r>
              <w:rPr>
                <w:noProof/>
                <w:webHidden/>
              </w:rPr>
              <w:fldChar w:fldCharType="end"/>
            </w:r>
          </w:hyperlink>
        </w:p>
        <w:p w:rsidR="00645D56" w:rsidRDefault="00645D56" w14:paraId="24443BB3" w14:textId="6F6A3049">
          <w:pPr>
            <w:pStyle w:val="TOC1"/>
            <w:tabs>
              <w:tab w:val="right" w:leader="dot" w:pos="9350"/>
            </w:tabs>
            <w:rPr>
              <w:rFonts w:asciiTheme="minorHAnsi" w:hAnsiTheme="minorHAnsi" w:cstheme="minorBidi"/>
              <w:noProof/>
              <w:kern w:val="2"/>
              <w:sz w:val="24"/>
              <w:szCs w:val="24"/>
              <w14:ligatures w14:val="standardContextual"/>
            </w:rPr>
          </w:pPr>
          <w:hyperlink w:history="1" w:anchor="_Toc181692937">
            <w:r w:rsidRPr="00833D53">
              <w:rPr>
                <w:rStyle w:val="Hyperlink"/>
                <w:noProof/>
              </w:rPr>
              <w:t>Findings of Fact</w:t>
            </w:r>
            <w:r>
              <w:rPr>
                <w:noProof/>
                <w:webHidden/>
              </w:rPr>
              <w:tab/>
            </w:r>
            <w:r>
              <w:rPr>
                <w:noProof/>
                <w:webHidden/>
              </w:rPr>
              <w:fldChar w:fldCharType="begin"/>
            </w:r>
            <w:r>
              <w:rPr>
                <w:noProof/>
                <w:webHidden/>
              </w:rPr>
              <w:instrText xml:space="preserve"> PAGEREF _Toc181692937 \h </w:instrText>
            </w:r>
            <w:r>
              <w:rPr>
                <w:noProof/>
                <w:webHidden/>
              </w:rPr>
            </w:r>
            <w:r>
              <w:rPr>
                <w:noProof/>
                <w:webHidden/>
              </w:rPr>
              <w:fldChar w:fldCharType="separate"/>
            </w:r>
            <w:r>
              <w:rPr>
                <w:noProof/>
                <w:webHidden/>
              </w:rPr>
              <w:t>102</w:t>
            </w:r>
            <w:r>
              <w:rPr>
                <w:noProof/>
                <w:webHidden/>
              </w:rPr>
              <w:fldChar w:fldCharType="end"/>
            </w:r>
          </w:hyperlink>
        </w:p>
        <w:p w:rsidR="00645D56" w:rsidRDefault="00645D56" w14:paraId="68B3084F" w14:textId="446757E1">
          <w:pPr>
            <w:pStyle w:val="TOC1"/>
            <w:tabs>
              <w:tab w:val="right" w:leader="dot" w:pos="9350"/>
            </w:tabs>
            <w:rPr>
              <w:rFonts w:asciiTheme="minorHAnsi" w:hAnsiTheme="minorHAnsi" w:cstheme="minorBidi"/>
              <w:noProof/>
              <w:kern w:val="2"/>
              <w:sz w:val="24"/>
              <w:szCs w:val="24"/>
              <w14:ligatures w14:val="standardContextual"/>
            </w:rPr>
          </w:pPr>
          <w:hyperlink w:history="1" w:anchor="_Toc181692938">
            <w:r w:rsidRPr="00833D53">
              <w:rPr>
                <w:rStyle w:val="Hyperlink"/>
                <w:noProof/>
              </w:rPr>
              <w:t>Conclusions of Law</w:t>
            </w:r>
            <w:r>
              <w:rPr>
                <w:noProof/>
                <w:webHidden/>
              </w:rPr>
              <w:tab/>
            </w:r>
            <w:r>
              <w:rPr>
                <w:noProof/>
                <w:webHidden/>
              </w:rPr>
              <w:fldChar w:fldCharType="begin"/>
            </w:r>
            <w:r>
              <w:rPr>
                <w:noProof/>
                <w:webHidden/>
              </w:rPr>
              <w:instrText xml:space="preserve"> PAGEREF _Toc181692938 \h </w:instrText>
            </w:r>
            <w:r>
              <w:rPr>
                <w:noProof/>
                <w:webHidden/>
              </w:rPr>
            </w:r>
            <w:r>
              <w:rPr>
                <w:noProof/>
                <w:webHidden/>
              </w:rPr>
              <w:fldChar w:fldCharType="separate"/>
            </w:r>
            <w:r>
              <w:rPr>
                <w:noProof/>
                <w:webHidden/>
              </w:rPr>
              <w:t>113</w:t>
            </w:r>
            <w:r>
              <w:rPr>
                <w:noProof/>
                <w:webHidden/>
              </w:rPr>
              <w:fldChar w:fldCharType="end"/>
            </w:r>
          </w:hyperlink>
        </w:p>
        <w:p w:rsidR="00645D56" w:rsidRDefault="00645D56" w14:paraId="3752A713" w14:textId="223A2BDC">
          <w:pPr>
            <w:pStyle w:val="TOC1"/>
            <w:tabs>
              <w:tab w:val="right" w:leader="dot" w:pos="9350"/>
            </w:tabs>
            <w:rPr>
              <w:rFonts w:asciiTheme="minorHAnsi" w:hAnsiTheme="minorHAnsi" w:cstheme="minorBidi"/>
              <w:noProof/>
              <w:kern w:val="2"/>
              <w:sz w:val="24"/>
              <w:szCs w:val="24"/>
              <w14:ligatures w14:val="standardContextual"/>
            </w:rPr>
          </w:pPr>
          <w:hyperlink w:history="1" w:anchor="_Toc181692939">
            <w:r w:rsidRPr="00833D53">
              <w:rPr>
                <w:rStyle w:val="Hyperlink"/>
                <w:noProof/>
              </w:rPr>
              <w:t>ORDER</w:t>
            </w:r>
            <w:r>
              <w:rPr>
                <w:noProof/>
                <w:webHidden/>
              </w:rPr>
              <w:tab/>
            </w:r>
            <w:r>
              <w:rPr>
                <w:noProof/>
                <w:webHidden/>
              </w:rPr>
              <w:fldChar w:fldCharType="begin"/>
            </w:r>
            <w:r>
              <w:rPr>
                <w:noProof/>
                <w:webHidden/>
              </w:rPr>
              <w:instrText xml:space="preserve"> PAGEREF _Toc181692939 \h </w:instrText>
            </w:r>
            <w:r>
              <w:rPr>
                <w:noProof/>
                <w:webHidden/>
              </w:rPr>
            </w:r>
            <w:r>
              <w:rPr>
                <w:noProof/>
                <w:webHidden/>
              </w:rPr>
              <w:fldChar w:fldCharType="separate"/>
            </w:r>
            <w:r>
              <w:rPr>
                <w:noProof/>
                <w:webHidden/>
              </w:rPr>
              <w:t>125</w:t>
            </w:r>
            <w:r>
              <w:rPr>
                <w:noProof/>
                <w:webHidden/>
              </w:rPr>
              <w:fldChar w:fldCharType="end"/>
            </w:r>
          </w:hyperlink>
        </w:p>
        <w:p w:rsidR="00D82A43" w:rsidP="008C7413" w:rsidRDefault="008C7413" w14:paraId="049F853D" w14:textId="78E05EB6">
          <w:pPr>
            <w:pStyle w:val="TOC1"/>
            <w:tabs>
              <w:tab w:val="right" w:leader="dot" w:pos="9350"/>
            </w:tabs>
          </w:pPr>
          <w:r>
            <w:rPr>
              <w:rFonts w:asciiTheme="minorHAnsi" w:hAnsiTheme="minorHAnsi"/>
              <w:sz w:val="22"/>
            </w:rPr>
            <w:fldChar w:fldCharType="end"/>
          </w:r>
        </w:p>
      </w:sdtContent>
    </w:sdt>
    <w:p w:rsidRPr="007012A6" w:rsidR="0082622B" w:rsidP="00300375" w:rsidRDefault="0098655A" w14:paraId="1886332A" w14:textId="3831ADB4">
      <w:pPr>
        <w:tabs>
          <w:tab w:val="left" w:pos="1483"/>
        </w:tabs>
        <w:spacing w:before="840" w:line="240" w:lineRule="auto"/>
        <w:ind w:left="1814" w:hanging="1814"/>
        <w:rPr>
          <w:rFonts w:cs="Arial"/>
          <w:bCs/>
          <w:szCs w:val="26"/>
        </w:rPr>
      </w:pPr>
      <w:r w:rsidRPr="007012A6">
        <w:rPr>
          <w:rFonts w:cs="Arial"/>
          <w:bCs/>
          <w:szCs w:val="26"/>
        </w:rPr>
        <w:lastRenderedPageBreak/>
        <w:t>Appendix A</w:t>
      </w:r>
      <w:r w:rsidRPr="007012A6" w:rsidR="007012A6">
        <w:rPr>
          <w:bCs/>
        </w:rPr>
        <w:tab/>
        <w:t>—</w:t>
      </w:r>
      <w:r w:rsidRPr="007012A6" w:rsidR="007012A6">
        <w:rPr>
          <w:bCs/>
        </w:rPr>
        <w:tab/>
      </w:r>
      <w:r w:rsidRPr="007012A6" w:rsidR="0082622B">
        <w:rPr>
          <w:rFonts w:cs="Arial"/>
          <w:bCs/>
          <w:szCs w:val="26"/>
        </w:rPr>
        <w:t>Nomadic</w:t>
      </w:r>
      <w:r w:rsidR="006951D5">
        <w:rPr>
          <w:rFonts w:cs="Arial"/>
          <w:bCs/>
          <w:szCs w:val="26"/>
        </w:rPr>
        <w:noBreakHyphen/>
      </w:r>
      <w:r w:rsidRPr="007012A6" w:rsidR="008F2638">
        <w:rPr>
          <w:rFonts w:cs="Arial"/>
          <w:bCs/>
          <w:szCs w:val="26"/>
        </w:rPr>
        <w:t>Only</w:t>
      </w:r>
      <w:r w:rsidRPr="007012A6" w:rsidR="0082622B">
        <w:rPr>
          <w:rFonts w:cs="Arial"/>
          <w:bCs/>
          <w:szCs w:val="26"/>
        </w:rPr>
        <w:t xml:space="preserve"> </w:t>
      </w:r>
      <w:r w:rsidR="00F45C41">
        <w:rPr>
          <w:rFonts w:cs="Arial"/>
          <w:bCs/>
          <w:szCs w:val="26"/>
        </w:rPr>
        <w:t xml:space="preserve">and Wireless </w:t>
      </w:r>
      <w:r w:rsidRPr="007012A6" w:rsidR="0082622B">
        <w:rPr>
          <w:rFonts w:cs="Arial"/>
          <w:bCs/>
          <w:szCs w:val="26"/>
        </w:rPr>
        <w:t>Registration</w:t>
      </w:r>
      <w:r w:rsidRPr="007012A6" w:rsidR="00F31A6B">
        <w:rPr>
          <w:rFonts w:cs="Arial"/>
          <w:bCs/>
          <w:szCs w:val="26"/>
        </w:rPr>
        <w:t xml:space="preserve"> Form</w:t>
      </w:r>
    </w:p>
    <w:p w:rsidRPr="007012A6" w:rsidR="0082622B" w:rsidP="0047676D" w:rsidRDefault="0082622B" w14:paraId="23B45B63" w14:textId="52A59761">
      <w:pPr>
        <w:tabs>
          <w:tab w:val="left" w:pos="1483"/>
        </w:tabs>
        <w:spacing w:line="240" w:lineRule="auto"/>
        <w:ind w:left="1814" w:hanging="1814"/>
        <w:rPr>
          <w:rFonts w:cs="Arial"/>
          <w:bCs/>
          <w:szCs w:val="26"/>
        </w:rPr>
      </w:pPr>
      <w:r w:rsidRPr="007012A6">
        <w:rPr>
          <w:rFonts w:cs="Arial"/>
          <w:bCs/>
          <w:szCs w:val="26"/>
        </w:rPr>
        <w:t>Appendix B</w:t>
      </w:r>
      <w:r w:rsidRPr="00284E11" w:rsidR="007012A6">
        <w:tab/>
        <w:t>—</w:t>
      </w:r>
      <w:r w:rsidRPr="00284E11" w:rsidR="007012A6">
        <w:tab/>
      </w:r>
      <w:r w:rsidRPr="007012A6">
        <w:rPr>
          <w:rFonts w:cs="Arial"/>
          <w:bCs/>
          <w:szCs w:val="26"/>
        </w:rPr>
        <w:t>Section</w:t>
      </w:r>
      <w:r w:rsidRPr="007012A6" w:rsidR="005C447B">
        <w:rPr>
          <w:rFonts w:cs="Arial"/>
          <w:bCs/>
          <w:szCs w:val="26"/>
        </w:rPr>
        <w:t> </w:t>
      </w:r>
      <w:r w:rsidRPr="007012A6">
        <w:rPr>
          <w:rFonts w:cs="Arial"/>
          <w:bCs/>
          <w:szCs w:val="26"/>
        </w:rPr>
        <w:t>1013 Registration</w:t>
      </w:r>
      <w:r w:rsidRPr="007012A6" w:rsidR="00F31A6B">
        <w:rPr>
          <w:rFonts w:cs="Arial"/>
          <w:bCs/>
          <w:szCs w:val="26"/>
        </w:rPr>
        <w:t xml:space="preserve"> </w:t>
      </w:r>
      <w:r w:rsidRPr="007012A6" w:rsidR="00F31A6B">
        <w:rPr>
          <w:bCs/>
        </w:rPr>
        <w:t>Form</w:t>
      </w:r>
      <w:r w:rsidR="00056129">
        <w:rPr>
          <w:bCs/>
        </w:rPr>
        <w:t xml:space="preserve"> and Process</w:t>
      </w:r>
    </w:p>
    <w:p w:rsidRPr="007012A6" w:rsidR="0082622B" w:rsidP="0047676D" w:rsidRDefault="0082622B" w14:paraId="2F67556D" w14:textId="76580A17">
      <w:pPr>
        <w:tabs>
          <w:tab w:val="left" w:pos="1483"/>
        </w:tabs>
        <w:spacing w:line="240" w:lineRule="auto"/>
        <w:ind w:left="1814" w:hanging="1814"/>
        <w:rPr>
          <w:rFonts w:cs="Arial"/>
          <w:bCs/>
          <w:szCs w:val="26"/>
        </w:rPr>
      </w:pPr>
      <w:r w:rsidRPr="007012A6">
        <w:rPr>
          <w:rFonts w:cs="Arial"/>
          <w:bCs/>
          <w:szCs w:val="26"/>
        </w:rPr>
        <w:t>Appendix C</w:t>
      </w:r>
      <w:r w:rsidRPr="00284E11" w:rsidR="007012A6">
        <w:tab/>
        <w:t>—</w:t>
      </w:r>
      <w:r w:rsidRPr="00284E11" w:rsidR="007012A6">
        <w:tab/>
      </w:r>
      <w:r w:rsidRPr="007012A6">
        <w:t>CPCN</w:t>
      </w:r>
      <w:r w:rsidRPr="007012A6">
        <w:rPr>
          <w:rFonts w:cs="Arial"/>
          <w:bCs/>
          <w:szCs w:val="26"/>
        </w:rPr>
        <w:t xml:space="preserve"> </w:t>
      </w:r>
      <w:r w:rsidRPr="0047676D">
        <w:t>Application</w:t>
      </w:r>
      <w:r w:rsidRPr="007012A6" w:rsidR="00F31A6B">
        <w:rPr>
          <w:rFonts w:cs="Arial"/>
          <w:bCs/>
          <w:szCs w:val="26"/>
        </w:rPr>
        <w:t xml:space="preserve"> Form</w:t>
      </w:r>
    </w:p>
    <w:p w:rsidR="0098655A" w:rsidP="0047676D" w:rsidRDefault="0098655A" w14:paraId="510A2B6A" w14:textId="5F1ABA29">
      <w:pPr>
        <w:tabs>
          <w:tab w:val="left" w:pos="1483"/>
        </w:tabs>
        <w:spacing w:line="240" w:lineRule="auto"/>
        <w:ind w:left="1814" w:hanging="1814"/>
        <w:rPr>
          <w:rFonts w:cs="Arial"/>
          <w:color w:val="000000" w:themeColor="text1"/>
        </w:rPr>
      </w:pPr>
      <w:r w:rsidRPr="007012A6">
        <w:rPr>
          <w:rFonts w:cs="Arial"/>
          <w:bCs/>
          <w:szCs w:val="26"/>
        </w:rPr>
        <w:t xml:space="preserve">Appendix </w:t>
      </w:r>
      <w:r w:rsidRPr="007012A6" w:rsidR="0082622B">
        <w:rPr>
          <w:rFonts w:cs="Arial"/>
          <w:bCs/>
          <w:szCs w:val="26"/>
        </w:rPr>
        <w:t>D</w:t>
      </w:r>
      <w:r w:rsidRPr="00284E11" w:rsidR="007012A6">
        <w:tab/>
        <w:t>—</w:t>
      </w:r>
      <w:r w:rsidRPr="00284E11" w:rsidR="007012A6">
        <w:tab/>
      </w:r>
      <w:r w:rsidRPr="007012A6" w:rsidR="00AF3A58">
        <w:rPr>
          <w:rFonts w:cs="Arial"/>
          <w:bCs/>
          <w:color w:val="000000" w:themeColor="text1"/>
          <w:szCs w:val="26"/>
        </w:rPr>
        <w:t xml:space="preserve">List </w:t>
      </w:r>
      <w:r w:rsidRPr="007012A6" w:rsidR="000F42D1">
        <w:rPr>
          <w:rFonts w:cs="Arial"/>
          <w:bCs/>
          <w:color w:val="000000" w:themeColor="text1"/>
          <w:szCs w:val="26"/>
        </w:rPr>
        <w:t>of</w:t>
      </w:r>
      <w:r w:rsidRPr="007012A6" w:rsidR="00AF3A58">
        <w:rPr>
          <w:rFonts w:cs="Arial"/>
          <w:bCs/>
          <w:color w:val="000000" w:themeColor="text1"/>
          <w:szCs w:val="26"/>
        </w:rPr>
        <w:t xml:space="preserve"> </w:t>
      </w:r>
      <w:r w:rsidRPr="0047676D" w:rsidR="00AF3A58">
        <w:t>Currently</w:t>
      </w:r>
      <w:r w:rsidRPr="007012A6" w:rsidR="00AF3A58">
        <w:rPr>
          <w:rFonts w:cs="Arial"/>
          <w:bCs/>
          <w:color w:val="000000" w:themeColor="text1"/>
        </w:rPr>
        <w:t xml:space="preserve"> Operating Interconnected VoIP </w:t>
      </w:r>
      <w:r w:rsidRPr="007012A6" w:rsidR="000D625F">
        <w:rPr>
          <w:rFonts w:cs="Arial"/>
          <w:bCs/>
          <w:color w:val="000000" w:themeColor="text1"/>
        </w:rPr>
        <w:t xml:space="preserve">Service </w:t>
      </w:r>
      <w:r w:rsidRPr="007012A6" w:rsidR="00AF3A58">
        <w:rPr>
          <w:rFonts w:cs="Arial"/>
          <w:bCs/>
          <w:color w:val="000000" w:themeColor="text1"/>
        </w:rPr>
        <w:t>Providers</w:t>
      </w:r>
      <w:r w:rsidRPr="00AF3A58" w:rsidR="00AF3A58">
        <w:rPr>
          <w:rFonts w:cs="Arial"/>
          <w:color w:val="000000" w:themeColor="text1"/>
        </w:rPr>
        <w:t xml:space="preserve"> </w:t>
      </w:r>
      <w:r w:rsidR="00235EB8">
        <w:rPr>
          <w:rFonts w:cs="Arial"/>
          <w:color w:val="000000" w:themeColor="text1"/>
        </w:rPr>
        <w:t>Already Registered Through the Section</w:t>
      </w:r>
      <w:r w:rsidR="005C447B">
        <w:rPr>
          <w:rFonts w:cs="Arial"/>
          <w:color w:val="000000" w:themeColor="text1"/>
        </w:rPr>
        <w:t> </w:t>
      </w:r>
      <w:r w:rsidR="00235EB8">
        <w:rPr>
          <w:rFonts w:cs="Arial"/>
          <w:color w:val="000000" w:themeColor="text1"/>
        </w:rPr>
        <w:t xml:space="preserve">285 Process </w:t>
      </w:r>
      <w:r w:rsidRPr="00AF3A58" w:rsidR="00AF3A58">
        <w:rPr>
          <w:rFonts w:cs="Arial"/>
          <w:color w:val="000000" w:themeColor="text1"/>
        </w:rPr>
        <w:t xml:space="preserve">Subject </w:t>
      </w:r>
      <w:r w:rsidR="000F42D1">
        <w:rPr>
          <w:rFonts w:cs="Arial"/>
          <w:color w:val="000000" w:themeColor="text1"/>
        </w:rPr>
        <w:t>t</w:t>
      </w:r>
      <w:r w:rsidRPr="00AF3A58" w:rsidR="00AF3A58">
        <w:rPr>
          <w:rFonts w:cs="Arial"/>
          <w:color w:val="000000" w:themeColor="text1"/>
        </w:rPr>
        <w:t xml:space="preserve">o </w:t>
      </w:r>
      <w:r w:rsidR="00235EB8">
        <w:rPr>
          <w:rFonts w:cs="Arial"/>
          <w:color w:val="000000" w:themeColor="text1"/>
        </w:rPr>
        <w:t>Migration</w:t>
      </w:r>
      <w:r w:rsidR="00035596">
        <w:rPr>
          <w:rFonts w:cs="Arial"/>
          <w:color w:val="000000" w:themeColor="text1"/>
        </w:rPr>
        <w:t xml:space="preserve"> to Operating Authority</w:t>
      </w:r>
    </w:p>
    <w:p w:rsidR="00235EB8" w:rsidP="0047676D" w:rsidRDefault="00235EB8" w14:paraId="73AF87EC" w14:textId="007CE0A7">
      <w:pPr>
        <w:tabs>
          <w:tab w:val="left" w:pos="1483"/>
        </w:tabs>
        <w:spacing w:line="240" w:lineRule="auto"/>
        <w:ind w:left="1814" w:hanging="1814"/>
        <w:rPr>
          <w:rFonts w:cs="Arial"/>
          <w:color w:val="000000" w:themeColor="text1"/>
        </w:rPr>
      </w:pPr>
      <w:r w:rsidRPr="007012A6">
        <w:rPr>
          <w:rFonts w:cs="Arial"/>
          <w:bCs/>
          <w:szCs w:val="26"/>
        </w:rPr>
        <w:t>Appendix E</w:t>
      </w:r>
      <w:r w:rsidRPr="007012A6" w:rsidR="007012A6">
        <w:rPr>
          <w:bCs/>
        </w:rPr>
        <w:tab/>
        <w:t>—</w:t>
      </w:r>
      <w:r w:rsidRPr="007012A6" w:rsidR="007012A6">
        <w:rPr>
          <w:bCs/>
        </w:rPr>
        <w:tab/>
      </w:r>
      <w:r w:rsidRPr="007012A6">
        <w:rPr>
          <w:rFonts w:cs="Arial"/>
          <w:bCs/>
          <w:color w:val="000000" w:themeColor="text1"/>
          <w:szCs w:val="26"/>
        </w:rPr>
        <w:t xml:space="preserve">List of </w:t>
      </w:r>
      <w:r w:rsidRPr="007012A6">
        <w:rPr>
          <w:rFonts w:cs="Arial"/>
          <w:bCs/>
          <w:color w:val="000000" w:themeColor="text1"/>
        </w:rPr>
        <w:t xml:space="preserve">Currently Operating Interconnected VoIP </w:t>
      </w:r>
      <w:r w:rsidRPr="007012A6" w:rsidR="000D625F">
        <w:rPr>
          <w:rFonts w:cs="Arial"/>
          <w:bCs/>
          <w:color w:val="000000" w:themeColor="text1"/>
        </w:rPr>
        <w:t>Service</w:t>
      </w:r>
      <w:r w:rsidR="000D625F">
        <w:rPr>
          <w:rFonts w:cs="Arial"/>
          <w:color w:val="000000" w:themeColor="text1"/>
        </w:rPr>
        <w:t xml:space="preserve"> </w:t>
      </w:r>
      <w:r w:rsidRPr="00AF3A58">
        <w:rPr>
          <w:rFonts w:cs="Arial"/>
          <w:color w:val="000000" w:themeColor="text1"/>
        </w:rPr>
        <w:t>Providers</w:t>
      </w:r>
      <w:r>
        <w:rPr>
          <w:rFonts w:cs="Arial"/>
          <w:color w:val="000000" w:themeColor="text1"/>
        </w:rPr>
        <w:t xml:space="preserve"> </w:t>
      </w:r>
      <w:r w:rsidRPr="0047676D">
        <w:t>With</w:t>
      </w:r>
      <w:r>
        <w:rPr>
          <w:rFonts w:cs="Arial"/>
          <w:color w:val="000000" w:themeColor="text1"/>
        </w:rPr>
        <w:t xml:space="preserve"> Operating Authority </w:t>
      </w:r>
      <w:r w:rsidRPr="00AF3A58" w:rsidR="00B83B77">
        <w:rPr>
          <w:rFonts w:cs="Arial"/>
          <w:color w:val="000000" w:themeColor="text1"/>
        </w:rPr>
        <w:t xml:space="preserve">Subject </w:t>
      </w:r>
      <w:r w:rsidR="00B83B77">
        <w:rPr>
          <w:rFonts w:cs="Arial"/>
          <w:color w:val="000000" w:themeColor="text1"/>
        </w:rPr>
        <w:t>t</w:t>
      </w:r>
      <w:r w:rsidRPr="00AF3A58" w:rsidR="00B83B77">
        <w:rPr>
          <w:rFonts w:cs="Arial"/>
          <w:color w:val="000000" w:themeColor="text1"/>
        </w:rPr>
        <w:t xml:space="preserve">o </w:t>
      </w:r>
      <w:r w:rsidR="00B83B77">
        <w:rPr>
          <w:rFonts w:cs="Arial"/>
          <w:color w:val="000000" w:themeColor="text1"/>
        </w:rPr>
        <w:t>Migration</w:t>
      </w:r>
      <w:r w:rsidRPr="00AF3A58" w:rsidR="00B83B77">
        <w:rPr>
          <w:rFonts w:cs="Arial"/>
          <w:color w:val="000000" w:themeColor="text1"/>
        </w:rPr>
        <w:t xml:space="preserve"> </w:t>
      </w:r>
      <w:r w:rsidR="008F2638">
        <w:rPr>
          <w:rFonts w:cs="Arial"/>
          <w:color w:val="000000" w:themeColor="text1"/>
        </w:rPr>
        <w:t>to DVF Utility Type</w:t>
      </w:r>
    </w:p>
    <w:p w:rsidRPr="007012A6" w:rsidR="006363AC" w:rsidP="0047676D" w:rsidRDefault="006363AC" w14:paraId="4C950238" w14:textId="1659B70C">
      <w:pPr>
        <w:tabs>
          <w:tab w:val="left" w:pos="1483"/>
        </w:tabs>
        <w:spacing w:line="240" w:lineRule="auto"/>
        <w:ind w:left="1814" w:hanging="1814"/>
      </w:pPr>
      <w:r w:rsidRPr="007012A6">
        <w:t xml:space="preserve">Appendix </w:t>
      </w:r>
      <w:r w:rsidRPr="007012A6" w:rsidR="00094625">
        <w:t>F</w:t>
      </w:r>
      <w:r w:rsidRPr="00284E11" w:rsidR="007012A6">
        <w:tab/>
        <w:t>—</w:t>
      </w:r>
      <w:r w:rsidRPr="00284E11" w:rsidR="007012A6">
        <w:tab/>
      </w:r>
      <w:r w:rsidRPr="007012A6" w:rsidR="00236458">
        <w:t>Financial Requirements for CPCN and Section</w:t>
      </w:r>
      <w:r w:rsidRPr="007012A6" w:rsidR="00A821CA">
        <w:t> </w:t>
      </w:r>
      <w:r w:rsidRPr="007012A6" w:rsidR="00236458">
        <w:t>1013 Registration</w:t>
      </w:r>
      <w:r w:rsidR="001832F7">
        <w:t xml:space="preserve"> Applications</w:t>
      </w:r>
    </w:p>
    <w:p w:rsidRPr="007012A6" w:rsidR="007A5BA9" w:rsidP="0047676D" w:rsidRDefault="007A5BA9" w14:paraId="5724147B" w14:textId="1B626999">
      <w:pPr>
        <w:tabs>
          <w:tab w:val="left" w:pos="1483"/>
        </w:tabs>
        <w:spacing w:line="240" w:lineRule="auto"/>
        <w:ind w:left="1814" w:hanging="1814"/>
      </w:pPr>
      <w:r w:rsidRPr="007012A6">
        <w:t>Appendix G</w:t>
      </w:r>
      <w:r w:rsidRPr="00284E11" w:rsidR="007012A6">
        <w:tab/>
        <w:t>—</w:t>
      </w:r>
      <w:r w:rsidRPr="00284E11" w:rsidR="007012A6">
        <w:tab/>
      </w:r>
      <w:r w:rsidRPr="007012A6">
        <w:t xml:space="preserve">Interconnected VoIP </w:t>
      </w:r>
      <w:r w:rsidRPr="007012A6" w:rsidR="007356A3">
        <w:t xml:space="preserve">Service </w:t>
      </w:r>
      <w:r w:rsidRPr="007012A6">
        <w:t>Providers</w:t>
      </w:r>
      <w:r w:rsidRPr="007012A6" w:rsidR="00893D67">
        <w:t>’</w:t>
      </w:r>
      <w:r w:rsidRPr="007012A6">
        <w:t xml:space="preserve"> Procedure </w:t>
      </w:r>
      <w:r w:rsidRPr="007012A6" w:rsidR="001259CC">
        <w:t>f</w:t>
      </w:r>
      <w:r w:rsidRPr="007012A6">
        <w:t xml:space="preserve">or Transfers </w:t>
      </w:r>
      <w:r w:rsidRPr="007012A6" w:rsidR="008F2638">
        <w:t>o</w:t>
      </w:r>
      <w:r w:rsidRPr="007012A6">
        <w:t>f Control Of Assets</w:t>
      </w:r>
    </w:p>
    <w:p w:rsidR="00094625" w:rsidP="0047676D" w:rsidRDefault="00094625" w14:paraId="451A7B66" w14:textId="7FE5BCED">
      <w:pPr>
        <w:tabs>
          <w:tab w:val="left" w:pos="1483"/>
        </w:tabs>
        <w:spacing w:line="240" w:lineRule="auto"/>
        <w:ind w:left="1814" w:hanging="1814"/>
        <w:rPr>
          <w:rFonts w:cs="Arial"/>
          <w:bCs/>
          <w:szCs w:val="26"/>
        </w:rPr>
      </w:pPr>
      <w:r w:rsidRPr="007012A6">
        <w:t>Appendix H</w:t>
      </w:r>
      <w:r w:rsidRPr="00284E11" w:rsidR="007012A6">
        <w:tab/>
        <w:t>—</w:t>
      </w:r>
      <w:r w:rsidRPr="00284E11" w:rsidR="007012A6">
        <w:tab/>
      </w:r>
      <w:r w:rsidRPr="007012A6">
        <w:t xml:space="preserve">California Environmental Quality Act </w:t>
      </w:r>
      <w:r w:rsidRPr="007012A6" w:rsidR="00E54E30">
        <w:t>21</w:t>
      </w:r>
      <w:r w:rsidR="00844EAF">
        <w:noBreakHyphen/>
      </w:r>
      <w:r w:rsidRPr="007012A6" w:rsidR="00E54E30">
        <w:t xml:space="preserve">Day </w:t>
      </w:r>
      <w:r w:rsidRPr="007012A6">
        <w:t>Ex</w:t>
      </w:r>
      <w:r w:rsidR="00F45DF9">
        <w:t>pedited</w:t>
      </w:r>
      <w:r w:rsidRPr="007012A6">
        <w:t xml:space="preserve"> </w:t>
      </w:r>
      <w:r w:rsidRPr="007012A6" w:rsidR="004F365E">
        <w:t xml:space="preserve">Review </w:t>
      </w:r>
      <w:r w:rsidR="004F365E">
        <w:rPr>
          <w:rFonts w:cs="Arial"/>
          <w:bCs/>
          <w:szCs w:val="26"/>
        </w:rPr>
        <w:t>Process</w:t>
      </w:r>
    </w:p>
    <w:p w:rsidR="00D44DB6" w:rsidP="00D44DB6" w:rsidRDefault="00D44DB6" w14:paraId="6EBD478E" w14:textId="77777777">
      <w:pPr>
        <w:spacing w:line="240" w:lineRule="auto"/>
        <w:ind w:firstLine="0"/>
        <w:rPr>
          <w:rFonts w:cs="Arial"/>
          <w:szCs w:val="26"/>
        </w:rPr>
      </w:pPr>
    </w:p>
    <w:p w:rsidRPr="00D44DB6" w:rsidR="00D44DB6" w:rsidP="00D44DB6" w:rsidRDefault="00D44DB6" w14:paraId="6E6F08BF" w14:textId="607F13BB">
      <w:pPr>
        <w:spacing w:line="240" w:lineRule="auto"/>
        <w:ind w:firstLine="0"/>
        <w:rPr>
          <w:rFonts w:cs="Arial"/>
          <w:i/>
          <w:szCs w:val="26"/>
        </w:rPr>
        <w:sectPr w:rsidRPr="00D44DB6" w:rsidR="00D44DB6" w:rsidSect="00977FD1">
          <w:pgSz w:w="12240" w:h="15840"/>
          <w:pgMar w:top="1728" w:right="1440" w:bottom="1440" w:left="1440" w:header="720" w:footer="720" w:gutter="0"/>
          <w:pgNumType w:fmt="lowerRoman" w:start="1"/>
          <w:cols w:space="720"/>
          <w:docGrid w:linePitch="360"/>
        </w:sectPr>
      </w:pPr>
    </w:p>
    <w:p w:rsidRPr="00645D56" w:rsidR="001C1725" w:rsidP="002A0DC7" w:rsidRDefault="003F2C76" w14:paraId="5F6D38D2" w14:textId="6C3306A0">
      <w:pPr>
        <w:pStyle w:val="Main"/>
        <w:rPr>
          <w:rFonts w:cs="Arial"/>
          <w:caps w:val="0"/>
        </w:rPr>
      </w:pPr>
      <w:bookmarkStart w:name="_Toc521575135" w:id="15"/>
      <w:bookmarkStart w:name="Title" w:id="16"/>
      <w:bookmarkStart w:name="_Hlk125365635" w:id="17"/>
      <w:r w:rsidRPr="00645D56">
        <w:rPr>
          <w:rFonts w:cs="Arial"/>
          <w:caps w:val="0"/>
        </w:rPr>
        <w:lastRenderedPageBreak/>
        <w:t>DECISION ESTABLISHING</w:t>
      </w:r>
      <w:bookmarkEnd w:id="15"/>
      <w:r w:rsidRPr="00645D56">
        <w:rPr>
          <w:rFonts w:cs="Arial"/>
          <w:caps w:val="0"/>
        </w:rPr>
        <w:t xml:space="preserve"> REGULATORY FRAMEWORK</w:t>
      </w:r>
      <w:r w:rsidRPr="00645D56" w:rsidR="00AB756C">
        <w:rPr>
          <w:rFonts w:cs="Arial"/>
          <w:caps w:val="0"/>
        </w:rPr>
        <w:t xml:space="preserve"> </w:t>
      </w:r>
      <w:r w:rsidRPr="00645D56">
        <w:rPr>
          <w:rFonts w:cs="Arial"/>
          <w:caps w:val="0"/>
        </w:rPr>
        <w:t>FOR</w:t>
      </w:r>
      <w:r w:rsidRPr="00645D56" w:rsidR="00AB756C">
        <w:rPr>
          <w:rFonts w:cs="Arial"/>
          <w:caps w:val="0"/>
        </w:rPr>
        <w:br/>
      </w:r>
      <w:r w:rsidRPr="00645D56">
        <w:rPr>
          <w:rFonts w:cs="Arial"/>
          <w:caps w:val="0"/>
        </w:rPr>
        <w:t>TELEPHONE CORPORATIONS PROVIDING INTERCONNECTED</w:t>
      </w:r>
      <w:r w:rsidRPr="00645D56">
        <w:rPr>
          <w:rFonts w:cs="Arial"/>
          <w:caps w:val="0"/>
        </w:rPr>
        <w:br/>
        <w:t>VOICE OVER INTERNET PROTOCOL SERVICE</w:t>
      </w:r>
      <w:bookmarkEnd w:id="16"/>
      <w:r w:rsidRPr="00645D56" w:rsidR="003B0B5D">
        <w:rPr>
          <w:rFonts w:cs="Arial"/>
          <w:caps w:val="0"/>
        </w:rPr>
        <w:t xml:space="preserve"> </w:t>
      </w:r>
      <w:r w:rsidRPr="00645D56" w:rsidR="003B0B5D">
        <w:rPr>
          <w:rFonts w:cs="Arial"/>
          <w:bCs/>
          <w:caps w:val="0"/>
        </w:rPr>
        <w:t>AND</w:t>
      </w:r>
      <w:r w:rsidRPr="00645D56" w:rsidR="00AB756C">
        <w:rPr>
          <w:rFonts w:cs="Arial"/>
          <w:bCs/>
          <w:caps w:val="0"/>
        </w:rPr>
        <w:br/>
      </w:r>
      <w:r w:rsidRPr="00645D56" w:rsidR="003B0B5D">
        <w:rPr>
          <w:rFonts w:cs="Arial"/>
          <w:bCs/>
          <w:caps w:val="0"/>
        </w:rPr>
        <w:t>LAUNCHING</w:t>
      </w:r>
      <w:r w:rsidRPr="00645D56" w:rsidR="00AB756C">
        <w:rPr>
          <w:rFonts w:cs="Arial"/>
          <w:bCs/>
          <w:caps w:val="0"/>
        </w:rPr>
        <w:t xml:space="preserve"> </w:t>
      </w:r>
      <w:r w:rsidRPr="00645D56" w:rsidR="003B0B5D">
        <w:rPr>
          <w:rFonts w:cs="Arial"/>
          <w:bCs/>
          <w:caps w:val="0"/>
        </w:rPr>
        <w:t>SECOND PHASE OF PROCEEDING</w:t>
      </w:r>
    </w:p>
    <w:p w:rsidRPr="00887C6F" w:rsidR="002A0DC7" w:rsidP="00887C6F" w:rsidRDefault="002A0DC7" w14:paraId="1F19A342" w14:textId="3C701D9F">
      <w:pPr>
        <w:pStyle w:val="Main"/>
        <w:jc w:val="left"/>
        <w:rPr>
          <w:caps w:val="0"/>
        </w:rPr>
      </w:pPr>
    </w:p>
    <w:p w:rsidRPr="00D27317" w:rsidR="001C1725" w:rsidP="00D27317" w:rsidRDefault="001C1725" w14:paraId="7C29BEA8" w14:textId="03AE81C6">
      <w:pPr>
        <w:pStyle w:val="Dummy"/>
      </w:pPr>
      <w:bookmarkStart w:name="_Toc8123714" w:id="18"/>
      <w:bookmarkStart w:name="_Toc167874847" w:id="19"/>
      <w:bookmarkStart w:name="_Toc176770925" w:id="20"/>
      <w:bookmarkStart w:name="_Toc177021123" w:id="21"/>
      <w:bookmarkStart w:name="_Toc181692871" w:id="22"/>
      <w:r w:rsidRPr="00803CDA">
        <w:t>Summary</w:t>
      </w:r>
      <w:bookmarkEnd w:id="18"/>
      <w:bookmarkEnd w:id="19"/>
      <w:bookmarkEnd w:id="20"/>
      <w:bookmarkEnd w:id="21"/>
      <w:bookmarkEnd w:id="22"/>
    </w:p>
    <w:p w:rsidR="00B50C9F" w:rsidP="001B72DD" w:rsidRDefault="004333D7" w14:paraId="4B468B63" w14:textId="23AFB62A">
      <w:pPr>
        <w:pStyle w:val="Standard"/>
      </w:pPr>
      <w:r w:rsidRPr="19E6B670">
        <w:t>This decision</w:t>
      </w:r>
      <w:r>
        <w:t xml:space="preserve"> </w:t>
      </w:r>
      <w:r w:rsidRPr="19E6B670">
        <w:t xml:space="preserve">establishes </w:t>
      </w:r>
      <w:r>
        <w:t>a regulatory framework</w:t>
      </w:r>
      <w:r w:rsidRPr="19E6B670">
        <w:t xml:space="preserve"> for</w:t>
      </w:r>
      <w:r w:rsidR="00834F86">
        <w:t xml:space="preserve"> </w:t>
      </w:r>
      <w:r w:rsidR="00FA48E0">
        <w:t xml:space="preserve">public utility </w:t>
      </w:r>
      <w:r w:rsidR="00834F86">
        <w:t>telephone corporations providing</w:t>
      </w:r>
      <w:r w:rsidRPr="19E6B670">
        <w:t xml:space="preserve"> </w:t>
      </w:r>
      <w:r>
        <w:t>i</w:t>
      </w:r>
      <w:r w:rsidRPr="19E6B670">
        <w:t>nterconnected Voice over Internet Protocol (VoIP) service</w:t>
      </w:r>
      <w:r w:rsidR="004077BF">
        <w:t>s</w:t>
      </w:r>
      <w:r w:rsidR="00344F82">
        <w:t xml:space="preserve"> to California consumers</w:t>
      </w:r>
      <w:r w:rsidR="00F22427">
        <w:t>.</w:t>
      </w:r>
      <w:r w:rsidR="007E6340">
        <w:t xml:space="preserve"> </w:t>
      </w:r>
      <w:r w:rsidRPr="00CF2A13" w:rsidR="00CF2A13">
        <w:t xml:space="preserve">State law requires all telephone corporations selling voice communications services in California to seek operating authority from the California Public Utilities Commission (Commission or CPUC) through a certificate of public convenience and necessity or registration. Despite their public utility status, </w:t>
      </w:r>
      <w:r w:rsidR="00DF06F7">
        <w:t>i</w:t>
      </w:r>
      <w:r w:rsidRPr="00CF2A13" w:rsidR="00CF2A13">
        <w:t xml:space="preserve">nterconnected VoIP service providers have operated in California for decades without any formal licensing or registration requirements, which the Commission has applied to other wireline and wireless voice service providers. In a straightforward exercise of our core authority, we implement these state requirements for </w:t>
      </w:r>
      <w:r w:rsidR="00DF06F7">
        <w:t>i</w:t>
      </w:r>
      <w:r w:rsidRPr="00CF2A13" w:rsidR="00CF2A13">
        <w:t xml:space="preserve">nterconnected VoIP service providers </w:t>
      </w:r>
      <w:r w:rsidR="00CF2A13">
        <w:t>by</w:t>
      </w:r>
      <w:r w:rsidR="00C2091A">
        <w:t xml:space="preserve"> </w:t>
      </w:r>
      <w:r w:rsidR="000E46B9">
        <w:t>adopt</w:t>
      </w:r>
      <w:r w:rsidR="00CF2A13">
        <w:t>ing</w:t>
      </w:r>
      <w:r w:rsidR="000E46B9">
        <w:t xml:space="preserve"> two new utility type designations</w:t>
      </w:r>
      <w:r w:rsidR="00CF2A13">
        <w:t xml:space="preserve"> for their voice services</w:t>
      </w:r>
      <w:r w:rsidR="00E96784">
        <w:t>:</w:t>
      </w:r>
      <w:r w:rsidR="00970BF0">
        <w:t xml:space="preserve"> </w:t>
      </w:r>
      <w:r w:rsidR="00E96784">
        <w:t>(1</w:t>
      </w:r>
      <w:r w:rsidR="00412621">
        <w:t>)</w:t>
      </w:r>
      <w:r w:rsidR="00844EAF">
        <w:t> </w:t>
      </w:r>
      <w:r w:rsidR="00281AC0">
        <w:t>Digital Voice Nomadic (DVN)</w:t>
      </w:r>
      <w:r w:rsidR="00FF5B30">
        <w:t xml:space="preserve"> designation</w:t>
      </w:r>
      <w:r w:rsidR="00281AC0">
        <w:t xml:space="preserve"> for providers </w:t>
      </w:r>
      <w:r w:rsidR="00E71D5C">
        <w:t>who offer</w:t>
      </w:r>
      <w:r w:rsidR="00281AC0">
        <w:t xml:space="preserve"> nomadic</w:t>
      </w:r>
      <w:r w:rsidR="00DF06F7">
        <w:t>-only</w:t>
      </w:r>
      <w:r w:rsidR="00281AC0">
        <w:t xml:space="preserve"> interconnected</w:t>
      </w:r>
      <w:r w:rsidR="00E64A87">
        <w:t xml:space="preserve"> VoIP</w:t>
      </w:r>
      <w:r w:rsidR="00401BE7">
        <w:t xml:space="preserve"> services</w:t>
      </w:r>
      <w:r w:rsidR="00412621">
        <w:t>,</w:t>
      </w:r>
      <w:r w:rsidR="00281AC0">
        <w:t xml:space="preserve"> </w:t>
      </w:r>
      <w:r w:rsidR="00BE615A">
        <w:t xml:space="preserve">and </w:t>
      </w:r>
      <w:r w:rsidR="00E96784">
        <w:t>(2)</w:t>
      </w:r>
      <w:r w:rsidR="00844EAF">
        <w:t> </w:t>
      </w:r>
      <w:r w:rsidR="00281AC0">
        <w:t xml:space="preserve">Digital Voice Fixed (DVF) </w:t>
      </w:r>
      <w:r w:rsidR="00115470">
        <w:t xml:space="preserve">designation </w:t>
      </w:r>
      <w:r w:rsidR="00281AC0">
        <w:t>for providers of</w:t>
      </w:r>
      <w:r w:rsidR="00CA45AF">
        <w:t>fering</w:t>
      </w:r>
      <w:r w:rsidR="00281AC0">
        <w:t xml:space="preserve"> fixed interconnected VoIP</w:t>
      </w:r>
      <w:r w:rsidR="00543DBC">
        <w:t xml:space="preserve"> as part of their service offerings</w:t>
      </w:r>
      <w:r w:rsidR="0080176A">
        <w:t>.</w:t>
      </w:r>
      <w:r w:rsidR="007E6340">
        <w:t xml:space="preserve"> </w:t>
      </w:r>
      <w:r w:rsidR="00667C35">
        <w:t>Nomadic</w:t>
      </w:r>
      <w:r w:rsidR="00844EAF">
        <w:noBreakHyphen/>
      </w:r>
      <w:r w:rsidR="004F0D22">
        <w:t>only</w:t>
      </w:r>
      <w:r w:rsidR="00667C35">
        <w:t xml:space="preserve"> interconnected VoIP</w:t>
      </w:r>
      <w:r w:rsidR="00321380">
        <w:t xml:space="preserve"> </w:t>
      </w:r>
      <w:r w:rsidR="00A43960">
        <w:t>service provider</w:t>
      </w:r>
      <w:r w:rsidR="00321380">
        <w:t>s</w:t>
      </w:r>
      <w:r w:rsidR="00D0692D">
        <w:t xml:space="preserve"> </w:t>
      </w:r>
      <w:r w:rsidR="00286657">
        <w:t xml:space="preserve">shall be subject to a </w:t>
      </w:r>
      <w:r w:rsidR="00287BD1">
        <w:t>Nomadic R</w:t>
      </w:r>
      <w:r w:rsidR="00286657">
        <w:t>egistration process</w:t>
      </w:r>
      <w:r w:rsidR="008E10D4">
        <w:t xml:space="preserve"> similar to the Commission</w:t>
      </w:r>
      <w:r w:rsidR="00893D67">
        <w:t>’</w:t>
      </w:r>
      <w:r w:rsidR="008E10D4">
        <w:t>s existing Wireless Identification Registration</w:t>
      </w:r>
      <w:r w:rsidR="00D8481E">
        <w:t>.</w:t>
      </w:r>
      <w:r w:rsidR="007E6340">
        <w:t xml:space="preserve"> </w:t>
      </w:r>
      <w:r w:rsidR="00667C35">
        <w:t>Fixed interconnected</w:t>
      </w:r>
      <w:r w:rsidR="008A5703">
        <w:t xml:space="preserve"> </w:t>
      </w:r>
      <w:r w:rsidR="00667C35">
        <w:t xml:space="preserve">VoIP </w:t>
      </w:r>
      <w:r w:rsidR="00A43960">
        <w:t>service provider</w:t>
      </w:r>
      <w:r w:rsidR="008A5703">
        <w:t>s</w:t>
      </w:r>
      <w:r w:rsidR="00BE615A">
        <w:t xml:space="preserve"> </w:t>
      </w:r>
      <w:r w:rsidR="00074AB0">
        <w:t xml:space="preserve">shall </w:t>
      </w:r>
      <w:r w:rsidR="00C72043">
        <w:t xml:space="preserve">continue to </w:t>
      </w:r>
      <w:r w:rsidR="00074AB0">
        <w:t>be subject to</w:t>
      </w:r>
      <w:r w:rsidR="00BA3C49">
        <w:t xml:space="preserve"> </w:t>
      </w:r>
      <w:r w:rsidR="00D54321">
        <w:t>operating authority requirements</w:t>
      </w:r>
      <w:r w:rsidR="00A84D27">
        <w:t xml:space="preserve"> </w:t>
      </w:r>
      <w:r w:rsidR="00486E12">
        <w:t xml:space="preserve">similar to traditional wireline </w:t>
      </w:r>
      <w:r w:rsidR="00A43960">
        <w:t>service provider</w:t>
      </w:r>
      <w:r w:rsidR="00486E12">
        <w:t>s</w:t>
      </w:r>
      <w:r w:rsidR="00285695">
        <w:t>.</w:t>
      </w:r>
    </w:p>
    <w:p w:rsidR="00E14F51" w:rsidP="00F66B62" w:rsidRDefault="008835F1" w14:paraId="6477AA07" w14:textId="7EE055DF">
      <w:pPr>
        <w:pStyle w:val="Standard"/>
      </w:pPr>
      <w:r>
        <w:t>T</w:t>
      </w:r>
      <w:r w:rsidR="00107C2D">
        <w:t xml:space="preserve">his decision </w:t>
      </w:r>
      <w:r>
        <w:t xml:space="preserve">also </w:t>
      </w:r>
      <w:r w:rsidR="00325513">
        <w:t xml:space="preserve">establishes an automatic migration </w:t>
      </w:r>
      <w:r w:rsidR="00BE26E5">
        <w:t xml:space="preserve">process </w:t>
      </w:r>
      <w:r w:rsidR="00222CEF">
        <w:t>f</w:t>
      </w:r>
      <w:r w:rsidR="00BE26E5">
        <w:t>or</w:t>
      </w:r>
      <w:r w:rsidR="00222CEF">
        <w:t xml:space="preserve"> </w:t>
      </w:r>
      <w:r w:rsidR="00B476C1">
        <w:t>interconnected VoIP</w:t>
      </w:r>
      <w:r w:rsidR="0049534D">
        <w:t xml:space="preserve"> service</w:t>
      </w:r>
      <w:r w:rsidR="00B476C1">
        <w:t xml:space="preserve"> providers already registered with the Commission </w:t>
      </w:r>
      <w:r w:rsidR="00B476C1">
        <w:lastRenderedPageBreak/>
        <w:t xml:space="preserve">under the prior informal registration pursuant to </w:t>
      </w:r>
      <w:r w:rsidR="007E4707">
        <w:t>Public</w:t>
      </w:r>
      <w:r w:rsidR="00844EAF">
        <w:t xml:space="preserve"> </w:t>
      </w:r>
      <w:r w:rsidR="007E4707">
        <w:t>Utilities</w:t>
      </w:r>
      <w:r w:rsidR="004A2A7A">
        <w:t xml:space="preserve"> Code </w:t>
      </w:r>
      <w:r w:rsidR="0033191D">
        <w:t>Section </w:t>
      </w:r>
      <w:r w:rsidR="00B476C1">
        <w:t>285.</w:t>
      </w:r>
    </w:p>
    <w:p w:rsidR="00E14F51" w:rsidP="00F66B62" w:rsidRDefault="00056F7A" w14:paraId="100D45EA" w14:textId="791676C0">
      <w:pPr>
        <w:pStyle w:val="Standard"/>
      </w:pPr>
      <w:r>
        <w:t xml:space="preserve">This decision streamlines or removes certain </w:t>
      </w:r>
      <w:r w:rsidR="007565AC">
        <w:t xml:space="preserve">existing </w:t>
      </w:r>
      <w:r>
        <w:t>requirements for</w:t>
      </w:r>
      <w:r w:rsidR="007565AC">
        <w:t xml:space="preserve"> other</w:t>
      </w:r>
      <w:r w:rsidR="007E3C07">
        <w:t xml:space="preserve"> wireline</w:t>
      </w:r>
      <w:r w:rsidR="005A1BB7">
        <w:t xml:space="preserve"> </w:t>
      </w:r>
      <w:r>
        <w:t>telephone corporation utility types</w:t>
      </w:r>
      <w:r w:rsidR="005A1BB7">
        <w:t xml:space="preserve"> to be consistent with those</w:t>
      </w:r>
      <w:r w:rsidR="009C749E">
        <w:t xml:space="preserve"> applicable to </w:t>
      </w:r>
      <w:r w:rsidR="008A67CB">
        <w:t xml:space="preserve">interconnected VoIP </w:t>
      </w:r>
      <w:r w:rsidR="00D50DAE">
        <w:t>telephone corporations</w:t>
      </w:r>
      <w:r>
        <w:t>.</w:t>
      </w:r>
      <w:r w:rsidR="007E6340">
        <w:t xml:space="preserve"> </w:t>
      </w:r>
      <w:r w:rsidR="009E3494">
        <w:t>The improvements to the Commission</w:t>
      </w:r>
      <w:r w:rsidR="00893D67">
        <w:t>’</w:t>
      </w:r>
      <w:r w:rsidR="009E3494">
        <w:t>s application processes for operating authority include the following</w:t>
      </w:r>
      <w:r w:rsidR="004E3961">
        <w:t xml:space="preserve">:  </w:t>
      </w:r>
      <w:r w:rsidR="006A25DD">
        <w:t>(</w:t>
      </w:r>
      <w:r w:rsidR="009E3494">
        <w:t>1)</w:t>
      </w:r>
      <w:r w:rsidR="006A25DD">
        <w:t> </w:t>
      </w:r>
      <w:r w:rsidR="009E3494">
        <w:t xml:space="preserve">standardized fees and performance bond amounts, </w:t>
      </w:r>
      <w:r w:rsidR="006A25DD">
        <w:t>(</w:t>
      </w:r>
      <w:r w:rsidR="009E3494">
        <w:t>2)</w:t>
      </w:r>
      <w:r w:rsidR="006A25DD">
        <w:t> </w:t>
      </w:r>
      <w:r w:rsidR="00A7100E">
        <w:t>industry</w:t>
      </w:r>
      <w:r w:rsidR="00844EAF">
        <w:noBreakHyphen/>
      </w:r>
      <w:r w:rsidR="00A7100E">
        <w:t xml:space="preserve">wide </w:t>
      </w:r>
      <w:r w:rsidR="009E3494">
        <w:t>a</w:t>
      </w:r>
      <w:r w:rsidR="00BE26E5">
        <w:t>doption of</w:t>
      </w:r>
      <w:r w:rsidR="00CE4A2B">
        <w:t xml:space="preserve"> </w:t>
      </w:r>
      <w:r w:rsidR="009E3494">
        <w:t xml:space="preserve">the </w:t>
      </w:r>
      <w:r w:rsidR="00BE26E5">
        <w:t>Energy Division’s 21</w:t>
      </w:r>
      <w:r w:rsidR="00844EAF">
        <w:noBreakHyphen/>
      </w:r>
      <w:r w:rsidR="00BD64F0">
        <w:t>d</w:t>
      </w:r>
      <w:r w:rsidR="00BE26E5">
        <w:t xml:space="preserve">ay </w:t>
      </w:r>
      <w:r w:rsidR="009E3494">
        <w:t>California Environmental Quality Act Ex</w:t>
      </w:r>
      <w:r w:rsidR="005B57A1">
        <w:t>pedited</w:t>
      </w:r>
      <w:r w:rsidR="009E3494">
        <w:t xml:space="preserve"> Review </w:t>
      </w:r>
      <w:r w:rsidR="00A45500">
        <w:t>process</w:t>
      </w:r>
      <w:r w:rsidR="009E3494">
        <w:t xml:space="preserve">, and </w:t>
      </w:r>
      <w:r w:rsidR="006A25DD">
        <w:t>(</w:t>
      </w:r>
      <w:r w:rsidR="009E3494">
        <w:t>3)</w:t>
      </w:r>
      <w:r w:rsidR="006A25DD">
        <w:t> </w:t>
      </w:r>
      <w:r w:rsidR="00CC4C51">
        <w:t>presumptive</w:t>
      </w:r>
      <w:r w:rsidR="009E3494">
        <w:t xml:space="preserve"> confidential treatment </w:t>
      </w:r>
      <w:r w:rsidR="00CC4C51">
        <w:t>of certain financial and business information</w:t>
      </w:r>
      <w:r w:rsidR="009E3494">
        <w:t>.</w:t>
      </w:r>
    </w:p>
    <w:p w:rsidR="00E14F51" w:rsidP="00F66B62" w:rsidRDefault="00524E72" w14:paraId="4D389B60" w14:textId="2535053F">
      <w:pPr>
        <w:pStyle w:val="Standard"/>
        <w:rPr>
          <w:color w:val="000000" w:themeColor="text1"/>
        </w:rPr>
      </w:pPr>
      <w:r>
        <w:rPr>
          <w:color w:val="000000" w:themeColor="text1"/>
        </w:rPr>
        <w:t>T</w:t>
      </w:r>
      <w:r w:rsidR="00643F92">
        <w:rPr>
          <w:color w:val="000000" w:themeColor="text1"/>
        </w:rPr>
        <w:t>his decision</w:t>
      </w:r>
      <w:r w:rsidR="00DF5B85">
        <w:rPr>
          <w:color w:val="000000" w:themeColor="text1"/>
        </w:rPr>
        <w:t xml:space="preserve"> requires</w:t>
      </w:r>
      <w:r w:rsidDel="00F32E1C" w:rsidR="00BA3E0D">
        <w:rPr>
          <w:color w:val="000000" w:themeColor="text1"/>
        </w:rPr>
        <w:t xml:space="preserve"> </w:t>
      </w:r>
      <w:r w:rsidR="00643F92">
        <w:rPr>
          <w:color w:val="000000" w:themeColor="text1"/>
        </w:rPr>
        <w:t xml:space="preserve">all interconnected VoIP </w:t>
      </w:r>
      <w:r w:rsidR="00B12CA4">
        <w:rPr>
          <w:color w:val="000000" w:themeColor="text1"/>
        </w:rPr>
        <w:t xml:space="preserve">service </w:t>
      </w:r>
      <w:r w:rsidR="00643F92">
        <w:rPr>
          <w:color w:val="000000" w:themeColor="text1"/>
        </w:rPr>
        <w:t>providers</w:t>
      </w:r>
      <w:r w:rsidR="00B02B32">
        <w:rPr>
          <w:color w:val="000000" w:themeColor="text1"/>
        </w:rPr>
        <w:t xml:space="preserve"> (DVN and DVF</w:t>
      </w:r>
      <w:r w:rsidR="00CF237E">
        <w:rPr>
          <w:color w:val="000000" w:themeColor="text1"/>
        </w:rPr>
        <w:t xml:space="preserve"> utility types</w:t>
      </w:r>
      <w:r w:rsidR="00B02B32">
        <w:rPr>
          <w:color w:val="000000" w:themeColor="text1"/>
        </w:rPr>
        <w:t>)</w:t>
      </w:r>
      <w:r w:rsidR="00643F92">
        <w:rPr>
          <w:color w:val="000000" w:themeColor="text1"/>
        </w:rPr>
        <w:t xml:space="preserve"> </w:t>
      </w:r>
      <w:r w:rsidR="004E1FDC">
        <w:rPr>
          <w:color w:val="000000" w:themeColor="text1"/>
        </w:rPr>
        <w:t>to post performance bonds</w:t>
      </w:r>
      <w:r w:rsidR="00D100F5">
        <w:rPr>
          <w:color w:val="000000" w:themeColor="text1"/>
        </w:rPr>
        <w:t xml:space="preserve">, </w:t>
      </w:r>
      <w:r w:rsidR="004E1FDC">
        <w:rPr>
          <w:color w:val="000000" w:themeColor="text1"/>
        </w:rPr>
        <w:t>pay</w:t>
      </w:r>
      <w:r w:rsidDel="00892747" w:rsidR="004E1FDC">
        <w:rPr>
          <w:color w:val="000000" w:themeColor="text1"/>
        </w:rPr>
        <w:t xml:space="preserve"> the</w:t>
      </w:r>
      <w:r w:rsidR="004E1FDC">
        <w:rPr>
          <w:color w:val="000000" w:themeColor="text1"/>
        </w:rPr>
        <w:t xml:space="preserve"> CPUC </w:t>
      </w:r>
      <w:r w:rsidR="00725B56">
        <w:rPr>
          <w:color w:val="000000" w:themeColor="text1"/>
        </w:rPr>
        <w:t>User Fee</w:t>
      </w:r>
      <w:r w:rsidR="00D100F5">
        <w:rPr>
          <w:color w:val="000000" w:themeColor="text1"/>
        </w:rPr>
        <w:t xml:space="preserve"> and file annual affiliate transaction reports.</w:t>
      </w:r>
      <w:bookmarkEnd w:id="17"/>
      <w:r w:rsidR="00482360">
        <w:rPr>
          <w:color w:val="000000" w:themeColor="text1"/>
        </w:rPr>
        <w:t xml:space="preserve"> </w:t>
      </w:r>
    </w:p>
    <w:p w:rsidR="00524E72" w:rsidP="00F66B62" w:rsidRDefault="00524E72" w14:paraId="2339EA3B" w14:textId="2C947E3C">
      <w:pPr>
        <w:pStyle w:val="Standard"/>
        <w:rPr>
          <w:color w:val="000000" w:themeColor="text1"/>
        </w:rPr>
      </w:pPr>
      <w:r>
        <w:rPr>
          <w:color w:val="000000" w:themeColor="text1"/>
        </w:rPr>
        <w:t xml:space="preserve">Finally, it is appropriate to open a second phase of this proceeding to address implementation and technical issues associated with </w:t>
      </w:r>
      <w:r w:rsidR="00B569FF">
        <w:rPr>
          <w:color w:val="000000" w:themeColor="text1"/>
        </w:rPr>
        <w:t>integrating</w:t>
      </w:r>
      <w:r>
        <w:rPr>
          <w:color w:val="000000" w:themeColor="text1"/>
        </w:rPr>
        <w:t xml:space="preserve"> interconnected VoIP services providers into the regulatory framework.</w:t>
      </w:r>
    </w:p>
    <w:p w:rsidR="0073353F" w:rsidP="00F66B62" w:rsidRDefault="004333D7" w14:paraId="5FAED432" w14:textId="38C8A1D4">
      <w:pPr>
        <w:pStyle w:val="Standard"/>
      </w:pPr>
      <w:r w:rsidRPr="00803CDA">
        <w:rPr>
          <w:color w:val="000000" w:themeColor="text1"/>
        </w:rPr>
        <w:t xml:space="preserve">This proceeding </w:t>
      </w:r>
      <w:r w:rsidR="00524E72">
        <w:rPr>
          <w:color w:val="000000" w:themeColor="text1"/>
        </w:rPr>
        <w:t>remains open</w:t>
      </w:r>
      <w:r w:rsidRPr="00803CDA">
        <w:rPr>
          <w:color w:val="000000" w:themeColor="text1"/>
        </w:rPr>
        <w:t>.</w:t>
      </w:r>
    </w:p>
    <w:p w:rsidR="005A148C" w:rsidP="00887C6F" w:rsidRDefault="002C7FE9" w14:paraId="510F636C" w14:textId="77777777">
      <w:pPr>
        <w:pStyle w:val="Heading1"/>
      </w:pPr>
      <w:bookmarkStart w:name="_Toc8123715" w:id="23"/>
      <w:bookmarkStart w:name="_Toc176770926" w:id="24"/>
      <w:bookmarkStart w:name="_Toc177021124" w:id="25"/>
      <w:bookmarkStart w:name="_Toc181692872" w:id="26"/>
      <w:r w:rsidRPr="00121089">
        <w:t>Background</w:t>
      </w:r>
      <w:bookmarkEnd w:id="23"/>
      <w:bookmarkEnd w:id="24"/>
      <w:bookmarkEnd w:id="25"/>
      <w:bookmarkEnd w:id="26"/>
    </w:p>
    <w:p w:rsidR="0015337A" w:rsidP="00F66B62" w:rsidRDefault="0015337A" w14:paraId="05D080E1" w14:textId="0AA72C2B">
      <w:pPr>
        <w:pStyle w:val="Standard"/>
        <w:rPr>
          <w:bdr w:val="none" w:color="auto" w:sz="0" w:space="0" w:frame="1"/>
        </w:rPr>
      </w:pPr>
      <w:bookmarkStart w:name="_Toc8123717" w:id="27"/>
      <w:r w:rsidRPr="00803CDA">
        <w:rPr>
          <w:color w:val="000000" w:themeColor="text1"/>
          <w:szCs w:val="26"/>
        </w:rPr>
        <w:t xml:space="preserve">On </w:t>
      </w:r>
      <w:r w:rsidR="00424385">
        <w:rPr>
          <w:color w:val="000000" w:themeColor="text1"/>
          <w:szCs w:val="26"/>
        </w:rPr>
        <w:t>August </w:t>
      </w:r>
      <w:r w:rsidRPr="00803CDA">
        <w:rPr>
          <w:color w:val="000000" w:themeColor="text1"/>
          <w:szCs w:val="26"/>
        </w:rPr>
        <w:t xml:space="preserve">30, 2022, the </w:t>
      </w:r>
      <w:r w:rsidR="00C2091A">
        <w:t xml:space="preserve">California </w:t>
      </w:r>
      <w:r w:rsidR="007E4707">
        <w:t>Public Utilities</w:t>
      </w:r>
      <w:r w:rsidR="00C2091A">
        <w:t xml:space="preserve"> Commission (Commission</w:t>
      </w:r>
      <w:r w:rsidR="007B7452">
        <w:t xml:space="preserve"> or CPUC</w:t>
      </w:r>
      <w:r w:rsidR="00C2091A">
        <w:t xml:space="preserve">) </w:t>
      </w:r>
      <w:r w:rsidRPr="00803CDA">
        <w:rPr>
          <w:color w:val="000000" w:themeColor="text1"/>
          <w:szCs w:val="26"/>
        </w:rPr>
        <w:t xml:space="preserve">issued its </w:t>
      </w:r>
      <w:r w:rsidRPr="00803CDA">
        <w:rPr>
          <w:i/>
          <w:iCs/>
          <w:color w:val="000000" w:themeColor="text1"/>
          <w:szCs w:val="26"/>
        </w:rPr>
        <w:t xml:space="preserve">Order Instituting Rulemaking to Consider Changes to Licensing Status and Obligations of Interconnected Voice over Internet Protocol </w:t>
      </w:r>
      <w:r w:rsidR="004F0D22">
        <w:rPr>
          <w:i/>
          <w:iCs/>
          <w:color w:val="000000" w:themeColor="text1"/>
          <w:szCs w:val="26"/>
        </w:rPr>
        <w:t>[</w:t>
      </w:r>
      <w:r w:rsidR="00E2726E">
        <w:rPr>
          <w:i/>
          <w:iCs/>
          <w:color w:val="000000" w:themeColor="text1"/>
          <w:szCs w:val="26"/>
        </w:rPr>
        <w:t xml:space="preserve">(VoIP)] </w:t>
      </w:r>
      <w:r w:rsidRPr="00803CDA">
        <w:rPr>
          <w:i/>
          <w:iCs/>
          <w:color w:val="000000" w:themeColor="text1"/>
          <w:szCs w:val="26"/>
        </w:rPr>
        <w:t>Carriers</w:t>
      </w:r>
      <w:r w:rsidRPr="00803CDA">
        <w:rPr>
          <w:color w:val="000000" w:themeColor="text1"/>
          <w:szCs w:val="26"/>
        </w:rPr>
        <w:t xml:space="preserve"> (OIR) opening Rulemaking (R.)</w:t>
      </w:r>
      <w:r w:rsidR="00190F90">
        <w:rPr>
          <w:color w:val="000000" w:themeColor="text1"/>
          <w:szCs w:val="26"/>
        </w:rPr>
        <w:t> </w:t>
      </w:r>
      <w:r w:rsidRPr="00803CDA">
        <w:rPr>
          <w:color w:val="000000" w:themeColor="text1"/>
          <w:szCs w:val="26"/>
        </w:rPr>
        <w:t>22</w:t>
      </w:r>
      <w:r w:rsidR="006951D5">
        <w:rPr>
          <w:color w:val="000000" w:themeColor="text1"/>
          <w:szCs w:val="26"/>
        </w:rPr>
        <w:noBreakHyphen/>
      </w:r>
      <w:r w:rsidRPr="00803CDA">
        <w:rPr>
          <w:color w:val="000000" w:themeColor="text1"/>
          <w:szCs w:val="26"/>
        </w:rPr>
        <w:t>08</w:t>
      </w:r>
      <w:r w:rsidR="006951D5">
        <w:rPr>
          <w:color w:val="000000" w:themeColor="text1"/>
          <w:szCs w:val="26"/>
        </w:rPr>
        <w:noBreakHyphen/>
      </w:r>
      <w:r w:rsidRPr="00803CDA">
        <w:rPr>
          <w:color w:val="000000" w:themeColor="text1"/>
          <w:szCs w:val="26"/>
        </w:rPr>
        <w:t>008</w:t>
      </w:r>
      <w:r>
        <w:rPr>
          <w:color w:val="000000" w:themeColor="text1"/>
          <w:szCs w:val="26"/>
        </w:rPr>
        <w:t xml:space="preserve"> to consider changes to address the licensing status of </w:t>
      </w:r>
      <w:r w:rsidR="004A1128">
        <w:rPr>
          <w:color w:val="000000" w:themeColor="text1"/>
          <w:szCs w:val="26"/>
        </w:rPr>
        <w:t xml:space="preserve">interconnected </w:t>
      </w:r>
      <w:r>
        <w:rPr>
          <w:color w:val="000000" w:themeColor="text1"/>
          <w:szCs w:val="26"/>
        </w:rPr>
        <w:t>VoIP</w:t>
      </w:r>
      <w:r w:rsidR="00FF3927">
        <w:rPr>
          <w:color w:val="000000" w:themeColor="text1"/>
          <w:szCs w:val="26"/>
        </w:rPr>
        <w:t xml:space="preserve"> service</w:t>
      </w:r>
      <w:r>
        <w:rPr>
          <w:color w:val="000000" w:themeColor="text1"/>
          <w:szCs w:val="26"/>
        </w:rPr>
        <w:t xml:space="preserve"> providers that were </w:t>
      </w:r>
      <w:r>
        <w:rPr>
          <w:color w:val="000000" w:themeColor="text1"/>
          <w:szCs w:val="26"/>
        </w:rPr>
        <w:lastRenderedPageBreak/>
        <w:t>previously registered informally</w:t>
      </w:r>
      <w:r>
        <w:rPr>
          <w:rStyle w:val="FootnoteReference"/>
          <w:color w:val="000000" w:themeColor="text1"/>
          <w:szCs w:val="26"/>
        </w:rPr>
        <w:footnoteReference w:id="2"/>
      </w:r>
      <w:r>
        <w:rPr>
          <w:color w:val="000000" w:themeColor="text1"/>
          <w:szCs w:val="26"/>
        </w:rPr>
        <w:t xml:space="preserve"> with the Commission. The OIR also aimed to consider other ongoing obligations for all </w:t>
      </w:r>
      <w:r w:rsidR="001F5E58">
        <w:rPr>
          <w:color w:val="000000" w:themeColor="text1"/>
          <w:szCs w:val="26"/>
        </w:rPr>
        <w:t xml:space="preserve">interconnected </w:t>
      </w:r>
      <w:r>
        <w:rPr>
          <w:color w:val="000000" w:themeColor="text1"/>
          <w:szCs w:val="26"/>
        </w:rPr>
        <w:t xml:space="preserve">VoIP </w:t>
      </w:r>
      <w:r w:rsidR="001F5E58">
        <w:rPr>
          <w:color w:val="000000" w:themeColor="text1"/>
          <w:szCs w:val="26"/>
        </w:rPr>
        <w:t xml:space="preserve">service </w:t>
      </w:r>
      <w:r>
        <w:rPr>
          <w:color w:val="000000" w:themeColor="text1"/>
          <w:szCs w:val="26"/>
        </w:rPr>
        <w:t>providers and ministerial licensing reforms.</w:t>
      </w:r>
      <w:r>
        <w:rPr>
          <w:bdr w:val="none" w:color="auto" w:sz="0" w:space="0" w:frame="1"/>
        </w:rPr>
        <w:t xml:space="preserve"> The OIR included a </w:t>
      </w:r>
      <w:r w:rsidR="009D2DA9">
        <w:rPr>
          <w:bdr w:val="none" w:color="auto" w:sz="0" w:space="0" w:frame="1"/>
        </w:rPr>
        <w:t>S</w:t>
      </w:r>
      <w:r>
        <w:rPr>
          <w:bdr w:val="none" w:color="auto" w:sz="0" w:space="0" w:frame="1"/>
        </w:rPr>
        <w:t xml:space="preserve">taff </w:t>
      </w:r>
      <w:r w:rsidR="009D2DA9">
        <w:rPr>
          <w:bdr w:val="none" w:color="auto" w:sz="0" w:space="0" w:frame="1"/>
        </w:rPr>
        <w:t>P</w:t>
      </w:r>
      <w:r>
        <w:rPr>
          <w:bdr w:val="none" w:color="auto" w:sz="0" w:space="0" w:frame="1"/>
        </w:rPr>
        <w:t xml:space="preserve">roposal </w:t>
      </w:r>
      <w:r w:rsidR="009D2DA9">
        <w:rPr>
          <w:bdr w:val="none" w:color="auto" w:sz="0" w:space="0" w:frame="1"/>
        </w:rPr>
        <w:t>containing</w:t>
      </w:r>
      <w:r>
        <w:rPr>
          <w:bdr w:val="none" w:color="auto" w:sz="0" w:space="0" w:frame="1"/>
        </w:rPr>
        <w:t xml:space="preserve"> recommendations to resolve the issues identified preliminarily as within the scope of the proceeding.</w:t>
      </w:r>
    </w:p>
    <w:p w:rsidR="0015337A" w:rsidP="00F66B62" w:rsidRDefault="0015337A" w14:paraId="2AECFABA" w14:textId="4F4AC9C1">
      <w:pPr>
        <w:pStyle w:val="Standard"/>
      </w:pPr>
      <w:r>
        <w:rPr>
          <w:bdr w:val="none" w:color="auto" w:sz="0" w:space="0" w:frame="1"/>
        </w:rPr>
        <w:t xml:space="preserve">The Commission had previously initiated rulemakings addressing the </w:t>
      </w:r>
      <w:r>
        <w:t xml:space="preserve">obligations for interconnected VoIP </w:t>
      </w:r>
      <w:r w:rsidR="00FB6B84">
        <w:t xml:space="preserve">service </w:t>
      </w:r>
      <w:r w:rsidR="0080311E">
        <w:t>providers</w:t>
      </w:r>
      <w:r>
        <w:t xml:space="preserve"> but, until now, had yet to develop specific administrative procedures by which to implement regulatory oversight. In 2004, the Commission initiated Investigation (I.)</w:t>
      </w:r>
      <w:r w:rsidR="00136E28">
        <w:t> </w:t>
      </w:r>
      <w:r>
        <w:t>04</w:t>
      </w:r>
      <w:r w:rsidR="006951D5">
        <w:noBreakHyphen/>
      </w:r>
      <w:r>
        <w:t>02</w:t>
      </w:r>
      <w:r w:rsidR="006951D5">
        <w:noBreakHyphen/>
      </w:r>
      <w:r>
        <w:t xml:space="preserve">007 to determine the appropriate regulatory framework for </w:t>
      </w:r>
      <w:r w:rsidR="00617EA8">
        <w:t xml:space="preserve">interconnected </w:t>
      </w:r>
      <w:r>
        <w:t xml:space="preserve">VoIP service, stating </w:t>
      </w:r>
      <w:r w:rsidR="00893D67">
        <w:t>“</w:t>
      </w:r>
      <w:r>
        <w:t>VoIP represents the next generation technology for the provision of voice and other services.</w:t>
      </w:r>
      <w:r w:rsidR="00893D67">
        <w:t>”</w:t>
      </w:r>
      <w:r>
        <w:rPr>
          <w:rStyle w:val="FootnoteReference"/>
        </w:rPr>
        <w:footnoteReference w:id="3"/>
      </w:r>
      <w:r>
        <w:t xml:space="preserve"> At that time, the Commission identified existing </w:t>
      </w:r>
      <w:r w:rsidR="009B0875">
        <w:t xml:space="preserve">interconnected </w:t>
      </w:r>
      <w:r>
        <w:t xml:space="preserve">VoIP </w:t>
      </w:r>
      <w:r w:rsidR="009B0875">
        <w:t xml:space="preserve">service </w:t>
      </w:r>
      <w:r>
        <w:t xml:space="preserve">providers operating in California (Vonage, 8X8, and </w:t>
      </w:r>
      <w:r w:rsidR="00604827">
        <w:t>Level 3</w:t>
      </w:r>
      <w:r>
        <w:t xml:space="preserve"> Communications) and noted that traditional providers of voice telephony, including incumbent telephone companies, competitive local exchange</w:t>
      </w:r>
      <w:r w:rsidR="0082729C">
        <w:rPr>
          <w:rStyle w:val="FootnoteReference"/>
        </w:rPr>
        <w:footnoteReference w:id="4"/>
      </w:r>
      <w:r>
        <w:t xml:space="preserve"> carriers, and cable telephony providers were deploying </w:t>
      </w:r>
      <w:r w:rsidR="000263D6">
        <w:t>interconnected VoIP</w:t>
      </w:r>
      <w:r>
        <w:t xml:space="preserve"> telephony on a commercial basis and migrating customers to </w:t>
      </w:r>
      <w:r w:rsidR="000263D6">
        <w:t>interconnected VoIP</w:t>
      </w:r>
      <w:r>
        <w:t xml:space="preserve"> telephony technology.</w:t>
      </w:r>
      <w:r>
        <w:rPr>
          <w:rStyle w:val="FootnoteReference"/>
        </w:rPr>
        <w:footnoteReference w:id="5"/>
      </w:r>
      <w:r>
        <w:t xml:space="preserve"> In </w:t>
      </w:r>
      <w:r w:rsidR="00236AF7">
        <w:t>Decision (</w:t>
      </w:r>
      <w:r>
        <w:t>D.</w:t>
      </w:r>
      <w:r w:rsidR="00236AF7">
        <w:t>)</w:t>
      </w:r>
      <w:r w:rsidR="003615AB">
        <w:t> </w:t>
      </w:r>
      <w:r>
        <w:t>06</w:t>
      </w:r>
      <w:r w:rsidR="006951D5">
        <w:noBreakHyphen/>
      </w:r>
      <w:r>
        <w:t>06</w:t>
      </w:r>
      <w:r w:rsidR="006951D5">
        <w:noBreakHyphen/>
      </w:r>
      <w:r>
        <w:t xml:space="preserve">010, the </w:t>
      </w:r>
      <w:r>
        <w:lastRenderedPageBreak/>
        <w:t>Commission closed I.04</w:t>
      </w:r>
      <w:r w:rsidR="006951D5">
        <w:noBreakHyphen/>
      </w:r>
      <w:r>
        <w:t>02</w:t>
      </w:r>
      <w:r w:rsidR="006951D5">
        <w:noBreakHyphen/>
      </w:r>
      <w:r>
        <w:t xml:space="preserve">007, finding it premature to establish a regulatory framework for </w:t>
      </w:r>
      <w:r w:rsidR="0044553D">
        <w:t xml:space="preserve">interconnected </w:t>
      </w:r>
      <w:r>
        <w:t xml:space="preserve">VoIP </w:t>
      </w:r>
      <w:r w:rsidR="00C621CC">
        <w:t>service</w:t>
      </w:r>
      <w:r>
        <w:t>.</w:t>
      </w:r>
      <w:r>
        <w:rPr>
          <w:rStyle w:val="FootnoteReference"/>
        </w:rPr>
        <w:footnoteReference w:id="6"/>
      </w:r>
    </w:p>
    <w:p w:rsidR="0015337A" w:rsidP="00F66B62" w:rsidRDefault="0015337A" w14:paraId="605B73E1" w14:textId="393C5960">
      <w:pPr>
        <w:pStyle w:val="Standard"/>
      </w:pPr>
      <w:r>
        <w:t>Subsequently, the California Legislature enacted laws regarding universal service</w:t>
      </w:r>
      <w:r w:rsidR="00E27649">
        <w:t>,</w:t>
      </w:r>
      <w:r>
        <w:t xml:space="preserve"> E911</w:t>
      </w:r>
      <w:r w:rsidR="00E27649">
        <w:t>,</w:t>
      </w:r>
      <w:r>
        <w:t xml:space="preserve"> and market competition expressly applicable to </w:t>
      </w:r>
      <w:r w:rsidR="000263D6">
        <w:t>interconnected VoIP</w:t>
      </w:r>
      <w:r>
        <w:t xml:space="preserve"> service. Assembly Bill (AB)</w:t>
      </w:r>
      <w:r w:rsidR="00CF638D">
        <w:t> </w:t>
      </w:r>
      <w:r>
        <w:t>2393 (</w:t>
      </w:r>
      <w:r w:rsidR="00C541D5">
        <w:t>Ch. </w:t>
      </w:r>
      <w:r>
        <w:t xml:space="preserve">776, </w:t>
      </w:r>
      <w:r w:rsidR="00C541D5">
        <w:t>Stats. </w:t>
      </w:r>
      <w:r>
        <w:t>2006) added Section</w:t>
      </w:r>
      <w:r w:rsidR="00943805">
        <w:t> </w:t>
      </w:r>
      <w:r>
        <w:t xml:space="preserve">776, </w:t>
      </w:r>
      <w:r w:rsidR="00943805">
        <w:t>Section </w:t>
      </w:r>
      <w:r>
        <w:t>2872.5</w:t>
      </w:r>
      <w:r w:rsidR="00943805">
        <w:t>,</w:t>
      </w:r>
      <w:r>
        <w:t xml:space="preserve"> and </w:t>
      </w:r>
      <w:r w:rsidR="00943805">
        <w:t>Section </w:t>
      </w:r>
      <w:r>
        <w:t xml:space="preserve">2892.1 to the </w:t>
      </w:r>
      <w:r w:rsidR="007E4707">
        <w:t>Public Utilities</w:t>
      </w:r>
      <w:r w:rsidR="001556ED">
        <w:t xml:space="preserve"> (</w:t>
      </w:r>
      <w:r w:rsidR="00C04D12">
        <w:t>Pub. Util.</w:t>
      </w:r>
      <w:r w:rsidR="001556ED">
        <w:t>)</w:t>
      </w:r>
      <w:r w:rsidR="001B3434">
        <w:t xml:space="preserve"> Code</w:t>
      </w:r>
      <w:r>
        <w:t xml:space="preserve"> to address emergency telephone system reliability.</w:t>
      </w:r>
      <w:r>
        <w:rPr>
          <w:rStyle w:val="FootnoteReference"/>
        </w:rPr>
        <w:footnoteReference w:id="7"/>
      </w:r>
      <w:r w:rsidR="007E6340">
        <w:t xml:space="preserve"> </w:t>
      </w:r>
      <w:r>
        <w:t>Section</w:t>
      </w:r>
      <w:r w:rsidR="00293580">
        <w:t> </w:t>
      </w:r>
      <w:r>
        <w:t xml:space="preserve">776 and </w:t>
      </w:r>
      <w:r w:rsidR="00293580">
        <w:t>Section </w:t>
      </w:r>
      <w:r>
        <w:t>2892.1 address telephone backup power systems</w:t>
      </w:r>
      <w:r>
        <w:rPr>
          <w:rStyle w:val="FootnoteReference"/>
        </w:rPr>
        <w:footnoteReference w:id="8"/>
      </w:r>
      <w:r>
        <w:t xml:space="preserve"> while </w:t>
      </w:r>
      <w:r w:rsidR="0033191D">
        <w:t>Section </w:t>
      </w:r>
      <w:r>
        <w:t xml:space="preserve">2872.5 addresses emergency notification systems. For purposes of applying </w:t>
      </w:r>
      <w:r w:rsidR="0033191D">
        <w:t>Section </w:t>
      </w:r>
      <w:r>
        <w:t xml:space="preserve">2892.1, the statute identifies </w:t>
      </w:r>
      <w:r w:rsidR="00D41FDF">
        <w:t xml:space="preserve">interconnected </w:t>
      </w:r>
      <w:r>
        <w:t>VoIP among the technologies provisioning voice communication service.</w:t>
      </w:r>
    </w:p>
    <w:p w:rsidR="0015337A" w:rsidP="00F66B62" w:rsidRDefault="0033191D" w14:paraId="2F79756D" w14:textId="1D1D3447">
      <w:pPr>
        <w:pStyle w:val="Standard"/>
      </w:pPr>
      <w:r>
        <w:t>Section </w:t>
      </w:r>
      <w:r w:rsidR="0015337A">
        <w:t>776, addressing telephone system backup power located on the customers</w:t>
      </w:r>
      <w:r w:rsidR="00893D67">
        <w:t>’</w:t>
      </w:r>
      <w:r w:rsidR="0015337A">
        <w:t xml:space="preserve"> premises, applies to </w:t>
      </w:r>
      <w:r w:rsidR="00893D67">
        <w:t>“</w:t>
      </w:r>
      <w:r w:rsidR="0015337A">
        <w:t>facilities</w:t>
      </w:r>
      <w:r w:rsidR="006951D5">
        <w:noBreakHyphen/>
      </w:r>
      <w:r w:rsidR="0015337A">
        <w:t>based providers of telephony services.</w:t>
      </w:r>
      <w:r w:rsidR="00893D67">
        <w:t>”</w:t>
      </w:r>
      <w:r w:rsidR="0015337A">
        <w:t xml:space="preserve"> </w:t>
      </w:r>
      <w:r>
        <w:t>Section </w:t>
      </w:r>
      <w:r w:rsidR="0015337A">
        <w:t xml:space="preserve">2872.5, addressing telephone emergency system notification, applies to all manner of </w:t>
      </w:r>
      <w:r w:rsidR="00893D67">
        <w:t>“</w:t>
      </w:r>
      <w:r w:rsidR="0015337A">
        <w:t>911 emergency telephone systems</w:t>
      </w:r>
      <w:r w:rsidR="00893D67">
        <w:t>”</w:t>
      </w:r>
      <w:r w:rsidR="0015337A">
        <w:t xml:space="preserve"> as referenced in </w:t>
      </w:r>
      <w:r w:rsidR="006224F8">
        <w:t>subdivision </w:t>
      </w:r>
      <w:r w:rsidR="0015337A">
        <w:t xml:space="preserve">(e) of </w:t>
      </w:r>
      <w:r>
        <w:t>Section </w:t>
      </w:r>
      <w:r w:rsidR="0015337A">
        <w:t>2872.</w:t>
      </w:r>
      <w:r w:rsidR="007E6340">
        <w:t xml:space="preserve"> </w:t>
      </w:r>
      <w:r w:rsidR="0015337A">
        <w:t xml:space="preserve">In implementing </w:t>
      </w:r>
      <w:r w:rsidR="00284AAF">
        <w:t>AB </w:t>
      </w:r>
      <w:r w:rsidR="0015337A">
        <w:t>2393,</w:t>
      </w:r>
      <w:r w:rsidR="0015337A">
        <w:rPr>
          <w:rStyle w:val="FootnoteReference"/>
        </w:rPr>
        <w:footnoteReference w:id="9"/>
      </w:r>
      <w:r w:rsidR="0015337A">
        <w:t xml:space="preserve"> the Commission determined the terms of Section</w:t>
      </w:r>
      <w:r w:rsidR="00566B18">
        <w:t> </w:t>
      </w:r>
      <w:r w:rsidR="0015337A">
        <w:t xml:space="preserve">776 and </w:t>
      </w:r>
      <w:r w:rsidR="00566B18">
        <w:t>Section </w:t>
      </w:r>
      <w:r w:rsidR="0015337A">
        <w:t xml:space="preserve">2872.5 applied equally to </w:t>
      </w:r>
      <w:r w:rsidR="000263D6">
        <w:t>interconnected VoIP</w:t>
      </w:r>
      <w:r w:rsidR="0015337A">
        <w:t xml:space="preserve"> service, concluding, </w:t>
      </w:r>
      <w:r w:rsidR="00893D67">
        <w:t>“</w:t>
      </w:r>
      <w:r w:rsidR="0015337A">
        <w:rPr>
          <w:rFonts w:hAnsi="Palatino Linotype"/>
        </w:rPr>
        <w:t xml:space="preserve">to interpret </w:t>
      </w:r>
      <w:r w:rsidR="00284AAF">
        <w:rPr>
          <w:rFonts w:hAnsi="Palatino Linotype"/>
        </w:rPr>
        <w:t>AB</w:t>
      </w:r>
      <w:r w:rsidR="00284AAF">
        <w:rPr>
          <w:rFonts w:hAnsi="Palatino Linotype"/>
        </w:rPr>
        <w:t> </w:t>
      </w:r>
      <w:r w:rsidR="0015337A">
        <w:rPr>
          <w:rFonts w:hAnsi="Palatino Linotype"/>
        </w:rPr>
        <w:t xml:space="preserve">2393 to exclude </w:t>
      </w:r>
      <w:r w:rsidR="0015337A">
        <w:rPr>
          <w:rFonts w:hAnsi="Palatino Linotype"/>
        </w:rPr>
        <w:lastRenderedPageBreak/>
        <w:t>telephone services provided by cable companies and/or VoIP providers would seriously undermine the purpose of the bill.</w:t>
      </w:r>
      <w:r w:rsidR="00893D67">
        <w:rPr>
          <w:rFonts w:hAnsi="Palatino Linotype"/>
        </w:rPr>
        <w:t>”</w:t>
      </w:r>
      <w:r w:rsidR="0015337A">
        <w:rPr>
          <w:rStyle w:val="FootnoteReference"/>
        </w:rPr>
        <w:footnoteReference w:id="10"/>
      </w:r>
    </w:p>
    <w:p w:rsidR="00E14F51" w:rsidP="00A729C5" w:rsidRDefault="00284AAF" w14:paraId="0DBC3557" w14:textId="628170D5">
      <w:pPr>
        <w:pStyle w:val="Standard"/>
        <w:keepNext/>
      </w:pPr>
      <w:r>
        <w:t>AB </w:t>
      </w:r>
      <w:r w:rsidRPr="003125BA" w:rsidR="0015337A">
        <w:t>1315 (</w:t>
      </w:r>
      <w:r w:rsidR="00C541D5">
        <w:t>Ch. </w:t>
      </w:r>
      <w:r w:rsidRPr="003125BA" w:rsidR="0015337A">
        <w:t xml:space="preserve">358, </w:t>
      </w:r>
      <w:r w:rsidR="00C541D5">
        <w:t>Stats. </w:t>
      </w:r>
      <w:r w:rsidRPr="003125BA" w:rsidR="0015337A">
        <w:t xml:space="preserve">2010) added </w:t>
      </w:r>
      <w:r w:rsidR="0033191D">
        <w:t>Section </w:t>
      </w:r>
      <w:r w:rsidRPr="003125BA" w:rsidR="0015337A">
        <w:t>716, declaring</w:t>
      </w:r>
      <w:r w:rsidR="0015337A">
        <w:t>:</w:t>
      </w:r>
    </w:p>
    <w:p w:rsidR="00E14F51" w:rsidP="00A729C5" w:rsidRDefault="0015337A" w14:paraId="0CCE5843" w14:textId="1608E695">
      <w:pPr>
        <w:pStyle w:val="BlockQuote0"/>
      </w:pPr>
      <w:r>
        <w:t xml:space="preserve">Consistent with the federal Telecommunications Act of 1996, </w:t>
      </w:r>
      <w:r w:rsidRPr="003125BA">
        <w:t>st</w:t>
      </w:r>
      <w:r w:rsidRPr="00481BBE">
        <w:t>ate law declares the policies for telecommunications for California to include removal of the barriers to open and competitive markets and promoting fair product and price competition in a way that encourages greater efficiency, lower prices, and more consumer choices, while continuing the state</w:t>
      </w:r>
      <w:r w:rsidR="00893D67">
        <w:t>’</w:t>
      </w:r>
      <w:r w:rsidRPr="00481BBE">
        <w:t>s universal service commitment.</w:t>
      </w:r>
    </w:p>
    <w:p w:rsidR="00E14F51" w:rsidP="00A729C5" w:rsidRDefault="00D8452D" w14:paraId="5E4FD1EB" w14:textId="0E5E2AF9">
      <w:pPr>
        <w:pStyle w:val="Standard"/>
        <w:keepNext/>
      </w:pPr>
      <w:r>
        <w:t>Subsection </w:t>
      </w:r>
      <w:r w:rsidR="0015337A">
        <w:t xml:space="preserve">(b)(2) of </w:t>
      </w:r>
      <w:r w:rsidR="0033191D">
        <w:t>Section </w:t>
      </w:r>
      <w:r w:rsidRPr="00481BBE" w:rsidR="0015337A">
        <w:t>716</w:t>
      </w:r>
      <w:r w:rsidR="0015337A">
        <w:t xml:space="preserve"> </w:t>
      </w:r>
      <w:r w:rsidRPr="00481BBE" w:rsidR="0015337A">
        <w:t>requires</w:t>
      </w:r>
      <w:r w:rsidR="0015337A">
        <w:t>:</w:t>
      </w:r>
    </w:p>
    <w:p w:rsidRPr="003125BA" w:rsidR="0015337A" w:rsidP="00A729C5" w:rsidRDefault="0015337A" w14:paraId="696D1096" w14:textId="24A4C284">
      <w:pPr>
        <w:pStyle w:val="BlockQuote0"/>
      </w:pPr>
      <w:r w:rsidRPr="00481BBE">
        <w:t>All providers of voice communications services, including, but not limited to, local exchange carriers, interexchange carriers, mobile telephony service providers, and providers of facilities</w:t>
      </w:r>
      <w:r w:rsidR="006951D5">
        <w:noBreakHyphen/>
      </w:r>
      <w:r w:rsidRPr="00481BBE">
        <w:t xml:space="preserve">based interconnected Voice over Internet Protocol (VoIP) service, shall provide all data and other information relevant to the forbearance petition requested by the commission pursuant to this </w:t>
      </w:r>
      <w:r w:rsidR="003960A8">
        <w:t>Section</w:t>
      </w:r>
      <w:r w:rsidRPr="00481BBE">
        <w:t>.</w:t>
      </w:r>
    </w:p>
    <w:p w:rsidR="00E14F51" w:rsidP="0015337A" w:rsidRDefault="0015337A" w14:paraId="0756CBCD" w14:textId="7D6CFBE3">
      <w:pPr>
        <w:pStyle w:val="Standard"/>
      </w:pPr>
      <w:r>
        <w:t xml:space="preserve">In January 2011, the Commission opened </w:t>
      </w:r>
      <w:r w:rsidR="00D65A8E">
        <w:t>R.</w:t>
      </w:r>
      <w:r w:rsidRPr="003222FA">
        <w:t>11</w:t>
      </w:r>
      <w:r w:rsidR="006951D5">
        <w:noBreakHyphen/>
      </w:r>
      <w:r w:rsidRPr="003222FA">
        <w:t>01</w:t>
      </w:r>
      <w:r w:rsidR="006951D5">
        <w:noBreakHyphen/>
      </w:r>
      <w:r w:rsidRPr="003222FA">
        <w:t>008</w:t>
      </w:r>
      <w:r>
        <w:t xml:space="preserve"> in order</w:t>
      </w:r>
      <w:r w:rsidRPr="00567FB1">
        <w:t xml:space="preserve"> </w:t>
      </w:r>
      <w:r w:rsidR="00893D67">
        <w:t>“</w:t>
      </w:r>
      <w:r w:rsidRPr="00567FB1">
        <w:t>to ensure that the California universal service programs are supported in a competitively and technologically neutral manner and that contributions to the programs are sufficient to preserve and advance universal service.</w:t>
      </w:r>
      <w:r w:rsidR="00893D67">
        <w:t>”</w:t>
      </w:r>
      <w:r>
        <w:rPr>
          <w:rStyle w:val="FootnoteReference"/>
        </w:rPr>
        <w:footnoteReference w:id="11"/>
      </w:r>
      <w:r>
        <w:t xml:space="preserve"> During the pendency of that proceeding, the California Legislature enacted two statutes addressing questions at issue in R.11</w:t>
      </w:r>
      <w:r w:rsidR="006951D5">
        <w:noBreakHyphen/>
      </w:r>
      <w:r>
        <w:t>01</w:t>
      </w:r>
      <w:r w:rsidR="006951D5">
        <w:noBreakHyphen/>
      </w:r>
      <w:r>
        <w:t>008.</w:t>
      </w:r>
    </w:p>
    <w:p w:rsidR="00E14F51" w:rsidP="0015337A" w:rsidRDefault="00284AAF" w14:paraId="385ED821" w14:textId="7CB9780F">
      <w:pPr>
        <w:pStyle w:val="Standard"/>
        <w:rPr>
          <w:bdr w:val="none" w:color="auto" w:sz="0" w:space="0" w:frame="1"/>
        </w:rPr>
      </w:pPr>
      <w:r>
        <w:t>AB </w:t>
      </w:r>
      <w:r w:rsidRPr="00567FB1" w:rsidR="0015337A">
        <w:t>841 (</w:t>
      </w:r>
      <w:r w:rsidR="00C541D5">
        <w:t>Ch. </w:t>
      </w:r>
      <w:r w:rsidRPr="00567FB1" w:rsidR="0015337A">
        <w:t xml:space="preserve">841, </w:t>
      </w:r>
      <w:r w:rsidR="00C541D5">
        <w:t>Stats. </w:t>
      </w:r>
      <w:r w:rsidRPr="00567FB1" w:rsidR="0015337A">
        <w:t>2011)</w:t>
      </w:r>
      <w:r w:rsidR="0015337A">
        <w:t xml:space="preserve"> </w:t>
      </w:r>
      <w:r w:rsidR="0015337A">
        <w:rPr>
          <w:rFonts w:cstheme="minorHAnsi"/>
          <w:szCs w:val="26"/>
        </w:rPr>
        <w:t xml:space="preserve">added </w:t>
      </w:r>
      <w:r w:rsidR="0033191D">
        <w:rPr>
          <w:rFonts w:cstheme="minorHAnsi"/>
          <w:szCs w:val="26"/>
        </w:rPr>
        <w:t>Section </w:t>
      </w:r>
      <w:r w:rsidRPr="00E82AB5" w:rsidR="0015337A">
        <w:rPr>
          <w:rFonts w:cstheme="minorHAnsi"/>
          <w:szCs w:val="26"/>
        </w:rPr>
        <w:t>285, requir</w:t>
      </w:r>
      <w:r w:rsidR="0015337A">
        <w:rPr>
          <w:rFonts w:cstheme="minorHAnsi"/>
          <w:szCs w:val="26"/>
        </w:rPr>
        <w:t>ing</w:t>
      </w:r>
      <w:r w:rsidRPr="00E82AB5" w:rsidR="0015337A">
        <w:rPr>
          <w:rFonts w:cstheme="minorHAnsi"/>
          <w:szCs w:val="26"/>
        </w:rPr>
        <w:t xml:space="preserve"> </w:t>
      </w:r>
      <w:r w:rsidR="0015337A">
        <w:rPr>
          <w:rFonts w:cstheme="minorHAnsi"/>
          <w:szCs w:val="26"/>
        </w:rPr>
        <w:t xml:space="preserve">providers of </w:t>
      </w:r>
      <w:r w:rsidRPr="00E82AB5" w:rsidR="0015337A">
        <w:rPr>
          <w:rFonts w:cstheme="minorHAnsi"/>
          <w:szCs w:val="26"/>
        </w:rPr>
        <w:t xml:space="preserve">interconnected VoIP </w:t>
      </w:r>
      <w:r w:rsidR="0015337A">
        <w:rPr>
          <w:rFonts w:cstheme="minorHAnsi"/>
          <w:szCs w:val="26"/>
        </w:rPr>
        <w:t xml:space="preserve">service </w:t>
      </w:r>
      <w:r w:rsidRPr="00E82AB5" w:rsidR="0015337A">
        <w:rPr>
          <w:rFonts w:cstheme="minorHAnsi"/>
          <w:szCs w:val="26"/>
        </w:rPr>
        <w:t xml:space="preserve">to collect and remit surcharges in support of </w:t>
      </w:r>
      <w:r w:rsidR="0015337A">
        <w:rPr>
          <w:rFonts w:cstheme="minorHAnsi"/>
          <w:szCs w:val="26"/>
        </w:rPr>
        <w:t>six telecommunications universal service</w:t>
      </w:r>
      <w:r w:rsidRPr="00E82AB5" w:rsidR="0015337A">
        <w:rPr>
          <w:rFonts w:cstheme="minorHAnsi"/>
          <w:szCs w:val="26"/>
        </w:rPr>
        <w:t xml:space="preserve"> programs.</w:t>
      </w:r>
      <w:r w:rsidR="0015337A">
        <w:rPr>
          <w:rFonts w:cstheme="minorHAnsi"/>
          <w:szCs w:val="26"/>
        </w:rPr>
        <w:t xml:space="preserve"> For purposes of </w:t>
      </w:r>
      <w:r w:rsidR="0033191D">
        <w:rPr>
          <w:rFonts w:cstheme="minorHAnsi"/>
          <w:szCs w:val="26"/>
        </w:rPr>
        <w:t>Section </w:t>
      </w:r>
      <w:r w:rsidR="0015337A">
        <w:rPr>
          <w:rFonts w:cstheme="minorHAnsi"/>
          <w:szCs w:val="26"/>
        </w:rPr>
        <w:t xml:space="preserve">285, the </w:t>
      </w:r>
      <w:r w:rsidR="0015337A">
        <w:rPr>
          <w:rFonts w:cstheme="minorHAnsi"/>
          <w:szCs w:val="26"/>
        </w:rPr>
        <w:lastRenderedPageBreak/>
        <w:t xml:space="preserve">term </w:t>
      </w:r>
      <w:r w:rsidR="00893D67">
        <w:rPr>
          <w:rFonts w:cstheme="minorHAnsi"/>
          <w:szCs w:val="26"/>
        </w:rPr>
        <w:t>“</w:t>
      </w:r>
      <w:r w:rsidR="0015337A">
        <w:rPr>
          <w:rFonts w:cstheme="minorHAnsi"/>
          <w:szCs w:val="26"/>
        </w:rPr>
        <w:t>interconnected VoIP service</w:t>
      </w:r>
      <w:r w:rsidR="00893D67">
        <w:rPr>
          <w:rFonts w:cstheme="minorHAnsi"/>
          <w:szCs w:val="26"/>
        </w:rPr>
        <w:t>”</w:t>
      </w:r>
      <w:r w:rsidR="0015337A">
        <w:rPr>
          <w:rFonts w:cstheme="minorHAnsi"/>
          <w:szCs w:val="26"/>
        </w:rPr>
        <w:t xml:space="preserve"> has the same meaning as </w:t>
      </w:r>
      <w:r w:rsidR="0033191D">
        <w:rPr>
          <w:rFonts w:cstheme="minorHAnsi"/>
          <w:szCs w:val="26"/>
        </w:rPr>
        <w:t>Section </w:t>
      </w:r>
      <w:r w:rsidR="0015337A">
        <w:rPr>
          <w:rFonts w:cstheme="minorHAnsi"/>
          <w:szCs w:val="26"/>
        </w:rPr>
        <w:t xml:space="preserve">9.3 of </w:t>
      </w:r>
      <w:r w:rsidR="00B47779">
        <w:rPr>
          <w:rFonts w:cstheme="minorHAnsi"/>
          <w:szCs w:val="26"/>
        </w:rPr>
        <w:t>Title </w:t>
      </w:r>
      <w:r w:rsidR="0015337A">
        <w:rPr>
          <w:rFonts w:cstheme="minorHAnsi"/>
          <w:szCs w:val="26"/>
        </w:rPr>
        <w:t>47 of the Code of Federal Regulations.</w:t>
      </w:r>
      <w:r w:rsidR="0015337A">
        <w:rPr>
          <w:rStyle w:val="FootnoteReference"/>
          <w:rFonts w:cstheme="minorHAnsi"/>
          <w:szCs w:val="26"/>
        </w:rPr>
        <w:footnoteReference w:id="12"/>
      </w:r>
      <w:r w:rsidR="0015337A">
        <w:rPr>
          <w:rFonts w:cstheme="minorHAnsi"/>
          <w:szCs w:val="26"/>
        </w:rPr>
        <w:t xml:space="preserve"> </w:t>
      </w:r>
      <w:r w:rsidR="0015337A">
        <w:t>Senate Bill (SB)</w:t>
      </w:r>
      <w:r w:rsidR="005E0546">
        <w:t> </w:t>
      </w:r>
      <w:r w:rsidR="0015337A">
        <w:t xml:space="preserve">1161 </w:t>
      </w:r>
      <w:r w:rsidRPr="00567FB1" w:rsidR="0015337A">
        <w:t>(</w:t>
      </w:r>
      <w:r w:rsidR="00C541D5">
        <w:t>Ch. </w:t>
      </w:r>
      <w:r w:rsidR="0015337A">
        <w:t>733</w:t>
      </w:r>
      <w:r w:rsidRPr="00567FB1" w:rsidR="0015337A">
        <w:t xml:space="preserve">, </w:t>
      </w:r>
      <w:r w:rsidR="00C541D5">
        <w:t>Stats. </w:t>
      </w:r>
      <w:r w:rsidRPr="00567FB1" w:rsidR="0015337A">
        <w:t>201</w:t>
      </w:r>
      <w:r w:rsidR="0015337A">
        <w:t>2</w:t>
      </w:r>
      <w:r w:rsidRPr="00567FB1" w:rsidR="0015337A">
        <w:t>)</w:t>
      </w:r>
      <w:r w:rsidR="0015337A">
        <w:t xml:space="preserve">, added </w:t>
      </w:r>
      <w:r w:rsidR="0033191D">
        <w:rPr>
          <w:rFonts w:cstheme="minorHAnsi"/>
          <w:szCs w:val="26"/>
        </w:rPr>
        <w:t>Section </w:t>
      </w:r>
      <w:r w:rsidRPr="00E82AB5" w:rsidR="0015337A">
        <w:rPr>
          <w:rFonts w:cstheme="minorHAnsi"/>
          <w:szCs w:val="26"/>
        </w:rPr>
        <w:t>2</w:t>
      </w:r>
      <w:r w:rsidR="0015337A">
        <w:rPr>
          <w:rFonts w:cstheme="minorHAnsi"/>
          <w:szCs w:val="26"/>
        </w:rPr>
        <w:t xml:space="preserve">39 to </w:t>
      </w:r>
      <w:r w:rsidR="0015337A">
        <w:t xml:space="preserve">define </w:t>
      </w:r>
      <w:r w:rsidR="00B637A1">
        <w:t xml:space="preserve">interconnected </w:t>
      </w:r>
      <w:r w:rsidR="0015337A">
        <w:t xml:space="preserve">VoIP service and added </w:t>
      </w:r>
      <w:r w:rsidR="0033191D">
        <w:t>Section </w:t>
      </w:r>
      <w:r w:rsidR="0015337A">
        <w:t xml:space="preserve">710 to proscribe new regulation of </w:t>
      </w:r>
      <w:r w:rsidR="000263D6">
        <w:t>interconnected VoIP</w:t>
      </w:r>
      <w:r w:rsidR="0015337A">
        <w:t xml:space="preserve"> or other </w:t>
      </w:r>
      <w:r w:rsidR="007276DD">
        <w:t>internet protocol (</w:t>
      </w:r>
      <w:r w:rsidR="0015337A">
        <w:t>IP</w:t>
      </w:r>
      <w:r w:rsidR="007276DD">
        <w:t>)</w:t>
      </w:r>
      <w:r w:rsidR="0015337A">
        <w:t xml:space="preserve"> enabled service and to </w:t>
      </w:r>
      <w:r w:rsidR="0015337A">
        <w:rPr>
          <w:rFonts w:cstheme="minorHAnsi"/>
          <w:color w:val="000000" w:themeColor="text1"/>
          <w:szCs w:val="26"/>
        </w:rPr>
        <w:t>fix the scope of</w:t>
      </w:r>
      <w:r w:rsidRPr="00E82AB5" w:rsidR="0015337A">
        <w:rPr>
          <w:rFonts w:cstheme="minorHAnsi"/>
          <w:color w:val="000000" w:themeColor="text1"/>
          <w:szCs w:val="26"/>
        </w:rPr>
        <w:t xml:space="preserve"> the Commission</w:t>
      </w:r>
      <w:r w:rsidR="00893D67">
        <w:rPr>
          <w:rFonts w:cstheme="minorHAnsi"/>
          <w:color w:val="000000" w:themeColor="text1"/>
          <w:szCs w:val="26"/>
        </w:rPr>
        <w:t>’</w:t>
      </w:r>
      <w:r w:rsidRPr="00E82AB5" w:rsidR="0015337A">
        <w:rPr>
          <w:rFonts w:cstheme="minorHAnsi"/>
          <w:color w:val="000000" w:themeColor="text1"/>
          <w:szCs w:val="26"/>
        </w:rPr>
        <w:t xml:space="preserve">s </w:t>
      </w:r>
      <w:r w:rsidR="0015337A">
        <w:rPr>
          <w:rFonts w:cstheme="minorHAnsi"/>
          <w:color w:val="000000" w:themeColor="text1"/>
          <w:szCs w:val="26"/>
        </w:rPr>
        <w:t>jurisdiction over</w:t>
      </w:r>
      <w:r w:rsidRPr="00E82AB5" w:rsidR="0015337A">
        <w:rPr>
          <w:rFonts w:cstheme="minorHAnsi"/>
          <w:color w:val="000000" w:themeColor="text1"/>
          <w:szCs w:val="26"/>
        </w:rPr>
        <w:t xml:space="preserve"> </w:t>
      </w:r>
      <w:r w:rsidR="000263D6">
        <w:rPr>
          <w:rFonts w:cstheme="minorHAnsi"/>
          <w:color w:val="000000" w:themeColor="text1"/>
          <w:szCs w:val="26"/>
        </w:rPr>
        <w:t>interconnected VoIP</w:t>
      </w:r>
      <w:r w:rsidRPr="00E82AB5" w:rsidR="0015337A">
        <w:rPr>
          <w:rFonts w:cstheme="minorHAnsi"/>
          <w:color w:val="000000" w:themeColor="text1"/>
          <w:szCs w:val="26"/>
        </w:rPr>
        <w:t xml:space="preserve"> service</w:t>
      </w:r>
      <w:r w:rsidR="0015337A">
        <w:rPr>
          <w:rFonts w:cstheme="minorHAnsi"/>
          <w:color w:val="000000" w:themeColor="text1"/>
          <w:szCs w:val="26"/>
        </w:rPr>
        <w:t xml:space="preserve"> to that </w:t>
      </w:r>
      <w:r w:rsidR="00893D67">
        <w:rPr>
          <w:rFonts w:cstheme="minorHAnsi"/>
          <w:color w:val="000000" w:themeColor="text1"/>
          <w:szCs w:val="26"/>
        </w:rPr>
        <w:t>“</w:t>
      </w:r>
      <w:r w:rsidRPr="00EC70F9" w:rsidR="0015337A">
        <w:rPr>
          <w:bdr w:val="none" w:color="auto" w:sz="0" w:space="0" w:frame="1"/>
        </w:rPr>
        <w:t xml:space="preserve">required or expressly delegated by federal law or expressly directed to do so by statute or as set forth in </w:t>
      </w:r>
      <w:r w:rsidR="006224F8">
        <w:rPr>
          <w:bdr w:val="none" w:color="auto" w:sz="0" w:space="0" w:frame="1"/>
        </w:rPr>
        <w:t>subdivision </w:t>
      </w:r>
      <w:r w:rsidRPr="00EC70F9" w:rsidR="0015337A">
        <w:rPr>
          <w:bdr w:val="none" w:color="auto" w:sz="0" w:space="0" w:frame="1"/>
        </w:rPr>
        <w:t>(c)</w:t>
      </w:r>
      <w:r w:rsidR="0015337A">
        <w:rPr>
          <w:bdr w:val="none" w:color="auto" w:sz="0" w:space="0" w:frame="1"/>
        </w:rPr>
        <w:t>.</w:t>
      </w:r>
      <w:r w:rsidR="00893D67">
        <w:rPr>
          <w:bdr w:val="none" w:color="auto" w:sz="0" w:space="0" w:frame="1"/>
        </w:rPr>
        <w:t>”</w:t>
      </w:r>
      <w:r w:rsidR="0015337A">
        <w:rPr>
          <w:rStyle w:val="FootnoteReference"/>
          <w:bdr w:val="none" w:color="auto" w:sz="0" w:space="0" w:frame="1"/>
        </w:rPr>
        <w:footnoteReference w:id="13"/>
      </w:r>
    </w:p>
    <w:p w:rsidR="0015337A" w:rsidP="00F66B62" w:rsidRDefault="0015337A" w14:paraId="11CD2CF2" w14:textId="0D7B0901">
      <w:pPr>
        <w:pStyle w:val="Standard"/>
      </w:pPr>
      <w:r>
        <w:lastRenderedPageBreak/>
        <w:t xml:space="preserve">On </w:t>
      </w:r>
      <w:r w:rsidR="00424385">
        <w:t>November </w:t>
      </w:r>
      <w:r>
        <w:t>9, 2011, the Commission established an informal registration (</w:t>
      </w:r>
      <w:r w:rsidR="0033191D">
        <w:t>Section </w:t>
      </w:r>
      <w:r>
        <w:t xml:space="preserve">285 registration) process for interconnected VoIP </w:t>
      </w:r>
      <w:r w:rsidR="006721D6">
        <w:t xml:space="preserve">service providers </w:t>
      </w:r>
      <w:r>
        <w:t xml:space="preserve">to report and remit public purpose program surcharges pursuant to the requirements established in </w:t>
      </w:r>
      <w:r w:rsidR="0033191D">
        <w:t>Section </w:t>
      </w:r>
      <w:r>
        <w:t>285.</w:t>
      </w:r>
      <w:r>
        <w:rPr>
          <w:rStyle w:val="FootnoteReference"/>
        </w:rPr>
        <w:footnoteReference w:id="14"/>
      </w:r>
    </w:p>
    <w:p w:rsidR="0015337A" w:rsidP="00F66B62" w:rsidRDefault="0015337A" w14:paraId="0741F1BF" w14:textId="2B4F58EA">
      <w:pPr>
        <w:pStyle w:val="Standard"/>
        <w:rPr>
          <w:color w:val="000000" w:themeColor="text1"/>
          <w:szCs w:val="26"/>
        </w:rPr>
      </w:pPr>
      <w:r>
        <w:t xml:space="preserve">In 2013, the Commission found </w:t>
      </w:r>
      <w:r w:rsidR="0033191D">
        <w:t>Section </w:t>
      </w:r>
      <w:r>
        <w:t>285 made the consideration of the scoped issue in R.11</w:t>
      </w:r>
      <w:r w:rsidR="006951D5">
        <w:noBreakHyphen/>
      </w:r>
      <w:r>
        <w:t>01</w:t>
      </w:r>
      <w:r w:rsidR="006951D5">
        <w:noBreakHyphen/>
      </w:r>
      <w:r>
        <w:t>008 moot,</w:t>
      </w:r>
      <w:r>
        <w:rPr>
          <w:rStyle w:val="FootnoteReference"/>
        </w:rPr>
        <w:footnoteReference w:id="15"/>
      </w:r>
      <w:r>
        <w:t xml:space="preserve"> that </w:t>
      </w:r>
      <w:r w:rsidR="0033191D">
        <w:t>Section </w:t>
      </w:r>
      <w:r>
        <w:t xml:space="preserve">710 made consideration of a request to examine </w:t>
      </w:r>
      <w:r w:rsidR="000263D6">
        <w:t>interconnected VoIP</w:t>
      </w:r>
      <w:r>
        <w:t xml:space="preserve"> providers</w:t>
      </w:r>
      <w:r w:rsidR="00893D67">
        <w:t>’</w:t>
      </w:r>
      <w:r>
        <w:t xml:space="preserve"> compliance with consumer protection statutes moot,</w:t>
      </w:r>
      <w:r>
        <w:rPr>
          <w:rStyle w:val="FootnoteReference"/>
        </w:rPr>
        <w:footnoteReference w:id="16"/>
      </w:r>
      <w:r>
        <w:t xml:space="preserve"> and accordingly closed the proceeding.</w:t>
      </w:r>
      <w:r>
        <w:rPr>
          <w:rStyle w:val="FootnoteReference"/>
        </w:rPr>
        <w:footnoteReference w:id="17"/>
      </w:r>
      <w:r>
        <w:t xml:space="preserve"> Also in 2013, in R.11</w:t>
      </w:r>
      <w:r w:rsidR="006951D5">
        <w:noBreakHyphen/>
      </w:r>
      <w:r>
        <w:t>11</w:t>
      </w:r>
      <w:r w:rsidR="006951D5">
        <w:noBreakHyphen/>
      </w:r>
      <w:r>
        <w:t>006 to revise the certification process for telephone</w:t>
      </w:r>
      <w:r w:rsidR="00E83BD9">
        <w:t xml:space="preserve"> corporations</w:t>
      </w:r>
      <w:r>
        <w:t xml:space="preserve"> and the registration process for wireless </w:t>
      </w:r>
      <w:r w:rsidR="00A43960">
        <w:t>service provider</w:t>
      </w:r>
      <w:r>
        <w:t>s, the Commission declined to expand the scope of R.11</w:t>
      </w:r>
      <w:r w:rsidR="006951D5">
        <w:noBreakHyphen/>
      </w:r>
      <w:r>
        <w:t>11</w:t>
      </w:r>
      <w:r w:rsidR="006951D5">
        <w:noBreakHyphen/>
      </w:r>
      <w:r>
        <w:t xml:space="preserve">006 to include registration requirements for </w:t>
      </w:r>
      <w:r w:rsidR="00455646">
        <w:t>interconnected VoIP service providers</w:t>
      </w:r>
      <w:r>
        <w:t xml:space="preserve">. The Commission identified that there were over 100 </w:t>
      </w:r>
      <w:r w:rsidR="000263D6">
        <w:t>interconnected VoIP</w:t>
      </w:r>
      <w:r>
        <w:t xml:space="preserve"> </w:t>
      </w:r>
      <w:r w:rsidR="00153086">
        <w:t>providers</w:t>
      </w:r>
      <w:r>
        <w:t xml:space="preserve"> holding a C</w:t>
      </w:r>
      <w:r w:rsidR="00153086">
        <w:t xml:space="preserve">ertificate of </w:t>
      </w:r>
      <w:r>
        <w:t>P</w:t>
      </w:r>
      <w:r w:rsidR="00153086">
        <w:t xml:space="preserve">ublic </w:t>
      </w:r>
      <w:r>
        <w:t>C</w:t>
      </w:r>
      <w:r w:rsidR="00153086">
        <w:t xml:space="preserve">onvenience and </w:t>
      </w:r>
      <w:r>
        <w:t>N</w:t>
      </w:r>
      <w:r w:rsidR="00153086">
        <w:t>ecessity (CPCN)</w:t>
      </w:r>
      <w:r>
        <w:t xml:space="preserve"> operating authority at that time.</w:t>
      </w:r>
      <w:r w:rsidR="007E6340">
        <w:t xml:space="preserve"> </w:t>
      </w:r>
      <w:r>
        <w:t>The Commission stated</w:t>
      </w:r>
      <w:r w:rsidR="004E3961">
        <w:t xml:space="preserve">:  </w:t>
      </w:r>
      <w:r w:rsidR="00893D67">
        <w:t>“</w:t>
      </w:r>
      <w:r w:rsidRPr="003237F4">
        <w:t xml:space="preserve">While we agree that the Commission may need to create some process for carriers </w:t>
      </w:r>
      <w:r>
        <w:t xml:space="preserve">providing service using VoIP in order </w:t>
      </w:r>
      <w:r w:rsidRPr="003237F4">
        <w:t xml:space="preserve">to </w:t>
      </w:r>
      <w:r>
        <w:t>collect</w:t>
      </w:r>
      <w:r w:rsidRPr="003237F4">
        <w:t xml:space="preserve"> basic information </w:t>
      </w:r>
      <w:r>
        <w:t xml:space="preserve">that would enable </w:t>
      </w:r>
      <w:r w:rsidRPr="003237F4">
        <w:t xml:space="preserve">the Commission to protect consumers and fulfill </w:t>
      </w:r>
      <w:r w:rsidRPr="003237F4">
        <w:lastRenderedPageBreak/>
        <w:t xml:space="preserve">obligations under </w:t>
      </w:r>
      <w:r w:rsidR="00D614F7">
        <w:t>SB </w:t>
      </w:r>
      <w:r w:rsidRPr="003237F4">
        <w:t xml:space="preserve">1161, the Commission needs to more fully determine the extent of its regulatory </w:t>
      </w:r>
      <w:r>
        <w:t>duties</w:t>
      </w:r>
      <w:r w:rsidRPr="003237F4">
        <w:t>.</w:t>
      </w:r>
      <w:r w:rsidR="00893D67">
        <w:t>”</w:t>
      </w:r>
      <w:r>
        <w:rPr>
          <w:rStyle w:val="FootnoteReference"/>
        </w:rPr>
        <w:footnoteReference w:id="18"/>
      </w:r>
    </w:p>
    <w:p w:rsidRPr="00A42AAD" w:rsidR="00A42AAD" w:rsidP="00A42AAD" w:rsidRDefault="0015337A" w14:paraId="1FFB5C62" w14:textId="1F277351">
      <w:pPr>
        <w:pStyle w:val="Standard"/>
      </w:pPr>
      <w:r>
        <w:rPr>
          <w:bdr w:val="none" w:color="auto" w:sz="0" w:space="0" w:frame="1"/>
        </w:rPr>
        <w:t xml:space="preserve">In April 2021, the Commission </w:t>
      </w:r>
      <w:r w:rsidR="00CE7DB6">
        <w:rPr>
          <w:bdr w:val="none" w:color="auto" w:sz="0" w:space="0" w:frame="1"/>
        </w:rPr>
        <w:t>discontinued</w:t>
      </w:r>
      <w:r>
        <w:rPr>
          <w:bdr w:val="none" w:color="auto" w:sz="0" w:space="0" w:frame="1"/>
        </w:rPr>
        <w:t xml:space="preserve"> the </w:t>
      </w:r>
      <w:r w:rsidR="0033191D">
        <w:rPr>
          <w:bdr w:val="none" w:color="auto" w:sz="0" w:space="0" w:frame="1"/>
        </w:rPr>
        <w:t>Section </w:t>
      </w:r>
      <w:r>
        <w:rPr>
          <w:bdr w:val="none" w:color="auto" w:sz="0" w:space="0" w:frame="1"/>
        </w:rPr>
        <w:t>285 registration process and</w:t>
      </w:r>
      <w:r w:rsidR="00DA04A5">
        <w:rPr>
          <w:bdr w:val="none" w:color="auto" w:sz="0" w:space="0" w:frame="1"/>
        </w:rPr>
        <w:t xml:space="preserve"> updated the instructions on its website for</w:t>
      </w:r>
      <w:r>
        <w:rPr>
          <w:bdr w:val="none" w:color="auto" w:sz="0" w:space="0" w:frame="1"/>
        </w:rPr>
        <w:t xml:space="preserve"> interconnected VoIP </w:t>
      </w:r>
      <w:r w:rsidR="00DA04A5">
        <w:rPr>
          <w:bdr w:val="none" w:color="auto" w:sz="0" w:space="0" w:frame="1"/>
        </w:rPr>
        <w:t xml:space="preserve">service providers </w:t>
      </w:r>
      <w:r>
        <w:rPr>
          <w:bdr w:val="none" w:color="auto" w:sz="0" w:space="0" w:frame="1"/>
        </w:rPr>
        <w:t>to obtain</w:t>
      </w:r>
      <w:r w:rsidDel="009A47C0">
        <w:rPr>
          <w:bdr w:val="none" w:color="auto" w:sz="0" w:space="0" w:frame="1"/>
        </w:rPr>
        <w:t xml:space="preserve"> </w:t>
      </w:r>
      <w:r>
        <w:rPr>
          <w:bdr w:val="none" w:color="auto" w:sz="0" w:space="0" w:frame="1"/>
        </w:rPr>
        <w:t xml:space="preserve">operating authority pursuant to </w:t>
      </w:r>
      <w:r w:rsidR="0033191D">
        <w:rPr>
          <w:bdr w:val="none" w:color="auto" w:sz="0" w:space="0" w:frame="1"/>
        </w:rPr>
        <w:t>Section </w:t>
      </w:r>
      <w:r>
        <w:rPr>
          <w:bdr w:val="none" w:color="auto" w:sz="0" w:space="0" w:frame="1"/>
        </w:rPr>
        <w:t xml:space="preserve">1001 or </w:t>
      </w:r>
      <w:r w:rsidR="0033191D">
        <w:rPr>
          <w:bdr w:val="none" w:color="auto" w:sz="0" w:space="0" w:frame="1"/>
        </w:rPr>
        <w:t>Section </w:t>
      </w:r>
      <w:r>
        <w:rPr>
          <w:bdr w:val="none" w:color="auto" w:sz="0" w:space="0" w:frame="1"/>
        </w:rPr>
        <w:t>1013, as applicable.</w:t>
      </w:r>
    </w:p>
    <w:p w:rsidR="0063491C" w:rsidP="000A2CD0" w:rsidRDefault="0063491C" w14:paraId="24B61C0C" w14:textId="62743AA9">
      <w:pPr>
        <w:pStyle w:val="Heading2"/>
      </w:pPr>
      <w:bookmarkStart w:name="_Toc176770927" w:id="28"/>
      <w:bookmarkStart w:name="_Toc177021125" w:id="29"/>
      <w:bookmarkStart w:name="_Toc181692873" w:id="30"/>
      <w:r>
        <w:t>Procedural Background</w:t>
      </w:r>
      <w:bookmarkEnd w:id="27"/>
      <w:bookmarkEnd w:id="28"/>
      <w:bookmarkEnd w:id="29"/>
      <w:bookmarkEnd w:id="30"/>
    </w:p>
    <w:p w:rsidR="00E14F51" w:rsidP="00AC4F8C" w:rsidRDefault="00155E59" w14:paraId="0598037A" w14:textId="16B9D3F2">
      <w:pPr>
        <w:pStyle w:val="Standard"/>
      </w:pPr>
      <w:r>
        <w:t xml:space="preserve">At issuance, the Commission invited comments on the OIR including comments on the staff proposal. </w:t>
      </w:r>
      <w:r w:rsidRPr="00AC4F8C">
        <w:t xml:space="preserve">Opening Comments were due </w:t>
      </w:r>
      <w:r w:rsidR="00400BB6">
        <w:t>October </w:t>
      </w:r>
      <w:r w:rsidRPr="00AC4F8C">
        <w:t xml:space="preserve">17, 2022, and Reply Comments were due </w:t>
      </w:r>
      <w:r w:rsidR="00400BB6">
        <w:t>October </w:t>
      </w:r>
      <w:r w:rsidRPr="00AC4F8C">
        <w:t>31, 2022.</w:t>
      </w:r>
      <w:r w:rsidR="007E6340">
        <w:t xml:space="preserve"> </w:t>
      </w:r>
      <w:r w:rsidRPr="00803CDA">
        <w:t>Twelve groups of parties filed opening comments</w:t>
      </w:r>
      <w:r w:rsidR="004E3961">
        <w:t xml:space="preserve">:  </w:t>
      </w:r>
      <w:r>
        <w:t>(1</w:t>
      </w:r>
      <w:r w:rsidR="00B06CD0">
        <w:t>) </w:t>
      </w:r>
      <w:r w:rsidRPr="00AC4F8C">
        <w:t>Pacific Bell Telephone Company d/b/a AT&amp;T California and AT&amp;T Corp. (</w:t>
      </w:r>
      <w:r w:rsidRPr="00AC4F8C" w:rsidR="00710D77">
        <w:t>jointly</w:t>
      </w:r>
      <w:r w:rsidRPr="00AC4F8C">
        <w:t>, AT&amp;T); (2</w:t>
      </w:r>
      <w:r w:rsidRPr="00AC4F8C" w:rsidR="00B06CD0">
        <w:t>) </w:t>
      </w:r>
      <w:r w:rsidRPr="00AC4F8C">
        <w:t>Cloud Communications Alliance (Cloud); (3</w:t>
      </w:r>
      <w:r w:rsidRPr="00AC4F8C" w:rsidR="00B06CD0">
        <w:t>) </w:t>
      </w:r>
      <w:r w:rsidRPr="00AC4F8C">
        <w:t>Consolidated Communications of California Company and Consolidated Communications Enterprise Services, Inc. (Consolidated); (4</w:t>
      </w:r>
      <w:r w:rsidRPr="00AC4F8C" w:rsidR="00B06CD0">
        <w:t>) </w:t>
      </w:r>
      <w:r w:rsidRPr="00AC4F8C">
        <w:t>Computer</w:t>
      </w:r>
      <w:r w:rsidRPr="00AC4F8C" w:rsidR="001A3189">
        <w:t xml:space="preserve"> &amp; </w:t>
      </w:r>
      <w:r w:rsidRPr="00AC4F8C">
        <w:t>Communications Industry Association (CCIA)</w:t>
      </w:r>
      <w:r w:rsidR="00A90108">
        <w:rPr>
          <w:rStyle w:val="eop"/>
          <w:color w:val="000000" w:themeColor="text1"/>
          <w:shd w:val="clear" w:color="auto" w:fill="FFFFFF"/>
        </w:rPr>
        <w:t>;</w:t>
      </w:r>
      <w:r w:rsidRPr="00803CDA">
        <w:rPr>
          <w:rStyle w:val="eop"/>
          <w:color w:val="000000" w:themeColor="text1"/>
          <w:shd w:val="clear" w:color="auto" w:fill="FFFFFF"/>
        </w:rPr>
        <w:t xml:space="preserve"> </w:t>
      </w:r>
      <w:r>
        <w:rPr>
          <w:rStyle w:val="eop"/>
          <w:color w:val="000000" w:themeColor="text1"/>
          <w:shd w:val="clear" w:color="auto" w:fill="FFFFFF"/>
        </w:rPr>
        <w:t>(5</w:t>
      </w:r>
      <w:r w:rsidR="00B06CD0">
        <w:rPr>
          <w:rStyle w:val="eop"/>
          <w:color w:val="000000" w:themeColor="text1"/>
          <w:shd w:val="clear" w:color="auto" w:fill="FFFFFF"/>
        </w:rPr>
        <w:t>) </w:t>
      </w:r>
      <w:r w:rsidRPr="00AC4F8C">
        <w:t>CTIA</w:t>
      </w:r>
      <w:r w:rsidRPr="00AC4F8C" w:rsidR="00045963">
        <w:t xml:space="preserve"> — </w:t>
      </w:r>
      <w:r w:rsidRPr="00AC4F8C">
        <w:t>The Wireless Association (CTIA)</w:t>
      </w:r>
      <w:r w:rsidR="00E057E1">
        <w:rPr>
          <w:rStyle w:val="eop"/>
          <w:color w:val="000000" w:themeColor="text1"/>
          <w:shd w:val="clear" w:color="auto" w:fill="FFFFFF"/>
        </w:rPr>
        <w:t>;</w:t>
      </w:r>
      <w:r w:rsidRPr="00803CDA">
        <w:rPr>
          <w:rStyle w:val="eop"/>
          <w:color w:val="000000" w:themeColor="text1"/>
          <w:shd w:val="clear" w:color="auto" w:fill="FFFFFF"/>
        </w:rPr>
        <w:t xml:space="preserve"> </w:t>
      </w:r>
      <w:r>
        <w:rPr>
          <w:rStyle w:val="eop"/>
          <w:color w:val="000000" w:themeColor="text1"/>
          <w:shd w:val="clear" w:color="auto" w:fill="FFFFFF"/>
        </w:rPr>
        <w:t>(6</w:t>
      </w:r>
      <w:r w:rsidR="00B06CD0">
        <w:rPr>
          <w:rStyle w:val="eop"/>
          <w:color w:val="000000" w:themeColor="text1"/>
          <w:shd w:val="clear" w:color="auto" w:fill="FFFFFF"/>
        </w:rPr>
        <w:t>) </w:t>
      </w:r>
      <w:r w:rsidRPr="00AC4F8C">
        <w:t>Frontier California Inc., Citizens Telecommunications Company of California Inc. d/b/a Frontier Communications of California,</w:t>
      </w:r>
      <w:r w:rsidRPr="00AC4F8C" w:rsidR="00A90108">
        <w:t xml:space="preserve"> and</w:t>
      </w:r>
      <w:r w:rsidRPr="00AC4F8C">
        <w:t xml:space="preserve"> Frontier Communications of the Southwest Inc. (collectively, Frontier)</w:t>
      </w:r>
      <w:r w:rsidRPr="00AC4F8C" w:rsidR="00E057E1">
        <w:t>;</w:t>
      </w:r>
      <w:r w:rsidRPr="00AC4F8C">
        <w:t xml:space="preserve"> (7</w:t>
      </w:r>
      <w:r w:rsidRPr="00AC4F8C" w:rsidR="00B06CD0">
        <w:t>) </w:t>
      </w:r>
      <w:r w:rsidRPr="00AC4F8C">
        <w:t>The Utility Reform Network (TURN) and Center for Accessible Technology (CforAT) (</w:t>
      </w:r>
      <w:r w:rsidRPr="00AC4F8C" w:rsidR="00E057E1">
        <w:t>jointly</w:t>
      </w:r>
      <w:r w:rsidRPr="00AC4F8C">
        <w:t>, Joint Consumers)</w:t>
      </w:r>
      <w:r w:rsidRPr="00AC4F8C" w:rsidR="00E057E1">
        <w:t>;</w:t>
      </w:r>
      <w:r w:rsidRPr="00AC4F8C">
        <w:t xml:space="preserve"> (8</w:t>
      </w:r>
      <w:r w:rsidRPr="00AC4F8C" w:rsidR="00B06CD0">
        <w:t>) </w:t>
      </w:r>
      <w:r w:rsidRPr="00AC4F8C">
        <w:t>Small Business Utility Advocates (Small Business)</w:t>
      </w:r>
      <w:r w:rsidR="00AA709F">
        <w:rPr>
          <w:rStyle w:val="eop"/>
          <w:color w:val="000000" w:themeColor="text1"/>
          <w:shd w:val="clear" w:color="auto" w:fill="FFFFFF"/>
        </w:rPr>
        <w:t>;</w:t>
      </w:r>
      <w:r w:rsidRPr="00803CDA">
        <w:rPr>
          <w:rStyle w:val="eop"/>
          <w:color w:val="000000" w:themeColor="text1"/>
          <w:shd w:val="clear" w:color="auto" w:fill="FFFFFF"/>
        </w:rPr>
        <w:t xml:space="preserve"> </w:t>
      </w:r>
      <w:r>
        <w:rPr>
          <w:rStyle w:val="eop"/>
          <w:color w:val="000000" w:themeColor="text1"/>
          <w:shd w:val="clear" w:color="auto" w:fill="FFFFFF"/>
        </w:rPr>
        <w:t>(9</w:t>
      </w:r>
      <w:r w:rsidR="00B06CD0">
        <w:rPr>
          <w:rStyle w:val="eop"/>
          <w:color w:val="000000" w:themeColor="text1"/>
          <w:shd w:val="clear" w:color="auto" w:fill="FFFFFF"/>
        </w:rPr>
        <w:t>) </w:t>
      </w:r>
      <w:r w:rsidRPr="00AC4F8C">
        <w:t>Calaveras Telephone Company, Cal</w:t>
      </w:r>
      <w:r w:rsidR="006951D5">
        <w:noBreakHyphen/>
      </w:r>
      <w:r w:rsidRPr="00AC4F8C">
        <w:t xml:space="preserve">Ore Telephone Co., Ducor Telephone Company, Foresthill Telephone Company, Happy Valley Telephone Company, Hornitos Telephone Company, Kerman Telephone Co., Pinnacles Telephone Co., The Ponderosa Telephone Company, Sierra Telephone Company, Inc., The </w:t>
      </w:r>
      <w:r w:rsidRPr="00AC4F8C">
        <w:lastRenderedPageBreak/>
        <w:t>Siskiyou Telephone Company, Volcano Telephone Company, Winterhaven Telephone Company (collectively, Small LECs)</w:t>
      </w:r>
      <w:r w:rsidRPr="00AC4F8C" w:rsidR="00923422">
        <w:t>;</w:t>
      </w:r>
      <w:r w:rsidRPr="00AC4F8C">
        <w:t xml:space="preserve"> (10</w:t>
      </w:r>
      <w:r w:rsidRPr="00AC4F8C" w:rsidR="00B06CD0">
        <w:t>) </w:t>
      </w:r>
      <w:r w:rsidRPr="00AC4F8C">
        <w:t>the California Broadband and Video Association (CBVA)</w:t>
      </w:r>
      <w:r w:rsidRPr="00AC4F8C" w:rsidR="00923422">
        <w:t>;</w:t>
      </w:r>
      <w:r w:rsidRPr="00803CDA">
        <w:rPr>
          <w:rStyle w:val="FootnoteReference"/>
          <w:color w:val="000000" w:themeColor="text1"/>
          <w:shd w:val="clear" w:color="auto" w:fill="FFFFFF"/>
        </w:rPr>
        <w:footnoteReference w:id="19"/>
      </w:r>
      <w:r w:rsidRPr="00AC4F8C">
        <w:t xml:space="preserve"> (11</w:t>
      </w:r>
      <w:r w:rsidRPr="00AC4F8C" w:rsidR="00B06CD0">
        <w:t>) </w:t>
      </w:r>
      <w:r w:rsidRPr="00AC4F8C">
        <w:t>US Telecom</w:t>
      </w:r>
      <w:r w:rsidRPr="00AC4F8C" w:rsidR="00045963">
        <w:t xml:space="preserve"> — </w:t>
      </w:r>
      <w:r w:rsidRPr="00AC4F8C">
        <w:t>The Broadband Association (US Telecom)</w:t>
      </w:r>
      <w:r w:rsidRPr="00AC4F8C" w:rsidR="003B7020">
        <w:t>;</w:t>
      </w:r>
      <w:r w:rsidRPr="00AC4F8C">
        <w:t xml:space="preserve"> and (12</w:t>
      </w:r>
      <w:r w:rsidRPr="00AC4F8C" w:rsidR="00B06CD0">
        <w:t>) </w:t>
      </w:r>
      <w:r w:rsidRPr="00AC4F8C">
        <w:t>Voice on the Net Coalition (VON). Reply comments were filed by AT&amp;T, Frontier, Joint Consumers, Small Business,</w:t>
      </w:r>
      <w:r w:rsidRPr="00AC4F8C">
        <w:rPr>
          <w:rStyle w:val="FootnoteReference"/>
        </w:rPr>
        <w:footnoteReference w:id="20"/>
      </w:r>
      <w:r w:rsidRPr="00AC4F8C">
        <w:t xml:space="preserve"> Small LECs, CBVA, and Sangoma U.S., Inc. and affiliated subsidiaries</w:t>
      </w:r>
      <w:r w:rsidRPr="00AC4F8C" w:rsidR="00735CD0">
        <w:t xml:space="preserve"> </w:t>
      </w:r>
      <w:r w:rsidRPr="00AC4F8C">
        <w:t>NetFortris Acquisition Company, Inc., Fonality, Inc., and Star2Star Communications, LLC (collectively, Sangoma).</w:t>
      </w:r>
    </w:p>
    <w:p w:rsidRPr="00803CDA" w:rsidR="00155E59" w:rsidP="00F66B62" w:rsidRDefault="00155E59" w14:paraId="1AAF52E0" w14:textId="3A50A50E">
      <w:pPr>
        <w:pStyle w:val="Standard"/>
      </w:pPr>
      <w:r w:rsidRPr="00803CDA">
        <w:rPr>
          <w:color w:val="000000" w:themeColor="text1"/>
        </w:rPr>
        <w:t xml:space="preserve">On </w:t>
      </w:r>
      <w:r w:rsidR="00400BB6">
        <w:rPr>
          <w:color w:val="000000" w:themeColor="text1"/>
        </w:rPr>
        <w:t>January </w:t>
      </w:r>
      <w:r w:rsidRPr="00803CDA">
        <w:rPr>
          <w:color w:val="000000" w:themeColor="text1"/>
        </w:rPr>
        <w:t>24, 2023, the assigned ALJ held the prehearing conference</w:t>
      </w:r>
      <w:r w:rsidR="00EC77E5">
        <w:rPr>
          <w:color w:val="000000" w:themeColor="text1"/>
        </w:rPr>
        <w:t xml:space="preserve"> (PHC)</w:t>
      </w:r>
      <w:r w:rsidRPr="00803CDA">
        <w:rPr>
          <w:color w:val="000000" w:themeColor="text1"/>
        </w:rPr>
        <w:t xml:space="preserve">. At the PHC, the ALJ granted oral motions for party status by </w:t>
      </w:r>
      <w:r>
        <w:rPr>
          <w:color w:val="000000" w:themeColor="text1"/>
        </w:rPr>
        <w:t>(1</w:t>
      </w:r>
      <w:r w:rsidR="00732CC7">
        <w:rPr>
          <w:color w:val="000000" w:themeColor="text1"/>
        </w:rPr>
        <w:t>) </w:t>
      </w:r>
      <w:r w:rsidRPr="00803CDA">
        <w:rPr>
          <w:color w:val="000000" w:themeColor="text1"/>
        </w:rPr>
        <w:t>Comcast Phone of California, LLC d/b/a Comcast Digital Phone and its affiliates</w:t>
      </w:r>
      <w:r w:rsidR="004E3961">
        <w:rPr>
          <w:color w:val="000000" w:themeColor="text1"/>
        </w:rPr>
        <w:t xml:space="preserve">:  </w:t>
      </w:r>
      <w:r w:rsidRPr="00803CDA">
        <w:rPr>
          <w:color w:val="000000" w:themeColor="text1"/>
        </w:rPr>
        <w:t>Comcast IP Phone, LLC, Blueface US, LLC, Masergy Cloud Communications, Inc. (collectively, Comcast)</w:t>
      </w:r>
      <w:r>
        <w:rPr>
          <w:color w:val="000000" w:themeColor="text1"/>
        </w:rPr>
        <w:t>; (2</w:t>
      </w:r>
      <w:r w:rsidR="00732CC7">
        <w:rPr>
          <w:color w:val="000000" w:themeColor="text1"/>
        </w:rPr>
        <w:t>) </w:t>
      </w:r>
      <w:r w:rsidRPr="00803CDA">
        <w:rPr>
          <w:color w:val="000000" w:themeColor="text1"/>
        </w:rPr>
        <w:t>Cox California Telecom, LLC d/b/a Cox Communications (Cox)</w:t>
      </w:r>
      <w:r>
        <w:rPr>
          <w:color w:val="000000" w:themeColor="text1"/>
        </w:rPr>
        <w:t xml:space="preserve">; </w:t>
      </w:r>
      <w:r w:rsidR="00732CC7">
        <w:rPr>
          <w:color w:val="000000" w:themeColor="text1"/>
        </w:rPr>
        <w:t xml:space="preserve">and </w:t>
      </w:r>
      <w:r>
        <w:rPr>
          <w:color w:val="000000" w:themeColor="text1"/>
        </w:rPr>
        <w:t>(3</w:t>
      </w:r>
      <w:r w:rsidR="00732CC7">
        <w:rPr>
          <w:color w:val="000000" w:themeColor="text1"/>
        </w:rPr>
        <w:t>) </w:t>
      </w:r>
      <w:r w:rsidRPr="00803CDA">
        <w:rPr>
          <w:color w:val="000000" w:themeColor="text1"/>
        </w:rPr>
        <w:t>Charter Fiberlink CA</w:t>
      </w:r>
      <w:r w:rsidR="006951D5">
        <w:rPr>
          <w:color w:val="000000" w:themeColor="text1"/>
        </w:rPr>
        <w:noBreakHyphen/>
      </w:r>
      <w:r w:rsidRPr="00803CDA">
        <w:rPr>
          <w:color w:val="000000" w:themeColor="text1"/>
        </w:rPr>
        <w:t>CCO, LLC</w:t>
      </w:r>
      <w:r>
        <w:rPr>
          <w:color w:val="000000" w:themeColor="text1"/>
        </w:rPr>
        <w:t xml:space="preserve">, </w:t>
      </w:r>
      <w:r w:rsidRPr="00803CDA">
        <w:rPr>
          <w:color w:val="000000" w:themeColor="text1"/>
        </w:rPr>
        <w:t>Time Warner Cable Information Services (California)</w:t>
      </w:r>
      <w:r w:rsidR="00C1137E">
        <w:rPr>
          <w:color w:val="000000" w:themeColor="text1"/>
        </w:rPr>
        <w:t>,</w:t>
      </w:r>
      <w:r w:rsidRPr="00803CDA">
        <w:rPr>
          <w:color w:val="000000" w:themeColor="text1"/>
        </w:rPr>
        <w:t xml:space="preserve"> LLC</w:t>
      </w:r>
      <w:r>
        <w:rPr>
          <w:color w:val="000000" w:themeColor="text1"/>
        </w:rPr>
        <w:t xml:space="preserve">, </w:t>
      </w:r>
      <w:r w:rsidR="00003C68">
        <w:rPr>
          <w:color w:val="000000" w:themeColor="text1"/>
        </w:rPr>
        <w:t xml:space="preserve">and </w:t>
      </w:r>
      <w:r w:rsidRPr="00803CDA">
        <w:rPr>
          <w:color w:val="000000" w:themeColor="text1"/>
        </w:rPr>
        <w:t>Bright House Networks Information Services (California), LLC (collectively, Charter).</w:t>
      </w:r>
    </w:p>
    <w:p w:rsidRPr="00803CDA" w:rsidR="00155E59" w:rsidP="00155E59" w:rsidRDefault="00155E59" w14:paraId="530B2D1F" w14:textId="187313DD">
      <w:pPr>
        <w:pStyle w:val="Standard"/>
        <w:rPr>
          <w:color w:val="000000" w:themeColor="text1"/>
        </w:rPr>
      </w:pPr>
      <w:r w:rsidRPr="00803CDA">
        <w:rPr>
          <w:color w:val="000000" w:themeColor="text1"/>
        </w:rPr>
        <w:t xml:space="preserve">On </w:t>
      </w:r>
      <w:r w:rsidR="00424385">
        <w:rPr>
          <w:color w:val="000000" w:themeColor="text1"/>
        </w:rPr>
        <w:t>February </w:t>
      </w:r>
      <w:r w:rsidRPr="00803CDA">
        <w:rPr>
          <w:color w:val="000000" w:themeColor="text1"/>
        </w:rPr>
        <w:t>16, 2023, the</w:t>
      </w:r>
      <w:r>
        <w:rPr>
          <w:color w:val="000000" w:themeColor="text1"/>
        </w:rPr>
        <w:t xml:space="preserve"> assigned</w:t>
      </w:r>
      <w:r w:rsidRPr="00803CDA">
        <w:rPr>
          <w:color w:val="000000" w:themeColor="text1"/>
        </w:rPr>
        <w:t xml:space="preserve"> ALJ issued a Ruling seeking further information concerning technological distinctions of interconnected VoIP services</w:t>
      </w:r>
      <w:r w:rsidR="007B5825">
        <w:rPr>
          <w:color w:val="000000" w:themeColor="text1"/>
        </w:rPr>
        <w:t xml:space="preserve"> (ALJ Ruling)</w:t>
      </w:r>
      <w:r w:rsidRPr="00803CDA">
        <w:rPr>
          <w:color w:val="000000" w:themeColor="text1"/>
        </w:rPr>
        <w:t>.</w:t>
      </w:r>
      <w:r>
        <w:rPr>
          <w:color w:val="000000" w:themeColor="text1"/>
        </w:rPr>
        <w:t xml:space="preserve"> </w:t>
      </w:r>
      <w:r w:rsidRPr="00803CDA">
        <w:rPr>
          <w:color w:val="000000" w:themeColor="text1"/>
        </w:rPr>
        <w:t xml:space="preserve">On </w:t>
      </w:r>
      <w:r w:rsidR="00424385">
        <w:rPr>
          <w:color w:val="000000" w:themeColor="text1"/>
        </w:rPr>
        <w:t>March </w:t>
      </w:r>
      <w:r w:rsidRPr="00803CDA">
        <w:rPr>
          <w:color w:val="000000" w:themeColor="text1"/>
        </w:rPr>
        <w:t>9, 2023, the following parties filed responses to the ALJ Ruling</w:t>
      </w:r>
      <w:r w:rsidR="004E3961">
        <w:rPr>
          <w:color w:val="000000" w:themeColor="text1"/>
        </w:rPr>
        <w:t xml:space="preserve">:  </w:t>
      </w:r>
      <w:r w:rsidRPr="00803CDA">
        <w:rPr>
          <w:color w:val="000000" w:themeColor="text1"/>
        </w:rPr>
        <w:t>Sangoma, CBVA, Consolidated, Frontier, VON Coalition, Comcast, Charter, Cloud, CTIA, Cox, Small LECs, AT&amp;T, and Joint Consumers.</w:t>
      </w:r>
    </w:p>
    <w:p w:rsidR="00EE3060" w:rsidP="00155E59" w:rsidRDefault="00155E59" w14:paraId="795EBDAA" w14:textId="5CBC1D02">
      <w:pPr>
        <w:pStyle w:val="Standard"/>
        <w:rPr>
          <w:color w:val="000000" w:themeColor="text1"/>
        </w:rPr>
      </w:pPr>
      <w:r w:rsidRPr="00803CDA">
        <w:rPr>
          <w:color w:val="000000" w:themeColor="text1"/>
        </w:rPr>
        <w:lastRenderedPageBreak/>
        <w:t xml:space="preserve">On </w:t>
      </w:r>
      <w:r w:rsidR="00400BB6">
        <w:rPr>
          <w:color w:val="000000" w:themeColor="text1"/>
        </w:rPr>
        <w:t>April </w:t>
      </w:r>
      <w:r w:rsidRPr="00803CDA">
        <w:rPr>
          <w:color w:val="000000" w:themeColor="text1"/>
        </w:rPr>
        <w:t>28, 2023</w:t>
      </w:r>
      <w:r>
        <w:rPr>
          <w:color w:val="000000" w:themeColor="text1"/>
        </w:rPr>
        <w:t>,</w:t>
      </w:r>
      <w:r w:rsidRPr="00803CDA">
        <w:rPr>
          <w:color w:val="000000" w:themeColor="text1"/>
        </w:rPr>
        <w:t xml:space="preserve"> the assigned Commissioner issued the Scoping Memo and Ruling (Scoping Memo).</w:t>
      </w:r>
      <w:bookmarkStart w:name="_Hlk124243307" w:id="31"/>
      <w:r w:rsidRPr="00803CDA">
        <w:rPr>
          <w:color w:val="000000" w:themeColor="text1"/>
        </w:rPr>
        <w:t xml:space="preserve"> On </w:t>
      </w:r>
      <w:r w:rsidR="00400BB6">
        <w:rPr>
          <w:color w:val="000000" w:themeColor="text1"/>
        </w:rPr>
        <w:t>June </w:t>
      </w:r>
      <w:r w:rsidRPr="00803CDA">
        <w:rPr>
          <w:color w:val="000000" w:themeColor="text1"/>
        </w:rPr>
        <w:t xml:space="preserve">2, 2023, opening comments on the Scoping Memo were filed by AT&amp;T, CBVA, VON Coalition, CTIA, Small Business, US Telecom, and jointly </w:t>
      </w:r>
      <w:r>
        <w:rPr>
          <w:color w:val="000000" w:themeColor="text1"/>
        </w:rPr>
        <w:t xml:space="preserve">Joint Consumers and </w:t>
      </w:r>
      <w:r w:rsidRPr="00803CDA">
        <w:rPr>
          <w:color w:val="000000" w:themeColor="text1"/>
        </w:rPr>
        <w:t>Communications Work</w:t>
      </w:r>
      <w:r>
        <w:rPr>
          <w:color w:val="000000" w:themeColor="text1"/>
        </w:rPr>
        <w:t>ers</w:t>
      </w:r>
      <w:r w:rsidRPr="00803CDA">
        <w:rPr>
          <w:color w:val="000000" w:themeColor="text1"/>
        </w:rPr>
        <w:t xml:space="preserve"> of America</w:t>
      </w:r>
      <w:r>
        <w:rPr>
          <w:color w:val="000000" w:themeColor="text1"/>
        </w:rPr>
        <w:t xml:space="preserve">, </w:t>
      </w:r>
      <w:r w:rsidR="009F5CCD">
        <w:rPr>
          <w:color w:val="000000" w:themeColor="text1"/>
        </w:rPr>
        <w:t>District </w:t>
      </w:r>
      <w:r>
        <w:rPr>
          <w:color w:val="000000" w:themeColor="text1"/>
        </w:rPr>
        <w:t>9 (CWA)</w:t>
      </w:r>
      <w:r w:rsidRPr="00803CDA">
        <w:rPr>
          <w:color w:val="000000" w:themeColor="text1"/>
        </w:rPr>
        <w:t xml:space="preserve">. </w:t>
      </w:r>
      <w:r>
        <w:rPr>
          <w:color w:val="000000" w:themeColor="text1"/>
        </w:rPr>
        <w:t xml:space="preserve">CWA did not file comments on the OIR nor did CWA seek party status in this proceeding. </w:t>
      </w:r>
      <w:r w:rsidRPr="00803CDA">
        <w:rPr>
          <w:color w:val="000000" w:themeColor="text1"/>
        </w:rPr>
        <w:t xml:space="preserve">On </w:t>
      </w:r>
      <w:r w:rsidR="00400BB6">
        <w:rPr>
          <w:color w:val="000000" w:themeColor="text1"/>
        </w:rPr>
        <w:t>June </w:t>
      </w:r>
      <w:r w:rsidRPr="00803CDA">
        <w:rPr>
          <w:color w:val="000000" w:themeColor="text1"/>
        </w:rPr>
        <w:t xml:space="preserve">30, 2023, reply comments were filed by AT&amp;T, CBVA, Cloud, Small Business, and jointly </w:t>
      </w:r>
      <w:r w:rsidR="0014313B">
        <w:rPr>
          <w:color w:val="000000" w:themeColor="text1"/>
        </w:rPr>
        <w:t xml:space="preserve">by </w:t>
      </w:r>
      <w:r>
        <w:rPr>
          <w:color w:val="000000" w:themeColor="text1"/>
        </w:rPr>
        <w:t>Joint Consumers and CWA.</w:t>
      </w:r>
      <w:bookmarkEnd w:id="31"/>
    </w:p>
    <w:p w:rsidR="00BA5AD7" w:rsidP="00BA5AD7" w:rsidRDefault="00BA5AD7" w14:paraId="2EBD6564" w14:textId="054E1F9B">
      <w:pPr>
        <w:pStyle w:val="Standard"/>
      </w:pPr>
      <w:r>
        <w:t>Several interested entities filed motions for party status in conjunction with filing comments on the proposed decision. ALJ email rulings issued October</w:t>
      </w:r>
      <w:r w:rsidR="003E581E">
        <w:t> </w:t>
      </w:r>
      <w:r>
        <w:t xml:space="preserve">11, 2024, October 17, 2024, and October 25, 2024, respectively, granted party status to HWCA LP d/b/a Hotwire (Hotwire), the Advanced Communications Law &amp; Policy Institute at New York Law School (ACLP), and Sonic Telecomm, LLC (Sonic). </w:t>
      </w:r>
    </w:p>
    <w:p w:rsidRPr="00155E59" w:rsidR="007B5825" w:rsidP="00BA5AD7" w:rsidRDefault="00BA5AD7" w14:paraId="7EB1D2C1" w14:textId="32E780F3">
      <w:pPr>
        <w:pStyle w:val="Standard"/>
        <w:rPr>
          <w:color w:val="000000" w:themeColor="text1"/>
        </w:rPr>
      </w:pPr>
      <w:r>
        <w:t>Party comments on the OIR, responses to the ALJ Ruling, and opening and reply comments on the Scoping Memo are the basis for this decision’s formal establishment of the regulatory framework for interconnected VoIP service in California</w:t>
      </w:r>
      <w:r w:rsidR="007B5825">
        <w:t>.</w:t>
      </w:r>
    </w:p>
    <w:p w:rsidR="00834288" w:rsidP="00834288" w:rsidRDefault="00834288" w14:paraId="3D6AB569" w14:textId="5EB620CA">
      <w:pPr>
        <w:pStyle w:val="Heading2"/>
      </w:pPr>
      <w:bookmarkStart w:name="_Toc176770928" w:id="32"/>
      <w:bookmarkStart w:name="_Toc177021126" w:id="33"/>
      <w:bookmarkStart w:name="_Toc181692874" w:id="34"/>
      <w:r>
        <w:t>Workshops</w:t>
      </w:r>
      <w:bookmarkEnd w:id="34"/>
    </w:p>
    <w:p w:rsidR="00906537" w:rsidP="00622EC9" w:rsidRDefault="00834288" w14:paraId="6C4A5F6A" w14:textId="1FFA0F3E">
      <w:pPr>
        <w:pStyle w:val="Standard"/>
      </w:pPr>
      <w:r>
        <w:t>The Commission’s Rules of Practice and Procedure require quasi-legislative proceedings</w:t>
      </w:r>
      <w:r w:rsidR="00427BB7">
        <w:t xml:space="preserve"> to</w:t>
      </w:r>
      <w:r>
        <w:t xml:space="preserve"> include a staff proposal</w:t>
      </w:r>
      <w:r w:rsidR="00B459C9">
        <w:t xml:space="preserve">, one workshop for parties and one workshop for the public unless the assigned Commissioner </w:t>
      </w:r>
      <w:r w:rsidR="00906537">
        <w:t>finds cause to change these requirements</w:t>
      </w:r>
      <w:r w:rsidR="00B459C9">
        <w:t xml:space="preserve">. </w:t>
      </w:r>
    </w:p>
    <w:p w:rsidRPr="00EE7BDB" w:rsidR="00EE7BDB" w:rsidP="00EE7BDB" w:rsidRDefault="00622EC9" w14:paraId="3D475731" w14:textId="77777777">
      <w:pPr>
        <w:pStyle w:val="Standard"/>
      </w:pPr>
      <w:r>
        <w:t xml:space="preserve">The Scoping Memo confirmed the categorization </w:t>
      </w:r>
      <w:r w:rsidR="007922EF">
        <w:t>of this proceeding as quasi-legislative</w:t>
      </w:r>
      <w:r w:rsidR="00EE7BDB">
        <w:t>.</w:t>
      </w:r>
      <w:r w:rsidR="007922EF">
        <w:t xml:space="preserve"> </w:t>
      </w:r>
      <w:r w:rsidRPr="00EE7BDB" w:rsidR="00EE7BDB">
        <w:t xml:space="preserve">At the PHC and in the Scoping Memo, the ALJ and assigned Commissioner solicited party input into whether the proceeding would benefit from workshops. At the PHC, no party recommended a public engagement </w:t>
      </w:r>
      <w:r w:rsidRPr="00EE7BDB" w:rsidR="00EE7BDB">
        <w:lastRenderedPageBreak/>
        <w:t>workshop and public engagement workshops were not included in the schedule of this proceeding.</w:t>
      </w:r>
      <w:r w:rsidRPr="00EE7BDB" w:rsidR="00EE7BDB">
        <w:rPr>
          <w:vertAlign w:val="superscript"/>
        </w:rPr>
        <w:footnoteReference w:id="21"/>
      </w:r>
      <w:r w:rsidRPr="00EE7BDB" w:rsidR="00EE7BDB">
        <w:t xml:space="preserve"> Therefore, the schedule in the Scoping Memo did not include public engagement workshops. The schedule in the Scoping Memo included a placeholder for technical workshops depending on party responses to the Scoping Memo. The Scoping Memo directed parties to identify scoped issues that would benefit from workshop discussion, propose workshop structures to address any specific issues identified for workshops, and asked for comment on three specific potential workshop topics. Only one respondent, Small Business, supported by Joint Consumers, proposed a workshop on the impacts of interconnected VoIP licensing on Environmental and Social Justice communities.</w:t>
      </w:r>
      <w:r w:rsidRPr="00EE7BDB" w:rsidR="00EE7BDB">
        <w:rPr>
          <w:vertAlign w:val="superscript"/>
        </w:rPr>
        <w:footnoteReference w:id="22"/>
      </w:r>
      <w:r w:rsidRPr="00EE7BDB" w:rsidR="00EE7BDB">
        <w:t xml:space="preserve"> Cal Broadband supported workshops generally and AT&amp;T stated that, in the event there were lingering technical questions, workshops may provide an appropriate forum to discuss such issues.</w:t>
      </w:r>
      <w:r w:rsidRPr="00EE7BDB" w:rsidR="00EE7BDB">
        <w:rPr>
          <w:vertAlign w:val="superscript"/>
        </w:rPr>
        <w:footnoteReference w:id="23"/>
      </w:r>
      <w:r w:rsidRPr="00EE7BDB" w:rsidR="00EE7BDB">
        <w:t xml:space="preserve">  As reflected in the industry parties’ minimal responses to technical issues posed in the OIR and the Scoping Memo, we deem workshops premature prior to establishing the structure of the regulatory framework.</w:t>
      </w:r>
      <w:r w:rsidRPr="00EE7BDB" w:rsidR="00EE7BDB">
        <w:rPr>
          <w:vertAlign w:val="superscript"/>
        </w:rPr>
        <w:footnoteReference w:id="24"/>
      </w:r>
      <w:r w:rsidRPr="00EE7BDB" w:rsidR="00EE7BDB">
        <w:t xml:space="preserve"> </w:t>
      </w:r>
    </w:p>
    <w:p w:rsidRPr="00834288" w:rsidR="00B1067D" w:rsidP="00645D56" w:rsidRDefault="00EE7BDB" w14:paraId="6A12B5B8" w14:textId="74E8C405">
      <w:pPr>
        <w:pStyle w:val="Standard"/>
      </w:pPr>
      <w:r w:rsidRPr="00EE7BDB">
        <w:t xml:space="preserve">However, with the issuance of this proposed decision, which puts a regulatory framework in place, there are specific topics that the parties have </w:t>
      </w:r>
      <w:r w:rsidRPr="00EE7BDB">
        <w:lastRenderedPageBreak/>
        <w:t>identified that may now benefit from workshop discussion.</w:t>
      </w:r>
      <w:r w:rsidRPr="00EE7BDB">
        <w:rPr>
          <w:vertAlign w:val="superscript"/>
        </w:rPr>
        <w:footnoteReference w:id="25"/>
      </w:r>
      <w:r w:rsidRPr="00EE7BDB">
        <w:t xml:space="preserve"> A second phase of this proceeding is necessary and appropriate to pursue implementation details and clarify whether differences in various configurations of interconnected VoIP service provision require further refinement to the regulatory framework. </w:t>
      </w:r>
      <w:r w:rsidR="00724303">
        <w:t xml:space="preserve">The schedule for the second phase in which workshop(s) will be held is discussed in section 9 of this decision. </w:t>
      </w:r>
      <w:r w:rsidR="00B1067D">
        <w:t xml:space="preserve"> </w:t>
      </w:r>
    </w:p>
    <w:p w:rsidR="00683B2C" w:rsidP="000A2CD0" w:rsidRDefault="00683B2C" w14:paraId="3B79FCC5" w14:textId="1744973D">
      <w:pPr>
        <w:pStyle w:val="Heading1"/>
      </w:pPr>
      <w:bookmarkStart w:name="_Toc181692875" w:id="35"/>
      <w:r>
        <w:t>Submission Date</w:t>
      </w:r>
      <w:bookmarkEnd w:id="32"/>
      <w:bookmarkEnd w:id="33"/>
      <w:bookmarkEnd w:id="35"/>
    </w:p>
    <w:p w:rsidR="00683B2C" w:rsidP="00683B2C" w:rsidRDefault="00683B2C" w14:paraId="51E2F7B1" w14:textId="0C6FD5C9">
      <w:pPr>
        <w:pStyle w:val="Standard"/>
      </w:pPr>
      <w:r w:rsidRPr="00FF0265">
        <w:t xml:space="preserve">This matter was submitted on </w:t>
      </w:r>
      <w:r w:rsidR="00400BB6">
        <w:t>June </w:t>
      </w:r>
      <w:r w:rsidRPr="0029267B" w:rsidR="0029267B">
        <w:t>30, 2023</w:t>
      </w:r>
      <w:r w:rsidR="0029267B">
        <w:t>,</w:t>
      </w:r>
      <w:r w:rsidRPr="00FF0265">
        <w:t xml:space="preserve"> upon </w:t>
      </w:r>
      <w:r w:rsidRPr="003971B1" w:rsidR="003971B1">
        <w:t>the parties filing Reply Comments to the Scoping Memo</w:t>
      </w:r>
      <w:r w:rsidRPr="00FF0265">
        <w:t>.</w:t>
      </w:r>
    </w:p>
    <w:p w:rsidR="0039604F" w:rsidP="000A2CD0" w:rsidRDefault="0039604F" w14:paraId="52795C72" w14:textId="77777777">
      <w:pPr>
        <w:pStyle w:val="Heading1"/>
      </w:pPr>
      <w:bookmarkStart w:name="_Toc8123719" w:id="36"/>
      <w:bookmarkStart w:name="_Toc176770929" w:id="37"/>
      <w:bookmarkStart w:name="_Toc177021127" w:id="38"/>
      <w:bookmarkStart w:name="_Toc181692876" w:id="39"/>
      <w:r>
        <w:t xml:space="preserve">Issues Before the </w:t>
      </w:r>
      <w:bookmarkEnd w:id="36"/>
      <w:r>
        <w:t>Commission</w:t>
      </w:r>
      <w:bookmarkEnd w:id="37"/>
      <w:bookmarkEnd w:id="38"/>
      <w:bookmarkEnd w:id="39"/>
    </w:p>
    <w:p w:rsidR="00E14F51" w:rsidP="0039604F" w:rsidRDefault="0039604F" w14:paraId="6762EEC2" w14:textId="77777777">
      <w:pPr>
        <w:pStyle w:val="Standard"/>
        <w:rPr>
          <w:color w:val="000000" w:themeColor="text1"/>
        </w:rPr>
      </w:pPr>
      <w:r w:rsidRPr="00C86F4E">
        <w:rPr>
          <w:color w:val="000000" w:themeColor="text1"/>
        </w:rPr>
        <w:t xml:space="preserve">The issues </w:t>
      </w:r>
      <w:r>
        <w:rPr>
          <w:color w:val="000000" w:themeColor="text1"/>
        </w:rPr>
        <w:t>established in the Scoping Memo for consideration</w:t>
      </w:r>
      <w:r w:rsidRPr="00C86F4E">
        <w:rPr>
          <w:color w:val="000000" w:themeColor="text1"/>
        </w:rPr>
        <w:t xml:space="preserve"> in this proceeding</w:t>
      </w:r>
      <w:r>
        <w:rPr>
          <w:color w:val="000000" w:themeColor="text1"/>
        </w:rPr>
        <w:t xml:space="preserve">, and commented on by the parties </w:t>
      </w:r>
      <w:r w:rsidRPr="00C86F4E">
        <w:rPr>
          <w:color w:val="000000" w:themeColor="text1"/>
        </w:rPr>
        <w:t>are</w:t>
      </w:r>
      <w:r>
        <w:rPr>
          <w:color w:val="000000" w:themeColor="text1"/>
        </w:rPr>
        <w:t xml:space="preserve"> as follows</w:t>
      </w:r>
      <w:r w:rsidRPr="00C86F4E">
        <w:rPr>
          <w:color w:val="000000" w:themeColor="text1"/>
        </w:rPr>
        <w:t>:</w:t>
      </w:r>
    </w:p>
    <w:p w:rsidR="00E14F51" w:rsidP="00B91B51" w:rsidRDefault="0039604F" w14:paraId="7CEF15E0" w14:textId="4CCEEA00">
      <w:pPr>
        <w:pStyle w:val="BlockQuoteH025"/>
        <w:rPr>
          <w:color w:val="000000" w:themeColor="text1"/>
        </w:rPr>
      </w:pPr>
      <w:r w:rsidRPr="00C86F4E">
        <w:rPr>
          <w:color w:val="000000" w:themeColor="text1"/>
        </w:rPr>
        <w:t>1.</w:t>
      </w:r>
      <w:r w:rsidR="00B91B51">
        <w:rPr>
          <w:color w:val="000000" w:themeColor="text1"/>
        </w:rPr>
        <w:tab/>
      </w:r>
      <w:r w:rsidRPr="00C86F4E">
        <w:rPr>
          <w:color w:val="000000" w:themeColor="text1"/>
        </w:rPr>
        <w:t xml:space="preserve">What is the appropriate regulatory framework for telephone corporations providing </w:t>
      </w:r>
      <w:r w:rsidR="000263D6">
        <w:t>VoIP</w:t>
      </w:r>
      <w:r w:rsidRPr="00C86F4E">
        <w:rPr>
          <w:color w:val="000000" w:themeColor="text1"/>
        </w:rPr>
        <w:t xml:space="preserve"> service in California, consistent with applicable law and policy?</w:t>
      </w:r>
    </w:p>
    <w:p w:rsidR="00E14F51" w:rsidP="00B91B51" w:rsidRDefault="0039604F" w14:paraId="2A0886B9" w14:textId="4CEBF4E7">
      <w:pPr>
        <w:pStyle w:val="BlockQuoteH025"/>
        <w:rPr>
          <w:color w:val="000000" w:themeColor="text1"/>
        </w:rPr>
      </w:pPr>
      <w:r w:rsidRPr="00C86F4E">
        <w:rPr>
          <w:color w:val="000000" w:themeColor="text1"/>
        </w:rPr>
        <w:t>2.</w:t>
      </w:r>
      <w:r w:rsidR="00B91B51">
        <w:rPr>
          <w:color w:val="000000" w:themeColor="text1"/>
        </w:rPr>
        <w:tab/>
      </w:r>
      <w:r w:rsidRPr="00C86F4E">
        <w:rPr>
          <w:color w:val="000000" w:themeColor="text1"/>
        </w:rPr>
        <w:t>If at all, how should the regulatory framework for</w:t>
      </w:r>
      <w:r>
        <w:rPr>
          <w:color w:val="000000" w:themeColor="text1"/>
        </w:rPr>
        <w:t xml:space="preserve"> </w:t>
      </w:r>
      <w:r w:rsidRPr="00C86F4E">
        <w:rPr>
          <w:color w:val="000000" w:themeColor="text1"/>
        </w:rPr>
        <w:t xml:space="preserve">telephone corporations providing </w:t>
      </w:r>
      <w:r w:rsidR="000263D6">
        <w:rPr>
          <w:color w:val="000000" w:themeColor="text1"/>
        </w:rPr>
        <w:t>VoIP</w:t>
      </w:r>
      <w:r w:rsidRPr="00C86F4E">
        <w:rPr>
          <w:color w:val="000000" w:themeColor="text1"/>
        </w:rPr>
        <w:t xml:space="preserve"> service in California differ from the existing regulatory frameworks for telephone corporations providing:</w:t>
      </w:r>
    </w:p>
    <w:p w:rsidR="00E14F51" w:rsidP="00B91B51" w:rsidRDefault="0039604F" w14:paraId="42B64C9F" w14:textId="598EB2E3">
      <w:pPr>
        <w:pStyle w:val="BlockQuoteH025subH025"/>
        <w:ind w:left="1440"/>
        <w:rPr>
          <w:color w:val="000000" w:themeColor="text1"/>
        </w:rPr>
      </w:pPr>
      <w:r w:rsidRPr="00C86F4E">
        <w:rPr>
          <w:color w:val="000000" w:themeColor="text1"/>
        </w:rPr>
        <w:t>a.</w:t>
      </w:r>
      <w:r w:rsidR="00B91B51">
        <w:rPr>
          <w:color w:val="000000" w:themeColor="text1"/>
        </w:rPr>
        <w:tab/>
      </w:r>
      <w:r w:rsidRPr="00C86F4E">
        <w:rPr>
          <w:color w:val="000000" w:themeColor="text1"/>
        </w:rPr>
        <w:t xml:space="preserve">Local </w:t>
      </w:r>
      <w:r w:rsidRPr="00B91B51">
        <w:t>exchange</w:t>
      </w:r>
      <w:r w:rsidRPr="00C86F4E">
        <w:rPr>
          <w:color w:val="000000" w:themeColor="text1"/>
        </w:rPr>
        <w:t xml:space="preserve"> service;</w:t>
      </w:r>
    </w:p>
    <w:p w:rsidRPr="00C86F4E" w:rsidR="0039604F" w:rsidP="00B91B51" w:rsidRDefault="0039604F" w14:paraId="7A974139" w14:textId="1FB4CCEE">
      <w:pPr>
        <w:pStyle w:val="BlockQuoteH025subH025"/>
        <w:ind w:left="1440"/>
        <w:rPr>
          <w:color w:val="000000" w:themeColor="text1"/>
        </w:rPr>
      </w:pPr>
      <w:r w:rsidRPr="00C86F4E">
        <w:rPr>
          <w:color w:val="000000" w:themeColor="text1"/>
        </w:rPr>
        <w:t>b.</w:t>
      </w:r>
      <w:r w:rsidR="00B91B51">
        <w:rPr>
          <w:color w:val="000000" w:themeColor="text1"/>
        </w:rPr>
        <w:tab/>
      </w:r>
      <w:r w:rsidRPr="00B91B51">
        <w:t>Interexchange</w:t>
      </w:r>
      <w:r w:rsidRPr="00C86F4E">
        <w:rPr>
          <w:color w:val="000000" w:themeColor="text1"/>
        </w:rPr>
        <w:t xml:space="preserve"> service</w:t>
      </w:r>
      <w:r w:rsidR="00F9784C">
        <w:rPr>
          <w:color w:val="000000" w:themeColor="text1"/>
        </w:rPr>
        <w:t>;</w:t>
      </w:r>
      <w:r w:rsidR="00AA1504">
        <w:rPr>
          <w:rStyle w:val="FootnoteReference"/>
          <w:color w:val="000000" w:themeColor="text1"/>
        </w:rPr>
        <w:footnoteReference w:id="26"/>
      </w:r>
      <w:r w:rsidRPr="00C86F4E">
        <w:rPr>
          <w:color w:val="000000" w:themeColor="text1"/>
        </w:rPr>
        <w:t xml:space="preserve"> and</w:t>
      </w:r>
    </w:p>
    <w:p w:rsidR="00E14F51" w:rsidP="00B91B51" w:rsidRDefault="0039604F" w14:paraId="12124543" w14:textId="45176E3D">
      <w:pPr>
        <w:pStyle w:val="BlockQuoteH025subH025"/>
        <w:ind w:left="1440"/>
        <w:rPr>
          <w:color w:val="000000" w:themeColor="text1"/>
        </w:rPr>
      </w:pPr>
      <w:r w:rsidRPr="00C86F4E">
        <w:rPr>
          <w:color w:val="000000" w:themeColor="text1"/>
        </w:rPr>
        <w:t>c.</w:t>
      </w:r>
      <w:r w:rsidR="00B91B51">
        <w:rPr>
          <w:color w:val="000000" w:themeColor="text1"/>
        </w:rPr>
        <w:tab/>
      </w:r>
      <w:r w:rsidRPr="00B91B51">
        <w:t>Wireless</w:t>
      </w:r>
      <w:r w:rsidRPr="00C86F4E">
        <w:rPr>
          <w:color w:val="000000" w:themeColor="text1"/>
        </w:rPr>
        <w:t xml:space="preserve"> service.</w:t>
      </w:r>
    </w:p>
    <w:p w:rsidRPr="00C86F4E" w:rsidR="0039604F" w:rsidP="00B91B51" w:rsidRDefault="0039604F" w14:paraId="0F520690" w14:textId="42B12136">
      <w:pPr>
        <w:pStyle w:val="BlockQuoteH025"/>
        <w:rPr>
          <w:color w:val="000000" w:themeColor="text1"/>
        </w:rPr>
      </w:pPr>
      <w:r w:rsidRPr="00C86F4E">
        <w:rPr>
          <w:color w:val="000000" w:themeColor="text1"/>
        </w:rPr>
        <w:t>3.</w:t>
      </w:r>
      <w:r w:rsidR="00B91B51">
        <w:rPr>
          <w:color w:val="000000" w:themeColor="text1"/>
        </w:rPr>
        <w:tab/>
      </w:r>
      <w:r w:rsidRPr="00C86F4E">
        <w:rPr>
          <w:color w:val="000000" w:themeColor="text1"/>
        </w:rPr>
        <w:t>Does the current market for telephone service, or technologies in use today for providing telephone service, necessitate changes to the Commission</w:t>
      </w:r>
      <w:r w:rsidR="00893D67">
        <w:rPr>
          <w:color w:val="000000" w:themeColor="text1"/>
        </w:rPr>
        <w:t>’</w:t>
      </w:r>
      <w:r w:rsidRPr="00C86F4E">
        <w:rPr>
          <w:color w:val="000000" w:themeColor="text1"/>
        </w:rPr>
        <w:t>s licensing and registration processes?</w:t>
      </w:r>
    </w:p>
    <w:p w:rsidRPr="00C86F4E" w:rsidR="0039604F" w:rsidP="00B91B51" w:rsidRDefault="0039604F" w14:paraId="58D28CCA" w14:textId="15A70D08">
      <w:pPr>
        <w:pStyle w:val="BlockQuoteH025"/>
        <w:rPr>
          <w:color w:val="000000" w:themeColor="text1"/>
        </w:rPr>
      </w:pPr>
      <w:r w:rsidRPr="00C86F4E">
        <w:rPr>
          <w:color w:val="000000" w:themeColor="text1"/>
        </w:rPr>
        <w:lastRenderedPageBreak/>
        <w:t>4.</w:t>
      </w:r>
      <w:r w:rsidR="00B91B51">
        <w:rPr>
          <w:color w:val="000000" w:themeColor="text1"/>
        </w:rPr>
        <w:tab/>
      </w:r>
      <w:r w:rsidRPr="00C86F4E">
        <w:rPr>
          <w:color w:val="000000" w:themeColor="text1"/>
        </w:rPr>
        <w:t xml:space="preserve">The impact of responses to Scoped </w:t>
      </w:r>
      <w:r w:rsidR="000406B0">
        <w:rPr>
          <w:color w:val="000000" w:themeColor="text1"/>
        </w:rPr>
        <w:t>Issues </w:t>
      </w:r>
      <w:r w:rsidRPr="00C86F4E">
        <w:rPr>
          <w:color w:val="000000" w:themeColor="text1"/>
        </w:rPr>
        <w:t>1</w:t>
      </w:r>
      <w:r w:rsidR="006951D5">
        <w:rPr>
          <w:color w:val="000000" w:themeColor="text1"/>
        </w:rPr>
        <w:noBreakHyphen/>
      </w:r>
      <w:r w:rsidRPr="00C86F4E">
        <w:rPr>
          <w:color w:val="000000" w:themeColor="text1"/>
        </w:rPr>
        <w:t>3 on:</w:t>
      </w:r>
    </w:p>
    <w:p w:rsidR="00E14F51" w:rsidP="00B91B51" w:rsidRDefault="0039604F" w14:paraId="7B7271D6" w14:textId="5513A744">
      <w:pPr>
        <w:pStyle w:val="BlockQuoteH025subH025"/>
        <w:ind w:left="1440"/>
        <w:rPr>
          <w:color w:val="000000" w:themeColor="text1"/>
        </w:rPr>
      </w:pPr>
      <w:r w:rsidRPr="00C86F4E">
        <w:rPr>
          <w:color w:val="000000" w:themeColor="text1"/>
        </w:rPr>
        <w:t>a.</w:t>
      </w:r>
      <w:r w:rsidR="00B91B51">
        <w:rPr>
          <w:color w:val="000000" w:themeColor="text1"/>
        </w:rPr>
        <w:tab/>
      </w:r>
      <w:r w:rsidRPr="00C86F4E">
        <w:rPr>
          <w:color w:val="000000" w:themeColor="text1"/>
        </w:rPr>
        <w:t>competitive neutrality;</w:t>
      </w:r>
    </w:p>
    <w:p w:rsidR="00E14F51" w:rsidP="00B91B51" w:rsidRDefault="0039604F" w14:paraId="61BD59EC" w14:textId="059A7CCA">
      <w:pPr>
        <w:pStyle w:val="BlockQuoteH025subH025"/>
        <w:ind w:left="1440"/>
        <w:rPr>
          <w:color w:val="000000" w:themeColor="text1"/>
        </w:rPr>
      </w:pPr>
      <w:r w:rsidRPr="00C86F4E">
        <w:rPr>
          <w:color w:val="000000" w:themeColor="text1"/>
        </w:rPr>
        <w:t>b.</w:t>
      </w:r>
      <w:r w:rsidR="00B91B51">
        <w:rPr>
          <w:color w:val="000000" w:themeColor="text1"/>
        </w:rPr>
        <w:tab/>
      </w:r>
      <w:r w:rsidRPr="00C86F4E">
        <w:rPr>
          <w:color w:val="000000" w:themeColor="text1"/>
        </w:rPr>
        <w:t>universal service;</w:t>
      </w:r>
    </w:p>
    <w:p w:rsidR="00E14F51" w:rsidP="00B91B51" w:rsidRDefault="0039604F" w14:paraId="14F6E0A5" w14:textId="50A82D92">
      <w:pPr>
        <w:pStyle w:val="BlockQuoteH025subH025"/>
        <w:ind w:left="1440"/>
        <w:rPr>
          <w:color w:val="000000" w:themeColor="text1"/>
        </w:rPr>
      </w:pPr>
      <w:r w:rsidRPr="00C86F4E">
        <w:rPr>
          <w:color w:val="000000" w:themeColor="text1"/>
        </w:rPr>
        <w:t>c.</w:t>
      </w:r>
      <w:r w:rsidR="00B91B51">
        <w:rPr>
          <w:color w:val="000000" w:themeColor="text1"/>
        </w:rPr>
        <w:tab/>
      </w:r>
      <w:r w:rsidRPr="00C86F4E">
        <w:rPr>
          <w:color w:val="000000" w:themeColor="text1"/>
        </w:rPr>
        <w:t>public health, safety and welfare;</w:t>
      </w:r>
    </w:p>
    <w:p w:rsidR="00E14F51" w:rsidP="00B91B51" w:rsidRDefault="0039604F" w14:paraId="5F305282" w14:textId="232A22D9">
      <w:pPr>
        <w:pStyle w:val="BlockQuoteH025subH025"/>
        <w:ind w:left="1440"/>
        <w:rPr>
          <w:color w:val="000000" w:themeColor="text1"/>
        </w:rPr>
      </w:pPr>
      <w:r w:rsidRPr="00C86F4E">
        <w:rPr>
          <w:color w:val="000000" w:themeColor="text1"/>
        </w:rPr>
        <w:t>d.</w:t>
      </w:r>
      <w:r w:rsidR="00B91B51">
        <w:rPr>
          <w:color w:val="000000" w:themeColor="text1"/>
        </w:rPr>
        <w:tab/>
      </w:r>
      <w:r w:rsidRPr="00C86F4E">
        <w:rPr>
          <w:color w:val="000000" w:themeColor="text1"/>
        </w:rPr>
        <w:t>administrative convenience;</w:t>
      </w:r>
    </w:p>
    <w:p w:rsidR="0039604F" w:rsidP="00B91B51" w:rsidRDefault="0039604F" w14:paraId="1BE926C7" w14:textId="00D9B865">
      <w:pPr>
        <w:pStyle w:val="BlockQuoteH025subH025"/>
        <w:ind w:left="1440"/>
        <w:rPr>
          <w:color w:val="000000" w:themeColor="text1"/>
        </w:rPr>
      </w:pPr>
      <w:r w:rsidRPr="00C86F4E">
        <w:rPr>
          <w:color w:val="000000" w:themeColor="text1"/>
        </w:rPr>
        <w:t>e.</w:t>
      </w:r>
      <w:r w:rsidR="00B91B51">
        <w:rPr>
          <w:color w:val="000000" w:themeColor="text1"/>
        </w:rPr>
        <w:tab/>
      </w:r>
      <w:r w:rsidRPr="00C86F4E">
        <w:rPr>
          <w:color w:val="000000" w:themeColor="text1"/>
        </w:rPr>
        <w:t>consumer interests, including consumers in</w:t>
      </w:r>
      <w:r w:rsidR="00E14F51">
        <w:rPr>
          <w:color w:val="000000" w:themeColor="text1"/>
        </w:rPr>
        <w:t xml:space="preserve"> </w:t>
      </w:r>
      <w:r w:rsidRPr="00C86F4E">
        <w:rPr>
          <w:color w:val="000000" w:themeColor="text1"/>
        </w:rPr>
        <w:t>Environmental and Social Justice (ESJ) communities; an</w:t>
      </w:r>
      <w:r>
        <w:rPr>
          <w:color w:val="000000" w:themeColor="text1"/>
        </w:rPr>
        <w:t>d</w:t>
      </w:r>
    </w:p>
    <w:p w:rsidR="00A96B31" w:rsidP="00B91B51" w:rsidRDefault="0039604F" w14:paraId="18AD6164" w14:textId="09744BF6">
      <w:pPr>
        <w:pStyle w:val="BlockQuoteH025subH025"/>
        <w:ind w:left="1440"/>
        <w:rPr>
          <w:color w:val="000000" w:themeColor="text1"/>
        </w:rPr>
      </w:pPr>
      <w:r w:rsidRPr="00C86F4E">
        <w:rPr>
          <w:color w:val="000000" w:themeColor="text1"/>
        </w:rPr>
        <w:t>f.</w:t>
      </w:r>
      <w:r w:rsidR="00B91B51">
        <w:rPr>
          <w:color w:val="000000" w:themeColor="text1"/>
        </w:rPr>
        <w:tab/>
      </w:r>
      <w:r w:rsidRPr="00C86F4E">
        <w:rPr>
          <w:color w:val="000000" w:themeColor="text1"/>
        </w:rPr>
        <w:t>the public interest.</w:t>
      </w:r>
    </w:p>
    <w:p w:rsidRPr="00C86F4E" w:rsidR="0039604F" w:rsidP="00B91B51" w:rsidRDefault="0039604F" w14:paraId="333A4768" w14:textId="3312DA30">
      <w:pPr>
        <w:pStyle w:val="BlockQuoteH025"/>
        <w:rPr>
          <w:color w:val="000000" w:themeColor="text1"/>
        </w:rPr>
      </w:pPr>
      <w:r w:rsidRPr="00C86F4E">
        <w:rPr>
          <w:color w:val="000000" w:themeColor="text1"/>
        </w:rPr>
        <w:t>5.</w:t>
      </w:r>
      <w:r w:rsidR="00B91B51">
        <w:rPr>
          <w:color w:val="000000" w:themeColor="text1"/>
        </w:rPr>
        <w:tab/>
      </w:r>
      <w:r w:rsidRPr="00C86F4E">
        <w:rPr>
          <w:color w:val="000000" w:themeColor="text1"/>
        </w:rPr>
        <w:t xml:space="preserve">Are there impacts to ESJ communities? This includes the extent to which any regulatory framework for </w:t>
      </w:r>
      <w:r w:rsidR="000263D6">
        <w:rPr>
          <w:color w:val="000000" w:themeColor="text1"/>
        </w:rPr>
        <w:t>VoIP</w:t>
      </w:r>
      <w:r w:rsidRPr="00C86F4E">
        <w:rPr>
          <w:color w:val="000000" w:themeColor="text1"/>
        </w:rPr>
        <w:t xml:space="preserve"> service impacts achievement of any of the nine goals of the Commission</w:t>
      </w:r>
      <w:r w:rsidR="00893D67">
        <w:rPr>
          <w:color w:val="000000" w:themeColor="text1"/>
        </w:rPr>
        <w:t>’</w:t>
      </w:r>
      <w:r w:rsidRPr="00C86F4E">
        <w:rPr>
          <w:color w:val="000000" w:themeColor="text1"/>
        </w:rPr>
        <w:t>s ESJ Action Plan.</w:t>
      </w:r>
    </w:p>
    <w:p w:rsidR="00A96B31" w:rsidP="00B91B51" w:rsidRDefault="0039604F" w14:paraId="5295EE1E" w14:textId="37A270D0">
      <w:pPr>
        <w:pStyle w:val="BlockQuoteH025"/>
        <w:rPr>
          <w:color w:val="000000" w:themeColor="text1"/>
        </w:rPr>
      </w:pPr>
      <w:r w:rsidRPr="00C86F4E">
        <w:rPr>
          <w:color w:val="000000" w:themeColor="text1"/>
        </w:rPr>
        <w:t>6.</w:t>
      </w:r>
      <w:r w:rsidR="00B91B51">
        <w:rPr>
          <w:color w:val="000000" w:themeColor="text1"/>
        </w:rPr>
        <w:tab/>
      </w:r>
      <w:r w:rsidRPr="00C86F4E">
        <w:rPr>
          <w:color w:val="000000" w:themeColor="text1"/>
        </w:rPr>
        <w:t xml:space="preserve">How should adoption of an appropriate regulatory framework for telephone corporations providing </w:t>
      </w:r>
      <w:r w:rsidR="000263D6">
        <w:rPr>
          <w:color w:val="000000" w:themeColor="text1"/>
        </w:rPr>
        <w:t>VoIP</w:t>
      </w:r>
      <w:r w:rsidRPr="00C86F4E">
        <w:rPr>
          <w:color w:val="000000" w:themeColor="text1"/>
        </w:rPr>
        <w:t xml:space="preserve"> service in California impact telephone corporations already in possession of any of the following:</w:t>
      </w:r>
    </w:p>
    <w:p w:rsidR="00A96B31" w:rsidP="00B91B51" w:rsidRDefault="0039604F" w14:paraId="1C7B6B47" w14:textId="55EC6950">
      <w:pPr>
        <w:pStyle w:val="BlockQuoteH025subH025"/>
        <w:ind w:left="1440"/>
        <w:rPr>
          <w:color w:val="000000" w:themeColor="text1"/>
        </w:rPr>
      </w:pPr>
      <w:r w:rsidRPr="00C86F4E">
        <w:rPr>
          <w:color w:val="000000" w:themeColor="text1"/>
        </w:rPr>
        <w:t>a.</w:t>
      </w:r>
      <w:r w:rsidR="00B91B51">
        <w:rPr>
          <w:color w:val="000000" w:themeColor="text1"/>
        </w:rPr>
        <w:tab/>
      </w:r>
      <w:r w:rsidRPr="00C86F4E">
        <w:rPr>
          <w:color w:val="000000" w:themeColor="text1"/>
        </w:rPr>
        <w:t>CPCN;</w:t>
      </w:r>
    </w:p>
    <w:p w:rsidR="00A96B31" w:rsidP="00B91B51" w:rsidRDefault="0039604F" w14:paraId="39BAE2BB" w14:textId="1FFFF9EC">
      <w:pPr>
        <w:pStyle w:val="BlockQuoteH025subH025"/>
        <w:ind w:left="1440"/>
        <w:rPr>
          <w:color w:val="000000" w:themeColor="text1"/>
        </w:rPr>
      </w:pPr>
      <w:r w:rsidRPr="00C86F4E">
        <w:rPr>
          <w:color w:val="000000" w:themeColor="text1"/>
        </w:rPr>
        <w:t>b.</w:t>
      </w:r>
      <w:r w:rsidR="00B91B51">
        <w:rPr>
          <w:color w:val="000000" w:themeColor="text1"/>
        </w:rPr>
        <w:tab/>
      </w:r>
      <w:r w:rsidR="0033191D">
        <w:rPr>
          <w:color w:val="000000" w:themeColor="text1"/>
        </w:rPr>
        <w:t>Section </w:t>
      </w:r>
      <w:r w:rsidRPr="00C86F4E">
        <w:rPr>
          <w:color w:val="000000" w:themeColor="text1"/>
        </w:rPr>
        <w:t>1013 registration;</w:t>
      </w:r>
    </w:p>
    <w:p w:rsidRPr="00C86F4E" w:rsidR="0039604F" w:rsidP="00B91B51" w:rsidRDefault="0039604F" w14:paraId="723B87F9" w14:textId="1CF1A4AC">
      <w:pPr>
        <w:pStyle w:val="BlockQuoteH025subH025"/>
        <w:ind w:left="1440"/>
        <w:rPr>
          <w:color w:val="000000" w:themeColor="text1"/>
        </w:rPr>
      </w:pPr>
      <w:r w:rsidRPr="00C86F4E">
        <w:rPr>
          <w:color w:val="000000" w:themeColor="text1"/>
        </w:rPr>
        <w:t>c.</w:t>
      </w:r>
      <w:r w:rsidR="00B91B51">
        <w:rPr>
          <w:color w:val="000000" w:themeColor="text1"/>
        </w:rPr>
        <w:tab/>
      </w:r>
      <w:r w:rsidRPr="00C86F4E">
        <w:rPr>
          <w:color w:val="000000" w:themeColor="text1"/>
        </w:rPr>
        <w:t xml:space="preserve">Informal registration with the Commission in what was termed a </w:t>
      </w:r>
      <w:r w:rsidR="0033191D">
        <w:rPr>
          <w:color w:val="000000" w:themeColor="text1"/>
        </w:rPr>
        <w:t>Section </w:t>
      </w:r>
      <w:r w:rsidRPr="00C86F4E">
        <w:rPr>
          <w:color w:val="000000" w:themeColor="text1"/>
        </w:rPr>
        <w:t>285 registration; or</w:t>
      </w:r>
    </w:p>
    <w:p w:rsidRPr="00C86F4E" w:rsidR="0039604F" w:rsidP="00B91B51" w:rsidRDefault="0039604F" w14:paraId="70DC3F09" w14:textId="73502FA9">
      <w:pPr>
        <w:pStyle w:val="BlockQuoteH025subH025"/>
        <w:ind w:left="1440"/>
        <w:rPr>
          <w:color w:val="000000" w:themeColor="text1"/>
        </w:rPr>
      </w:pPr>
      <w:r w:rsidRPr="00C86F4E">
        <w:rPr>
          <w:color w:val="000000" w:themeColor="text1"/>
        </w:rPr>
        <w:t>d.</w:t>
      </w:r>
      <w:r w:rsidR="00B91B51">
        <w:rPr>
          <w:color w:val="000000" w:themeColor="text1"/>
        </w:rPr>
        <w:tab/>
      </w:r>
      <w:r w:rsidRPr="00C86F4E">
        <w:rPr>
          <w:color w:val="000000" w:themeColor="text1"/>
        </w:rPr>
        <w:t>Wireless Information Registration (WIR)?</w:t>
      </w:r>
    </w:p>
    <w:p w:rsidR="00A96B31" w:rsidP="00B91B51" w:rsidRDefault="0039604F" w14:paraId="2DEF7478" w14:textId="4DBDDA8D">
      <w:pPr>
        <w:pStyle w:val="BlockQuoteH025"/>
        <w:rPr>
          <w:color w:val="000000" w:themeColor="text1"/>
        </w:rPr>
      </w:pPr>
      <w:r w:rsidRPr="00C86F4E">
        <w:rPr>
          <w:color w:val="000000" w:themeColor="text1"/>
        </w:rPr>
        <w:t>7.</w:t>
      </w:r>
      <w:r w:rsidR="00B91B51">
        <w:rPr>
          <w:color w:val="000000" w:themeColor="text1"/>
        </w:rPr>
        <w:tab/>
      </w:r>
      <w:r w:rsidRPr="00C86F4E">
        <w:rPr>
          <w:color w:val="000000" w:themeColor="text1"/>
        </w:rPr>
        <w:t xml:space="preserve">How should the Commission treat any entities providing </w:t>
      </w:r>
      <w:r w:rsidR="000263D6">
        <w:rPr>
          <w:color w:val="000000" w:themeColor="text1"/>
        </w:rPr>
        <w:t>VoIP</w:t>
      </w:r>
      <w:r w:rsidRPr="00C86F4E">
        <w:rPr>
          <w:color w:val="000000" w:themeColor="text1"/>
        </w:rPr>
        <w:t xml:space="preserve"> service in California without possession of any of the following:</w:t>
      </w:r>
    </w:p>
    <w:p w:rsidR="00A96B31" w:rsidP="00B91B51" w:rsidRDefault="0039604F" w14:paraId="6E896983" w14:textId="2CFB32CA">
      <w:pPr>
        <w:pStyle w:val="BlockQuoteH025subH025"/>
        <w:ind w:left="1440"/>
        <w:rPr>
          <w:color w:val="000000" w:themeColor="text1"/>
        </w:rPr>
      </w:pPr>
      <w:r w:rsidRPr="00C86F4E">
        <w:rPr>
          <w:color w:val="000000" w:themeColor="text1"/>
        </w:rPr>
        <w:t>a.</w:t>
      </w:r>
      <w:r w:rsidR="00B91B51">
        <w:rPr>
          <w:color w:val="000000" w:themeColor="text1"/>
        </w:rPr>
        <w:tab/>
      </w:r>
      <w:r w:rsidRPr="00C86F4E">
        <w:rPr>
          <w:color w:val="000000" w:themeColor="text1"/>
        </w:rPr>
        <w:t>CPCN;</w:t>
      </w:r>
    </w:p>
    <w:p w:rsidR="00A96B31" w:rsidP="00B91B51" w:rsidRDefault="0039604F" w14:paraId="5DFB9208" w14:textId="31549F40">
      <w:pPr>
        <w:pStyle w:val="BlockQuoteH025subH025"/>
        <w:ind w:left="1440"/>
        <w:rPr>
          <w:color w:val="000000" w:themeColor="text1"/>
        </w:rPr>
      </w:pPr>
      <w:r w:rsidRPr="00C86F4E">
        <w:rPr>
          <w:color w:val="000000" w:themeColor="text1"/>
        </w:rPr>
        <w:t>b.</w:t>
      </w:r>
      <w:r w:rsidR="00B91B51">
        <w:rPr>
          <w:color w:val="000000" w:themeColor="text1"/>
        </w:rPr>
        <w:tab/>
      </w:r>
      <w:r w:rsidR="0033191D">
        <w:rPr>
          <w:color w:val="000000" w:themeColor="text1"/>
        </w:rPr>
        <w:t>Section </w:t>
      </w:r>
      <w:r w:rsidRPr="00C86F4E">
        <w:rPr>
          <w:color w:val="000000" w:themeColor="text1"/>
        </w:rPr>
        <w:t>1013 registration;</w:t>
      </w:r>
    </w:p>
    <w:p w:rsidRPr="00C86F4E" w:rsidR="0039604F" w:rsidP="00B91B51" w:rsidRDefault="0039604F" w14:paraId="63E03DC5" w14:textId="1C752C2B">
      <w:pPr>
        <w:pStyle w:val="BlockQuoteH025subH025"/>
        <w:ind w:left="1440"/>
        <w:rPr>
          <w:color w:val="000000" w:themeColor="text1"/>
        </w:rPr>
      </w:pPr>
      <w:r w:rsidRPr="00C86F4E">
        <w:rPr>
          <w:color w:val="000000" w:themeColor="text1"/>
        </w:rPr>
        <w:t>c.</w:t>
      </w:r>
      <w:r w:rsidR="00B91B51">
        <w:rPr>
          <w:color w:val="000000" w:themeColor="text1"/>
        </w:rPr>
        <w:tab/>
      </w:r>
      <w:r w:rsidRPr="00C86F4E">
        <w:rPr>
          <w:color w:val="000000" w:themeColor="text1"/>
        </w:rPr>
        <w:t xml:space="preserve">informal registration with the Commission in what was termed a </w:t>
      </w:r>
      <w:r w:rsidR="0033191D">
        <w:rPr>
          <w:color w:val="000000" w:themeColor="text1"/>
        </w:rPr>
        <w:t>Section </w:t>
      </w:r>
      <w:r w:rsidRPr="00C86F4E">
        <w:rPr>
          <w:color w:val="000000" w:themeColor="text1"/>
        </w:rPr>
        <w:t>285 registration; or</w:t>
      </w:r>
    </w:p>
    <w:p w:rsidR="00A96B31" w:rsidP="00B91B51" w:rsidRDefault="0039604F" w14:paraId="7654E3AB" w14:textId="213CFF45">
      <w:pPr>
        <w:pStyle w:val="BlockQuoteH025subH025"/>
        <w:ind w:left="1440"/>
        <w:rPr>
          <w:color w:val="000000" w:themeColor="text1"/>
        </w:rPr>
      </w:pPr>
      <w:r w:rsidRPr="00C86F4E">
        <w:rPr>
          <w:color w:val="000000" w:themeColor="text1"/>
        </w:rPr>
        <w:t>d.</w:t>
      </w:r>
      <w:r w:rsidR="00B91B51">
        <w:rPr>
          <w:color w:val="000000" w:themeColor="text1"/>
        </w:rPr>
        <w:tab/>
      </w:r>
      <w:r w:rsidRPr="00C86F4E">
        <w:rPr>
          <w:color w:val="000000" w:themeColor="text1"/>
        </w:rPr>
        <w:t>WIR?</w:t>
      </w:r>
    </w:p>
    <w:p w:rsidR="0039604F" w:rsidP="00B91B51" w:rsidRDefault="0039604F" w14:paraId="14DC5BB5" w14:textId="07CC0BAE">
      <w:pPr>
        <w:pStyle w:val="BlockQuoteH025"/>
      </w:pPr>
      <w:r w:rsidRPr="00C86F4E">
        <w:rPr>
          <w:color w:val="000000" w:themeColor="text1"/>
        </w:rPr>
        <w:lastRenderedPageBreak/>
        <w:t>8.</w:t>
      </w:r>
      <w:r w:rsidR="00B91B51">
        <w:rPr>
          <w:color w:val="000000" w:themeColor="text1"/>
        </w:rPr>
        <w:tab/>
      </w:r>
      <w:r w:rsidRPr="00C86F4E">
        <w:rPr>
          <w:color w:val="000000" w:themeColor="text1"/>
        </w:rPr>
        <w:t xml:space="preserve">In the interim while this proceeding is ongoing, how should the Commission process requests of new entities intending to provide </w:t>
      </w:r>
      <w:r w:rsidR="000263D6">
        <w:rPr>
          <w:color w:val="000000" w:themeColor="text1"/>
        </w:rPr>
        <w:t>VoIP</w:t>
      </w:r>
      <w:r w:rsidRPr="00C86F4E">
        <w:rPr>
          <w:color w:val="000000" w:themeColor="text1"/>
        </w:rPr>
        <w:t xml:space="preserve"> service in California?</w:t>
      </w:r>
    </w:p>
    <w:p w:rsidR="0054270D" w:rsidP="000A2CD0" w:rsidRDefault="0054270D" w14:paraId="59E544BF" w14:textId="43FA55AF">
      <w:pPr>
        <w:pStyle w:val="Heading1"/>
      </w:pPr>
      <w:bookmarkStart w:name="_Toc176770930" w:id="40"/>
      <w:bookmarkStart w:name="_Toc177021128" w:id="41"/>
      <w:bookmarkStart w:name="_Toc181692877" w:id="42"/>
      <w:r>
        <w:t>Jurisdiction</w:t>
      </w:r>
      <w:bookmarkEnd w:id="40"/>
      <w:bookmarkEnd w:id="41"/>
      <w:bookmarkEnd w:id="42"/>
    </w:p>
    <w:p w:rsidR="0054270D" w:rsidP="000A2CD0" w:rsidRDefault="0054270D" w14:paraId="37A0213B" w14:textId="4BFCF8D5">
      <w:pPr>
        <w:pStyle w:val="Heading2"/>
      </w:pPr>
      <w:bookmarkStart w:name="_Toc176770931" w:id="43"/>
      <w:bookmarkStart w:name="_Toc177021129" w:id="44"/>
      <w:bookmarkStart w:name="_Toc181692878" w:id="45"/>
      <w:r>
        <w:t xml:space="preserve">Interconnected </w:t>
      </w:r>
      <w:r w:rsidRPr="009D389C" w:rsidR="009D389C">
        <w:t xml:space="preserve">Voice </w:t>
      </w:r>
      <w:r w:rsidRPr="009D389C" w:rsidR="00A9206A">
        <w:t>Over</w:t>
      </w:r>
      <w:r w:rsidRPr="009D389C" w:rsidR="009D389C">
        <w:t xml:space="preserve"> Internet</w:t>
      </w:r>
      <w:r w:rsidR="007320FB">
        <w:br/>
      </w:r>
      <w:r w:rsidRPr="009D389C" w:rsidR="009D389C">
        <w:t>Protocol</w:t>
      </w:r>
      <w:r>
        <w:t xml:space="preserve"> </w:t>
      </w:r>
      <w:r w:rsidR="00AB6D6C">
        <w:t xml:space="preserve">Service </w:t>
      </w:r>
      <w:r>
        <w:t xml:space="preserve">Providers </w:t>
      </w:r>
      <w:r w:rsidR="00671A7D">
        <w:t>Are</w:t>
      </w:r>
      <w:r w:rsidR="00A90E90">
        <w:br/>
      </w:r>
      <w:r>
        <w:t>Public Utility Telephone Corporations</w:t>
      </w:r>
      <w:bookmarkEnd w:id="43"/>
      <w:bookmarkEnd w:id="44"/>
      <w:bookmarkEnd w:id="45"/>
    </w:p>
    <w:p w:rsidRPr="00267DEA" w:rsidR="00267DEA" w:rsidP="00267DEA" w:rsidRDefault="00AB07F5" w14:paraId="21CAB447" w14:textId="77777777">
      <w:pPr>
        <w:pStyle w:val="Standard"/>
      </w:pPr>
      <w:r>
        <w:t>The C</w:t>
      </w:r>
      <w:r w:rsidR="003C2D4D">
        <w:t>ommission</w:t>
      </w:r>
      <w:r>
        <w:t xml:space="preserve"> has broad jurisdiction over public utilities, including public utility services and facilities of telephone corporations.</w:t>
      </w:r>
      <w:r>
        <w:rPr>
          <w:rStyle w:val="FootnoteReference"/>
        </w:rPr>
        <w:footnoteReference w:id="27"/>
      </w:r>
      <w:r w:rsidR="007E6340">
        <w:t xml:space="preserve"> </w:t>
      </w:r>
      <w:r w:rsidRPr="00267DEA" w:rsidR="00267DEA">
        <w:t>The Commission is required to ensure that utilities, including telephone corporations, “furnish and maintain such adequate, efficient, just and reasonable service, instrumentalities, equipment, and facilities … as are necessary to promote the safety, health, comfort, and convenience of its patrons, employees, and the public.”</w:t>
      </w:r>
      <w:r w:rsidRPr="00267DEA" w:rsidR="00267DEA">
        <w:rPr>
          <w:vertAlign w:val="superscript"/>
        </w:rPr>
        <w:footnoteReference w:id="28"/>
      </w:r>
    </w:p>
    <w:p w:rsidR="00B022C4" w:rsidP="00AB07F5" w:rsidRDefault="00AB07F5" w14:paraId="11106CF3" w14:textId="77777777">
      <w:pPr>
        <w:pStyle w:val="Standard"/>
      </w:pPr>
      <w:r>
        <w:t xml:space="preserve">A </w:t>
      </w:r>
      <w:r w:rsidR="00893D67">
        <w:t>“</w:t>
      </w:r>
      <w:r>
        <w:t>public utility</w:t>
      </w:r>
      <w:r w:rsidR="00893D67">
        <w:t>”</w:t>
      </w:r>
      <w:r>
        <w:t xml:space="preserve"> includes every </w:t>
      </w:r>
      <w:r w:rsidR="00893D67">
        <w:t>“</w:t>
      </w:r>
      <w:r>
        <w:t>telephone corporation</w:t>
      </w:r>
      <w:r w:rsidR="00893D67">
        <w:t>”</w:t>
      </w:r>
      <w:r>
        <w:t xml:space="preserve"> </w:t>
      </w:r>
      <w:r w:rsidR="00893D67">
        <w:t>“</w:t>
      </w:r>
      <w:r>
        <w:t>where the service is performed, or a commodity is delivered to the public or any portion thereof.</w:t>
      </w:r>
      <w:r w:rsidR="00893D67">
        <w:t>”</w:t>
      </w:r>
      <w:r>
        <w:rPr>
          <w:rStyle w:val="FootnoteReference"/>
        </w:rPr>
        <w:footnoteReference w:id="29"/>
      </w:r>
      <w:r>
        <w:t xml:space="preserve"> A </w:t>
      </w:r>
      <w:r w:rsidR="00893D67">
        <w:t>“</w:t>
      </w:r>
      <w:r>
        <w:t>telephone corporation</w:t>
      </w:r>
      <w:r w:rsidR="00893D67">
        <w:t>”</w:t>
      </w:r>
      <w:r>
        <w:t xml:space="preserve"> </w:t>
      </w:r>
      <w:r w:rsidR="00790100">
        <w:t xml:space="preserve">broadly </w:t>
      </w:r>
      <w:r>
        <w:t xml:space="preserve">includes </w:t>
      </w:r>
      <w:r w:rsidR="00893D67">
        <w:t>“</w:t>
      </w:r>
      <w:r>
        <w:t>every corporation or person owning, controlling, operating, or managing any telephone line for compensation in this state.</w:t>
      </w:r>
      <w:r w:rsidR="00893D67">
        <w:t>”</w:t>
      </w:r>
      <w:r>
        <w:rPr>
          <w:rStyle w:val="FootnoteReference"/>
        </w:rPr>
        <w:footnoteReference w:id="30"/>
      </w:r>
      <w:r w:rsidR="007E6340">
        <w:t xml:space="preserve"> </w:t>
      </w:r>
      <w:r>
        <w:t xml:space="preserve">A </w:t>
      </w:r>
      <w:r w:rsidR="00893D67">
        <w:t>“</w:t>
      </w:r>
      <w:r>
        <w:t>telephone line</w:t>
      </w:r>
      <w:r w:rsidR="00893D67">
        <w:t>”</w:t>
      </w:r>
      <w:r>
        <w:t xml:space="preserve"> includes </w:t>
      </w:r>
      <w:r w:rsidR="00893D67">
        <w:t>“</w:t>
      </w:r>
      <w:r>
        <w:t>all conduits, ducts, poles, wires, cables, instruments, and appliances, and all other real estate, fixtures, and personal property owned, or controlled, operated, or managed in connection with or to facilitate communication by telephone, whether such communication is had with or without the use of transmission wires.</w:t>
      </w:r>
      <w:r w:rsidR="00893D67">
        <w:t>”</w:t>
      </w:r>
      <w:r>
        <w:rPr>
          <w:rStyle w:val="FootnoteReference"/>
        </w:rPr>
        <w:footnoteReference w:id="31"/>
      </w:r>
      <w:r w:rsidR="007E6340">
        <w:t xml:space="preserve"> </w:t>
      </w:r>
    </w:p>
    <w:p w:rsidR="002F3347" w:rsidP="00AB07F5" w:rsidRDefault="00AB07F5" w14:paraId="2D4D598A" w14:textId="77777777">
      <w:pPr>
        <w:pStyle w:val="Standard"/>
      </w:pPr>
      <w:r>
        <w:lastRenderedPageBreak/>
        <w:t>California</w:t>
      </w:r>
      <w:r w:rsidR="00893D67">
        <w:t>’</w:t>
      </w:r>
      <w:r>
        <w:t>s Constitution specifically extends the Commission</w:t>
      </w:r>
      <w:r w:rsidR="00893D67">
        <w:t>’</w:t>
      </w:r>
      <w:r>
        <w:t xml:space="preserve">s jurisdiction to companies engaged in </w:t>
      </w:r>
      <w:r w:rsidR="00893D67">
        <w:t>“</w:t>
      </w:r>
      <w:r>
        <w:t>the transmission of telephone and telegraph messages.</w:t>
      </w:r>
      <w:r w:rsidR="00893D67">
        <w:t>”</w:t>
      </w:r>
      <w:r>
        <w:rPr>
          <w:rStyle w:val="FootnoteReference"/>
        </w:rPr>
        <w:footnoteReference w:id="32"/>
      </w:r>
      <w:r w:rsidR="007E6340">
        <w:t xml:space="preserve"> </w:t>
      </w:r>
      <w:r w:rsidRPr="00B022C4" w:rsidR="00B022C4">
        <w:t>The California Supreme Court has found that if a service is offered “for the transmission of telephone messages” or “in connection with and to facilitate communication by telephone” the provider is engaged in the public utility telephone business and “[a]s such its services, property, and charges are subject to the recognized supervision of the commission.”</w:t>
      </w:r>
      <w:r w:rsidRPr="00B022C4" w:rsidR="00B022C4">
        <w:rPr>
          <w:vertAlign w:val="superscript"/>
        </w:rPr>
        <w:footnoteReference w:id="33"/>
      </w:r>
      <w:r w:rsidRPr="00B022C4" w:rsidR="00B022C4">
        <w:t xml:space="preserve"> </w:t>
      </w:r>
      <w:r w:rsidRPr="001B558C" w:rsidR="001B558C">
        <w:t>The Court took a broad approach to interpreting whether private mobile communications service “facilitates communication by telephone,” citing the definition of “telephony” in the  Encyclopedia Britannica (1954 ed.): ”In a broad sense the term telephone or telephony includes the entire art of speech transmission with the many accessories and operating methods which research, development and invention have supplied to facilitate and extend conversation at a distance by electrical means.”</w:t>
      </w:r>
      <w:r w:rsidRPr="001B558C" w:rsidR="001B558C">
        <w:rPr>
          <w:vertAlign w:val="superscript"/>
        </w:rPr>
        <w:footnoteReference w:id="34"/>
      </w:r>
      <w:r w:rsidRPr="001B558C" w:rsidR="001B558C">
        <w:t xml:space="preserve"> The Court recognized that “[m]any technological improvements in the art of telephony have since been made, including radiotelephony and the instruments used for carrying on conversations at distances greater than the human voice naturally carries” and found that “the exact form or shape of the transmitter and the receiver or the medium over which the communication can be effected is not prescribed by law.”</w:t>
      </w:r>
      <w:r w:rsidRPr="001B558C" w:rsidR="001B558C">
        <w:rPr>
          <w:vertAlign w:val="superscript"/>
        </w:rPr>
        <w:footnoteReference w:id="35"/>
      </w:r>
      <w:r w:rsidRPr="001B558C" w:rsidR="001B558C">
        <w:t xml:space="preserve"> Even though the Court found that the mobile service at issue differed in </w:t>
      </w:r>
      <w:r w:rsidRPr="001B558C" w:rsidR="001B558C">
        <w:lastRenderedPageBreak/>
        <w:t>some respects from land line telephone service, it was nonetheless a telephone service subject to this Commission’s jurisdiction.</w:t>
      </w:r>
    </w:p>
    <w:p w:rsidR="003D56E5" w:rsidP="00AB07F5" w:rsidRDefault="002F3347" w14:paraId="62E9EA59" w14:textId="3D6F720C">
      <w:pPr>
        <w:pStyle w:val="Standard"/>
      </w:pPr>
      <w:r>
        <w:t>Applying the Court’s logic,</w:t>
      </w:r>
      <w:r w:rsidR="00AB07F5">
        <w:t xml:space="preserve"> </w:t>
      </w:r>
      <w:r w:rsidR="00AA7405">
        <w:t xml:space="preserve">voice </w:t>
      </w:r>
      <w:r w:rsidR="00AB07F5">
        <w:t>services</w:t>
      </w:r>
      <w:r>
        <w:t>,</w:t>
      </w:r>
      <w:r w:rsidR="00AB07F5">
        <w:t xml:space="preserve"> delivered over any technology, including but not limited to, traditional copper lines, coaxial cable, fiber optic cable, and mobile or fixed wireless radios</w:t>
      </w:r>
      <w:r w:rsidR="00123AE4">
        <w:t xml:space="preserve">, </w:t>
      </w:r>
      <w:r w:rsidRPr="00123AE4" w:rsidR="00123AE4">
        <w:t>would be telephone services subject to CPUC jurisdiction</w:t>
      </w:r>
      <w:r w:rsidR="00AB07F5">
        <w:t>.</w:t>
      </w:r>
      <w:r w:rsidR="00AB07F5">
        <w:rPr>
          <w:rStyle w:val="FootnoteReference"/>
        </w:rPr>
        <w:footnoteReference w:id="36"/>
      </w:r>
      <w:r w:rsidR="00325C3A">
        <w:t xml:space="preserve"> </w:t>
      </w:r>
      <w:r w:rsidR="00401EAE">
        <w:t>Thus, c</w:t>
      </w:r>
      <w:r w:rsidRPr="00AF73AC" w:rsidR="00AF73AC">
        <w:t>onsistent with statutory, court, and Commission authority,</w:t>
      </w:r>
      <w:r w:rsidR="00AF73AC">
        <w:t xml:space="preserve"> w</w:t>
      </w:r>
      <w:r w:rsidR="00AB07F5">
        <w:t xml:space="preserve">e have found that </w:t>
      </w:r>
      <w:r w:rsidR="00893D67">
        <w:t>“</w:t>
      </w:r>
      <w:r w:rsidR="00AB07F5">
        <w:t>[w]</w:t>
      </w:r>
      <w:proofErr w:type="spellStart"/>
      <w:r w:rsidR="00AB07F5">
        <w:t>ireless</w:t>
      </w:r>
      <w:proofErr w:type="spellEnd"/>
      <w:r w:rsidR="00AB07F5">
        <w:t xml:space="preserve"> service and VoIP service both facilitate two</w:t>
      </w:r>
      <w:r w:rsidR="006951D5">
        <w:noBreakHyphen/>
      </w:r>
      <w:r w:rsidR="00AB07F5">
        <w:t>way communication by speaking as well as by listening</w:t>
      </w:r>
      <w:r w:rsidR="00893D67">
        <w:t>”</w:t>
      </w:r>
      <w:r w:rsidR="00401EAE">
        <w:t xml:space="preserve"> and are services we have authority to regulate.</w:t>
      </w:r>
      <w:r w:rsidR="00AB07F5">
        <w:rPr>
          <w:rStyle w:val="FootnoteReference"/>
        </w:rPr>
        <w:footnoteReference w:id="37"/>
      </w:r>
      <w:r w:rsidR="00401EAE">
        <w:t xml:space="preserve"> </w:t>
      </w:r>
      <w:r w:rsidRPr="00401EAE" w:rsidR="00401EAE">
        <w:t>The definition of “VoIP” in Section 239 supports this conclusion.</w:t>
      </w:r>
    </w:p>
    <w:p w:rsidR="003D56E5" w:rsidP="00AB07F5" w:rsidRDefault="0033191D" w14:paraId="49B24C92" w14:textId="57CA9CAE">
      <w:pPr>
        <w:pStyle w:val="Standard"/>
      </w:pPr>
      <w:r>
        <w:t>Section </w:t>
      </w:r>
      <w:r w:rsidR="00AB07F5">
        <w:t xml:space="preserve">239 defines VoIP as a </w:t>
      </w:r>
      <w:r w:rsidR="00893D67">
        <w:t>“</w:t>
      </w:r>
      <w:r w:rsidR="00AB07F5">
        <w:t>voice communications service that does all of the following</w:t>
      </w:r>
      <w:r w:rsidR="004E3961">
        <w:t xml:space="preserve">:  </w:t>
      </w:r>
      <w:r w:rsidR="00AB07F5">
        <w:t>(</w:t>
      </w:r>
      <w:r w:rsidR="00E2639E">
        <w:t>1</w:t>
      </w:r>
      <w:r w:rsidR="00AB07F5">
        <w:t>)</w:t>
      </w:r>
      <w:r w:rsidR="00325C3A">
        <w:t> </w:t>
      </w:r>
      <w:r w:rsidR="00AB07F5">
        <w:t>Uses Internet Protocol or a successor protocol to enable real</w:t>
      </w:r>
      <w:r w:rsidR="006951D5">
        <w:noBreakHyphen/>
      </w:r>
      <w:r w:rsidR="00AB07F5">
        <w:t>time, two</w:t>
      </w:r>
      <w:r w:rsidR="006951D5">
        <w:noBreakHyphen/>
      </w:r>
      <w:r w:rsidR="00AB07F5">
        <w:t>way, voice communication that originates from, or terminates at, the user</w:t>
      </w:r>
      <w:r w:rsidR="00893D67">
        <w:t>’</w:t>
      </w:r>
      <w:r w:rsidR="00AB07F5">
        <w:t>s location in Internet Protocol or a successor protocol</w:t>
      </w:r>
      <w:r w:rsidR="00E2639E">
        <w:t xml:space="preserve">; </w:t>
      </w:r>
      <w:r w:rsidR="00AB07F5">
        <w:t>(</w:t>
      </w:r>
      <w:r w:rsidR="00E2639E">
        <w:t>2</w:t>
      </w:r>
      <w:r w:rsidR="00AB07F5">
        <w:t>)</w:t>
      </w:r>
      <w:r w:rsidR="00325C3A">
        <w:t> </w:t>
      </w:r>
      <w:r w:rsidR="00AB07F5">
        <w:t>Requires a broadband connection from the user</w:t>
      </w:r>
      <w:r w:rsidR="00893D67">
        <w:t>’</w:t>
      </w:r>
      <w:r w:rsidR="00AB07F5">
        <w:t>s location</w:t>
      </w:r>
      <w:r w:rsidR="006043A9">
        <w:t>; and</w:t>
      </w:r>
      <w:r w:rsidR="007E6340">
        <w:t xml:space="preserve"> </w:t>
      </w:r>
      <w:r w:rsidR="00AB07F5">
        <w:t>(</w:t>
      </w:r>
      <w:r w:rsidR="00E2639E">
        <w:t>3</w:t>
      </w:r>
      <w:r w:rsidR="00AB07F5">
        <w:t>)</w:t>
      </w:r>
      <w:r w:rsidR="00325C3A">
        <w:t> </w:t>
      </w:r>
      <w:r w:rsidR="00AB07F5">
        <w:t>Permits a user generally to receive a call that originates on the public switched telephone network (PSTN) and to terminate a call to the public switched network.</w:t>
      </w:r>
      <w:r w:rsidR="00893D67">
        <w:t>”</w:t>
      </w:r>
      <w:r w:rsidR="00AB07F5">
        <w:rPr>
          <w:rStyle w:val="FootnoteReference"/>
        </w:rPr>
        <w:footnoteReference w:id="38"/>
      </w:r>
      <w:r w:rsidR="00CA3A3B">
        <w:t xml:space="preserve"> </w:t>
      </w:r>
      <w:r w:rsidR="00D769A8">
        <w:t>Internet Protocol (</w:t>
      </w:r>
      <w:r w:rsidR="00AB07F5">
        <w:t>IP</w:t>
      </w:r>
      <w:r w:rsidR="00D769A8">
        <w:t>)</w:t>
      </w:r>
      <w:r w:rsidR="00AB07F5">
        <w:t xml:space="preserve"> enabled service means </w:t>
      </w:r>
      <w:r w:rsidR="00893D67">
        <w:t>“</w:t>
      </w:r>
      <w:r w:rsidR="00AB07F5">
        <w:t xml:space="preserve">any service capability, functionality, or application using </w:t>
      </w:r>
      <w:r w:rsidR="00E2726E">
        <w:t>[IP]</w:t>
      </w:r>
      <w:r w:rsidR="00AB07F5">
        <w:t xml:space="preserve">, or any successor </w:t>
      </w:r>
      <w:r w:rsidR="00E2726E">
        <w:t>[IP]</w:t>
      </w:r>
      <w:r w:rsidR="00AB07F5">
        <w:t xml:space="preserve">, that enables an end user to send or receive a </w:t>
      </w:r>
      <w:r w:rsidR="00AB07F5">
        <w:lastRenderedPageBreak/>
        <w:t>communication in existing Internet Protocol format, or any successor Internet Protocol format through a broadband connection, regardless of whether the communication is voice, data, or video.</w:t>
      </w:r>
      <w:r w:rsidR="00893D67">
        <w:t>”</w:t>
      </w:r>
      <w:r w:rsidR="00AB07F5">
        <w:rPr>
          <w:rStyle w:val="FootnoteReference"/>
        </w:rPr>
        <w:footnoteReference w:id="39"/>
      </w:r>
      <w:r w:rsidR="00CA3A3B">
        <w:t xml:space="preserve"> </w:t>
      </w:r>
      <w:r w:rsidR="00AB07F5">
        <w:t xml:space="preserve">The ability to both originate a call to and terminate a call from the PSTN is what makes VoIP service </w:t>
      </w:r>
      <w:r w:rsidR="00893D67">
        <w:t>“</w:t>
      </w:r>
      <w:r w:rsidR="00AB07F5">
        <w:t>interconnected.</w:t>
      </w:r>
      <w:r w:rsidR="00893D67">
        <w:t>”</w:t>
      </w:r>
      <w:r w:rsidR="00AB07F5">
        <w:rPr>
          <w:rStyle w:val="FootnoteReference"/>
        </w:rPr>
        <w:footnoteReference w:id="40"/>
      </w:r>
      <w:r w:rsidR="000F222F">
        <w:t xml:space="preserve"> </w:t>
      </w:r>
      <w:r w:rsidRPr="000F222F" w:rsidR="000F222F">
        <w:t xml:space="preserve">To the end-use customer, this voice service serves the same functionality as voice service provided by </w:t>
      </w:r>
      <w:r w:rsidR="00A96BD6">
        <w:t>other wireline</w:t>
      </w:r>
      <w:r w:rsidRPr="000F222F" w:rsidR="000F222F">
        <w:t xml:space="preserve"> or wireless telephone corporations – to make and receive phone calls.</w:t>
      </w:r>
    </w:p>
    <w:p w:rsidR="00944A8B" w:rsidP="00AB07F5" w:rsidRDefault="00AB07F5" w14:paraId="05558FC1" w14:textId="77777777">
      <w:pPr>
        <w:pStyle w:val="Standard"/>
      </w:pPr>
      <w:r>
        <w:t>The Commission has repeatedly found that it has jurisdiction over interconnected VoIP service providers as public utility telephone corporations pursuant to California law.</w:t>
      </w:r>
      <w:r>
        <w:rPr>
          <w:rStyle w:val="FootnoteReference"/>
        </w:rPr>
        <w:footnoteReference w:id="41"/>
      </w:r>
      <w:r w:rsidR="00CA3A3B">
        <w:t xml:space="preserve"> </w:t>
      </w:r>
      <w:r>
        <w:t xml:space="preserve">As we have explained, </w:t>
      </w:r>
      <w:r w:rsidR="00893D67">
        <w:t>“</w:t>
      </w:r>
      <w:r>
        <w:t xml:space="preserve">[b]y its very terms, </w:t>
      </w:r>
      <w:r w:rsidR="0033191D">
        <w:t>Section </w:t>
      </w:r>
      <w:r>
        <w:t xml:space="preserve">239 demonstrates that VoIP service constitutes a service that is provided over a </w:t>
      </w:r>
      <w:r w:rsidR="00893D67">
        <w:t>‘</w:t>
      </w:r>
      <w:r>
        <w:t>telephone line</w:t>
      </w:r>
      <w:r w:rsidR="00893D67">
        <w:t>’</w:t>
      </w:r>
      <w:r>
        <w:t xml:space="preserve"> because it </w:t>
      </w:r>
      <w:r w:rsidR="00893D67">
        <w:t>‘</w:t>
      </w:r>
      <w:r>
        <w:t>facilitates communication by telephone, whether such communication is had with or without the use of transmission wires.</w:t>
      </w:r>
      <w:r w:rsidR="00893D67">
        <w:t>’“</w:t>
      </w:r>
      <w:r>
        <w:rPr>
          <w:rStyle w:val="FootnoteReference"/>
        </w:rPr>
        <w:footnoteReference w:id="42"/>
      </w:r>
      <w:r w:rsidR="00CA3A3B">
        <w:t xml:space="preserve"> </w:t>
      </w:r>
      <w:r>
        <w:t xml:space="preserve">Specifically, </w:t>
      </w:r>
      <w:r w:rsidR="000263D6">
        <w:t>interconnected VoIP</w:t>
      </w:r>
      <w:r>
        <w:t xml:space="preserve"> service facilit</w:t>
      </w:r>
      <w:r w:rsidR="001D5D41">
        <w:t>ates</w:t>
      </w:r>
      <w:r>
        <w:t xml:space="preserve"> communication by telephone because it </w:t>
      </w:r>
      <w:r w:rsidR="00893D67">
        <w:t>“</w:t>
      </w:r>
      <w:r>
        <w:t>enable[s] real</w:t>
      </w:r>
      <w:r w:rsidR="006951D5">
        <w:noBreakHyphen/>
      </w:r>
      <w:r>
        <w:t>time, two</w:t>
      </w:r>
      <w:r w:rsidR="006951D5">
        <w:noBreakHyphen/>
      </w:r>
      <w:r>
        <w:t>way, voice communication that originates from, or terminates at, the user</w:t>
      </w:r>
      <w:r w:rsidR="00893D67">
        <w:t>’</w:t>
      </w:r>
      <w:r>
        <w:t>s location in Internet Protocol or a successor protocol.</w:t>
      </w:r>
      <w:r w:rsidR="00893D67">
        <w:t>”</w:t>
      </w:r>
      <w:r w:rsidR="00CA3A3B">
        <w:t xml:space="preserve"> </w:t>
      </w:r>
      <w:r>
        <w:t xml:space="preserve">Moreover, </w:t>
      </w:r>
      <w:r w:rsidR="00893D67">
        <w:t>“</w:t>
      </w:r>
      <w:r>
        <w:t>the means by which a telephone corporation provides service</w:t>
      </w:r>
      <w:r w:rsidR="00045963">
        <w:t xml:space="preserve"> — </w:t>
      </w:r>
      <w:r>
        <w:t>analog, wireless technology or Internet protocol (IP) technology</w:t>
      </w:r>
      <w:r w:rsidR="00045963">
        <w:t xml:space="preserve"> — </w:t>
      </w:r>
      <w:r>
        <w:t xml:space="preserve">does not affect whether the provider is a public utility telephone </w:t>
      </w:r>
      <w:r>
        <w:lastRenderedPageBreak/>
        <w:t>corporation.</w:t>
      </w:r>
      <w:r w:rsidR="00893D67">
        <w:t>”</w:t>
      </w:r>
      <w:r>
        <w:rPr>
          <w:rStyle w:val="FootnoteReference"/>
        </w:rPr>
        <w:footnoteReference w:id="43"/>
      </w:r>
      <w:r w:rsidR="00CA3A3B">
        <w:t xml:space="preserve"> </w:t>
      </w:r>
      <w:r>
        <w:t xml:space="preserve">In other words, </w:t>
      </w:r>
      <w:r w:rsidR="00893D67">
        <w:t>“</w:t>
      </w:r>
      <w:r>
        <w:t xml:space="preserve">the fact that VoIP service requires a broadband connection is immaterial to the analysis here; utilizing a broadband connection does not exclude a service from being provided over a </w:t>
      </w:r>
      <w:r w:rsidR="00893D67">
        <w:t>‘</w:t>
      </w:r>
      <w:r>
        <w:t>telephone line</w:t>
      </w:r>
      <w:r w:rsidR="00893D67">
        <w:t>’</w:t>
      </w:r>
      <w:r>
        <w:t xml:space="preserve"> as defined in </w:t>
      </w:r>
      <w:r w:rsidR="0033191D">
        <w:t>Section </w:t>
      </w:r>
      <w:r>
        <w:t>233.</w:t>
      </w:r>
      <w:r w:rsidR="00893D67">
        <w:t>”</w:t>
      </w:r>
      <w:r>
        <w:rPr>
          <w:rStyle w:val="FootnoteReference"/>
        </w:rPr>
        <w:footnoteReference w:id="44"/>
      </w:r>
      <w:r w:rsidR="00CA3A3B">
        <w:t xml:space="preserve"> </w:t>
      </w:r>
    </w:p>
    <w:p w:rsidR="00E25314" w:rsidP="00E25314" w:rsidRDefault="00360DE0" w14:paraId="7920ADF9" w14:textId="3842904C">
      <w:pPr>
        <w:pStyle w:val="Standard"/>
      </w:pPr>
      <w:r w:rsidRPr="00360DE0">
        <w:t xml:space="preserve">We reject </w:t>
      </w:r>
      <w:r>
        <w:t>parties</w:t>
      </w:r>
      <w:r w:rsidRPr="00360DE0">
        <w:t xml:space="preserve">’ unfounded arguments in this proceeding </w:t>
      </w:r>
      <w:r w:rsidRPr="00B60CDE" w:rsidR="00B60CDE">
        <w:t>claiming that their voice service, which serves the same telephony functionality as other wireline and wireless voice services, somehow does not involve their direct or indirect control or use of telephone lines.</w:t>
      </w:r>
      <w:r w:rsidRPr="00B60CDE" w:rsidR="00B60CDE">
        <w:rPr>
          <w:vertAlign w:val="superscript"/>
        </w:rPr>
        <w:footnoteReference w:id="45"/>
      </w:r>
      <w:r w:rsidRPr="00B60CDE" w:rsidR="00B60CDE">
        <w:t xml:space="preserve"> All of these voice providers are in the public utility telephone business and we find no reasonable basis to find otherwise.</w:t>
      </w:r>
      <w:r w:rsidRPr="00360DE0">
        <w:t xml:space="preserve"> </w:t>
      </w:r>
    </w:p>
    <w:p w:rsidR="00A96B31" w:rsidP="00E25314" w:rsidRDefault="00AB07F5" w14:paraId="22DFB6C4" w14:textId="23F495B9">
      <w:pPr>
        <w:pStyle w:val="Standard"/>
      </w:pPr>
      <w:r>
        <w:t xml:space="preserve">Thus, as </w:t>
      </w:r>
      <w:r w:rsidR="00893D67">
        <w:t>“</w:t>
      </w:r>
      <w:r>
        <w:t>telephone corporations,</w:t>
      </w:r>
      <w:r w:rsidR="00893D67">
        <w:t>”</w:t>
      </w:r>
      <w:r>
        <w:t xml:space="preserve"> interconnected VoIP service providers are subject to laws and regulations applicable to other wireline and wireless telephone corporations, unless otherwise exempt by the CPUC, state law, or federal law, as discussed further below.</w:t>
      </w:r>
    </w:p>
    <w:p w:rsidR="0054270D" w:rsidP="000A2CD0" w:rsidRDefault="0054270D" w14:paraId="2E24A74D" w14:textId="2879AAEB">
      <w:pPr>
        <w:pStyle w:val="Heading2"/>
      </w:pPr>
      <w:bookmarkStart w:name="_Toc176770932" w:id="46"/>
      <w:bookmarkStart w:name="_Toc177021130" w:id="47"/>
      <w:bookmarkStart w:name="_Toc181692879" w:id="48"/>
      <w:r>
        <w:t xml:space="preserve">Market Entry Requirements Applicable to Interconnected </w:t>
      </w:r>
      <w:r w:rsidRPr="009D389C" w:rsidR="009D389C">
        <w:t xml:space="preserve">Voice </w:t>
      </w:r>
      <w:r w:rsidRPr="009D389C" w:rsidR="00A9206A">
        <w:t>Over</w:t>
      </w:r>
      <w:r w:rsidRPr="009D389C" w:rsidR="009D389C">
        <w:t xml:space="preserve"> Internet Protocol</w:t>
      </w:r>
      <w:r w:rsidR="005A60E3">
        <w:t xml:space="preserve"> Service</w:t>
      </w:r>
      <w:r>
        <w:t xml:space="preserve"> Providers</w:t>
      </w:r>
      <w:bookmarkEnd w:id="46"/>
      <w:bookmarkEnd w:id="47"/>
      <w:bookmarkEnd w:id="48"/>
    </w:p>
    <w:p w:rsidR="00AB07F5" w:rsidP="00AB07F5" w:rsidRDefault="00AB07F5" w14:paraId="38CFE9C4" w14:textId="77770CD3">
      <w:pPr>
        <w:pStyle w:val="Standard"/>
      </w:pPr>
      <w:r>
        <w:t xml:space="preserve">Telephone corporations operating in California shall either have a CPCN pursuant to </w:t>
      </w:r>
      <w:r w:rsidR="0033191D">
        <w:t>Section </w:t>
      </w:r>
      <w:r>
        <w:t xml:space="preserve">1001, be registered pursuant to </w:t>
      </w:r>
      <w:r w:rsidR="0033191D">
        <w:t>Section </w:t>
      </w:r>
      <w:r>
        <w:t>1013, or be a telephone corporation authorized to operate in California without a CPCN</w:t>
      </w:r>
      <w:r w:rsidR="00F50554">
        <w:t>, unless otherwise preempted</w:t>
      </w:r>
      <w:r w:rsidR="000D32EA">
        <w:t xml:space="preserve"> by federal law</w:t>
      </w:r>
      <w:r>
        <w:t>.</w:t>
      </w:r>
      <w:r>
        <w:rPr>
          <w:rStyle w:val="FootnoteReference"/>
        </w:rPr>
        <w:footnoteReference w:id="46"/>
      </w:r>
      <w:r w:rsidR="00CA3A3B">
        <w:t xml:space="preserve"> </w:t>
      </w:r>
      <w:r w:rsidR="00D769A8">
        <w:t>This includes providers of voice service</w:t>
      </w:r>
      <w:r w:rsidR="00F7691F">
        <w:t>, who are required to obtain a CPCN i</w:t>
      </w:r>
      <w:r w:rsidR="00E7204A">
        <w:t>f</w:t>
      </w:r>
      <w:r w:rsidR="00F7691F">
        <w:t xml:space="preserve"> they </w:t>
      </w:r>
      <w:r w:rsidR="00E7204A">
        <w:t>build</w:t>
      </w:r>
      <w:r w:rsidR="00F7691F">
        <w:t xml:space="preserve"> facilities or</w:t>
      </w:r>
      <w:r w:rsidR="00E7204A">
        <w:t xml:space="preserve"> are required to obtain </w:t>
      </w:r>
      <w:r w:rsidR="00F7691F">
        <w:t xml:space="preserve">a </w:t>
      </w:r>
      <w:r w:rsidR="002043BE">
        <w:t>Section</w:t>
      </w:r>
      <w:r w:rsidR="00844EAF">
        <w:t> </w:t>
      </w:r>
      <w:r w:rsidR="00E7204A">
        <w:t xml:space="preserve">1013 </w:t>
      </w:r>
      <w:r w:rsidR="00F7691F">
        <w:t xml:space="preserve">registration if they </w:t>
      </w:r>
      <w:r w:rsidR="00E7204A">
        <w:t xml:space="preserve">do not build </w:t>
      </w:r>
      <w:r w:rsidR="00F7691F">
        <w:t>facilities</w:t>
      </w:r>
      <w:r w:rsidR="00D769A8">
        <w:t xml:space="preserve">. However, </w:t>
      </w:r>
      <w:r w:rsidR="00D769A8">
        <w:lastRenderedPageBreak/>
        <w:t>t</w:t>
      </w:r>
      <w:r>
        <w:t>elephone corporations providing commercial mobile radio service</w:t>
      </w:r>
      <w:r w:rsidR="0056046B">
        <w:t xml:space="preserve"> (CMRS)</w:t>
      </w:r>
      <w:r>
        <w:t xml:space="preserve"> (wireless service) are not required to obtain a CPCN or register pursuant to </w:t>
      </w:r>
      <w:r w:rsidR="002043BE">
        <w:t>Section </w:t>
      </w:r>
      <w:r>
        <w:t>1013 in order to operate in California.</w:t>
      </w:r>
      <w:r>
        <w:rPr>
          <w:rStyle w:val="FootnoteReference"/>
        </w:rPr>
        <w:footnoteReference w:id="47"/>
      </w:r>
      <w:r w:rsidR="00CA3A3B">
        <w:t xml:space="preserve"> </w:t>
      </w:r>
      <w:r>
        <w:t xml:space="preserve">Instead, the Commission requires wireless </w:t>
      </w:r>
      <w:r w:rsidR="00A43960">
        <w:t>service provider</w:t>
      </w:r>
      <w:r>
        <w:t>s to register with the Commission pursuant to its WIR process.</w:t>
      </w:r>
      <w:r w:rsidRPr="009F2838" w:rsidR="00A537B1">
        <w:rPr>
          <w:rStyle w:val="FootnoteReference"/>
        </w:rPr>
        <w:footnoteReference w:id="48"/>
      </w:r>
    </w:p>
    <w:p w:rsidR="00AB07F5" w:rsidP="00AB07F5" w:rsidRDefault="00AB07F5" w14:paraId="1B47E1CB" w14:textId="3FD91BF5">
      <w:pPr>
        <w:pStyle w:val="Standard"/>
      </w:pPr>
      <w:r>
        <w:t xml:space="preserve">Whether interconnected VoIP service providers must obtain a CPCN, register pursuant to </w:t>
      </w:r>
      <w:r w:rsidR="0033191D">
        <w:t>Section </w:t>
      </w:r>
      <w:r>
        <w:t xml:space="preserve">1013, or follow some other process determined by the </w:t>
      </w:r>
      <w:r w:rsidR="00BB0ACF">
        <w:t>Commission</w:t>
      </w:r>
      <w:r>
        <w:t xml:space="preserve"> in order to operate in California depends on whether the interconnected VoIP service is </w:t>
      </w:r>
      <w:r w:rsidR="007D01D2">
        <w:t>“</w:t>
      </w:r>
      <w:r>
        <w:t>fixed</w:t>
      </w:r>
      <w:r w:rsidR="007D01D2">
        <w:t>”</w:t>
      </w:r>
      <w:r>
        <w:t xml:space="preserve"> or </w:t>
      </w:r>
      <w:r w:rsidR="007D01D2">
        <w:t>“</w:t>
      </w:r>
      <w:r>
        <w:t>nomadic</w:t>
      </w:r>
      <w:r w:rsidR="00A11567">
        <w:t>,</w:t>
      </w:r>
      <w:r w:rsidRPr="00A11567" w:rsidR="00A11567">
        <w:t>”</w:t>
      </w:r>
      <w:r w:rsidR="00A11567">
        <w:t xml:space="preserve"> </w:t>
      </w:r>
      <w:r w:rsidRPr="00A11567" w:rsidR="00A11567">
        <w:t>terms which have generally been applied by the FCC in the context of regulatory obligations defined at the federal level for interconnected VoIP service.</w:t>
      </w:r>
      <w:r w:rsidRPr="00A11567" w:rsidR="00A11567">
        <w:rPr>
          <w:vertAlign w:val="superscript"/>
        </w:rPr>
        <w:footnoteReference w:id="49"/>
      </w:r>
      <w:r w:rsidRPr="00A11567" w:rsidR="00A11567">
        <w:t xml:space="preserve"> Despite both services facilitating voice communications, the FCC’s 2004 Vonage Order requires us to make this distinction for state licensing purposes.</w:t>
      </w:r>
      <w:r w:rsidR="00A11567">
        <w:t xml:space="preserve"> </w:t>
      </w:r>
      <w:r>
        <w:t>We address the C</w:t>
      </w:r>
      <w:r w:rsidR="00EF11F9">
        <w:t>ommission</w:t>
      </w:r>
      <w:r w:rsidR="00893D67">
        <w:t>’</w:t>
      </w:r>
      <w:r>
        <w:t>s jurisdiction over each type of interconnected VoIP service below</w:t>
      </w:r>
      <w:r w:rsidR="00A11567">
        <w:t xml:space="preserve"> </w:t>
      </w:r>
      <w:r w:rsidRPr="00A11567" w:rsidR="00A11567">
        <w:t>and explain what features distinguish one from the other for the Interconnected VoIP services framework we establish in this decision</w:t>
      </w:r>
      <w:r>
        <w:t>.</w:t>
      </w:r>
    </w:p>
    <w:p w:rsidR="003D56E5" w:rsidP="00AB07F5" w:rsidRDefault="00AB07F5" w14:paraId="088E2FC1" w14:textId="7536FA21">
      <w:pPr>
        <w:pStyle w:val="Standard"/>
      </w:pPr>
      <w:r w:rsidRPr="005838DE">
        <w:rPr>
          <w:b/>
          <w:bCs/>
          <w:i/>
          <w:iCs/>
        </w:rPr>
        <w:t>Nomadic</w:t>
      </w:r>
      <w:r w:rsidR="00A11567">
        <w:rPr>
          <w:b/>
          <w:bCs/>
          <w:i/>
          <w:iCs/>
        </w:rPr>
        <w:t>-Only</w:t>
      </w:r>
      <w:r w:rsidRPr="005838DE">
        <w:rPr>
          <w:b/>
          <w:bCs/>
          <w:i/>
          <w:iCs/>
        </w:rPr>
        <w:t xml:space="preserve"> </w:t>
      </w:r>
      <w:r w:rsidRPr="005838DE" w:rsidR="00A505E8">
        <w:rPr>
          <w:b/>
          <w:bCs/>
          <w:i/>
          <w:iCs/>
        </w:rPr>
        <w:t xml:space="preserve">Interconnected </w:t>
      </w:r>
      <w:r w:rsidRPr="005838DE">
        <w:rPr>
          <w:b/>
          <w:bCs/>
          <w:i/>
          <w:iCs/>
        </w:rPr>
        <w:t xml:space="preserve">VoIP </w:t>
      </w:r>
      <w:r w:rsidRPr="005838DE" w:rsidR="00A505E8">
        <w:rPr>
          <w:b/>
          <w:bCs/>
          <w:i/>
          <w:iCs/>
        </w:rPr>
        <w:t>Service</w:t>
      </w:r>
      <w:r w:rsidRPr="005838DE">
        <w:rPr>
          <w:b/>
          <w:bCs/>
          <w:i/>
          <w:iCs/>
        </w:rPr>
        <w:t>.</w:t>
      </w:r>
      <w:r w:rsidR="00CA3A3B">
        <w:t xml:space="preserve"> </w:t>
      </w:r>
      <w:r>
        <w:t xml:space="preserve">The </w:t>
      </w:r>
      <w:r w:rsidR="00A537B1">
        <w:t>Commission</w:t>
      </w:r>
      <w:r w:rsidR="00893D67">
        <w:t>’</w:t>
      </w:r>
      <w:r w:rsidR="00A537B1">
        <w:t>s</w:t>
      </w:r>
      <w:r>
        <w:t xml:space="preserve"> authority to regulate </w:t>
      </w:r>
      <w:r w:rsidR="007758F3">
        <w:t xml:space="preserve">those </w:t>
      </w:r>
      <w:r w:rsidR="003B7DC2">
        <w:t xml:space="preserve">telephone corporations offering only </w:t>
      </w:r>
      <w:r>
        <w:t>nomadic interconnected VoIP service</w:t>
      </w:r>
      <w:r w:rsidDel="00B06F82">
        <w:t xml:space="preserve"> </w:t>
      </w:r>
      <w:r>
        <w:t>has been limited by a 200</w:t>
      </w:r>
      <w:r w:rsidR="007A588A">
        <w:t>4 FCC</w:t>
      </w:r>
      <w:r>
        <w:t xml:space="preserve"> Order, </w:t>
      </w:r>
      <w:r w:rsidRPr="00E673F3">
        <w:rPr>
          <w:i/>
          <w:iCs/>
        </w:rPr>
        <w:t>In</w:t>
      </w:r>
      <w:r>
        <w:t xml:space="preserve"> </w:t>
      </w:r>
      <w:r w:rsidRPr="00E673F3">
        <w:rPr>
          <w:i/>
          <w:iCs/>
        </w:rPr>
        <w:t>Re the</w:t>
      </w:r>
      <w:r>
        <w:t xml:space="preserve"> </w:t>
      </w:r>
      <w:r w:rsidRPr="00E673F3">
        <w:rPr>
          <w:i/>
          <w:iCs/>
        </w:rPr>
        <w:t>Matter of Vonage</w:t>
      </w:r>
      <w:r>
        <w:rPr>
          <w:i/>
          <w:iCs/>
        </w:rPr>
        <w:t xml:space="preserve"> </w:t>
      </w:r>
      <w:r w:rsidRPr="00E673F3">
        <w:rPr>
          <w:i/>
          <w:iCs/>
        </w:rPr>
        <w:t>Holdings Corporation</w:t>
      </w:r>
      <w:r w:rsidR="00893D67">
        <w:rPr>
          <w:i/>
          <w:iCs/>
        </w:rPr>
        <w:t>’</w:t>
      </w:r>
      <w:r w:rsidRPr="00E673F3">
        <w:rPr>
          <w:i/>
          <w:iCs/>
        </w:rPr>
        <w:t>s Petition for Declaratory Ruling Concerning an Order of the</w:t>
      </w:r>
      <w:r>
        <w:rPr>
          <w:i/>
          <w:iCs/>
        </w:rPr>
        <w:t xml:space="preserve"> </w:t>
      </w:r>
      <w:r w:rsidRPr="00E673F3">
        <w:rPr>
          <w:i/>
          <w:iCs/>
        </w:rPr>
        <w:t xml:space="preserve">Minnesota </w:t>
      </w:r>
      <w:r w:rsidR="007E4707">
        <w:rPr>
          <w:i/>
          <w:iCs/>
        </w:rPr>
        <w:t>Public Utilities</w:t>
      </w:r>
      <w:r w:rsidRPr="00E673F3">
        <w:rPr>
          <w:i/>
          <w:iCs/>
        </w:rPr>
        <w:t xml:space="preserve"> Commission</w:t>
      </w:r>
      <w:r>
        <w:t xml:space="preserve"> (Vonage Order</w:t>
      </w:r>
      <w:r w:rsidR="00CF1ACB">
        <w:t>) (</w:t>
      </w:r>
      <w:r>
        <w:t xml:space="preserve">WC Docket </w:t>
      </w:r>
      <w:r w:rsidR="00536209">
        <w:t>No. </w:t>
      </w:r>
      <w:r>
        <w:t>03</w:t>
      </w:r>
      <w:r w:rsidR="006951D5">
        <w:noBreakHyphen/>
      </w:r>
      <w:r>
        <w:t xml:space="preserve">211) </w:t>
      </w:r>
      <w:r>
        <w:lastRenderedPageBreak/>
        <w:t>(2004) 1</w:t>
      </w:r>
      <w:r w:rsidR="007A588A">
        <w:t>9 FCC</w:t>
      </w:r>
      <w:r>
        <w:t xml:space="preserve"> </w:t>
      </w:r>
      <w:proofErr w:type="spellStart"/>
      <w:r>
        <w:t>Rcd</w:t>
      </w:r>
      <w:proofErr w:type="spellEnd"/>
      <w:r>
        <w:t xml:space="preserve"> 22404.</w:t>
      </w:r>
      <w:r w:rsidR="00CA3A3B">
        <w:t xml:space="preserve"> </w:t>
      </w:r>
      <w:r>
        <w:t>While these nomadic</w:t>
      </w:r>
      <w:r w:rsidR="00A11567">
        <w:t>-only</w:t>
      </w:r>
      <w:r>
        <w:t xml:space="preserve"> interconnected VoIP service providers are telephone corporations under state law, based on market conditions and FCC policy twenty years ago, the FCC preempted states from imposing rate regulation, tariffing, or other requirements that operate as </w:t>
      </w:r>
      <w:r w:rsidR="00893D67">
        <w:t>“</w:t>
      </w:r>
      <w:r>
        <w:t>conditions to entry</w:t>
      </w:r>
      <w:r w:rsidR="00893D67">
        <w:t>”</w:t>
      </w:r>
      <w:r>
        <w:t xml:space="preserve"> for nomadic interconnected VoIP </w:t>
      </w:r>
      <w:r w:rsidR="0081550E">
        <w:t xml:space="preserve">service </w:t>
      </w:r>
      <w:r>
        <w:t>providers.</w:t>
      </w:r>
      <w:r>
        <w:rPr>
          <w:rStyle w:val="FootnoteReference"/>
        </w:rPr>
        <w:footnoteReference w:id="50"/>
      </w:r>
    </w:p>
    <w:p w:rsidR="00AB07F5" w:rsidP="00AB07F5" w:rsidRDefault="00AB07F5" w14:paraId="3B25B10B" w14:textId="06A1E628">
      <w:pPr>
        <w:pStyle w:val="Standard"/>
      </w:pPr>
      <w:r>
        <w:t xml:space="preserve">Specifically, in the </w:t>
      </w:r>
      <w:r w:rsidRPr="005838DE">
        <w:rPr>
          <w:i/>
          <w:iCs/>
        </w:rPr>
        <w:t>Vonage Order</w:t>
      </w:r>
      <w:r>
        <w:t xml:space="preserve"> the FCC preempted the Minnesota </w:t>
      </w:r>
      <w:r w:rsidR="007E4707">
        <w:t>Public Utilities</w:t>
      </w:r>
      <w:r>
        <w:t xml:space="preserve"> Commission from applying its traditional telephone company regulations to Vonage</w:t>
      </w:r>
      <w:r w:rsidR="00893D67">
        <w:t>’</w:t>
      </w:r>
      <w:r>
        <w:t xml:space="preserve">s </w:t>
      </w:r>
      <w:proofErr w:type="spellStart"/>
      <w:r>
        <w:t>DigitalVoice</w:t>
      </w:r>
      <w:proofErr w:type="spellEnd"/>
      <w:r>
        <w:t xml:space="preserve"> service.</w:t>
      </w:r>
      <w:r w:rsidR="00CD0E2A">
        <w:t xml:space="preserve"> </w:t>
      </w:r>
      <w:r>
        <w:t>The FCC found that Vonage</w:t>
      </w:r>
      <w:r w:rsidR="00893D67">
        <w:t>’</w:t>
      </w:r>
      <w:r>
        <w:t xml:space="preserve">s </w:t>
      </w:r>
      <w:proofErr w:type="spellStart"/>
      <w:r>
        <w:t>DigitalVoice</w:t>
      </w:r>
      <w:proofErr w:type="spellEnd"/>
      <w:r>
        <w:t xml:space="preserve"> service resembled the telephone service provided by the circuit</w:t>
      </w:r>
      <w:r w:rsidR="006951D5">
        <w:noBreakHyphen/>
      </w:r>
      <w:r>
        <w:t>switched network, but with some fundamental differences that made it impossible or impracticable to separate the service into interstate or intrastate components.</w:t>
      </w:r>
      <w:r>
        <w:rPr>
          <w:rStyle w:val="FootnoteReference"/>
        </w:rPr>
        <w:footnoteReference w:id="51"/>
      </w:r>
      <w:r w:rsidR="00CD0E2A">
        <w:t xml:space="preserve"> </w:t>
      </w:r>
      <w:r>
        <w:t xml:space="preserve">The FCC identified the basic characteristics of </w:t>
      </w:r>
      <w:r w:rsidR="00444A5B">
        <w:t xml:space="preserve">Vonage’s </w:t>
      </w:r>
      <w:proofErr w:type="spellStart"/>
      <w:r>
        <w:t>DigitalVoice</w:t>
      </w:r>
      <w:proofErr w:type="spellEnd"/>
      <w:r>
        <w:t xml:space="preserve"> as the following:</w:t>
      </w:r>
    </w:p>
    <w:p w:rsidR="00A96B31" w:rsidP="00A96D0F" w:rsidRDefault="00AB07F5" w14:paraId="0751638F" w14:textId="596D1614">
      <w:pPr>
        <w:pStyle w:val="BlockQuoteBullet1"/>
        <w:numPr>
          <w:ilvl w:val="0"/>
          <w:numId w:val="8"/>
        </w:numPr>
        <w:ind w:left="1080"/>
      </w:pPr>
      <w:r w:rsidRPr="007D1FB7">
        <w:t>Access</w:t>
      </w:r>
      <w:r w:rsidR="00045963">
        <w:t xml:space="preserve"> — </w:t>
      </w:r>
      <w:bookmarkStart w:name="_Hlk181602596" w:id="49"/>
      <w:r w:rsidRPr="007D1FB7">
        <w:t>access from any broadband connection</w:t>
      </w:r>
      <w:r w:rsidR="00230D0F">
        <w:t>, location and Internet access provider irrelevant</w:t>
      </w:r>
      <w:bookmarkEnd w:id="49"/>
      <w:r>
        <w:t>;</w:t>
      </w:r>
      <w:r w:rsidR="00230D0F">
        <w:rPr>
          <w:rStyle w:val="FootnoteReference"/>
        </w:rPr>
        <w:footnoteReference w:id="52"/>
      </w:r>
    </w:p>
    <w:p w:rsidRPr="007D1FB7" w:rsidR="00AB07F5" w:rsidP="00A96D0F" w:rsidRDefault="00AB07F5" w14:paraId="4067AA83" w14:textId="496B4CAA">
      <w:pPr>
        <w:pStyle w:val="BlockQuoteBullet1"/>
        <w:numPr>
          <w:ilvl w:val="0"/>
          <w:numId w:val="8"/>
        </w:numPr>
        <w:ind w:left="1080"/>
      </w:pPr>
      <w:r w:rsidRPr="007D1FB7">
        <w:t>Equipment</w:t>
      </w:r>
      <w:r w:rsidR="00045963">
        <w:t xml:space="preserve"> — </w:t>
      </w:r>
      <w:r w:rsidR="006E0CBB">
        <w:t>Specialized Customer Premise Equipment,</w:t>
      </w:r>
      <w:r w:rsidRPr="006E0CBB" w:rsidR="006E0CBB">
        <w:rPr>
          <w:i/>
          <w:iCs/>
        </w:rPr>
        <w:t xml:space="preserve"> e.g.</w:t>
      </w:r>
      <w:r w:rsidRPr="006E0CBB" w:rsidR="006E0CBB">
        <w:t xml:space="preserve"> a personal computer with a microphone and speaker, and software to perform the conversion (softphone);</w:t>
      </w:r>
      <w:r w:rsidRPr="006E0CBB" w:rsidR="006E0CBB">
        <w:rPr>
          <w:vertAlign w:val="superscript"/>
        </w:rPr>
        <w:footnoteReference w:id="53"/>
      </w:r>
      <w:r w:rsidRPr="006E0CBB" w:rsidR="006E0CBB">
        <w:t xml:space="preserve"> </w:t>
      </w:r>
      <w:r w:rsidR="006E0CBB">
        <w:t xml:space="preserve">  </w:t>
      </w:r>
    </w:p>
    <w:p w:rsidR="006E0CBB" w:rsidP="00A96D0F" w:rsidRDefault="006E0CBB" w14:paraId="2E724F9A" w14:textId="3F9C6211">
      <w:pPr>
        <w:pStyle w:val="BlockQuoteBullet1"/>
        <w:numPr>
          <w:ilvl w:val="0"/>
          <w:numId w:val="8"/>
        </w:numPr>
        <w:ind w:left="1080"/>
      </w:pPr>
      <w:r>
        <w:t xml:space="preserve">Integrated capabilities and features, </w:t>
      </w:r>
      <w:r>
        <w:rPr>
          <w:i/>
          <w:iCs/>
        </w:rPr>
        <w:t xml:space="preserve">e.g. </w:t>
      </w:r>
      <w:r>
        <w:t>voicemails, three-way calling, g</w:t>
      </w:r>
      <w:bookmarkStart w:name="_Hlk181603696" w:id="50"/>
      <w:r>
        <w:t xml:space="preserve">eographically </w:t>
      </w:r>
      <w:r w:rsidR="002209F5">
        <w:t>independent phone numbers, etc</w:t>
      </w:r>
      <w:bookmarkEnd w:id="50"/>
      <w:r w:rsidR="002209F5">
        <w:t>.;</w:t>
      </w:r>
      <w:r w:rsidR="002209F5">
        <w:rPr>
          <w:rStyle w:val="FootnoteReference"/>
        </w:rPr>
        <w:footnoteReference w:id="54"/>
      </w:r>
      <w:r w:rsidR="002209F5">
        <w:t xml:space="preserve"> and</w:t>
      </w:r>
      <w:r w:rsidRPr="007D1FB7" w:rsidR="00AB07F5">
        <w:t xml:space="preserve"> </w:t>
      </w:r>
    </w:p>
    <w:p w:rsidR="00AB07F5" w:rsidP="00A96D0F" w:rsidRDefault="00AB07F5" w14:paraId="64052F0A" w14:textId="60415FDF">
      <w:pPr>
        <w:pStyle w:val="BlockQuoteBullet1"/>
        <w:numPr>
          <w:ilvl w:val="0"/>
          <w:numId w:val="8"/>
        </w:numPr>
        <w:ind w:left="1080"/>
      </w:pPr>
      <w:bookmarkStart w:name="_Hlk181598224" w:id="51"/>
      <w:r w:rsidRPr="007D1FB7">
        <w:t>Customer/Call Location</w:t>
      </w:r>
      <w:r w:rsidR="00045963">
        <w:t> </w:t>
      </w:r>
      <w:bookmarkEnd w:id="51"/>
      <w:r w:rsidR="00045963">
        <w:t xml:space="preserve">— </w:t>
      </w:r>
      <w:r w:rsidR="0025366F">
        <w:t xml:space="preserve">Telephone number not necessarily tied to user’s physical location for assignment or use. Call to Vonage number can reach customer </w:t>
      </w:r>
      <w:r w:rsidR="0025366F">
        <w:lastRenderedPageBreak/>
        <w:t>anywhere in the world and does not require the user to remain at a single location</w:t>
      </w:r>
      <w:r w:rsidRPr="007D1FB7">
        <w:t>.</w:t>
      </w:r>
      <w:r>
        <w:rPr>
          <w:rStyle w:val="FootnoteReference"/>
        </w:rPr>
        <w:footnoteReference w:id="55"/>
      </w:r>
    </w:p>
    <w:p w:rsidR="00FC5EF4" w:rsidP="00AB07F5" w:rsidRDefault="0025366F" w14:paraId="7BC6A51F" w14:textId="561893D4">
      <w:pPr>
        <w:pStyle w:val="Standard"/>
      </w:pPr>
      <w:r>
        <w:t>The FCC did not</w:t>
      </w:r>
      <w:r w:rsidR="00AB07F5">
        <w:t xml:space="preserve"> classify Vonage</w:t>
      </w:r>
      <w:r w:rsidR="00893D67">
        <w:t>’</w:t>
      </w:r>
      <w:r w:rsidR="00AB07F5">
        <w:t xml:space="preserve">s </w:t>
      </w:r>
      <w:proofErr w:type="spellStart"/>
      <w:r w:rsidR="00AB07F5">
        <w:t>DigitalVoice</w:t>
      </w:r>
      <w:proofErr w:type="spellEnd"/>
      <w:r w:rsidR="00AB07F5">
        <w:t xml:space="preserve"> service as either a telecommunications or information service</w:t>
      </w:r>
      <w:r w:rsidRPr="0025366F">
        <w:t xml:space="preserve"> under federal law, but distinguished the service from traditional circuit-switched telephony because (a) “it is not relevant where that broadband connection is located” and (b) it is</w:t>
      </w:r>
      <w:r w:rsidR="00AB07F5">
        <w:t xml:space="preserve"> </w:t>
      </w:r>
      <w:r w:rsidR="00893D67">
        <w:t>“</w:t>
      </w:r>
      <w:r w:rsidRPr="00DF028E" w:rsidR="00AB07F5">
        <w:t>fully portable</w:t>
      </w:r>
      <w:r w:rsidR="00893D67">
        <w:t>”</w:t>
      </w:r>
      <w:r w:rsidRPr="00DF028E" w:rsidR="00AB07F5">
        <w:t xml:space="preserve"> </w:t>
      </w:r>
      <w:r w:rsidR="00866FD3">
        <w:t>—</w:t>
      </w:r>
      <w:r w:rsidR="00883793">
        <w:t xml:space="preserve"> </w:t>
      </w:r>
      <w:r w:rsidRPr="00DF028E" w:rsidR="00AB07F5">
        <w:t>customers may use the service anywhere in the world where they can find a broadband connection to the Internet.</w:t>
      </w:r>
      <w:r w:rsidR="00AB07F5">
        <w:rPr>
          <w:rStyle w:val="FootnoteReference"/>
        </w:rPr>
        <w:footnoteReference w:id="56"/>
      </w:r>
      <w:r w:rsidR="00CD0E2A">
        <w:t xml:space="preserve"> </w:t>
      </w:r>
      <w:r w:rsidR="00AB07F5">
        <w:t>In contrast to traditional circuit</w:t>
      </w:r>
      <w:r w:rsidR="006951D5">
        <w:noBreakHyphen/>
      </w:r>
      <w:r w:rsidR="00AB07F5">
        <w:t>switched telephony, while Vonage</w:t>
      </w:r>
      <w:r w:rsidR="00893D67">
        <w:t>’</w:t>
      </w:r>
      <w:r w:rsidR="00AB07F5">
        <w:t>s service uses North American Numbering Plan (NANP) numbers as the identification mechanism for the user</w:t>
      </w:r>
      <w:r w:rsidR="00893D67">
        <w:t>’</w:t>
      </w:r>
      <w:r w:rsidR="00AB07F5">
        <w:t>s Internet address, the NANP number is not necessarily tied to the user</w:t>
      </w:r>
      <w:r w:rsidR="00893D67">
        <w:t>’</w:t>
      </w:r>
      <w:r w:rsidR="00AB07F5">
        <w:t>s physical location for either assignment or use.</w:t>
      </w:r>
      <w:r w:rsidR="00AB07F5">
        <w:rPr>
          <w:rStyle w:val="FootnoteReference"/>
        </w:rPr>
        <w:footnoteReference w:id="57"/>
      </w:r>
      <w:r w:rsidR="00CD0E2A">
        <w:t xml:space="preserve"> </w:t>
      </w:r>
    </w:p>
    <w:p w:rsidR="00A96B31" w:rsidP="00AB07F5" w:rsidRDefault="00FC5EF4" w14:paraId="38168E67" w14:textId="07EC2135">
      <w:pPr>
        <w:pStyle w:val="Standard"/>
      </w:pPr>
      <w:r>
        <w:t>At the time, t</w:t>
      </w:r>
      <w:r w:rsidR="00AB07F5">
        <w:t xml:space="preserve">he FCC found that Vonage had no way of directly or indirectly identifying the geographic location of </w:t>
      </w:r>
      <w:proofErr w:type="spellStart"/>
      <w:r w:rsidR="00AB07F5">
        <w:t>DigitalVoice</w:t>
      </w:r>
      <w:proofErr w:type="spellEnd"/>
      <w:r w:rsidR="00AB07F5">
        <w:t xml:space="preserve"> subscribers and no service</w:t>
      </w:r>
      <w:r w:rsidR="006951D5">
        <w:noBreakHyphen/>
      </w:r>
      <w:r w:rsidR="00AB07F5">
        <w:t>driven reason to incorporate the ability to separate interstate and intrastate services.</w:t>
      </w:r>
      <w:r w:rsidR="00AB07F5">
        <w:rPr>
          <w:rStyle w:val="FootnoteReference"/>
        </w:rPr>
        <w:footnoteReference w:id="58"/>
      </w:r>
      <w:r w:rsidR="00CD0E2A">
        <w:t xml:space="preserve"> </w:t>
      </w:r>
      <w:r w:rsidRPr="004A188A" w:rsidR="00AB07F5">
        <w:t xml:space="preserve">Based on these </w:t>
      </w:r>
      <w:r w:rsidR="00AB07F5">
        <w:t xml:space="preserve">specific </w:t>
      </w:r>
      <w:r w:rsidRPr="004A188A" w:rsidR="00AB07F5">
        <w:t xml:space="preserve">facts, the FCC concluded that there </w:t>
      </w:r>
      <w:r w:rsidR="00AB07F5">
        <w:t>were</w:t>
      </w:r>
      <w:r w:rsidRPr="004A188A" w:rsidR="00AB07F5">
        <w:t xml:space="preserve"> no practical means for separating Vonage</w:t>
      </w:r>
      <w:r w:rsidR="00893D67">
        <w:t>’</w:t>
      </w:r>
      <w:r w:rsidRPr="004A188A" w:rsidR="00AB07F5">
        <w:t xml:space="preserve">s </w:t>
      </w:r>
      <w:proofErr w:type="spellStart"/>
      <w:r w:rsidRPr="004A188A" w:rsidR="00AB07F5">
        <w:t>DigitalVoice</w:t>
      </w:r>
      <w:proofErr w:type="spellEnd"/>
      <w:r w:rsidRPr="004A188A" w:rsidR="00AB07F5">
        <w:t xml:space="preserve"> into interstate and intrastate components for purposes of enabling dual federal and state jurisdiction</w:t>
      </w:r>
      <w:r w:rsidR="00C7751C">
        <w:t xml:space="preserve"> </w:t>
      </w:r>
      <w:r w:rsidRPr="00C7751C" w:rsidR="00C7751C">
        <w:t>over market entry regulations</w:t>
      </w:r>
      <w:r w:rsidRPr="004A188A" w:rsidR="00AB07F5">
        <w:t>.</w:t>
      </w:r>
      <w:r w:rsidR="00AB07F5">
        <w:rPr>
          <w:rStyle w:val="FootnoteReference"/>
        </w:rPr>
        <w:footnoteReference w:id="59"/>
      </w:r>
    </w:p>
    <w:p w:rsidR="00AB07F5" w:rsidP="00AB07F5" w:rsidRDefault="00AB07F5" w14:paraId="028E933D" w14:textId="3273064A">
      <w:pPr>
        <w:pStyle w:val="Standard"/>
      </w:pPr>
      <w:r>
        <w:t>Minnesota</w:t>
      </w:r>
      <w:r w:rsidR="00893D67">
        <w:t>’</w:t>
      </w:r>
      <w:r>
        <w:t>s rules required that telephone companies apply for operating authority provid</w:t>
      </w:r>
      <w:r w:rsidR="00096EA2">
        <w:t>e</w:t>
      </w:r>
      <w:r>
        <w:t xml:space="preserve"> detailed financial information, business plans, and proposed </w:t>
      </w:r>
      <w:r>
        <w:lastRenderedPageBreak/>
        <w:t>services.</w:t>
      </w:r>
      <w:r>
        <w:rPr>
          <w:rStyle w:val="FootnoteReference"/>
        </w:rPr>
        <w:footnoteReference w:id="60"/>
      </w:r>
      <w:r>
        <w:t xml:space="preserve"> The FCC, on the other hand, had eliminated interstate market entry requirements out of concern that these could stifle innovation and new services, while unconditional entry would promote competition.</w:t>
      </w:r>
      <w:r>
        <w:rPr>
          <w:rStyle w:val="FootnoteReference"/>
        </w:rPr>
        <w:footnoteReference w:id="61"/>
      </w:r>
      <w:r w:rsidR="00CD0E2A">
        <w:t xml:space="preserve"> </w:t>
      </w:r>
      <w:r w:rsidRPr="004A188A">
        <w:t xml:space="preserve">Thus, the FCC held that allowing Minnesota to regulate </w:t>
      </w:r>
      <w:proofErr w:type="spellStart"/>
      <w:r w:rsidRPr="004A188A">
        <w:t>DigitalVoice</w:t>
      </w:r>
      <w:proofErr w:type="spellEnd"/>
      <w:r w:rsidRPr="004A188A">
        <w:t xml:space="preserve"> would thwart federal law and policy.</w:t>
      </w:r>
      <w:r>
        <w:rPr>
          <w:rStyle w:val="FootnoteReference"/>
        </w:rPr>
        <w:footnoteReference w:id="62"/>
      </w:r>
    </w:p>
    <w:p w:rsidR="00AB07F5" w:rsidP="00AB07F5" w:rsidRDefault="00AB07F5" w14:paraId="32B337D2" w14:textId="2DABCAE3">
      <w:pPr>
        <w:pStyle w:val="Standard"/>
      </w:pPr>
      <w:r>
        <w:t xml:space="preserve">Three parties to this proceeding identify their members as providers of </w:t>
      </w:r>
      <w:r w:rsidR="00CB1F6A">
        <w:t>only</w:t>
      </w:r>
      <w:r>
        <w:t xml:space="preserve"> nomadic interconnected VoIP</w:t>
      </w:r>
      <w:r w:rsidR="00962F60">
        <w:t xml:space="preserve"> service</w:t>
      </w:r>
      <w:r w:rsidR="004E3961">
        <w:t xml:space="preserve">:  </w:t>
      </w:r>
      <w:r>
        <w:t>VON Coalition, Sangoma, and Cloud. These parties</w:t>
      </w:r>
      <w:r w:rsidRPr="00D53C19">
        <w:t xml:space="preserve"> further clarified how nomadic interconnected VoIP may be distinguished</w:t>
      </w:r>
      <w:r w:rsidR="003356BA">
        <w:t xml:space="preserve">. </w:t>
      </w:r>
      <w:r>
        <w:t xml:space="preserve">Cloud </w:t>
      </w:r>
      <w:r w:rsidR="003356BA">
        <w:t>states</w:t>
      </w:r>
      <w:r>
        <w:t xml:space="preserve"> that nomadic interconnected VoIP </w:t>
      </w:r>
      <w:r w:rsidR="00A73F61">
        <w:t xml:space="preserve">service </w:t>
      </w:r>
      <w:r>
        <w:t xml:space="preserve">is </w:t>
      </w:r>
      <w:r w:rsidR="00893D67">
        <w:t>“</w:t>
      </w:r>
      <w:r>
        <w:t xml:space="preserve">able to operate independently from the network operators by providing over the top, nomadic solutions that are </w:t>
      </w:r>
      <w:r w:rsidRPr="00E77504">
        <w:rPr>
          <w:b/>
          <w:bCs/>
        </w:rPr>
        <w:t>network provider agnostic</w:t>
      </w:r>
      <w:r w:rsidR="00CC35FE">
        <w:rPr>
          <w:b/>
          <w:bCs/>
        </w:rPr>
        <w:t>.</w:t>
      </w:r>
      <w:r w:rsidR="00893D67">
        <w:t>”</w:t>
      </w:r>
      <w:r>
        <w:rPr>
          <w:rStyle w:val="FootnoteReference"/>
        </w:rPr>
        <w:footnoteReference w:id="63"/>
      </w:r>
      <w:r w:rsidRPr="00030DF2">
        <w:t xml:space="preserve"> </w:t>
      </w:r>
      <w:r>
        <w:t xml:space="preserve">VON similarly emphasizes the independence from the </w:t>
      </w:r>
      <w:r w:rsidR="00C654F9">
        <w:t xml:space="preserve">telecommunications </w:t>
      </w:r>
      <w:r>
        <w:t xml:space="preserve">network in its description. </w:t>
      </w:r>
      <w:r w:rsidR="00893D67">
        <w:t>“</w:t>
      </w:r>
      <w:r w:rsidRPr="00E77504">
        <w:t>Nomadic, or over</w:t>
      </w:r>
      <w:r w:rsidR="006951D5">
        <w:noBreakHyphen/>
      </w:r>
      <w:r w:rsidRPr="00E77504">
        <w:t>the</w:t>
      </w:r>
      <w:r w:rsidR="006951D5">
        <w:noBreakHyphen/>
      </w:r>
      <w:r w:rsidRPr="00E77504">
        <w:t>top, VoIP services do not provide last mile infrastructure but instead allow a user to make phone calls with the same NANP</w:t>
      </w:r>
      <w:r>
        <w:t xml:space="preserve"> [North American Numbering Plan]</w:t>
      </w:r>
      <w:r w:rsidRPr="00E77504">
        <w:t xml:space="preserve"> number anywhere with an internet connection.</w:t>
      </w:r>
      <w:r w:rsidR="00893D67">
        <w:t>”</w:t>
      </w:r>
      <w:r>
        <w:rPr>
          <w:rStyle w:val="FootnoteReference"/>
        </w:rPr>
        <w:footnoteReference w:id="64"/>
      </w:r>
      <w:r>
        <w:t xml:space="preserve"> Cloud describes</w:t>
      </w:r>
      <w:r w:rsidR="00096EA2">
        <w:t xml:space="preserve"> the distinction </w:t>
      </w:r>
      <w:r w:rsidR="00EF3560">
        <w:t xml:space="preserve">between fixed and nomadic interconnected VoIP </w:t>
      </w:r>
      <w:r w:rsidR="00096EA2">
        <w:t>as follows</w:t>
      </w:r>
      <w:r>
        <w:t>:</w:t>
      </w:r>
    </w:p>
    <w:p w:rsidR="00AB07F5" w:rsidP="0069184C" w:rsidRDefault="00AB07F5" w14:paraId="207130A9" w14:textId="3C5E1693">
      <w:pPr>
        <w:pStyle w:val="BlockQuote0"/>
      </w:pPr>
      <w:r>
        <w:t>Nomadic or Non</w:t>
      </w:r>
      <w:r w:rsidR="006951D5">
        <w:noBreakHyphen/>
      </w:r>
      <w:r>
        <w:t xml:space="preserve">fixed Interconnected VoIP services are the most common design and are intended to be decoupled from physical location or specific devices. They are principally software applications communicating via the Internet, similar in nearly all technology to accessing a web email service (like Gmail). The software communicating with the Service </w:t>
      </w:r>
      <w:r>
        <w:lastRenderedPageBreak/>
        <w:t>Provider can operate on mobile devices, or dedicated devices like desk phones. The data flows to and from the user like any other Internet application; and</w:t>
      </w:r>
    </w:p>
    <w:p w:rsidR="00AB07F5" w:rsidP="0069184C" w:rsidRDefault="00AB07F5" w14:paraId="316484CF" w14:textId="77777777">
      <w:pPr>
        <w:pStyle w:val="BlockQuote0"/>
        <w:jc w:val="center"/>
      </w:pPr>
      <w:r>
        <w:t>……</w:t>
      </w:r>
    </w:p>
    <w:p w:rsidR="00AB07F5" w:rsidP="0069184C" w:rsidRDefault="00AB07F5" w14:paraId="7847C2A0" w14:textId="28996BCA">
      <w:pPr>
        <w:pStyle w:val="BlockQuote0"/>
      </w:pPr>
      <w:r>
        <w:t>Calls can be placed to either a phone system, IP based telephone instrument, or softphone application on a mobile device, PC, tablet, or Internet of Things device. Any one of those devices can be at any one physical location for any amount of time or mobile as long as they are connected to the public Internet.</w:t>
      </w:r>
      <w:r w:rsidR="00C654F9">
        <w:rPr>
          <w:rStyle w:val="FootnoteReference"/>
        </w:rPr>
        <w:footnoteReference w:id="65"/>
      </w:r>
    </w:p>
    <w:p w:rsidRPr="003E581E" w:rsidR="003D56E5" w:rsidP="00AB07F5" w:rsidRDefault="00AB07F5" w14:paraId="7D9AC903" w14:textId="46CE1E28">
      <w:pPr>
        <w:pStyle w:val="Standard"/>
      </w:pPr>
      <w:r>
        <w:t xml:space="preserve">While we recognize that the </w:t>
      </w:r>
      <w:r w:rsidRPr="005838DE">
        <w:rPr>
          <w:i/>
          <w:iCs/>
        </w:rPr>
        <w:t>Vonage Order</w:t>
      </w:r>
      <w:r>
        <w:t xml:space="preserve"> preempts us from adopting regulations that act as conditions to market entry for nomadic</w:t>
      </w:r>
      <w:r w:rsidR="00A9154D">
        <w:t>-only</w:t>
      </w:r>
      <w:r>
        <w:t xml:space="preserve"> interconnected VoIP service</w:t>
      </w:r>
      <w:r w:rsidR="00DE1C64">
        <w:t>s</w:t>
      </w:r>
      <w:r>
        <w:t xml:space="preserve"> similar to Vonage</w:t>
      </w:r>
      <w:r w:rsidR="00893D67">
        <w:t>’</w:t>
      </w:r>
      <w:r>
        <w:t xml:space="preserve">s </w:t>
      </w:r>
      <w:proofErr w:type="spellStart"/>
      <w:r>
        <w:t>DigitalVoice</w:t>
      </w:r>
      <w:proofErr w:type="spellEnd"/>
      <w:r>
        <w:t xml:space="preserve">, we find that the </w:t>
      </w:r>
      <w:r w:rsidRPr="005838DE">
        <w:rPr>
          <w:i/>
          <w:iCs/>
        </w:rPr>
        <w:t>Vonage Order</w:t>
      </w:r>
      <w:r>
        <w:t xml:space="preserve"> does not otherwise limit our ability to regulate these </w:t>
      </w:r>
      <w:r w:rsidR="00A43960">
        <w:t>service provider</w:t>
      </w:r>
      <w:r>
        <w:t>s in other areas such as public safety and consumer protection.</w:t>
      </w:r>
      <w:r w:rsidR="00CD0E2A">
        <w:t xml:space="preserve"> </w:t>
      </w:r>
      <w:r>
        <w:t xml:space="preserve">Indeed, in the </w:t>
      </w:r>
      <w:r w:rsidRPr="005838DE">
        <w:rPr>
          <w:i/>
          <w:iCs/>
        </w:rPr>
        <w:t>Vonage Order</w:t>
      </w:r>
      <w:r>
        <w:t xml:space="preserve"> the FCC explicitly p</w:t>
      </w:r>
      <w:r w:rsidRPr="006D58D5">
        <w:t xml:space="preserve">reserved state authority over </w:t>
      </w:r>
      <w:r w:rsidR="00893D67">
        <w:t>“</w:t>
      </w:r>
      <w:r w:rsidRPr="006D58D5">
        <w:t>general laws governing en</w:t>
      </w:r>
      <w:r>
        <w:rPr>
          <w:rFonts w:eastAsia="Book Antiqua" w:cs="Book Antiqua"/>
        </w:rPr>
        <w:t xml:space="preserve">tities conducting </w:t>
      </w:r>
      <w:r w:rsidRPr="006D58D5">
        <w:t>business within the state</w:t>
      </w:r>
      <w:r w:rsidR="00893D67">
        <w:t>”</w:t>
      </w:r>
      <w:r w:rsidRPr="006D58D5">
        <w:t xml:space="preserve"> including tax laws, consumer protec</w:t>
      </w:r>
      <w:r>
        <w:rPr>
          <w:rFonts w:eastAsia="Book Antiqua" w:cs="Book Antiqua"/>
        </w:rPr>
        <w:t>ti</w:t>
      </w:r>
      <w:r w:rsidRPr="006D58D5">
        <w:t xml:space="preserve">on laws, and </w:t>
      </w:r>
      <w:r w:rsidR="00893D67">
        <w:t>“</w:t>
      </w:r>
      <w:r w:rsidRPr="006D58D5">
        <w:t>general commercial dealings</w:t>
      </w:r>
      <w:r>
        <w:t>.</w:t>
      </w:r>
      <w:r w:rsidR="00893D67">
        <w:t>”</w:t>
      </w:r>
      <w:r>
        <w:rPr>
          <w:rStyle w:val="FootnoteReference"/>
        </w:rPr>
        <w:footnoteReference w:id="66"/>
      </w:r>
      <w:r w:rsidR="003B0B5D">
        <w:t xml:space="preserve"> </w:t>
      </w:r>
      <w:r w:rsidRPr="00645D56" w:rsidR="003B0B5D">
        <w:t xml:space="preserve">More recently, in </w:t>
      </w:r>
      <w:r w:rsidRPr="00645D56" w:rsidR="003B0B5D">
        <w:rPr>
          <w:i/>
          <w:iCs/>
        </w:rPr>
        <w:t>ACA Connects v. Bonta</w:t>
      </w:r>
      <w:r w:rsidRPr="00645D56" w:rsidR="003B0B5D">
        <w:t>, the Ninth Circuit  reaffirmed the dual federal-state system of telecommunications regulations that exists today, noting that the Communications Act “reflects a federal scheme that leaves room for state regulation that may touch on interstate service.”</w:t>
      </w:r>
      <w:r w:rsidRPr="00645D56" w:rsidR="003B0B5D">
        <w:rPr>
          <w:rStyle w:val="FootnoteReference"/>
        </w:rPr>
        <w:footnoteReference w:id="67"/>
      </w:r>
    </w:p>
    <w:p w:rsidR="00943805" w:rsidP="00FA7B72" w:rsidRDefault="00AB07F5" w14:paraId="403B27D4" w14:textId="56D1999A">
      <w:pPr>
        <w:pStyle w:val="Standard"/>
      </w:pPr>
      <w:r w:rsidRPr="0017538E">
        <w:t xml:space="preserve">Since the </w:t>
      </w:r>
      <w:r w:rsidRPr="00E45233">
        <w:rPr>
          <w:i/>
          <w:iCs/>
        </w:rPr>
        <w:t>Vonage Order</w:t>
      </w:r>
      <w:r w:rsidRPr="0017538E">
        <w:t xml:space="preserve">, the FCC has not similarly distinguished nomadic and fixed </w:t>
      </w:r>
      <w:r>
        <w:t xml:space="preserve">interconnected </w:t>
      </w:r>
      <w:r w:rsidRPr="0017538E">
        <w:t xml:space="preserve">VoIP services for purposes of applying other types of </w:t>
      </w:r>
      <w:r w:rsidRPr="0017538E">
        <w:lastRenderedPageBreak/>
        <w:t>common carrier regulation</w:t>
      </w:r>
      <w:r>
        <w:t>.</w:t>
      </w:r>
      <w:r w:rsidR="00CD0E2A">
        <w:t xml:space="preserve"> </w:t>
      </w:r>
      <w:r>
        <w:t xml:space="preserve">For example, in 2005, the FCC applied </w:t>
      </w:r>
      <w:r w:rsidR="00693075">
        <w:t>9</w:t>
      </w:r>
      <w:r w:rsidR="006951D5">
        <w:noBreakHyphen/>
      </w:r>
      <w:r w:rsidR="00693075">
        <w:t>1</w:t>
      </w:r>
      <w:r w:rsidR="006951D5">
        <w:noBreakHyphen/>
      </w:r>
      <w:r w:rsidR="00693075">
        <w:t>1</w:t>
      </w:r>
      <w:r>
        <w:t xml:space="preserve"> requirements to both fixed and nomadic interconnected VoIP </w:t>
      </w:r>
      <w:r w:rsidR="00CA13DB">
        <w:t xml:space="preserve">service </w:t>
      </w:r>
      <w:r>
        <w:t>providers.</w:t>
      </w:r>
      <w:r>
        <w:rPr>
          <w:rStyle w:val="FootnoteReference"/>
        </w:rPr>
        <w:footnoteReference w:id="68"/>
      </w:r>
      <w:r w:rsidR="00CD0E2A">
        <w:t xml:space="preserve"> </w:t>
      </w:r>
      <w:r>
        <w:t xml:space="preserve">In 2006, </w:t>
      </w:r>
      <w:r w:rsidRPr="0023483E">
        <w:t xml:space="preserve">the FCC established universal service contribution obligations for </w:t>
      </w:r>
      <w:r>
        <w:t xml:space="preserve">both fixed and nomadic </w:t>
      </w:r>
      <w:r w:rsidRPr="0023483E">
        <w:t xml:space="preserve">providers of </w:t>
      </w:r>
      <w:r w:rsidR="0000098B">
        <w:t>interconnected VoIP</w:t>
      </w:r>
      <w:r w:rsidRPr="0023483E">
        <w:t xml:space="preserve"> services.</w:t>
      </w:r>
      <w:r>
        <w:rPr>
          <w:rStyle w:val="FootnoteReference"/>
        </w:rPr>
        <w:footnoteReference w:id="69"/>
      </w:r>
      <w:r w:rsidR="00CD0E2A">
        <w:t xml:space="preserve"> </w:t>
      </w:r>
      <w:r w:rsidRPr="0023483E">
        <w:t xml:space="preserve">In this order, the FCC also clarified that preemption under the </w:t>
      </w:r>
      <w:r w:rsidRPr="005838DE">
        <w:rPr>
          <w:i/>
          <w:iCs/>
        </w:rPr>
        <w:t>Vonage Order</w:t>
      </w:r>
      <w:r w:rsidRPr="0023483E">
        <w:t xml:space="preserve"> does not apply to an interconnected VoIP </w:t>
      </w:r>
      <w:r w:rsidR="00D26DFB">
        <w:t xml:space="preserve">service </w:t>
      </w:r>
      <w:r w:rsidRPr="0023483E">
        <w:t>provider that is capable of tracking the jurisdictional confines of customer calls (</w:t>
      </w:r>
      <w:r w:rsidRPr="004A120D" w:rsidR="004A120D">
        <w:rPr>
          <w:i/>
          <w:iCs/>
        </w:rPr>
        <w:t>e.g.</w:t>
      </w:r>
      <w:r w:rsidRPr="0023483E">
        <w:t xml:space="preserve">, a </w:t>
      </w:r>
      <w:r w:rsidR="00893D67">
        <w:t>“</w:t>
      </w:r>
      <w:r w:rsidRPr="0023483E">
        <w:t>fixed</w:t>
      </w:r>
      <w:r w:rsidR="00893D67">
        <w:t>”</w:t>
      </w:r>
      <w:r w:rsidRPr="0023483E">
        <w:t xml:space="preserve"> </w:t>
      </w:r>
      <w:r w:rsidR="0000098B">
        <w:t>interconnected VoIP</w:t>
      </w:r>
      <w:r w:rsidRPr="0023483E">
        <w:t xml:space="preserve"> provider), and that such a provider would be subject to state regulation.</w:t>
      </w:r>
      <w:r>
        <w:rPr>
          <w:rStyle w:val="FootnoteReference"/>
        </w:rPr>
        <w:footnoteReference w:id="70"/>
      </w:r>
      <w:r w:rsidR="00CD0E2A">
        <w:t xml:space="preserve"> </w:t>
      </w:r>
      <w:r>
        <w:t xml:space="preserve">The FCC has concluded that </w:t>
      </w:r>
      <w:r w:rsidR="0000098B">
        <w:t>interconnected VoIP</w:t>
      </w:r>
      <w:r>
        <w:t xml:space="preserve"> </w:t>
      </w:r>
      <w:r w:rsidR="00A43960">
        <w:t>service provider</w:t>
      </w:r>
      <w:r>
        <w:t xml:space="preserve">s </w:t>
      </w:r>
      <w:r w:rsidR="00893D67">
        <w:t>“</w:t>
      </w:r>
      <w:r>
        <w:t>provide telecommunications</w:t>
      </w:r>
      <w:r w:rsidR="00893D67">
        <w:t>”</w:t>
      </w:r>
      <w:r>
        <w:rPr>
          <w:rStyle w:val="FootnoteReference"/>
        </w:rPr>
        <w:footnoteReference w:id="71"/>
      </w:r>
      <w:r w:rsidR="00CD0E2A">
        <w:t xml:space="preserve"> </w:t>
      </w:r>
      <w:r w:rsidR="00DF35EA">
        <w:t>and has</w:t>
      </w:r>
      <w:r>
        <w:t xml:space="preserve"> acknowledged that </w:t>
      </w:r>
      <w:r w:rsidR="0000098B">
        <w:t>interconnected VoIP</w:t>
      </w:r>
      <w:r>
        <w:t xml:space="preserve"> is increasingly being used to replace analog voice service.</w:t>
      </w:r>
      <w:r>
        <w:rPr>
          <w:rStyle w:val="FootnoteReference"/>
        </w:rPr>
        <w:footnoteReference w:id="72"/>
      </w:r>
      <w:r w:rsidR="00CD0E2A">
        <w:t xml:space="preserve"> </w:t>
      </w:r>
      <w:r>
        <w:t xml:space="preserve">Moreover, the FCC has used its </w:t>
      </w:r>
      <w:r w:rsidR="00B47779">
        <w:t>Title </w:t>
      </w:r>
      <w:r>
        <w:t xml:space="preserve">I jurisdiction to apply numerous telecommunications requirements to </w:t>
      </w:r>
      <w:r w:rsidR="0000098B">
        <w:t>interconnected VoIP</w:t>
      </w:r>
      <w:r>
        <w:t xml:space="preserve"> service.</w:t>
      </w:r>
    </w:p>
    <w:p w:rsidR="003D56E5" w:rsidP="00AB07F5" w:rsidRDefault="00AB07F5" w14:paraId="4C3504B6" w14:textId="4836AE82">
      <w:pPr>
        <w:pStyle w:val="Standard"/>
        <w:rPr>
          <w:i/>
          <w:iCs/>
        </w:rPr>
      </w:pPr>
      <w:r w:rsidRPr="00E673F3">
        <w:rPr>
          <w:b/>
          <w:bCs/>
          <w:i/>
          <w:iCs/>
        </w:rPr>
        <w:t xml:space="preserve">Fixed Interconnected VoIP </w:t>
      </w:r>
      <w:r w:rsidRPr="00E673F3" w:rsidR="00030DF2">
        <w:rPr>
          <w:b/>
          <w:bCs/>
          <w:i/>
          <w:iCs/>
        </w:rPr>
        <w:t>Service</w:t>
      </w:r>
      <w:r w:rsidRPr="00E673F3">
        <w:rPr>
          <w:b/>
          <w:bCs/>
          <w:i/>
          <w:iCs/>
        </w:rPr>
        <w:t>.</w:t>
      </w:r>
      <w:r w:rsidR="00CD0E2A">
        <w:rPr>
          <w:i/>
          <w:iCs/>
        </w:rPr>
        <w:t xml:space="preserve"> </w:t>
      </w:r>
      <w:r>
        <w:t xml:space="preserve">The </w:t>
      </w:r>
      <w:r w:rsidR="008169FE">
        <w:t>Commission</w:t>
      </w:r>
      <w:r w:rsidR="00893D67">
        <w:t>’</w:t>
      </w:r>
      <w:r w:rsidR="008169FE">
        <w:t>s</w:t>
      </w:r>
      <w:r>
        <w:t xml:space="preserve"> authority to regulate fixed interconnected VoIP service providers, including imposing market entry requirements, is not preempted by the FCC </w:t>
      </w:r>
      <w:r w:rsidRPr="005838DE">
        <w:rPr>
          <w:i/>
          <w:iCs/>
        </w:rPr>
        <w:t xml:space="preserve">Vonage </w:t>
      </w:r>
      <w:r w:rsidRPr="00F260ED">
        <w:t>Order</w:t>
      </w:r>
      <w:r>
        <w:t>.</w:t>
      </w:r>
      <w:r w:rsidR="00CD0E2A">
        <w:t xml:space="preserve"> </w:t>
      </w:r>
      <w:r w:rsidRPr="000D69CB" w:rsidR="000D69CB">
        <w:t xml:space="preserve">Unlike Vonage’s nomadic-only voice service, where calls on the Vonage system could be made from any point where a broadband connection could be made (thus making it </w:t>
      </w:r>
      <w:r w:rsidRPr="000D69CB" w:rsidR="000D69CB">
        <w:lastRenderedPageBreak/>
        <w:t>“impossible” to separate interstate from intrastate calls) the fixed VoIP service is tethered to the subscriber’s location, which would therefore subject any intrastate calls to state regulation. Fix</w:t>
      </w:r>
      <w:r w:rsidRPr="00645D56" w:rsidR="000D69CB">
        <w:t>ed</w:t>
      </w:r>
      <w:r w:rsidRPr="000D69CB" w:rsidR="000D69CB">
        <w:t xml:space="preserve"> voice service is not “intended to be decoupled from physical location or specific devices,” as with nomadic-only service.</w:t>
      </w:r>
      <w:r w:rsidR="000D69CB">
        <w:rPr>
          <w:rStyle w:val="FootnoteReference"/>
        </w:rPr>
        <w:footnoteReference w:id="73"/>
      </w:r>
      <w:r w:rsidRPr="000D69CB" w:rsidDel="000D69CB" w:rsidR="000D69CB">
        <w:t xml:space="preserve"> </w:t>
      </w:r>
      <w:r w:rsidR="00CD0E2A">
        <w:t xml:space="preserve"> </w:t>
      </w:r>
      <w:r>
        <w:t xml:space="preserve">Accordingly, the regulatory obligations applicable to other wireline telephone corporations, including statutorily required market entry conditions, apply to fixed interconnected VoIP </w:t>
      </w:r>
      <w:r w:rsidR="00501CF6">
        <w:t>service providers</w:t>
      </w:r>
      <w:r>
        <w:t xml:space="preserve"> without exception</w:t>
      </w:r>
      <w:r w:rsidRPr="00E673F3">
        <w:rPr>
          <w:i/>
          <w:iCs/>
        </w:rPr>
        <w:t>.</w:t>
      </w:r>
    </w:p>
    <w:p w:rsidRPr="00390591" w:rsidR="00A96B31" w:rsidP="00AB07F5" w:rsidRDefault="00AB07F5" w14:paraId="47323601" w14:textId="264F5729">
      <w:pPr>
        <w:pStyle w:val="Standard"/>
      </w:pPr>
      <w:r w:rsidRPr="005838DE">
        <w:rPr>
          <w:b/>
          <w:bCs/>
          <w:i/>
          <w:iCs/>
        </w:rPr>
        <w:t xml:space="preserve">Fixed </w:t>
      </w:r>
      <w:r w:rsidRPr="005838DE" w:rsidR="00030DF2">
        <w:rPr>
          <w:b/>
          <w:bCs/>
          <w:i/>
          <w:iCs/>
        </w:rPr>
        <w:t xml:space="preserve">Interconnected </w:t>
      </w:r>
      <w:r w:rsidRPr="005838DE">
        <w:rPr>
          <w:b/>
          <w:bCs/>
          <w:i/>
          <w:iCs/>
        </w:rPr>
        <w:t xml:space="preserve">VoIP </w:t>
      </w:r>
      <w:r w:rsidRPr="005838DE" w:rsidR="00030DF2">
        <w:rPr>
          <w:b/>
          <w:bCs/>
          <w:i/>
          <w:iCs/>
        </w:rPr>
        <w:t xml:space="preserve">Service </w:t>
      </w:r>
      <w:r w:rsidRPr="005838DE">
        <w:rPr>
          <w:b/>
          <w:bCs/>
          <w:i/>
          <w:iCs/>
        </w:rPr>
        <w:t xml:space="preserve">with </w:t>
      </w:r>
      <w:r w:rsidR="00395283">
        <w:rPr>
          <w:b/>
          <w:bCs/>
          <w:i/>
          <w:iCs/>
        </w:rPr>
        <w:t>Ancillary Portability Feature</w:t>
      </w:r>
      <w:r w:rsidRPr="00030DF2">
        <w:rPr>
          <w:b/>
          <w:bCs/>
          <w:i/>
          <w:iCs/>
        </w:rPr>
        <w:t>.</w:t>
      </w:r>
      <w:r w:rsidR="00CD0E2A">
        <w:t xml:space="preserve"> </w:t>
      </w:r>
      <w:r>
        <w:t xml:space="preserve">Cox, Frontier, Consolidated, Small LECs, Comcast, Charter and AT&amp;T all report offering fixed </w:t>
      </w:r>
      <w:r w:rsidR="00D96248">
        <w:t xml:space="preserve">interconnected </w:t>
      </w:r>
      <w:r>
        <w:t>VoIP</w:t>
      </w:r>
      <w:r w:rsidR="00D96248">
        <w:t xml:space="preserve"> service</w:t>
      </w:r>
      <w:r>
        <w:t xml:space="preserve">. Some of the providers of fixed interconnected VoIP </w:t>
      </w:r>
      <w:r w:rsidR="00CF0036">
        <w:t xml:space="preserve">service </w:t>
      </w:r>
      <w:r w:rsidR="00EC21E9">
        <w:t xml:space="preserve">state they </w:t>
      </w:r>
      <w:r>
        <w:t xml:space="preserve">include </w:t>
      </w:r>
      <w:r w:rsidR="00893D67">
        <w:t>“</w:t>
      </w:r>
      <w:r>
        <w:t>nomadic functionality,</w:t>
      </w:r>
      <w:r w:rsidR="00893D67">
        <w:t>”</w:t>
      </w:r>
      <w:r>
        <w:t xml:space="preserve"> or </w:t>
      </w:r>
      <w:r w:rsidR="00893D67">
        <w:t>“</w:t>
      </w:r>
      <w:r>
        <w:t>nomadic components,</w:t>
      </w:r>
      <w:r w:rsidR="00893D67">
        <w:t>”</w:t>
      </w:r>
      <w:r>
        <w:t xml:space="preserve"> described by Cal Broadband as </w:t>
      </w:r>
      <w:r w:rsidR="00893D67">
        <w:t>“</w:t>
      </w:r>
      <w:r w:rsidRPr="0025573D">
        <w:t>the ability to receive calls through an app on a mobile device.</w:t>
      </w:r>
      <w:r w:rsidR="00893D67">
        <w:t>”</w:t>
      </w:r>
      <w:r>
        <w:rPr>
          <w:rStyle w:val="FootnoteReference"/>
        </w:rPr>
        <w:footnoteReference w:id="74"/>
      </w:r>
      <w:r w:rsidR="00395283">
        <w:t xml:space="preserve"> </w:t>
      </w:r>
      <w:r w:rsidRPr="00395283" w:rsidR="00395283">
        <w:t xml:space="preserve">Their use of the term “nomadic” to describe this type of call forwarding feature is misleading. This portability feature does not decouple the underlying fixed VoIP service from customer’s physical location or specific devices. </w:t>
      </w:r>
      <w:r w:rsidR="00522B4C">
        <w:t xml:space="preserve">In other words, simply </w:t>
      </w:r>
      <w:r w:rsidRPr="00395283" w:rsidR="00395283">
        <w:t>addi</w:t>
      </w:r>
      <w:r w:rsidR="00522B4C">
        <w:t>ng</w:t>
      </w:r>
      <w:r w:rsidRPr="00395283" w:rsidR="00395283">
        <w:t xml:space="preserve"> portability </w:t>
      </w:r>
      <w:r w:rsidR="00522B4C">
        <w:t>to</w:t>
      </w:r>
      <w:r w:rsidRPr="00395283" w:rsidR="00395283">
        <w:t xml:space="preserve"> fixed interconnected VoIP service does not convert the fixed service to a nomadic-only interconnected VoIP service like that covered under the FCC’s Vonage Order. </w:t>
      </w:r>
      <w:r w:rsidRPr="00390591" w:rsidR="00390591">
        <w:t>Providers cannot change the</w:t>
      </w:r>
      <w:r w:rsidRPr="00645D56" w:rsidR="00390591">
        <w:t xml:space="preserve"> status of a service by adding this ancillary functionality.</w:t>
      </w:r>
      <w:r w:rsidR="00390591">
        <w:rPr>
          <w:rStyle w:val="FootnoteReference"/>
        </w:rPr>
        <w:footnoteReference w:id="75"/>
      </w:r>
    </w:p>
    <w:p w:rsidRPr="00BB1F25" w:rsidR="00BB1F25" w:rsidP="00BB1F25" w:rsidRDefault="00AB07F5" w14:paraId="2F010F2D" w14:textId="4CCF7D8F">
      <w:pPr>
        <w:pStyle w:val="Standard"/>
      </w:pPr>
      <w:r>
        <w:lastRenderedPageBreak/>
        <w:t xml:space="preserve">Joint Consumers argue that fixed interconnected VoIP </w:t>
      </w:r>
      <w:r w:rsidR="00502E36">
        <w:t xml:space="preserve">service </w:t>
      </w:r>
      <w:r>
        <w:t xml:space="preserve">that has </w:t>
      </w:r>
      <w:r w:rsidR="00395283">
        <w:t>the</w:t>
      </w:r>
      <w:r>
        <w:t xml:space="preserve"> option to access the phone line from public network access points additional to the provider</w:t>
      </w:r>
      <w:r w:rsidR="00893D67">
        <w:t>’</w:t>
      </w:r>
      <w:r>
        <w:t xml:space="preserve">s private network access point sold with the interconnected VoIP service does not constitute nomadic interconnected VoIP service addressed by the </w:t>
      </w:r>
      <w:r w:rsidRPr="00501CF6">
        <w:rPr>
          <w:i/>
          <w:iCs/>
        </w:rPr>
        <w:t>Vonage Order</w:t>
      </w:r>
      <w:r>
        <w:t>.</w:t>
      </w:r>
      <w:r>
        <w:rPr>
          <w:rStyle w:val="FootnoteReference"/>
        </w:rPr>
        <w:footnoteReference w:id="76"/>
      </w:r>
      <w:r w:rsidR="00CD0E2A">
        <w:t xml:space="preserve"> </w:t>
      </w:r>
      <w:r w:rsidRPr="00BB1F25" w:rsidR="00BB1F25">
        <w:t>In opening comments on the proposed decision, VON Coalition argues more clarity is necessary in order to fairly distinguish nomadic-only interconnected VoIP qualifying for the preemptions established by the Vonage Order from interconnected VoIP generally.</w:t>
      </w:r>
      <w:r w:rsidRPr="00BB1F25" w:rsidR="00BB1F25">
        <w:rPr>
          <w:vertAlign w:val="superscript"/>
        </w:rPr>
        <w:footnoteReference w:id="77"/>
      </w:r>
      <w:r w:rsidRPr="00BB1F25" w:rsidR="00BB1F25">
        <w:t xml:space="preserve"> Cloud states that the proposed decision’s reliance on a service provider’s ability to track the jurisdictional boundaries to define fixed interconnected VoIP service is misplaced, stating “it is unassailably true that even fixed VoIP providers cannot accurately track the termination points of calls. The ability to identify the origination point does not extend to the call’s endpoint, particularly with mobile users and the dynamic nature of internet-based telephony.”</w:t>
      </w:r>
      <w:r w:rsidRPr="00BB1F25" w:rsidR="00BB1F25">
        <w:rPr>
          <w:vertAlign w:val="superscript"/>
        </w:rPr>
        <w:footnoteReference w:id="78"/>
      </w:r>
      <w:r w:rsidRPr="00BB1F25" w:rsidR="00BB1F25">
        <w:t xml:space="preserve">  We find further clarification on this issue is warranted.</w:t>
      </w:r>
    </w:p>
    <w:p w:rsidRPr="00BB1F25" w:rsidR="00BB1F25" w:rsidP="00BB1F25" w:rsidRDefault="00BB1F25" w14:paraId="56AFF3A8" w14:textId="77777777">
      <w:pPr>
        <w:pStyle w:val="Standard"/>
      </w:pPr>
      <w:r w:rsidRPr="00BB1F25">
        <w:t xml:space="preserve">The nomadic-only definition requires clarification to our description of Vonage’s service, especially concerning the requirement for access to broadband from a provider other than Vonage.  As described earlier in this section, VON Coalition, Sangoma, and Cloud provide the clarification that a nomadic-only interconnected VoIP provider is network agnostic; access to the telephone network is possible from any broadband connection </w:t>
      </w:r>
      <w:r w:rsidRPr="00BB1F25">
        <w:rPr>
          <w:i/>
          <w:iCs/>
        </w:rPr>
        <w:t>irrespective</w:t>
      </w:r>
      <w:r w:rsidRPr="00BB1F25">
        <w:t xml:space="preserve"> of access at any one, fixed broadband connection. For example, TDS </w:t>
      </w:r>
      <w:proofErr w:type="spellStart"/>
      <w:r w:rsidRPr="00BB1F25">
        <w:t>Metrocom’s</w:t>
      </w:r>
      <w:proofErr w:type="spellEnd"/>
      <w:r w:rsidRPr="00BB1F25">
        <w:t xml:space="preserve"> interconnected VoIP service provider is not limited to a single location and may be accessed </w:t>
      </w:r>
      <w:r w:rsidRPr="00BB1F25">
        <w:lastRenderedPageBreak/>
        <w:t xml:space="preserve">from any broadband connection, but TDS </w:t>
      </w:r>
      <w:proofErr w:type="spellStart"/>
      <w:r w:rsidRPr="00BB1F25">
        <w:t>Metrocom’s</w:t>
      </w:r>
      <w:proofErr w:type="spellEnd"/>
      <w:r w:rsidRPr="00BB1F25">
        <w:t xml:space="preserve"> interconnected VoIP service is conditional upon the purchase of service in at least one, fixed location.</w:t>
      </w:r>
      <w:r w:rsidRPr="00BB1F25">
        <w:rPr>
          <w:vertAlign w:val="superscript"/>
        </w:rPr>
        <w:footnoteReference w:id="79"/>
      </w:r>
      <w:r w:rsidRPr="00BB1F25">
        <w:t xml:space="preserve">  </w:t>
      </w:r>
    </w:p>
    <w:p w:rsidRPr="00AB07F5" w:rsidR="00AB07F5" w:rsidP="00AB07F5" w:rsidRDefault="00AB07F5" w14:paraId="0DC77B3F" w14:textId="0C03B2CC">
      <w:pPr>
        <w:pStyle w:val="Standard"/>
      </w:pPr>
      <w:r w:rsidRPr="00BE3F63">
        <w:t xml:space="preserve">Even if the </w:t>
      </w:r>
      <w:r w:rsidR="0000098B">
        <w:t>interconnected VoIP</w:t>
      </w:r>
      <w:r w:rsidRPr="00BE3F63">
        <w:t xml:space="preserve"> </w:t>
      </w:r>
      <w:r w:rsidR="00351BD9">
        <w:t>service provider</w:t>
      </w:r>
      <w:r w:rsidRPr="00BE3F63">
        <w:t xml:space="preserve"> also provides</w:t>
      </w:r>
      <w:r>
        <w:t xml:space="preserve"> </w:t>
      </w:r>
      <w:r w:rsidR="000601E4">
        <w:t xml:space="preserve">portable </w:t>
      </w:r>
      <w:r>
        <w:t>functionality that is ancillary to the fixed</w:t>
      </w:r>
      <w:r w:rsidRPr="00BE3F63">
        <w:t xml:space="preserve"> interconnected VoIP service</w:t>
      </w:r>
      <w:r>
        <w:t xml:space="preserve">, </w:t>
      </w:r>
      <w:r w:rsidRPr="000601E4" w:rsidR="000601E4">
        <w:t xml:space="preserve">that does not make the fixed service “fully portable” in the Vonage sense. Thus, </w:t>
      </w:r>
      <w:r w:rsidRPr="00BE3F63">
        <w:t>the Commission</w:t>
      </w:r>
      <w:r w:rsidR="00893D67">
        <w:t>’</w:t>
      </w:r>
      <w:r w:rsidRPr="00BE3F63">
        <w:t>s authority to require that provider to comply with market entry requirements remains the same</w:t>
      </w:r>
      <w:r w:rsidR="0027486A">
        <w:t xml:space="preserve"> because the voice service is tethered to the customer’s physical location</w:t>
      </w:r>
      <w:r w:rsidRPr="00BE3F63">
        <w:t>.</w:t>
      </w:r>
      <w:r w:rsidR="00CD0E2A">
        <w:t xml:space="preserve"> </w:t>
      </w:r>
      <w:r w:rsidRPr="00BE3F63">
        <w:t>The Commission</w:t>
      </w:r>
      <w:r w:rsidR="00893D67">
        <w:t>’</w:t>
      </w:r>
      <w:r w:rsidRPr="00BE3F63">
        <w:t xml:space="preserve">s jurisdiction </w:t>
      </w:r>
      <w:r>
        <w:t xml:space="preserve">arises primarily from the </w:t>
      </w:r>
      <w:r w:rsidRPr="00BE3F63">
        <w:t xml:space="preserve">fixed </w:t>
      </w:r>
      <w:r>
        <w:t xml:space="preserve">interconnected </w:t>
      </w:r>
      <w:r w:rsidRPr="00BE3F63">
        <w:t>VoIP service</w:t>
      </w:r>
      <w:r>
        <w:t xml:space="preserve"> and providing </w:t>
      </w:r>
      <w:r w:rsidR="00945490">
        <w:t>some portability</w:t>
      </w:r>
      <w:r>
        <w:t xml:space="preserve"> </w:t>
      </w:r>
      <w:r w:rsidR="00FD6C7F">
        <w:t xml:space="preserve">capability </w:t>
      </w:r>
      <w:r>
        <w:t xml:space="preserve">does not </w:t>
      </w:r>
      <w:r w:rsidR="00EF3560">
        <w:t>move</w:t>
      </w:r>
      <w:r>
        <w:t xml:space="preserve"> the fixed service outside the Commission</w:t>
      </w:r>
      <w:r w:rsidR="00893D67">
        <w:t>’</w:t>
      </w:r>
      <w:r>
        <w:t>s primary jurisdiction</w:t>
      </w:r>
      <w:r w:rsidRPr="00BE3F63">
        <w:t>.</w:t>
      </w:r>
      <w:r w:rsidR="00CD0E2A">
        <w:t xml:space="preserve"> </w:t>
      </w:r>
      <w:r w:rsidRPr="00BE3F63">
        <w:t xml:space="preserve">Thus, </w:t>
      </w:r>
      <w:r w:rsidR="009D55DB">
        <w:t xml:space="preserve">those telephone corporations </w:t>
      </w:r>
      <w:r w:rsidR="00C8006C">
        <w:t xml:space="preserve">offering fixed interconnected VoIP service with </w:t>
      </w:r>
      <w:r w:rsidR="002F78C8">
        <w:t xml:space="preserve">additional </w:t>
      </w:r>
      <w:r w:rsidRPr="00945490" w:rsidR="00945490">
        <w:t>limited portability</w:t>
      </w:r>
      <w:r w:rsidRPr="00945490" w:rsidDel="00D8705B" w:rsidR="00945490">
        <w:t xml:space="preserve"> </w:t>
      </w:r>
      <w:r w:rsidRPr="00945490" w:rsidR="00945490">
        <w:t xml:space="preserve">but without the additional characteristics of nomadic-only interconnected VoIP service outlined in the FCC Vonage Order </w:t>
      </w:r>
      <w:r w:rsidRPr="00BE3F63">
        <w:t xml:space="preserve">would not </w:t>
      </w:r>
      <w:r w:rsidR="00945490">
        <w:t>be preempted</w:t>
      </w:r>
      <w:r>
        <w:rPr>
          <w:i/>
          <w:iCs/>
        </w:rPr>
        <w:t>.</w:t>
      </w:r>
    </w:p>
    <w:p w:rsidR="00CA5AFE" w:rsidP="000A2CD0" w:rsidRDefault="00CA5AFE" w14:paraId="22108A4D" w14:textId="71805DF1">
      <w:pPr>
        <w:pStyle w:val="Heading1"/>
      </w:pPr>
      <w:bookmarkStart w:name="_Toc176770933" w:id="52"/>
      <w:bookmarkStart w:name="_Toc177021131" w:id="53"/>
      <w:bookmarkStart w:name="_Toc181692880" w:id="54"/>
      <w:r>
        <w:t xml:space="preserve">Regulatory Framework for Interconnected </w:t>
      </w:r>
      <w:r w:rsidRPr="009D389C" w:rsidR="009D389C">
        <w:t>Voice Over Internet Protocol</w:t>
      </w:r>
      <w:r>
        <w:t xml:space="preserve"> </w:t>
      </w:r>
      <w:r w:rsidR="000E05FD">
        <w:t xml:space="preserve">Service </w:t>
      </w:r>
      <w:r>
        <w:t>Providers</w:t>
      </w:r>
      <w:bookmarkEnd w:id="52"/>
      <w:bookmarkEnd w:id="53"/>
      <w:bookmarkEnd w:id="54"/>
    </w:p>
    <w:p w:rsidRPr="00B87311" w:rsidR="00B87311" w:rsidP="00B87311" w:rsidRDefault="00B87311" w14:paraId="40B7ECCC" w14:textId="77777777">
      <w:pPr>
        <w:pStyle w:val="Standard"/>
        <w:rPr>
          <w:szCs w:val="26"/>
        </w:rPr>
      </w:pPr>
      <w:r w:rsidRPr="00B87311">
        <w:rPr>
          <w:szCs w:val="26"/>
        </w:rPr>
        <w:t>Establishing a standard set of rules for telecommunications service providers of functionally similar services to ensure a level playing field is the role of state and federal regulators in a competitive communications market. Since the advent of competition in the provision of telephone services beginning in the 1980s, the Commission’s changes to the regulatory frameworks for public utility telephone corporations is a history of how to adapt regulation to incorporate new technologies.</w:t>
      </w:r>
    </w:p>
    <w:p w:rsidRPr="00B87311" w:rsidR="00B87311" w:rsidP="00B87311" w:rsidRDefault="00B87311" w14:paraId="6B042ADE" w14:textId="77777777">
      <w:pPr>
        <w:pStyle w:val="Standard"/>
        <w:rPr>
          <w:szCs w:val="26"/>
        </w:rPr>
      </w:pPr>
      <w:r w:rsidRPr="00B87311">
        <w:rPr>
          <w:szCs w:val="26"/>
        </w:rPr>
        <w:t xml:space="preserve">The staff proposal issued with the OIR announced the Commission’s intention to model the regulatory framework for interconnected VoIP service </w:t>
      </w:r>
      <w:r w:rsidRPr="00B87311">
        <w:rPr>
          <w:szCs w:val="26"/>
        </w:rPr>
        <w:lastRenderedPageBreak/>
        <w:t>providers on the framework applied to nondominant telephone corporations. or Non</w:t>
      </w:r>
      <w:r w:rsidRPr="00B87311">
        <w:rPr>
          <w:szCs w:val="26"/>
        </w:rPr>
        <w:noBreakHyphen/>
        <w:t xml:space="preserve">Dominant Interexchange Carriers (NDIECs).  </w:t>
      </w:r>
    </w:p>
    <w:p w:rsidRPr="00B87311" w:rsidR="00B87311" w:rsidP="00B87311" w:rsidRDefault="00B87311" w14:paraId="19ED81E8" w14:textId="5DDA3A1E">
      <w:pPr>
        <w:pStyle w:val="Standard"/>
        <w:rPr>
          <w:szCs w:val="26"/>
        </w:rPr>
      </w:pPr>
      <w:r w:rsidRPr="00B87311">
        <w:rPr>
          <w:szCs w:val="26"/>
        </w:rPr>
        <w:t xml:space="preserve">In D.84-06-113, the Commission found economic regulation of competitive carriers unnecessary, since they were in no position to extract monopoly profits or to maintain predatory prices. Accordingly, NDIECs were given substantial pricing </w:t>
      </w:r>
      <w:r w:rsidRPr="00B87311" w:rsidR="009810CC">
        <w:rPr>
          <w:szCs w:val="26"/>
        </w:rPr>
        <w:t>freedom,</w:t>
      </w:r>
      <w:r w:rsidRPr="00B87311">
        <w:rPr>
          <w:szCs w:val="26"/>
        </w:rPr>
        <w:t xml:space="preserve"> and the Commission relied on the competitive character of NDIECs as the basis for modifying and streamlining regulatory procedures related to other elements of their business. With the start of local exchange competition, the Commission found that CLCs were not monopoly service providers and in D.98-07-094, determined that the rationale for simplifying regulation of NDIECs was equally applicable to CLCs since they did not have the power to engage in anticompetitive pricing.</w:t>
      </w:r>
      <w:r w:rsidRPr="00B87311">
        <w:rPr>
          <w:szCs w:val="26"/>
          <w:vertAlign w:val="superscript"/>
        </w:rPr>
        <w:footnoteReference w:id="80"/>
      </w:r>
    </w:p>
    <w:p w:rsidRPr="00B87311" w:rsidR="00B87311" w:rsidP="00B87311" w:rsidRDefault="00B87311" w14:paraId="479D737A" w14:textId="77777777">
      <w:pPr>
        <w:pStyle w:val="Standard"/>
        <w:rPr>
          <w:szCs w:val="26"/>
        </w:rPr>
      </w:pPr>
      <w:r w:rsidRPr="00B87311">
        <w:rPr>
          <w:szCs w:val="26"/>
        </w:rPr>
        <w:t>The Commission’s inquiry into “how the Commission could streamline the regulatory process for nondominant telephone corporations under existing legal requirements”</w:t>
      </w:r>
      <w:r w:rsidRPr="00B87311">
        <w:rPr>
          <w:szCs w:val="26"/>
          <w:vertAlign w:val="superscript"/>
        </w:rPr>
        <w:footnoteReference w:id="81"/>
      </w:r>
      <w:r w:rsidRPr="00B87311">
        <w:rPr>
          <w:szCs w:val="26"/>
        </w:rPr>
        <w:t xml:space="preserve"> was refined over the decades, exempting NDIECs and CLCs from those regulatory obligations found to be inappropriate or unnecessary for voice providers without market or monopoly power.</w:t>
      </w:r>
      <w:r w:rsidRPr="00B87311">
        <w:rPr>
          <w:szCs w:val="26"/>
          <w:vertAlign w:val="superscript"/>
        </w:rPr>
        <w:footnoteReference w:id="82"/>
      </w:r>
      <w:r w:rsidRPr="00B87311">
        <w:rPr>
          <w:szCs w:val="26"/>
        </w:rPr>
        <w:t xml:space="preserve"> The Commission also developed a simplified registration process for NDIECs reflecting the limited scope of regulation. In fact, as described in D.10-09-017 and subsequent decisions further revising regulatory requirements, in 2010 the simplified registration process was found to be excessively minimal and the Commission added </w:t>
      </w:r>
      <w:r w:rsidRPr="00B87311">
        <w:rPr>
          <w:szCs w:val="26"/>
        </w:rPr>
        <w:lastRenderedPageBreak/>
        <w:t>additional requirements to the NDIEC registration process in order to adequately scrutinize market entrants.</w:t>
      </w:r>
      <w:r w:rsidRPr="00B87311">
        <w:rPr>
          <w:szCs w:val="26"/>
          <w:vertAlign w:val="superscript"/>
        </w:rPr>
        <w:footnoteReference w:id="83"/>
      </w:r>
      <w:r w:rsidRPr="00B87311">
        <w:rPr>
          <w:szCs w:val="26"/>
        </w:rPr>
        <w:t xml:space="preserve">   </w:t>
      </w:r>
    </w:p>
    <w:p w:rsidRPr="00B87311" w:rsidR="00B87311" w:rsidP="00B87311" w:rsidRDefault="00B87311" w14:paraId="7E63F31F" w14:textId="1B510702">
      <w:pPr>
        <w:pStyle w:val="Standard"/>
        <w:rPr>
          <w:szCs w:val="26"/>
        </w:rPr>
      </w:pPr>
      <w:r w:rsidRPr="00B87311">
        <w:rPr>
          <w:szCs w:val="26"/>
        </w:rPr>
        <w:t xml:space="preserve">While the Commission was limited to its regulation of interconnected VoIP providers by Section 710, the expiration of Section 710 on January 1, </w:t>
      </w:r>
      <w:r w:rsidRPr="00B87311" w:rsidR="009810CC">
        <w:rPr>
          <w:szCs w:val="26"/>
        </w:rPr>
        <w:t>2021,</w:t>
      </w:r>
      <w:r w:rsidRPr="00B87311">
        <w:rPr>
          <w:szCs w:val="26"/>
        </w:rPr>
        <w:t xml:space="preserve"> rendered the Section 285 registration extraneous and provided an opportunity to update the licensing process to better match today’s regulatory obligations and to better reflect current technological and market conditions. In comments on the proposed decision, many parties assert that incorporating interconnected VoIP providers into the existing (yet amended) regulatory frameworks to be an unnecessary imposition of licensing requirements and associated regulatory obligations. Such characterizations fail to acknowledge that the new regulatory framework for interconnected VoIP service providers is modeled upon an already existing and less burdensome regulatory framework developed for NDIECs and CLCs, where the Commission already disposed of public utility-type obligations such as rate regulation applicable to the monopoly providers. In fact, many commenters acknowledge the new regulatory framework will have little to no impact on their business operations and register opposition in principle.  </w:t>
      </w:r>
    </w:p>
    <w:p w:rsidR="003D56E5" w:rsidP="00CA5AFE" w:rsidRDefault="00B87311" w14:paraId="0BDB96C8" w14:textId="23F1809A">
      <w:pPr>
        <w:pStyle w:val="Standard"/>
        <w:rPr>
          <w:szCs w:val="26"/>
        </w:rPr>
      </w:pPr>
      <w:r>
        <w:rPr>
          <w:szCs w:val="26"/>
        </w:rPr>
        <w:t>The</w:t>
      </w:r>
      <w:r w:rsidRPr="00082649" w:rsidR="00CA5AFE">
        <w:rPr>
          <w:szCs w:val="26"/>
        </w:rPr>
        <w:t xml:space="preserve"> regulatory framework for interconnected VoIP </w:t>
      </w:r>
      <w:r w:rsidR="00CA5AFE">
        <w:rPr>
          <w:szCs w:val="26"/>
        </w:rPr>
        <w:t>service</w:t>
      </w:r>
      <w:r w:rsidR="00F870C5">
        <w:rPr>
          <w:szCs w:val="26"/>
        </w:rPr>
        <w:t xml:space="preserve"> </w:t>
      </w:r>
      <w:r w:rsidR="00B54439">
        <w:rPr>
          <w:szCs w:val="26"/>
        </w:rPr>
        <w:t>will have</w:t>
      </w:r>
      <w:r w:rsidR="006E387C">
        <w:rPr>
          <w:szCs w:val="26"/>
        </w:rPr>
        <w:t xml:space="preserve"> two</w:t>
      </w:r>
      <w:r w:rsidR="003E581E">
        <w:rPr>
          <w:szCs w:val="26"/>
        </w:rPr>
        <w:t> </w:t>
      </w:r>
      <w:r w:rsidR="00DE15B1">
        <w:rPr>
          <w:szCs w:val="26"/>
        </w:rPr>
        <w:t>categories of service pro</w:t>
      </w:r>
      <w:r w:rsidR="00F56B0B">
        <w:rPr>
          <w:szCs w:val="26"/>
        </w:rPr>
        <w:t>viders</w:t>
      </w:r>
      <w:r w:rsidR="004E3961">
        <w:rPr>
          <w:szCs w:val="26"/>
        </w:rPr>
        <w:t xml:space="preserve">:  </w:t>
      </w:r>
      <w:r w:rsidR="00421BCF">
        <w:rPr>
          <w:szCs w:val="26"/>
        </w:rPr>
        <w:t>Digital Voice Fixed (DVF)</w:t>
      </w:r>
      <w:r w:rsidR="009912BB">
        <w:rPr>
          <w:szCs w:val="26"/>
        </w:rPr>
        <w:t xml:space="preserve"> and Digital Voice Nomadic (DVN)</w:t>
      </w:r>
      <w:r w:rsidR="00521A4B">
        <w:rPr>
          <w:szCs w:val="26"/>
        </w:rPr>
        <w:t>.</w:t>
      </w:r>
      <w:r w:rsidR="00CD0E2A">
        <w:rPr>
          <w:szCs w:val="26"/>
        </w:rPr>
        <w:t xml:space="preserve"> </w:t>
      </w:r>
      <w:r w:rsidR="00F51C6A">
        <w:rPr>
          <w:szCs w:val="26"/>
        </w:rPr>
        <w:t xml:space="preserve">DVF </w:t>
      </w:r>
      <w:r w:rsidR="00BA0509">
        <w:rPr>
          <w:szCs w:val="26"/>
        </w:rPr>
        <w:t xml:space="preserve">providers </w:t>
      </w:r>
      <w:r w:rsidR="00F51C6A">
        <w:rPr>
          <w:szCs w:val="26"/>
        </w:rPr>
        <w:t xml:space="preserve">are </w:t>
      </w:r>
      <w:r w:rsidR="00B04C29">
        <w:rPr>
          <w:szCs w:val="26"/>
        </w:rPr>
        <w:t xml:space="preserve">those telephone corporations </w:t>
      </w:r>
      <w:r w:rsidR="00906941">
        <w:rPr>
          <w:szCs w:val="26"/>
        </w:rPr>
        <w:t>providing interconnected VoIP service</w:t>
      </w:r>
      <w:r w:rsidR="009810CC">
        <w:rPr>
          <w:szCs w:val="26"/>
        </w:rPr>
        <w:t xml:space="preserve"> that is not exclusively nomadic, or</w:t>
      </w:r>
      <w:r w:rsidR="00C93373">
        <w:rPr>
          <w:szCs w:val="26"/>
        </w:rPr>
        <w:t xml:space="preserve"> </w:t>
      </w:r>
      <w:r w:rsidR="002C0361">
        <w:rPr>
          <w:szCs w:val="26"/>
        </w:rPr>
        <w:t>nomadic</w:t>
      </w:r>
      <w:r w:rsidR="009810CC">
        <w:rPr>
          <w:szCs w:val="26"/>
        </w:rPr>
        <w:t>-only</w:t>
      </w:r>
      <w:r w:rsidR="000133FD">
        <w:rPr>
          <w:szCs w:val="26"/>
        </w:rPr>
        <w:t>.</w:t>
      </w:r>
      <w:r w:rsidR="00CD0E2A">
        <w:rPr>
          <w:szCs w:val="26"/>
        </w:rPr>
        <w:t xml:space="preserve"> </w:t>
      </w:r>
      <w:r w:rsidR="00B0599A">
        <w:rPr>
          <w:szCs w:val="26"/>
        </w:rPr>
        <w:t xml:space="preserve">DVF </w:t>
      </w:r>
      <w:r w:rsidR="00BA0509">
        <w:rPr>
          <w:szCs w:val="26"/>
        </w:rPr>
        <w:t xml:space="preserve">providers </w:t>
      </w:r>
      <w:r w:rsidR="00B0599A">
        <w:rPr>
          <w:szCs w:val="26"/>
        </w:rPr>
        <w:t>will be subject to</w:t>
      </w:r>
      <w:r w:rsidR="00004B1F">
        <w:rPr>
          <w:szCs w:val="26"/>
        </w:rPr>
        <w:t xml:space="preserve"> operating authority</w:t>
      </w:r>
      <w:r w:rsidR="00CD0E2A">
        <w:rPr>
          <w:szCs w:val="26"/>
        </w:rPr>
        <w:t xml:space="preserve"> </w:t>
      </w:r>
      <w:r w:rsidR="004A5D23">
        <w:rPr>
          <w:szCs w:val="26"/>
        </w:rPr>
        <w:t xml:space="preserve">requirements </w:t>
      </w:r>
      <w:r w:rsidR="00654A7F">
        <w:rPr>
          <w:szCs w:val="26"/>
        </w:rPr>
        <w:t xml:space="preserve">similar to </w:t>
      </w:r>
      <w:r w:rsidR="00C82F85">
        <w:rPr>
          <w:szCs w:val="26"/>
        </w:rPr>
        <w:t xml:space="preserve">those for </w:t>
      </w:r>
      <w:r w:rsidR="00E52012">
        <w:rPr>
          <w:szCs w:val="26"/>
        </w:rPr>
        <w:t xml:space="preserve">traditional </w:t>
      </w:r>
      <w:r w:rsidRPr="00082649" w:rsidR="00CA5AFE">
        <w:rPr>
          <w:szCs w:val="26"/>
        </w:rPr>
        <w:t xml:space="preserve">wireline </w:t>
      </w:r>
      <w:r w:rsidR="0079120A">
        <w:rPr>
          <w:szCs w:val="26"/>
        </w:rPr>
        <w:t>providers</w:t>
      </w:r>
      <w:r w:rsidRPr="00082649" w:rsidR="00CA5AFE">
        <w:rPr>
          <w:szCs w:val="26"/>
        </w:rPr>
        <w:t>.</w:t>
      </w:r>
    </w:p>
    <w:p w:rsidR="00A96B31" w:rsidP="00CA5AFE" w:rsidRDefault="00F50D36" w14:paraId="213D09DD" w14:textId="18540067">
      <w:pPr>
        <w:pStyle w:val="Standard"/>
        <w:rPr>
          <w:szCs w:val="26"/>
        </w:rPr>
      </w:pPr>
      <w:r>
        <w:rPr>
          <w:szCs w:val="26"/>
        </w:rPr>
        <w:lastRenderedPageBreak/>
        <w:t xml:space="preserve">DVN </w:t>
      </w:r>
      <w:r w:rsidR="00EF1F8F">
        <w:rPr>
          <w:szCs w:val="26"/>
        </w:rPr>
        <w:t>providers</w:t>
      </w:r>
      <w:r w:rsidR="00CB79EB">
        <w:rPr>
          <w:szCs w:val="26"/>
        </w:rPr>
        <w:t xml:space="preserve"> are </w:t>
      </w:r>
      <w:r w:rsidR="00542367">
        <w:rPr>
          <w:szCs w:val="26"/>
        </w:rPr>
        <w:t xml:space="preserve">those </w:t>
      </w:r>
      <w:r w:rsidR="00CB79EB">
        <w:rPr>
          <w:szCs w:val="26"/>
        </w:rPr>
        <w:t xml:space="preserve">telephone corporations </w:t>
      </w:r>
      <w:r w:rsidR="0016785B">
        <w:rPr>
          <w:szCs w:val="26"/>
        </w:rPr>
        <w:t>offering only nomadic interconnected VoIP service,</w:t>
      </w:r>
      <w:r w:rsidR="006D2720">
        <w:rPr>
          <w:szCs w:val="26"/>
        </w:rPr>
        <w:t xml:space="preserve"> and thus </w:t>
      </w:r>
      <w:r w:rsidR="00F355ED">
        <w:rPr>
          <w:szCs w:val="26"/>
        </w:rPr>
        <w:t xml:space="preserve">would fall within the </w:t>
      </w:r>
      <w:r w:rsidR="00E11403">
        <w:rPr>
          <w:szCs w:val="26"/>
        </w:rPr>
        <w:t xml:space="preserve">terms of the </w:t>
      </w:r>
      <w:r w:rsidR="00F355ED">
        <w:rPr>
          <w:szCs w:val="26"/>
        </w:rPr>
        <w:t>FCC</w:t>
      </w:r>
      <w:r w:rsidR="00893D67">
        <w:rPr>
          <w:szCs w:val="26"/>
        </w:rPr>
        <w:t>’</w:t>
      </w:r>
      <w:r w:rsidR="00F355ED">
        <w:rPr>
          <w:szCs w:val="26"/>
        </w:rPr>
        <w:t xml:space="preserve">s </w:t>
      </w:r>
      <w:r w:rsidRPr="009544D6" w:rsidR="00F355ED">
        <w:rPr>
          <w:i/>
          <w:szCs w:val="26"/>
        </w:rPr>
        <w:t>Vonage Order</w:t>
      </w:r>
      <w:r w:rsidR="00F355ED">
        <w:rPr>
          <w:szCs w:val="26"/>
        </w:rPr>
        <w:t>,</w:t>
      </w:r>
      <w:r w:rsidR="001C0B54">
        <w:rPr>
          <w:szCs w:val="26"/>
        </w:rPr>
        <w:t xml:space="preserve"> </w:t>
      </w:r>
      <w:r w:rsidR="00F355ED">
        <w:rPr>
          <w:szCs w:val="26"/>
        </w:rPr>
        <w:t>discussed above.</w:t>
      </w:r>
      <w:r w:rsidR="00CD0E2A">
        <w:rPr>
          <w:szCs w:val="26"/>
        </w:rPr>
        <w:t xml:space="preserve"> </w:t>
      </w:r>
      <w:r w:rsidR="001C0B54">
        <w:rPr>
          <w:szCs w:val="26"/>
        </w:rPr>
        <w:t xml:space="preserve">Thus, </w:t>
      </w:r>
      <w:r w:rsidR="006F1DF7">
        <w:rPr>
          <w:szCs w:val="26"/>
        </w:rPr>
        <w:t xml:space="preserve">DVN </w:t>
      </w:r>
      <w:r w:rsidR="006D1D88">
        <w:rPr>
          <w:szCs w:val="26"/>
        </w:rPr>
        <w:t xml:space="preserve">providers </w:t>
      </w:r>
      <w:r w:rsidR="007B0AC5">
        <w:rPr>
          <w:szCs w:val="26"/>
        </w:rPr>
        <w:t>will be subject to</w:t>
      </w:r>
      <w:r w:rsidR="002A3031">
        <w:rPr>
          <w:szCs w:val="26"/>
        </w:rPr>
        <w:t xml:space="preserve"> </w:t>
      </w:r>
      <w:r w:rsidR="00004B1F">
        <w:rPr>
          <w:szCs w:val="26"/>
        </w:rPr>
        <w:t xml:space="preserve">operating authority </w:t>
      </w:r>
      <w:r w:rsidR="008E1D08">
        <w:rPr>
          <w:szCs w:val="26"/>
        </w:rPr>
        <w:t>requirements</w:t>
      </w:r>
      <w:r w:rsidR="009F0810">
        <w:rPr>
          <w:szCs w:val="26"/>
        </w:rPr>
        <w:t xml:space="preserve"> similar</w:t>
      </w:r>
      <w:r w:rsidR="00057E27">
        <w:rPr>
          <w:szCs w:val="26"/>
        </w:rPr>
        <w:t xml:space="preserve"> to </w:t>
      </w:r>
      <w:r w:rsidRPr="00082649" w:rsidR="00CA5AFE">
        <w:rPr>
          <w:szCs w:val="26"/>
        </w:rPr>
        <w:t>wireless</w:t>
      </w:r>
      <w:r w:rsidR="00F75B9A">
        <w:rPr>
          <w:szCs w:val="26"/>
        </w:rPr>
        <w:t xml:space="preserve"> </w:t>
      </w:r>
      <w:r w:rsidR="00A01C2A">
        <w:rPr>
          <w:szCs w:val="26"/>
        </w:rPr>
        <w:t>providers</w:t>
      </w:r>
      <w:r w:rsidRPr="00082649" w:rsidDel="00F75B9A" w:rsidR="00CA5AFE">
        <w:rPr>
          <w:szCs w:val="26"/>
        </w:rPr>
        <w:t>.</w:t>
      </w:r>
    </w:p>
    <w:p w:rsidRPr="00CA5AFE" w:rsidR="00CA5AFE" w:rsidP="00083A32" w:rsidRDefault="00CA5AFE" w14:paraId="5940F75F" w14:textId="78A47EC3">
      <w:pPr>
        <w:pStyle w:val="Standard"/>
      </w:pPr>
      <w:r>
        <w:rPr>
          <w:szCs w:val="26"/>
        </w:rPr>
        <w:t>Th</w:t>
      </w:r>
      <w:r w:rsidR="00B0402B">
        <w:rPr>
          <w:szCs w:val="26"/>
        </w:rPr>
        <w:t xml:space="preserve">is </w:t>
      </w:r>
      <w:r w:rsidR="003B053D">
        <w:rPr>
          <w:szCs w:val="26"/>
        </w:rPr>
        <w:t>interconnected VoIP</w:t>
      </w:r>
      <w:r>
        <w:rPr>
          <w:szCs w:val="26"/>
        </w:rPr>
        <w:t xml:space="preserve"> regulatory framework includes the </w:t>
      </w:r>
      <w:r w:rsidR="005F55CB">
        <w:rPr>
          <w:szCs w:val="26"/>
        </w:rPr>
        <w:t xml:space="preserve">specific </w:t>
      </w:r>
      <w:r>
        <w:rPr>
          <w:szCs w:val="26"/>
        </w:rPr>
        <w:t>process</w:t>
      </w:r>
      <w:r w:rsidR="004246E2">
        <w:rPr>
          <w:szCs w:val="26"/>
        </w:rPr>
        <w:t>es</w:t>
      </w:r>
      <w:r>
        <w:rPr>
          <w:szCs w:val="26"/>
        </w:rPr>
        <w:t xml:space="preserve"> and procedures</w:t>
      </w:r>
      <w:r w:rsidR="00065E37">
        <w:rPr>
          <w:szCs w:val="26"/>
        </w:rPr>
        <w:t xml:space="preserve"> that</w:t>
      </w:r>
      <w:r w:rsidDel="00065E37">
        <w:rPr>
          <w:szCs w:val="26"/>
        </w:rPr>
        <w:t xml:space="preserve"> </w:t>
      </w:r>
      <w:r>
        <w:rPr>
          <w:szCs w:val="26"/>
        </w:rPr>
        <w:t>apply</w:t>
      </w:r>
      <w:r w:rsidR="00065E37">
        <w:rPr>
          <w:szCs w:val="26"/>
        </w:rPr>
        <w:t xml:space="preserve"> to</w:t>
      </w:r>
      <w:r w:rsidR="005F55CB">
        <w:rPr>
          <w:szCs w:val="26"/>
        </w:rPr>
        <w:t xml:space="preserve"> DVF and DVN </w:t>
      </w:r>
      <w:r w:rsidR="000817D3">
        <w:rPr>
          <w:szCs w:val="26"/>
        </w:rPr>
        <w:t>providers</w:t>
      </w:r>
      <w:r>
        <w:rPr>
          <w:szCs w:val="26"/>
        </w:rPr>
        <w:t xml:space="preserve"> for operating authority or registration with the Commission, as well as ongoing obligations that apply thereafter. The application or registration </w:t>
      </w:r>
      <w:r w:rsidR="00211DF9">
        <w:rPr>
          <w:szCs w:val="26"/>
        </w:rPr>
        <w:t>processes and procedures</w:t>
      </w:r>
      <w:r>
        <w:rPr>
          <w:szCs w:val="26"/>
        </w:rPr>
        <w:t xml:space="preserve"> are described in </w:t>
      </w:r>
      <w:r w:rsidR="0033191D">
        <w:rPr>
          <w:szCs w:val="26"/>
        </w:rPr>
        <w:t>Section </w:t>
      </w:r>
      <w:r w:rsidR="006031F9">
        <w:rPr>
          <w:szCs w:val="26"/>
        </w:rPr>
        <w:t>6</w:t>
      </w:r>
      <w:r>
        <w:rPr>
          <w:szCs w:val="26"/>
        </w:rPr>
        <w:t xml:space="preserve"> of this decision</w:t>
      </w:r>
      <w:r w:rsidR="004E3961">
        <w:rPr>
          <w:szCs w:val="26"/>
        </w:rPr>
        <w:t xml:space="preserve">:  </w:t>
      </w:r>
      <w:r w:rsidR="00211DF9">
        <w:rPr>
          <w:i/>
          <w:iCs/>
          <w:szCs w:val="26"/>
        </w:rPr>
        <w:t>Streamlining</w:t>
      </w:r>
      <w:r>
        <w:rPr>
          <w:i/>
          <w:iCs/>
          <w:szCs w:val="26"/>
        </w:rPr>
        <w:t xml:space="preserve"> </w:t>
      </w:r>
      <w:r w:rsidR="00602E0C">
        <w:rPr>
          <w:i/>
          <w:iCs/>
          <w:szCs w:val="26"/>
        </w:rPr>
        <w:t xml:space="preserve">the </w:t>
      </w:r>
      <w:r>
        <w:rPr>
          <w:i/>
          <w:iCs/>
          <w:szCs w:val="26"/>
        </w:rPr>
        <w:t>Application and Registration Processes</w:t>
      </w:r>
      <w:r w:rsidR="00211DF9">
        <w:rPr>
          <w:i/>
          <w:iCs/>
          <w:szCs w:val="26"/>
        </w:rPr>
        <w:t xml:space="preserve"> Including Interconnected VoIP</w:t>
      </w:r>
      <w:r>
        <w:rPr>
          <w:i/>
          <w:iCs/>
          <w:szCs w:val="26"/>
        </w:rPr>
        <w:t xml:space="preserve">. </w:t>
      </w:r>
      <w:r w:rsidR="0033191D">
        <w:rPr>
          <w:szCs w:val="26"/>
        </w:rPr>
        <w:t>Section </w:t>
      </w:r>
      <w:r w:rsidR="00B53F80">
        <w:rPr>
          <w:szCs w:val="26"/>
        </w:rPr>
        <w:t>8</w:t>
      </w:r>
      <w:r>
        <w:rPr>
          <w:szCs w:val="26"/>
        </w:rPr>
        <w:t xml:space="preserve"> of this decision</w:t>
      </w:r>
      <w:r w:rsidR="00E11403">
        <w:rPr>
          <w:szCs w:val="26"/>
        </w:rPr>
        <w:t>,</w:t>
      </w:r>
      <w:r>
        <w:rPr>
          <w:szCs w:val="26"/>
        </w:rPr>
        <w:t xml:space="preserve"> </w:t>
      </w:r>
      <w:r w:rsidRPr="000837B0" w:rsidR="00E53996">
        <w:rPr>
          <w:i/>
          <w:iCs/>
          <w:szCs w:val="26"/>
        </w:rPr>
        <w:t xml:space="preserve">Regulatory </w:t>
      </w:r>
      <w:r>
        <w:rPr>
          <w:i/>
          <w:iCs/>
          <w:szCs w:val="26"/>
        </w:rPr>
        <w:t>Obligations</w:t>
      </w:r>
      <w:r w:rsidR="00E53996">
        <w:rPr>
          <w:i/>
          <w:iCs/>
          <w:szCs w:val="26"/>
        </w:rPr>
        <w:t xml:space="preserve"> for </w:t>
      </w:r>
      <w:r w:rsidR="00602E0C">
        <w:rPr>
          <w:i/>
          <w:iCs/>
          <w:szCs w:val="26"/>
        </w:rPr>
        <w:t>All Telephone Corporatio</w:t>
      </w:r>
      <w:r w:rsidR="00042110">
        <w:rPr>
          <w:i/>
          <w:iCs/>
          <w:szCs w:val="26"/>
        </w:rPr>
        <w:t>n</w:t>
      </w:r>
      <w:r w:rsidR="00602E0C">
        <w:rPr>
          <w:i/>
          <w:iCs/>
          <w:szCs w:val="26"/>
        </w:rPr>
        <w:t>s including</w:t>
      </w:r>
      <w:r w:rsidR="00E53996">
        <w:rPr>
          <w:i/>
          <w:iCs/>
          <w:szCs w:val="26"/>
        </w:rPr>
        <w:t xml:space="preserve"> Interconnected VoIP</w:t>
      </w:r>
      <w:r w:rsidR="00B53F80">
        <w:rPr>
          <w:i/>
          <w:iCs/>
          <w:szCs w:val="26"/>
        </w:rPr>
        <w:t xml:space="preserve"> </w:t>
      </w:r>
      <w:r w:rsidR="00E11403">
        <w:rPr>
          <w:i/>
          <w:iCs/>
          <w:szCs w:val="26"/>
        </w:rPr>
        <w:t>Service Providers</w:t>
      </w:r>
      <w:r w:rsidR="00E11403">
        <w:rPr>
          <w:szCs w:val="26"/>
        </w:rPr>
        <w:t>,</w:t>
      </w:r>
      <w:r>
        <w:t xml:space="preserve"> recites the existing statutory provisions of the </w:t>
      </w:r>
      <w:r w:rsidR="007E4707">
        <w:t>Public Utilities</w:t>
      </w:r>
      <w:r>
        <w:t xml:space="preserve"> Code as well as the Rules of Practice and Procedure and </w:t>
      </w:r>
      <w:r w:rsidR="00D722D9">
        <w:t>General Or</w:t>
      </w:r>
      <w:r>
        <w:t xml:space="preserve">ders of the Commission which apply generally to </w:t>
      </w:r>
      <w:r w:rsidR="00E53996">
        <w:t xml:space="preserve">interconnected VoIP </w:t>
      </w:r>
      <w:r w:rsidR="00083A32">
        <w:t xml:space="preserve">service </w:t>
      </w:r>
      <w:r w:rsidR="00E53996">
        <w:t>providers, with distinctions based on facilities</w:t>
      </w:r>
      <w:r w:rsidR="006951D5">
        <w:noBreakHyphen/>
      </w:r>
      <w:r w:rsidR="00E53996">
        <w:t>status and fixed or nomadic status</w:t>
      </w:r>
      <w:r>
        <w:t>.</w:t>
      </w:r>
    </w:p>
    <w:p w:rsidR="00CA5AFE" w:rsidP="000A2CD0" w:rsidRDefault="00CA5AFE" w14:paraId="7BEBD5FE" w14:textId="121DFBFF">
      <w:pPr>
        <w:pStyle w:val="Heading2"/>
      </w:pPr>
      <w:bookmarkStart w:name="_Toc176770934" w:id="55"/>
      <w:bookmarkStart w:name="_Toc177021132" w:id="56"/>
      <w:bookmarkStart w:name="_Toc181692881" w:id="57"/>
      <w:r>
        <w:t>Fixed</w:t>
      </w:r>
      <w:r w:rsidR="00966F23">
        <w:t xml:space="preserve"> Interconnected </w:t>
      </w:r>
      <w:r w:rsidRPr="19E6B670" w:rsidR="009D389C">
        <w:t>Voice Over Internet Protocol</w:t>
      </w:r>
      <w:r w:rsidR="00966F23">
        <w:t xml:space="preserve"> Service Functionally Similar to </w:t>
      </w:r>
      <w:r w:rsidR="008D7C17">
        <w:t xml:space="preserve">Traditional </w:t>
      </w:r>
      <w:r w:rsidR="00966F23">
        <w:t>Wireline Phone Service</w:t>
      </w:r>
      <w:bookmarkEnd w:id="55"/>
      <w:bookmarkEnd w:id="56"/>
      <w:bookmarkEnd w:id="57"/>
    </w:p>
    <w:p w:rsidR="003D56E5" w:rsidP="00966F23" w:rsidRDefault="0058428F" w14:paraId="25BA121B" w14:textId="6BA32852">
      <w:pPr>
        <w:pStyle w:val="Standard"/>
      </w:pPr>
      <w:r>
        <w:t>Some p</w:t>
      </w:r>
      <w:r w:rsidR="00966F23">
        <w:t xml:space="preserve">arties </w:t>
      </w:r>
      <w:r>
        <w:t>assert</w:t>
      </w:r>
      <w:r w:rsidR="00966F23">
        <w:t xml:space="preserve"> that </w:t>
      </w:r>
      <w:r w:rsidR="003850AD">
        <w:t xml:space="preserve">interconnected </w:t>
      </w:r>
      <w:r w:rsidR="00966F23">
        <w:t>VoIP services are functionally similar to traditional wireline services.</w:t>
      </w:r>
      <w:r w:rsidR="00966F23">
        <w:rPr>
          <w:rStyle w:val="FootnoteReference"/>
        </w:rPr>
        <w:footnoteReference w:id="84"/>
      </w:r>
      <w:r w:rsidR="00966F23">
        <w:t xml:space="preserve"> Fixed interconnected VoIP</w:t>
      </w:r>
      <w:r w:rsidR="004115A0">
        <w:t xml:space="preserve"> service</w:t>
      </w:r>
      <w:r w:rsidR="00966F23">
        <w:t xml:space="preserve"> marketing makes little to no reference to the underlying technology supporting the home phone service advertised by Comcast, AT&amp;T, Verizon, Cox or Frontier.</w:t>
      </w:r>
      <w:r w:rsidR="00966F23">
        <w:rPr>
          <w:rStyle w:val="FootnoteReference"/>
        </w:rPr>
        <w:footnoteReference w:id="85"/>
      </w:r>
      <w:r w:rsidR="00966F23">
        <w:t xml:space="preserve"> From a consumer perspective, the underlying technology enabling </w:t>
      </w:r>
      <w:r w:rsidR="00966F23">
        <w:lastRenderedPageBreak/>
        <w:t>their home telephone service may provide additional functionality and possibly a mobile add</w:t>
      </w:r>
      <w:r w:rsidR="006951D5">
        <w:noBreakHyphen/>
      </w:r>
      <w:r w:rsidR="00966F23">
        <w:t>on option, but the need for reliable home phone service does not change.</w:t>
      </w:r>
    </w:p>
    <w:p w:rsidR="00966F23" w:rsidP="00966F23" w:rsidRDefault="00966F23" w14:paraId="45A79879" w14:textId="03CC6FBF">
      <w:pPr>
        <w:pStyle w:val="Standard"/>
        <w:rPr>
          <w:sz w:val="24"/>
          <w:szCs w:val="24"/>
        </w:rPr>
      </w:pPr>
      <w:r>
        <w:t>The Staff Proposal recommended interconnected VoIP service be classified as either local or long</w:t>
      </w:r>
      <w:r w:rsidR="006951D5">
        <w:noBreakHyphen/>
      </w:r>
      <w:r>
        <w:t>distance service.</w:t>
      </w:r>
      <w:r>
        <w:rPr>
          <w:rStyle w:val="FootnoteReference"/>
        </w:rPr>
        <w:footnoteReference w:id="86"/>
      </w:r>
      <w:r>
        <w:t xml:space="preserve"> However, parties argued that such a </w:t>
      </w:r>
      <w:r w:rsidR="00EE47D0">
        <w:t>distinction</w:t>
      </w:r>
      <w:r w:rsidRPr="00AD4A8B">
        <w:t xml:space="preserve"> demonstrat</w:t>
      </w:r>
      <w:r>
        <w:t>ed</w:t>
      </w:r>
      <w:r w:rsidRPr="00AD4A8B">
        <w:t xml:space="preserve"> the </w:t>
      </w:r>
      <w:r w:rsidR="009F6632">
        <w:t>traditional</w:t>
      </w:r>
      <w:r w:rsidRPr="00AD4A8B">
        <w:t xml:space="preserve"> wireline regulatory framework</w:t>
      </w:r>
      <w:r w:rsidR="00893D67">
        <w:t>’</w:t>
      </w:r>
      <w:r w:rsidRPr="00AD4A8B">
        <w:t>s inapplicability to interconnected VoIP service.</w:t>
      </w:r>
    </w:p>
    <w:p w:rsidR="003D56E5" w:rsidP="00966F23" w:rsidRDefault="005A204B" w14:paraId="591FFBBC" w14:textId="5531E833">
      <w:pPr>
        <w:pStyle w:val="Standard"/>
      </w:pPr>
      <w:r>
        <w:t xml:space="preserve">We </w:t>
      </w:r>
      <w:r w:rsidR="00C92A78">
        <w:t>are persuaded</w:t>
      </w:r>
      <w:r w:rsidRPr="00AD4A8B" w:rsidR="00966F23">
        <w:t xml:space="preserve"> that </w:t>
      </w:r>
      <w:r w:rsidR="00966F23">
        <w:t>the legacy classifications of local and long</w:t>
      </w:r>
      <w:r w:rsidR="006951D5">
        <w:noBreakHyphen/>
      </w:r>
      <w:r w:rsidR="00966F23">
        <w:t xml:space="preserve">distance service within the </w:t>
      </w:r>
      <w:r w:rsidR="00DB12E0">
        <w:t xml:space="preserve">traditional </w:t>
      </w:r>
      <w:r w:rsidR="00966F23">
        <w:t xml:space="preserve">wireline regulatory framework are inapplicable to interconnected VoIP service. </w:t>
      </w:r>
      <w:r w:rsidR="00547AA0">
        <w:t xml:space="preserve">Accordingly, </w:t>
      </w:r>
      <w:r w:rsidR="00966F23">
        <w:t xml:space="preserve">the </w:t>
      </w:r>
      <w:r w:rsidR="00DA2DFB">
        <w:t xml:space="preserve">existing </w:t>
      </w:r>
      <w:r w:rsidR="0033191D">
        <w:t>Section </w:t>
      </w:r>
      <w:r w:rsidR="00966F23">
        <w:t xml:space="preserve">1013 </w:t>
      </w:r>
      <w:r w:rsidR="00BB5250">
        <w:t xml:space="preserve">registration </w:t>
      </w:r>
      <w:r w:rsidR="00966F23">
        <w:t>process</w:t>
      </w:r>
      <w:r w:rsidR="007701C8">
        <w:t xml:space="preserve"> </w:t>
      </w:r>
      <w:r w:rsidR="00026591">
        <w:t>is updated to</w:t>
      </w:r>
      <w:r w:rsidDel="007701C8" w:rsidR="00966F23">
        <w:t xml:space="preserve"> </w:t>
      </w:r>
      <w:r w:rsidR="00966F23">
        <w:t>remove this unnecessary distinction</w:t>
      </w:r>
      <w:r w:rsidR="00CE7AF2">
        <w:t xml:space="preserve"> for interconnected VoIP service providers</w:t>
      </w:r>
      <w:r w:rsidR="00966F23">
        <w:t>.</w:t>
      </w:r>
      <w:r w:rsidR="007C64C5">
        <w:t xml:space="preserve"> </w:t>
      </w:r>
      <w:r w:rsidR="00026591">
        <w:t xml:space="preserve">Likewise, </w:t>
      </w:r>
      <w:r w:rsidR="007C64C5">
        <w:t xml:space="preserve">the Nomadic Registration process for DVN </w:t>
      </w:r>
      <w:r w:rsidR="005E263C">
        <w:t>providers</w:t>
      </w:r>
      <w:r w:rsidR="007C64C5">
        <w:t xml:space="preserve"> will not have this distinction.</w:t>
      </w:r>
    </w:p>
    <w:p w:rsidR="00CA5AFE" w:rsidP="000A2CD0" w:rsidRDefault="00966F23" w14:paraId="613B4C50" w14:textId="6E554AB5">
      <w:pPr>
        <w:pStyle w:val="Heading2"/>
      </w:pPr>
      <w:bookmarkStart w:name="_Toc176770935" w:id="58"/>
      <w:bookmarkStart w:name="_Toc177021133" w:id="59"/>
      <w:bookmarkStart w:name="_Toc181692882" w:id="60"/>
      <w:r>
        <w:t>Uniform Licensing</w:t>
      </w:r>
      <w:r w:rsidR="001952A8">
        <w:t xml:space="preserve"> Requirements</w:t>
      </w:r>
      <w:r>
        <w:t xml:space="preserve"> </w:t>
      </w:r>
      <w:r w:rsidR="00DC6876">
        <w:t xml:space="preserve">Necessary </w:t>
      </w:r>
      <w:r w:rsidR="004626AE">
        <w:t>for</w:t>
      </w:r>
      <w:r w:rsidR="00990F97">
        <w:t xml:space="preserve"> </w:t>
      </w:r>
      <w:r>
        <w:t>Competitive and Technological Neutrality</w:t>
      </w:r>
      <w:bookmarkEnd w:id="58"/>
      <w:bookmarkEnd w:id="59"/>
      <w:bookmarkEnd w:id="60"/>
    </w:p>
    <w:p w:rsidR="00E92D3C" w:rsidP="00E92D3C" w:rsidRDefault="00E92D3C" w14:paraId="3759E563" w14:textId="1A72363F">
      <w:pPr>
        <w:pStyle w:val="Standard"/>
      </w:pPr>
      <w:r>
        <w:t xml:space="preserve">This proceeding revealed considerable variation in the licensing status of currently operating interconnected VoIP </w:t>
      </w:r>
      <w:r w:rsidR="00946745">
        <w:t xml:space="preserve">service </w:t>
      </w:r>
      <w:r>
        <w:t xml:space="preserve">providers, and also </w:t>
      </w:r>
      <w:r w:rsidR="009D58A7">
        <w:t>disparities between</w:t>
      </w:r>
      <w:r>
        <w:t xml:space="preserve"> interconnected VoIP </w:t>
      </w:r>
      <w:r w:rsidR="009D58A7">
        <w:t xml:space="preserve">service </w:t>
      </w:r>
      <w:r>
        <w:t xml:space="preserve">providers </w:t>
      </w:r>
      <w:r w:rsidR="009D58A7">
        <w:t>operating with and without</w:t>
      </w:r>
      <w:r>
        <w:t xml:space="preserve"> authority. </w:t>
      </w:r>
      <w:r w:rsidR="0033191D">
        <w:t>Section </w:t>
      </w:r>
      <w:r w:rsidR="006A5BB3">
        <w:t xml:space="preserve">285 </w:t>
      </w:r>
      <w:r w:rsidR="00F238C8">
        <w:t>registration</w:t>
      </w:r>
      <w:r w:rsidR="006A5BB3">
        <w:t xml:space="preserve"> is inadequate to provide oversight of the regulatory obligations applicable to all interconnected VoIP </w:t>
      </w:r>
      <w:r w:rsidR="007813C0">
        <w:t xml:space="preserve">service </w:t>
      </w:r>
      <w:r w:rsidR="006A5BB3">
        <w:t>providers</w:t>
      </w:r>
      <w:r w:rsidR="00E96BA8">
        <w:t>,</w:t>
      </w:r>
      <w:r w:rsidR="002C3053">
        <w:t xml:space="preserve"> </w:t>
      </w:r>
      <w:r w:rsidR="006A5BB3">
        <w:t xml:space="preserve">including </w:t>
      </w:r>
      <w:r w:rsidR="003B6BFC">
        <w:t xml:space="preserve">those providing only </w:t>
      </w:r>
      <w:r w:rsidR="006A5BB3">
        <w:t>nomadic interconnected VoIP</w:t>
      </w:r>
      <w:r w:rsidR="00464A76">
        <w:t xml:space="preserve"> service</w:t>
      </w:r>
      <w:r w:rsidR="006A5BB3">
        <w:t>. For example, p</w:t>
      </w:r>
      <w:r w:rsidR="008467A4">
        <w:t xml:space="preserve">ublic safety directives explicitly inclusive of </w:t>
      </w:r>
      <w:r w:rsidR="00711273">
        <w:t xml:space="preserve">interconnected </w:t>
      </w:r>
      <w:r w:rsidR="008467A4">
        <w:t xml:space="preserve">VoIP </w:t>
      </w:r>
      <w:r w:rsidR="007813C0">
        <w:t xml:space="preserve">service </w:t>
      </w:r>
      <w:r w:rsidR="008467A4">
        <w:t xml:space="preserve">providers require knowledge of the geographies and physical facilities of </w:t>
      </w:r>
      <w:r w:rsidR="007813C0">
        <w:t xml:space="preserve">interconnected </w:t>
      </w:r>
      <w:r w:rsidR="008467A4">
        <w:t>VoIP</w:t>
      </w:r>
      <w:r w:rsidR="007813C0">
        <w:t xml:space="preserve"> service </w:t>
      </w:r>
      <w:r w:rsidR="008467A4">
        <w:t>to fairly administer</w:t>
      </w:r>
      <w:r w:rsidR="00EF3560">
        <w:t xml:space="preserve"> them</w:t>
      </w:r>
      <w:r w:rsidR="008467A4">
        <w:t>, yet providers</w:t>
      </w:r>
      <w:r w:rsidR="00893D67">
        <w:t>’</w:t>
      </w:r>
      <w:r w:rsidR="008467A4">
        <w:t xml:space="preserve"> discretionary use of licenses to fulfill these obligations obscures the </w:t>
      </w:r>
      <w:r w:rsidR="008467A4">
        <w:lastRenderedPageBreak/>
        <w:t>Commission</w:t>
      </w:r>
      <w:r w:rsidR="00893D67">
        <w:t>’</w:t>
      </w:r>
      <w:r w:rsidR="008467A4">
        <w:t>s ability to oversee vital safety obligations.</w:t>
      </w:r>
      <w:r w:rsidR="00575728">
        <w:t xml:space="preserve"> </w:t>
      </w:r>
      <w:r>
        <w:t>It is contrary to the competitive marketplace to allow providers to discretionarily access the benefits and obligations of operating authority, depending on their unique circumstances.</w:t>
      </w:r>
    </w:p>
    <w:p w:rsidR="009521F8" w:rsidP="00A4318A" w:rsidRDefault="00E92D3C" w14:paraId="01CF86AD" w14:textId="5B65E374">
      <w:pPr>
        <w:pStyle w:val="Standard"/>
      </w:pPr>
      <w:r>
        <w:t xml:space="preserve"> </w:t>
      </w:r>
      <w:r w:rsidR="00003E5E">
        <w:t xml:space="preserve">For example, </w:t>
      </w:r>
      <w:r w:rsidR="009521F8">
        <w:t>Frontier and Consolidated are both Incumbent Local Exchange Carriers (ILEC), though Frontier provides interconnected VoIP service though incumbent companies pursuant to wireline regulating authority</w:t>
      </w:r>
      <w:r w:rsidR="009521F8">
        <w:rPr>
          <w:rStyle w:val="FootnoteReference"/>
        </w:rPr>
        <w:footnoteReference w:id="87"/>
      </w:r>
      <w:r w:rsidR="009521F8">
        <w:t xml:space="preserve"> while Consolidated provides interconnected VoIP service through an affiliate regulated as a long</w:t>
      </w:r>
      <w:r w:rsidR="00844EAF">
        <w:noBreakHyphen/>
      </w:r>
      <w:r w:rsidR="009521F8">
        <w:t>distance provider, with the utility type designation of Interexchange Carrier (IEC).</w:t>
      </w:r>
      <w:r w:rsidR="009521F8">
        <w:rPr>
          <w:rStyle w:val="FootnoteReference"/>
        </w:rPr>
        <w:footnoteReference w:id="88"/>
      </w:r>
      <w:r w:rsidR="009521F8">
        <w:t xml:space="preserve"> Consolidated regards its interconnected VoIP service as unrelated, despite the regulatory authority it holds.</w:t>
      </w:r>
      <w:r w:rsidR="009521F8">
        <w:rPr>
          <w:rStyle w:val="FootnoteReference"/>
        </w:rPr>
        <w:footnoteReference w:id="89"/>
      </w:r>
    </w:p>
    <w:p w:rsidR="00B50C9F" w:rsidP="00A4318A" w:rsidRDefault="00003E5E" w14:paraId="389F3D1C" w14:textId="6DD69663">
      <w:pPr>
        <w:pStyle w:val="Standard"/>
      </w:pPr>
      <w:r>
        <w:t xml:space="preserve">Cox </w:t>
      </w:r>
      <w:r w:rsidR="009521F8">
        <w:t>is</w:t>
      </w:r>
      <w:r w:rsidR="00E92D3C">
        <w:t xml:space="preserve"> regulated as </w:t>
      </w:r>
      <w:r w:rsidR="009521F8">
        <w:t xml:space="preserve">a </w:t>
      </w:r>
      <w:r w:rsidR="00A4318A">
        <w:t>Competitive Local Exchange Carrier (CLEC)</w:t>
      </w:r>
      <w:r w:rsidR="00A4318A">
        <w:rPr>
          <w:rStyle w:val="FootnoteReference"/>
        </w:rPr>
        <w:footnoteReference w:id="90"/>
      </w:r>
      <w:r w:rsidR="00A4318A">
        <w:t xml:space="preserve"> </w:t>
      </w:r>
      <w:r w:rsidR="00E92D3C">
        <w:t xml:space="preserve">pursuant to </w:t>
      </w:r>
      <w:r w:rsidR="0033191D">
        <w:t>Section </w:t>
      </w:r>
      <w:r w:rsidR="00E92D3C">
        <w:t>1001. However, Cox effectively agreed that its fixed interconnected VoIP service would comply with all regulatory obligations applicable to CL</w:t>
      </w:r>
      <w:r w:rsidR="001442DF">
        <w:t>E</w:t>
      </w:r>
      <w:r w:rsidR="00E92D3C">
        <w:t>Cs, pursuant to the terms of its 2015 Settlement Agreement for status as a federal Eligible Telecommunications Carrier</w:t>
      </w:r>
      <w:r w:rsidR="009521F8">
        <w:t>.</w:t>
      </w:r>
      <w:r w:rsidR="00E92D3C">
        <w:rPr>
          <w:rStyle w:val="FootnoteReference"/>
        </w:rPr>
        <w:footnoteReference w:id="91"/>
      </w:r>
    </w:p>
    <w:p w:rsidR="0092135A" w:rsidP="00E92D3C" w:rsidRDefault="00E92D3C" w14:paraId="29974214" w14:textId="42D0B689">
      <w:pPr>
        <w:pStyle w:val="Standard"/>
      </w:pPr>
      <w:r>
        <w:t xml:space="preserve">Among the Small LECs, </w:t>
      </w:r>
      <w:r w:rsidR="00051878">
        <w:t xml:space="preserve">only </w:t>
      </w:r>
      <w:r w:rsidR="00701EC0">
        <w:t>one affiliate</w:t>
      </w:r>
      <w:r w:rsidR="00015AAA">
        <w:t xml:space="preserve"> registered under </w:t>
      </w:r>
      <w:r w:rsidR="002043BE">
        <w:t>Section</w:t>
      </w:r>
      <w:r w:rsidR="00844EAF">
        <w:t> </w:t>
      </w:r>
      <w:r w:rsidR="00015AAA">
        <w:t>285</w:t>
      </w:r>
      <w:r w:rsidR="00042110">
        <w:t xml:space="preserve"> offer</w:t>
      </w:r>
      <w:r w:rsidR="00067837">
        <w:t>s</w:t>
      </w:r>
      <w:r>
        <w:t xml:space="preserve"> interconnected VoIP </w:t>
      </w:r>
      <w:r w:rsidR="0075579B">
        <w:t>service</w:t>
      </w:r>
      <w:r w:rsidR="00701EC0">
        <w:t xml:space="preserve">: </w:t>
      </w:r>
      <w:r w:rsidR="00042110">
        <w:t xml:space="preserve"> </w:t>
      </w:r>
      <w:r w:rsidR="00881A4A">
        <w:t xml:space="preserve">TDS </w:t>
      </w:r>
      <w:proofErr w:type="spellStart"/>
      <w:r w:rsidR="00881A4A">
        <w:t>Metrocom</w:t>
      </w:r>
      <w:proofErr w:type="spellEnd"/>
      <w:r w:rsidR="00881A4A">
        <w:t xml:space="preserve"> LLC</w:t>
      </w:r>
      <w:r w:rsidRPr="00881A4A" w:rsidR="00042110">
        <w:t>.</w:t>
      </w:r>
      <w:r>
        <w:rPr>
          <w:rStyle w:val="FootnoteReference"/>
        </w:rPr>
        <w:footnoteReference w:id="92"/>
      </w:r>
    </w:p>
    <w:p w:rsidR="0092135A" w:rsidP="00E92D3C" w:rsidRDefault="00E92D3C" w14:paraId="0E5C948D" w14:textId="1D052850">
      <w:pPr>
        <w:pStyle w:val="Standard"/>
      </w:pPr>
      <w:r>
        <w:lastRenderedPageBreak/>
        <w:t>Charter</w:t>
      </w:r>
      <w:r w:rsidR="00893D67">
        <w:t>’</w:t>
      </w:r>
      <w:r>
        <w:t>s interconnected VoIP service providers are all fully regulated telephone corporations</w:t>
      </w:r>
      <w:r w:rsidR="00042110">
        <w:t>,</w:t>
      </w:r>
      <w:r>
        <w:t xml:space="preserve"> yet it explains it has a fourth affiliate registered pursuant to </w:t>
      </w:r>
      <w:r w:rsidR="0033191D">
        <w:t>Section </w:t>
      </w:r>
      <w:r>
        <w:t>285 to pay and remit the required surcharges.</w:t>
      </w:r>
      <w:r>
        <w:rPr>
          <w:rStyle w:val="FootnoteReference"/>
        </w:rPr>
        <w:footnoteReference w:id="93"/>
      </w:r>
    </w:p>
    <w:p w:rsidR="00A96B31" w:rsidP="00E92D3C" w:rsidRDefault="00E92D3C" w14:paraId="2A1DA937" w14:textId="44FF359F">
      <w:pPr>
        <w:pStyle w:val="Standard"/>
      </w:pPr>
      <w:r>
        <w:t>Comcast reports an opposite approach</w:t>
      </w:r>
      <w:r w:rsidR="004E3961">
        <w:t xml:space="preserve">:  </w:t>
      </w:r>
      <w:r>
        <w:t xml:space="preserve">it operates its interconnected VoIP service through </w:t>
      </w:r>
      <w:r w:rsidR="006530F8">
        <w:t xml:space="preserve">Comcast IP Phone, </w:t>
      </w:r>
      <w:r>
        <w:t xml:space="preserve">a corporate entity that has no license and is not registered pursuant to </w:t>
      </w:r>
      <w:r w:rsidR="0033191D">
        <w:t>Section </w:t>
      </w:r>
      <w:r>
        <w:t xml:space="preserve">285. Instead, Comcast meets its </w:t>
      </w:r>
      <w:r w:rsidR="0033191D">
        <w:t>Section </w:t>
      </w:r>
      <w:r>
        <w:t>285 regulatory obligation to collect and remit surcharges through its regulated affiliate</w:t>
      </w:r>
      <w:r w:rsidR="0068185E">
        <w:t xml:space="preserve"> with no retail customer</w:t>
      </w:r>
      <w:r w:rsidR="006530F8">
        <w:t>s</w:t>
      </w:r>
      <w:r>
        <w:t xml:space="preserve">, Comcast Phone, which </w:t>
      </w:r>
      <w:r w:rsidR="007D2669">
        <w:t xml:space="preserve">it </w:t>
      </w:r>
      <w:r>
        <w:t>describes as having a separate construction authority.</w:t>
      </w:r>
      <w:r>
        <w:rPr>
          <w:rStyle w:val="FootnoteReference"/>
        </w:rPr>
        <w:footnoteReference w:id="94"/>
      </w:r>
      <w:r>
        <w:t xml:space="preserve"> Comcast </w:t>
      </w:r>
      <w:r w:rsidR="00695E02">
        <w:t xml:space="preserve">explains </w:t>
      </w:r>
      <w:r w:rsidR="006530F8">
        <w:t>t</w:t>
      </w:r>
      <w:r w:rsidR="00695E02">
        <w:t>he physical facilities Comcast IP Phone use</w:t>
      </w:r>
      <w:r w:rsidR="006530F8">
        <w:t xml:space="preserve">s </w:t>
      </w:r>
      <w:r w:rsidR="00695E02">
        <w:t xml:space="preserve">to provide interconnected VoIP service are owned and operated </w:t>
      </w:r>
      <w:r w:rsidR="006530F8">
        <w:t xml:space="preserve">its </w:t>
      </w:r>
      <w:r w:rsidR="008B1A18">
        <w:t>affiliate Comcast Cable Communications Management, LLC.</w:t>
      </w:r>
      <w:r w:rsidR="008B1A18">
        <w:rPr>
          <w:rStyle w:val="FootnoteReference"/>
        </w:rPr>
        <w:footnoteReference w:id="95"/>
      </w:r>
    </w:p>
    <w:p w:rsidR="00CA5AFE" w:rsidP="000A2CD0" w:rsidRDefault="00E92D3C" w14:paraId="7641F279" w14:textId="26356B97">
      <w:pPr>
        <w:pStyle w:val="Heading2"/>
      </w:pPr>
      <w:bookmarkStart w:name="_Toc176770936" w:id="61"/>
      <w:bookmarkStart w:name="_Toc177021134" w:id="62"/>
      <w:bookmarkStart w:name="_Toc181692883" w:id="63"/>
      <w:r>
        <w:t xml:space="preserve">Interconnected </w:t>
      </w:r>
      <w:r w:rsidRPr="19E6B670" w:rsidR="009D389C">
        <w:t>Voice Over Internet</w:t>
      </w:r>
      <w:r w:rsidR="000D7D93">
        <w:br/>
      </w:r>
      <w:r w:rsidRPr="19E6B670" w:rsidR="009D389C">
        <w:t>Protocol</w:t>
      </w:r>
      <w:r>
        <w:t xml:space="preserve"> Service Generally</w:t>
      </w:r>
      <w:bookmarkEnd w:id="61"/>
      <w:bookmarkEnd w:id="62"/>
      <w:bookmarkEnd w:id="63"/>
    </w:p>
    <w:p w:rsidRPr="00D769D9" w:rsidR="00E164C9" w:rsidP="00E164C9" w:rsidRDefault="00E164C9" w14:paraId="2701D34A" w14:textId="417E24CF">
      <w:pPr>
        <w:pStyle w:val="Standard"/>
      </w:pPr>
      <w:r>
        <w:t xml:space="preserve">All interconnected VoIP </w:t>
      </w:r>
      <w:r w:rsidR="00B659A8">
        <w:t xml:space="preserve">service </w:t>
      </w:r>
      <w:r>
        <w:t>providers</w:t>
      </w:r>
      <w:r w:rsidRPr="007A7422">
        <w:t xml:space="preserve"> </w:t>
      </w:r>
      <w:r>
        <w:t xml:space="preserve">except providers of </w:t>
      </w:r>
      <w:r w:rsidR="004C1771">
        <w:t>only</w:t>
      </w:r>
      <w:r w:rsidR="00CD0E2A">
        <w:t xml:space="preserve"> </w:t>
      </w:r>
      <w:r>
        <w:t xml:space="preserve">nomadic interconnected VoIP service, will be subject to authority to operate pursuant to either </w:t>
      </w:r>
      <w:r w:rsidR="0033191D">
        <w:t>Section </w:t>
      </w:r>
      <w:r>
        <w:t xml:space="preserve">1001 or </w:t>
      </w:r>
      <w:r w:rsidR="0033191D">
        <w:t>Section </w:t>
      </w:r>
      <w:r>
        <w:t>1013. This decision adds to the existing</w:t>
      </w:r>
      <w:r w:rsidRPr="00D769D9">
        <w:t xml:space="preserve"> regulatory framework</w:t>
      </w:r>
      <w:r>
        <w:t>s</w:t>
      </w:r>
      <w:r w:rsidRPr="00D769D9">
        <w:t xml:space="preserve"> for telephone corporations</w:t>
      </w:r>
      <w:r>
        <w:t xml:space="preserve"> a fourth framework for interconnected VoIP service. From the date of issuance of this decision, telephone corporations will fall within </w:t>
      </w:r>
      <w:r w:rsidR="00AA6629">
        <w:t>at least</w:t>
      </w:r>
      <w:r>
        <w:t xml:space="preserve"> one of the following categories of voice service:</w:t>
      </w:r>
    </w:p>
    <w:p w:rsidRPr="00D769D9" w:rsidR="00E164C9" w:rsidP="008C4EB9" w:rsidRDefault="00E164C9" w14:paraId="0C1383F2" w14:textId="77777777">
      <w:pPr>
        <w:pStyle w:val="BlockQuoteH025"/>
        <w:keepNext/>
        <w:numPr>
          <w:ilvl w:val="1"/>
          <w:numId w:val="9"/>
        </w:numPr>
        <w:ind w:left="1080"/>
      </w:pPr>
      <w:r w:rsidRPr="00D769D9">
        <w:t>Local exchange service;</w:t>
      </w:r>
    </w:p>
    <w:p w:rsidR="00A96B31" w:rsidP="008C4EB9" w:rsidRDefault="00E164C9" w14:paraId="2142D67B" w14:textId="77777777">
      <w:pPr>
        <w:pStyle w:val="BlockQuoteH025"/>
        <w:numPr>
          <w:ilvl w:val="1"/>
          <w:numId w:val="9"/>
        </w:numPr>
        <w:ind w:left="1080"/>
      </w:pPr>
      <w:r w:rsidRPr="00D769D9">
        <w:t>Interexchange service;</w:t>
      </w:r>
    </w:p>
    <w:p w:rsidR="00E164C9" w:rsidP="008C4EB9" w:rsidRDefault="00E164C9" w14:paraId="5FA40EFE" w14:textId="4EF17C85">
      <w:pPr>
        <w:pStyle w:val="BlockQuoteH025"/>
        <w:keepNext/>
        <w:numPr>
          <w:ilvl w:val="1"/>
          <w:numId w:val="9"/>
        </w:numPr>
        <w:ind w:left="1080"/>
      </w:pPr>
      <w:r w:rsidRPr="00D769D9">
        <w:lastRenderedPageBreak/>
        <w:t>Wireless service</w:t>
      </w:r>
      <w:r>
        <w:t>; and</w:t>
      </w:r>
    </w:p>
    <w:p w:rsidRPr="00061354" w:rsidR="00E164C9" w:rsidP="008C4EB9" w:rsidRDefault="00E164C9" w14:paraId="33E004AF" w14:textId="62BFCF7E">
      <w:pPr>
        <w:pStyle w:val="BlockQuoteH025"/>
        <w:numPr>
          <w:ilvl w:val="1"/>
          <w:numId w:val="9"/>
        </w:numPr>
        <w:ind w:left="1080"/>
      </w:pPr>
      <w:r w:rsidRPr="00061354">
        <w:t>Interconnected VoIP service</w:t>
      </w:r>
      <w:r w:rsidR="008C4EB9">
        <w:t>.</w:t>
      </w:r>
    </w:p>
    <w:p w:rsidR="00E164C9" w:rsidP="00E164C9" w:rsidRDefault="00E164C9" w14:paraId="34208252" w14:textId="161ACFEC">
      <w:pPr>
        <w:pStyle w:val="Standard"/>
      </w:pPr>
      <w:r>
        <w:t>The industry parties generally objected to requiring interconnected VoIP service providers to obtain operating authority. Some argue that it would be unnecessary and contrary to the goals of supporting competition and protecting consumers. For example, US Telecom states regulation arguably would have promoted fairness to customers in a monopolistic environment, but regulation today would undermine private investment and hamper competition.</w:t>
      </w:r>
      <w:r>
        <w:rPr>
          <w:rStyle w:val="FootnoteReference"/>
        </w:rPr>
        <w:footnoteReference w:id="96"/>
      </w:r>
      <w:r>
        <w:t xml:space="preserve"> Cloud cites </w:t>
      </w:r>
      <w:r w:rsidR="00893D67">
        <w:t>“</w:t>
      </w:r>
      <w:r>
        <w:t>close to one thousand businesses actively serving the California market with VoIP services</w:t>
      </w:r>
      <w:r w:rsidR="00893D67">
        <w:t>”</w:t>
      </w:r>
      <w:r>
        <w:t xml:space="preserve"> with reference to 893 </w:t>
      </w:r>
      <w:r w:rsidR="0000098B">
        <w:t>interconnected VoIP</w:t>
      </w:r>
      <w:r>
        <w:t xml:space="preserve"> providers registered with the FCC.</w:t>
      </w:r>
      <w:r>
        <w:rPr>
          <w:rStyle w:val="FootnoteReference"/>
        </w:rPr>
        <w:footnoteReference w:id="97"/>
      </w:r>
    </w:p>
    <w:p w:rsidR="003D56E5" w:rsidP="00E164C9" w:rsidRDefault="00A439A9" w14:paraId="6F5EA24F" w14:textId="026166FD">
      <w:pPr>
        <w:pStyle w:val="Standard"/>
      </w:pPr>
      <w:r>
        <w:t>Small Business</w:t>
      </w:r>
      <w:r w:rsidR="00E164C9">
        <w:t xml:space="preserve"> and Joint Consumers support requiring interconnected VoIP service providers to obtain operating authority.</w:t>
      </w:r>
      <w:r w:rsidR="00E164C9">
        <w:rPr>
          <w:rStyle w:val="FootnoteReference"/>
        </w:rPr>
        <w:footnoteReference w:id="98"/>
      </w:r>
      <w:r w:rsidR="00E164C9">
        <w:t xml:space="preserve"> Joint Consumers assert that</w:t>
      </w:r>
      <w:r w:rsidR="0092135A">
        <w:t>,</w:t>
      </w:r>
      <w:r w:rsidR="00E164C9">
        <w:t xml:space="preserve"> from the </w:t>
      </w:r>
      <w:r w:rsidR="0000098B">
        <w:t>interconnected VoIP</w:t>
      </w:r>
      <w:r w:rsidR="00E164C9">
        <w:t xml:space="preserve"> consumer perspective, the product they are receiving is telephone service.</w:t>
      </w:r>
      <w:r w:rsidR="00E164C9">
        <w:rPr>
          <w:rStyle w:val="FootnoteReference"/>
        </w:rPr>
        <w:footnoteReference w:id="99"/>
      </w:r>
      <w:r w:rsidR="00E164C9">
        <w:t xml:space="preserve"> Consumers are often unaware whether a telephone call is enabled by traditional telephony or interconnected VoIP service. Joint Consumers state that interconnected VoIP</w:t>
      </w:r>
      <w:r w:rsidR="00BA3871">
        <w:t xml:space="preserve"> service</w:t>
      </w:r>
      <w:r w:rsidR="00E164C9">
        <w:t xml:space="preserve"> providers market their interconnected VoIP service as simply phone service, or even home phone service, and some limit the use of the service to a specific location.</w:t>
      </w:r>
      <w:r w:rsidR="00E164C9">
        <w:rPr>
          <w:rStyle w:val="FootnoteReference"/>
        </w:rPr>
        <w:footnoteReference w:id="100"/>
      </w:r>
      <w:r w:rsidR="009810CC">
        <w:t xml:space="preserve"> </w:t>
      </w:r>
      <w:r w:rsidRPr="009810CC" w:rsidR="009810CC">
        <w:t xml:space="preserve">Sonic asserts </w:t>
      </w:r>
      <w:r w:rsidRPr="009810CC" w:rsidR="009810CC">
        <w:lastRenderedPageBreak/>
        <w:t>that consumers do not care about the underlying technical details of how their voice telephony is provisioned.</w:t>
      </w:r>
      <w:r w:rsidRPr="009810CC" w:rsidR="009810CC">
        <w:rPr>
          <w:vertAlign w:val="superscript"/>
        </w:rPr>
        <w:footnoteReference w:id="101"/>
      </w:r>
    </w:p>
    <w:p w:rsidR="003D56E5" w:rsidP="00D53C44" w:rsidRDefault="00E164C9" w14:paraId="0CB779F5" w14:textId="001AD5F9">
      <w:pPr>
        <w:pStyle w:val="Standard"/>
      </w:pPr>
      <w:r>
        <w:t>Parties</w:t>
      </w:r>
      <w:r w:rsidR="00893D67">
        <w:t>’</w:t>
      </w:r>
      <w:r>
        <w:t xml:space="preserve"> recommendations to reinstate the </w:t>
      </w:r>
      <w:r w:rsidR="0033191D">
        <w:t>Section </w:t>
      </w:r>
      <w:r>
        <w:t>285 registration process</w:t>
      </w:r>
      <w:r>
        <w:rPr>
          <w:rStyle w:val="FootnoteReference"/>
        </w:rPr>
        <w:footnoteReference w:id="102"/>
      </w:r>
      <w:r>
        <w:t xml:space="preserve"> conflict with the fundamental policy objectives of competitive neutrality and customer transparency.</w:t>
      </w:r>
      <w:r w:rsidR="00CD0E2A">
        <w:t xml:space="preserve"> </w:t>
      </w:r>
      <w:r w:rsidR="00035E13">
        <w:t xml:space="preserve">As explained above, </w:t>
      </w:r>
      <w:r>
        <w:t xml:space="preserve">nomadic interconnected VoIP </w:t>
      </w:r>
      <w:r w:rsidR="00421924">
        <w:t xml:space="preserve">service </w:t>
      </w:r>
      <w:r>
        <w:t xml:space="preserve">providers are not </w:t>
      </w:r>
      <w:r w:rsidR="0092135A">
        <w:t>required</w:t>
      </w:r>
      <w:r>
        <w:t xml:space="preserve"> to</w:t>
      </w:r>
      <w:r w:rsidR="00FA6424">
        <w:t xml:space="preserve"> obtain</w:t>
      </w:r>
      <w:r w:rsidDel="00FA6424">
        <w:t xml:space="preserve"> </w:t>
      </w:r>
      <w:r>
        <w:t>operating authority</w:t>
      </w:r>
      <w:r w:rsidR="0028252B">
        <w:t xml:space="preserve"> pursuant to </w:t>
      </w:r>
      <w:r w:rsidR="00D10EB2">
        <w:t>Section </w:t>
      </w:r>
      <w:r w:rsidR="00E77EA0">
        <w:t xml:space="preserve">1001 or </w:t>
      </w:r>
      <w:r w:rsidR="00D10EB2">
        <w:t>Section </w:t>
      </w:r>
      <w:r w:rsidR="00E77EA0">
        <w:t>1013 and</w:t>
      </w:r>
      <w:r w:rsidR="004E32B6">
        <w:t>,</w:t>
      </w:r>
      <w:r w:rsidR="00E77EA0">
        <w:t xml:space="preserve"> therefore, </w:t>
      </w:r>
      <w:r w:rsidR="005A7830">
        <w:t>must</w:t>
      </w:r>
      <w:r>
        <w:t xml:space="preserve"> attest that</w:t>
      </w:r>
      <w:r w:rsidR="00680ADB">
        <w:t xml:space="preserve"> the service they offer is only</w:t>
      </w:r>
      <w:r>
        <w:t xml:space="preserve"> nomadic</w:t>
      </w:r>
      <w:r w:rsidR="00EA7E66">
        <w:t xml:space="preserve"> interconnected VoIP</w:t>
      </w:r>
      <w:r w:rsidR="00062ED2">
        <w:t xml:space="preserve"> (</w:t>
      </w:r>
      <w:r w:rsidRPr="004A120D" w:rsidR="004A120D">
        <w:rPr>
          <w:i/>
          <w:iCs/>
        </w:rPr>
        <w:t>i.e.</w:t>
      </w:r>
      <w:r w:rsidR="00062ED2">
        <w:t xml:space="preserve">, </w:t>
      </w:r>
      <w:r w:rsidR="001D44E7">
        <w:t>without a</w:t>
      </w:r>
      <w:r w:rsidR="00062ED2">
        <w:t xml:space="preserve"> fixed </w:t>
      </w:r>
      <w:r w:rsidR="00A1608F">
        <w:t>component)</w:t>
      </w:r>
      <w:r>
        <w:t>.</w:t>
      </w:r>
    </w:p>
    <w:p w:rsidR="00A96B31" w:rsidP="00E164C9" w:rsidRDefault="00E164C9" w14:paraId="364D7AE4" w14:textId="77777777">
      <w:pPr>
        <w:pStyle w:val="Standard"/>
      </w:pPr>
      <w:r>
        <w:t>Parties also recommend the Commission create a unique classification, or utility type, specific to interconnected VoIP service.</w:t>
      </w:r>
      <w:r>
        <w:rPr>
          <w:rStyle w:val="FootnoteReference"/>
        </w:rPr>
        <w:footnoteReference w:id="103"/>
      </w:r>
    </w:p>
    <w:p w:rsidR="00E164C9" w:rsidP="00E164C9" w:rsidRDefault="00E164C9" w14:paraId="3BCD6493" w14:textId="18762BD8">
      <w:pPr>
        <w:pStyle w:val="Standard"/>
      </w:pPr>
      <w:r>
        <w:t>Establishing new utility type codes for interconnected VoIP service is consistent with the Commission</w:t>
      </w:r>
      <w:r w:rsidR="00893D67">
        <w:t>’</w:t>
      </w:r>
      <w:r>
        <w:t xml:space="preserve">s historical approach of treating unique types of providers differently. </w:t>
      </w:r>
      <w:r w:rsidR="001643FB">
        <w:t xml:space="preserve">For example, </w:t>
      </w:r>
      <w:r w:rsidR="00B759A8">
        <w:rPr>
          <w:lang w:val="en-ZW"/>
        </w:rPr>
        <w:t>i</w:t>
      </w:r>
      <w:r w:rsidR="001643FB">
        <w:rPr>
          <w:lang w:val="en-ZW"/>
        </w:rPr>
        <w:t xml:space="preserve">nterconnected VoIP service providers were issued utility type </w:t>
      </w:r>
      <w:r w:rsidRPr="00AF38EE" w:rsidR="00AF38EE">
        <w:rPr>
          <w:lang w:val="en-ZW"/>
        </w:rPr>
        <w:t>Digital Voice Service (DVS)</w:t>
      </w:r>
      <w:r w:rsidR="001643FB">
        <w:rPr>
          <w:lang w:val="en-ZW"/>
        </w:rPr>
        <w:t xml:space="preserve"> when registered. </w:t>
      </w:r>
      <w:r>
        <w:t>Cal Broadband provide</w:t>
      </w:r>
      <w:r w:rsidR="00463C66">
        <w:t>d</w:t>
      </w:r>
      <w:r>
        <w:t xml:space="preserve"> the historical example of how, following the breakup of AT&amp;T</w:t>
      </w:r>
      <w:r w:rsidR="00893D67">
        <w:t>’</w:t>
      </w:r>
      <w:r>
        <w:t xml:space="preserve">s </w:t>
      </w:r>
      <w:r>
        <w:lastRenderedPageBreak/>
        <w:t xml:space="preserve">telephone monopoly in California, the Commission created the classifications of </w:t>
      </w:r>
      <w:r w:rsidR="00EC6AA1">
        <w:t>C</w:t>
      </w:r>
      <w:r>
        <w:t>LECs and IECs, to reflect provision of local telephone service within a specified area and long</w:t>
      </w:r>
      <w:r w:rsidR="006951D5">
        <w:noBreakHyphen/>
      </w:r>
      <w:r>
        <w:t xml:space="preserve">distance telephone service outside of that specified area. Cal Broadband also recites Commission history of establishing the wireless classifications of CMRS and radiotelephone utilities (RTUs), </w:t>
      </w:r>
      <w:r w:rsidR="00285F29">
        <w:t xml:space="preserve">as well </w:t>
      </w:r>
      <w:r>
        <w:t>a</w:t>
      </w:r>
      <w:r w:rsidR="00285F29">
        <w:t>s</w:t>
      </w:r>
      <w:r>
        <w:t xml:space="preserve"> CL</w:t>
      </w:r>
      <w:r w:rsidR="0056046B">
        <w:t>E</w:t>
      </w:r>
      <w:r>
        <w:t>Cs.</w:t>
      </w:r>
      <w:r>
        <w:rPr>
          <w:rStyle w:val="FootnoteReference"/>
        </w:rPr>
        <w:footnoteReference w:id="104"/>
      </w:r>
    </w:p>
    <w:p w:rsidR="00A96B31" w:rsidP="00E164C9" w:rsidRDefault="00773A31" w14:paraId="51B9AFCB" w14:textId="4C5D0B01">
      <w:pPr>
        <w:pStyle w:val="Standard"/>
      </w:pPr>
      <w:r w:rsidRPr="00773A31">
        <w:t>To effectively implement the regulatory framework established by this decision</w:t>
      </w:r>
      <w:r w:rsidR="00463C66">
        <w:t>, t</w:t>
      </w:r>
      <w:r w:rsidRPr="00807A16" w:rsidR="00763721">
        <w:t>h</w:t>
      </w:r>
      <w:r w:rsidR="00763721">
        <w:t xml:space="preserve">e Commission </w:t>
      </w:r>
      <w:r w:rsidR="00A247B0">
        <w:t>distinguishes</w:t>
      </w:r>
      <w:r w:rsidRPr="00807A16" w:rsidR="00763721">
        <w:t xml:space="preserve"> interconnected VoIP</w:t>
      </w:r>
      <w:r w:rsidR="00763721">
        <w:t xml:space="preserve"> service providers</w:t>
      </w:r>
      <w:r w:rsidR="00A247B0">
        <w:t xml:space="preserve"> </w:t>
      </w:r>
      <w:r w:rsidRPr="00A247B0" w:rsidR="00A247B0">
        <w:t>for which states are prohibited from applying market entry requirements as Nomadic-only. I</w:t>
      </w:r>
      <w:r w:rsidR="00E164C9">
        <w:t xml:space="preserve">nterconnected VoIP </w:t>
      </w:r>
      <w:r w:rsidR="00736345">
        <w:t xml:space="preserve">service </w:t>
      </w:r>
      <w:r w:rsidR="00E164C9">
        <w:t xml:space="preserve">providers will be issued a utility identification (ID) number and </w:t>
      </w:r>
      <w:r w:rsidR="00B36C93">
        <w:t xml:space="preserve">designated the </w:t>
      </w:r>
      <w:r w:rsidR="00E164C9">
        <w:t>appropriate utility type</w:t>
      </w:r>
      <w:r w:rsidR="004E3961">
        <w:t>:</w:t>
      </w:r>
      <w:bookmarkStart w:name="_Toc8123718" w:id="64"/>
      <w:r w:rsidRPr="00807A16" w:rsidR="003833D9">
        <w:t xml:space="preserve"> </w:t>
      </w:r>
      <w:r w:rsidR="006F6118">
        <w:t>i</w:t>
      </w:r>
      <w:r w:rsidRPr="00807A16" w:rsidR="003833D9">
        <w:t xml:space="preserve">nterconnected VoIP </w:t>
      </w:r>
      <w:r w:rsidR="003833D9">
        <w:t xml:space="preserve">service providers </w:t>
      </w:r>
      <w:r w:rsidR="001A01BB">
        <w:t xml:space="preserve">will be assigned a </w:t>
      </w:r>
      <w:r w:rsidRPr="00807A16" w:rsidR="003833D9">
        <w:t>DVF</w:t>
      </w:r>
      <w:r w:rsidR="001A01BB">
        <w:t xml:space="preserve"> utility type </w:t>
      </w:r>
      <w:r w:rsidRPr="00941F54" w:rsidR="00941F54">
        <w:t>unless they attest to providing</w:t>
      </w:r>
      <w:r w:rsidRPr="00807A16" w:rsidR="003833D9">
        <w:t xml:space="preserve"> </w:t>
      </w:r>
      <w:r w:rsidR="006F6118">
        <w:t>n</w:t>
      </w:r>
      <w:r w:rsidRPr="00807A16" w:rsidR="003833D9">
        <w:t>omadic</w:t>
      </w:r>
      <w:r w:rsidR="006951D5">
        <w:noBreakHyphen/>
      </w:r>
      <w:r w:rsidR="006F6118">
        <w:t>only</w:t>
      </w:r>
      <w:r w:rsidR="00727E09">
        <w:t>.</w:t>
      </w:r>
      <w:r w:rsidRPr="00727E09" w:rsidR="00727E09">
        <w:t xml:space="preserve"> Those attesting to providing nomadic-only </w:t>
      </w:r>
      <w:r w:rsidR="006F6118">
        <w:t>i</w:t>
      </w:r>
      <w:r w:rsidRPr="00807A16" w:rsidR="003833D9">
        <w:t>nterconnected</w:t>
      </w:r>
      <w:r w:rsidR="003833D9">
        <w:t xml:space="preserve"> VoIP service </w:t>
      </w:r>
      <w:r w:rsidR="001A01BB">
        <w:t>will be assigned a</w:t>
      </w:r>
      <w:r w:rsidR="003833D9">
        <w:t xml:space="preserve"> </w:t>
      </w:r>
      <w:r w:rsidRPr="00807A16" w:rsidR="003833D9">
        <w:t>DVN</w:t>
      </w:r>
      <w:r w:rsidR="001A01BB">
        <w:t xml:space="preserve"> utility type</w:t>
      </w:r>
      <w:r w:rsidRPr="00807A16" w:rsidR="003833D9">
        <w:t>.</w:t>
      </w:r>
    </w:p>
    <w:p w:rsidR="00B83C1E" w:rsidP="000A2CD0" w:rsidRDefault="00B83C1E" w14:paraId="0E48533E" w14:textId="557056AB">
      <w:pPr>
        <w:pStyle w:val="Heading2"/>
      </w:pPr>
      <w:bookmarkStart w:name="_Toc176770937" w:id="65"/>
      <w:bookmarkStart w:name="_Toc177021135" w:id="66"/>
      <w:bookmarkStart w:name="_Toc181692884" w:id="67"/>
      <w:r>
        <w:t>Facilities Status</w:t>
      </w:r>
      <w:bookmarkEnd w:id="65"/>
      <w:bookmarkEnd w:id="66"/>
      <w:bookmarkEnd w:id="67"/>
    </w:p>
    <w:p w:rsidR="00DA4CF6" w:rsidP="00DA4CF6" w:rsidRDefault="00DA4CF6" w14:paraId="08D2BBAB" w14:textId="29AF4D0F">
      <w:pPr>
        <w:pStyle w:val="Standard"/>
      </w:pPr>
      <w:r>
        <w:t xml:space="preserve">All regulatory frameworks have specific requirements, processes and obligations depending on </w:t>
      </w:r>
      <w:r w:rsidR="00EE1C8D">
        <w:t>the nature and exten</w:t>
      </w:r>
      <w:r w:rsidR="000A4966">
        <w:t>t</w:t>
      </w:r>
      <w:r w:rsidR="00EE1C8D">
        <w:t xml:space="preserve"> of the telecommunications infrastructure owned and operated by the provider. </w:t>
      </w:r>
      <w:r w:rsidR="00AD71BB">
        <w:t>The definitions of facilities</w:t>
      </w:r>
      <w:r w:rsidR="006951D5">
        <w:noBreakHyphen/>
      </w:r>
      <w:r w:rsidR="00AD71BB">
        <w:t>based service developed as different parts of the telephone network transitioned from monopoly to competitive.</w:t>
      </w:r>
      <w:r w:rsidR="00AD71BB">
        <w:rPr>
          <w:rStyle w:val="FootnoteReference"/>
        </w:rPr>
        <w:footnoteReference w:id="105"/>
      </w:r>
      <w:r w:rsidR="00AD71BB">
        <w:t xml:space="preserve"> Here, t</w:t>
      </w:r>
      <w:r w:rsidR="00EE1C8D">
        <w:t xml:space="preserve">he Commission uses the </w:t>
      </w:r>
      <w:r w:rsidR="00EE1C8D">
        <w:lastRenderedPageBreak/>
        <w:t>term facilities</w:t>
      </w:r>
      <w:r w:rsidR="006951D5">
        <w:noBreakHyphen/>
      </w:r>
      <w:r w:rsidR="00EE1C8D">
        <w:t>based to mean</w:t>
      </w:r>
      <w:r>
        <w:t xml:space="preserve"> the service provider owns all or part of the network facilities that provision the telephone service.</w:t>
      </w:r>
      <w:r w:rsidR="00CE4A2B">
        <w:t xml:space="preserve"> </w:t>
      </w:r>
      <w:r w:rsidR="00E93D46">
        <w:t xml:space="preserve">As described </w:t>
      </w:r>
      <w:r w:rsidR="003E6308">
        <w:t xml:space="preserve">in </w:t>
      </w:r>
      <w:r w:rsidR="0033191D">
        <w:t>Section </w:t>
      </w:r>
      <w:r w:rsidR="0064437A">
        <w:t xml:space="preserve">6 of this decision, the </w:t>
      </w:r>
      <w:r w:rsidR="0033191D">
        <w:t>Section </w:t>
      </w:r>
      <w:r w:rsidR="0064437A">
        <w:t xml:space="preserve">1013 </w:t>
      </w:r>
      <w:r w:rsidR="00BF514E">
        <w:t xml:space="preserve">registration </w:t>
      </w:r>
      <w:r w:rsidR="0064437A">
        <w:t xml:space="preserve">is </w:t>
      </w:r>
      <w:r w:rsidR="00BF514E">
        <w:t xml:space="preserve">not </w:t>
      </w:r>
      <w:r w:rsidR="0064437A">
        <w:t>available to</w:t>
      </w:r>
      <w:r w:rsidR="00BF514E">
        <w:t xml:space="preserve"> </w:t>
      </w:r>
      <w:r w:rsidR="0064437A">
        <w:t>facilities</w:t>
      </w:r>
      <w:r w:rsidR="006951D5">
        <w:noBreakHyphen/>
      </w:r>
      <w:r w:rsidR="0064437A">
        <w:t>based service providers.</w:t>
      </w:r>
    </w:p>
    <w:p w:rsidRPr="003A5F28" w:rsidR="003A5F28" w:rsidP="003A5F28" w:rsidRDefault="003A5F28" w14:paraId="335F803B" w14:textId="77777777">
      <w:pPr>
        <w:pStyle w:val="Standard"/>
      </w:pPr>
      <w:r w:rsidRPr="003A5F28">
        <w:t>Cloud asserts that the traditional understanding of telephone infrastructure is misapplied to interconnected VoIP service, stating “VoIP relies on cloud-based architecture and dynamic, flexible infrastructure, which is fundamentally different from traditional wireline networks.”</w:t>
      </w:r>
      <w:r w:rsidRPr="003A5F28">
        <w:rPr>
          <w:vertAlign w:val="superscript"/>
        </w:rPr>
        <w:footnoteReference w:id="106"/>
      </w:r>
      <w:r w:rsidRPr="003A5F28">
        <w:t xml:space="preserve"> We agree that a review the definition of the term facilities-based is necessary while integrating </w:t>
      </w:r>
      <w:r w:rsidRPr="003A5F28">
        <w:lastRenderedPageBreak/>
        <w:t xml:space="preserve">interconnected VoIP into the wireline regulatory framework. As discussed further in this decision section 9.1 </w:t>
      </w:r>
      <w:r w:rsidRPr="003A5F28">
        <w:rPr>
          <w:i/>
          <w:iCs/>
        </w:rPr>
        <w:t>Workshop on Application of Wireline Regulatory Framework,</w:t>
      </w:r>
      <w:r w:rsidRPr="003A5F28">
        <w:t xml:space="preserve"> this topic should be further discussed and addressed through workshops.  </w:t>
      </w:r>
    </w:p>
    <w:p w:rsidR="00B67E94" w:rsidP="00B83C1E" w:rsidRDefault="00A86174" w14:paraId="62E8F61C" w14:textId="59590383">
      <w:pPr>
        <w:pStyle w:val="Standard"/>
      </w:pPr>
      <w:r>
        <w:t>All telephone corporations</w:t>
      </w:r>
      <w:r w:rsidR="00F058E8">
        <w:t xml:space="preserve">, including all interconnected VoIP </w:t>
      </w:r>
      <w:r w:rsidR="009F6442">
        <w:t xml:space="preserve">service </w:t>
      </w:r>
      <w:r w:rsidR="00F058E8">
        <w:t xml:space="preserve">providers, that </w:t>
      </w:r>
      <w:r w:rsidR="00B67E94">
        <w:t>own</w:t>
      </w:r>
      <w:r w:rsidR="00F058E8">
        <w:t xml:space="preserve"> </w:t>
      </w:r>
      <w:r w:rsidR="004E5612">
        <w:t xml:space="preserve">telecommunications </w:t>
      </w:r>
      <w:r w:rsidR="00F058E8">
        <w:t xml:space="preserve">network </w:t>
      </w:r>
      <w:r w:rsidR="00B67E94">
        <w:t>facilities</w:t>
      </w:r>
      <w:r w:rsidR="00F058E8">
        <w:t xml:space="preserve"> over which their voice service is transmitted, including switches</w:t>
      </w:r>
      <w:r w:rsidR="00B67E94">
        <w:t xml:space="preserve"> o</w:t>
      </w:r>
      <w:r w:rsidR="00F058E8">
        <w:t xml:space="preserve">r other equipment installed in or on existing buildings, must seek operating authority through </w:t>
      </w:r>
      <w:r w:rsidR="00B67E94">
        <w:t xml:space="preserve">a CPCN application. </w:t>
      </w:r>
      <w:r w:rsidR="0084257B">
        <w:t>Thi</w:t>
      </w:r>
      <w:r w:rsidR="002D0D5A">
        <w:t>s decision makes no change to the rule that</w:t>
      </w:r>
      <w:r w:rsidR="00802DA3">
        <w:t xml:space="preserve"> CPCN operating authority </w:t>
      </w:r>
      <w:r w:rsidR="002D0D5A">
        <w:t>is</w:t>
      </w:r>
      <w:r w:rsidR="00802DA3">
        <w:t xml:space="preserve"> required for all types of providers owning facilities. </w:t>
      </w:r>
      <w:r w:rsidR="00B67E94">
        <w:t xml:space="preserve">For interconnected VoIP </w:t>
      </w:r>
      <w:r w:rsidR="00843E5A">
        <w:t xml:space="preserve">service </w:t>
      </w:r>
      <w:r w:rsidR="00B67E94">
        <w:t>providers without facilities,</w:t>
      </w:r>
      <w:r w:rsidR="0061277E">
        <w:t xml:space="preserve"> they would follow</w:t>
      </w:r>
      <w:r w:rsidR="00B67E94">
        <w:t xml:space="preserve"> </w:t>
      </w:r>
      <w:r w:rsidR="00A65CB0">
        <w:t xml:space="preserve">the </w:t>
      </w:r>
      <w:r w:rsidR="0033191D">
        <w:t>Section </w:t>
      </w:r>
      <w:r w:rsidR="00B67E94">
        <w:t xml:space="preserve">1013 </w:t>
      </w:r>
      <w:r w:rsidR="00A65CB0">
        <w:t xml:space="preserve">registration </w:t>
      </w:r>
      <w:r w:rsidR="00B67E94">
        <w:t xml:space="preserve">or </w:t>
      </w:r>
      <w:r w:rsidR="00E97A7C">
        <w:t>N</w:t>
      </w:r>
      <w:r w:rsidR="00B67E94">
        <w:t xml:space="preserve">omadic </w:t>
      </w:r>
      <w:r w:rsidR="00E97A7C">
        <w:t>R</w:t>
      </w:r>
      <w:r w:rsidR="00B67E94">
        <w:t xml:space="preserve">egistration </w:t>
      </w:r>
      <w:r w:rsidR="0061277E">
        <w:t>processes</w:t>
      </w:r>
      <w:r w:rsidR="00B67E94">
        <w:t>.</w:t>
      </w:r>
    </w:p>
    <w:p w:rsidR="00A96B31" w:rsidP="00C92FBA" w:rsidRDefault="00FF369C" w14:paraId="380584F1" w14:textId="0FA52191">
      <w:pPr>
        <w:pStyle w:val="Standard"/>
      </w:pPr>
      <w:r>
        <w:t xml:space="preserve">The Commission makes further distinction </w:t>
      </w:r>
      <w:r w:rsidR="004B0C9D">
        <w:t xml:space="preserve">herein </w:t>
      </w:r>
      <w:r>
        <w:t>between</w:t>
      </w:r>
      <w:r w:rsidR="00A00658">
        <w:t xml:space="preserve"> </w:t>
      </w:r>
      <w:r w:rsidR="00295036">
        <w:t>full faci</w:t>
      </w:r>
      <w:r w:rsidR="00A00658">
        <w:t>lities</w:t>
      </w:r>
      <w:r w:rsidR="006951D5">
        <w:noBreakHyphen/>
      </w:r>
      <w:r w:rsidR="00A00658">
        <w:t>based</w:t>
      </w:r>
      <w:r w:rsidR="00022270">
        <w:t xml:space="preserve"> and</w:t>
      </w:r>
      <w:r w:rsidR="00A00658">
        <w:t xml:space="preserve"> </w:t>
      </w:r>
      <w:r w:rsidR="00467C84">
        <w:t>limited facilities</w:t>
      </w:r>
      <w:r w:rsidR="006951D5">
        <w:noBreakHyphen/>
      </w:r>
      <w:r w:rsidR="00467C84">
        <w:t>based</w:t>
      </w:r>
      <w:r w:rsidR="00411813">
        <w:t xml:space="preserve"> providers</w:t>
      </w:r>
      <w:r w:rsidR="000F63F4">
        <w:t xml:space="preserve"> </w:t>
      </w:r>
      <w:r w:rsidR="00022270">
        <w:t>when making</w:t>
      </w:r>
      <w:r w:rsidR="006C7CB9">
        <w:t xml:space="preserve"> </w:t>
      </w:r>
      <w:r w:rsidRPr="006C7CB9" w:rsidR="006C7CB9">
        <w:t>CEQA</w:t>
      </w:r>
      <w:r w:rsidR="000F63F4">
        <w:t xml:space="preserve"> determinations for telecommunications </w:t>
      </w:r>
      <w:r w:rsidR="00446ADF">
        <w:t xml:space="preserve">service </w:t>
      </w:r>
      <w:r w:rsidR="000F63F4">
        <w:t>providers</w:t>
      </w:r>
      <w:r w:rsidR="00467C84">
        <w:t>.</w:t>
      </w:r>
      <w:r w:rsidR="00554277">
        <w:rPr>
          <w:rStyle w:val="FootnoteReference"/>
        </w:rPr>
        <w:footnoteReference w:id="107"/>
      </w:r>
      <w:r w:rsidR="00467C84">
        <w:t xml:space="preserve"> </w:t>
      </w:r>
      <w:r w:rsidR="005D5564">
        <w:t>(</w:t>
      </w:r>
      <w:r w:rsidRPr="00CC46DD" w:rsidR="004A5763">
        <w:rPr>
          <w:i/>
          <w:iCs/>
        </w:rPr>
        <w:t>See</w:t>
      </w:r>
      <w:r w:rsidR="005D5564">
        <w:t xml:space="preserve"> </w:t>
      </w:r>
      <w:r w:rsidR="0033191D">
        <w:t>Section </w:t>
      </w:r>
      <w:r w:rsidR="005D5564">
        <w:t>6.1.</w:t>
      </w:r>
      <w:r w:rsidR="00B4581B">
        <w:t>5</w:t>
      </w:r>
      <w:r w:rsidR="005D5564">
        <w:t xml:space="preserve"> of this decision</w:t>
      </w:r>
      <w:r w:rsidR="004A5763">
        <w:t xml:space="preserve"> for discussion of CEQA review</w:t>
      </w:r>
      <w:r w:rsidR="00CC46DD">
        <w:t>.</w:t>
      </w:r>
      <w:r w:rsidR="005D5564">
        <w:t xml:space="preserve">) </w:t>
      </w:r>
      <w:r w:rsidR="00467C84">
        <w:t>I</w:t>
      </w:r>
      <w:r w:rsidR="00B67E94">
        <w:t xml:space="preserve">nterconnected VoIP </w:t>
      </w:r>
      <w:r w:rsidR="0057119F">
        <w:t xml:space="preserve">service </w:t>
      </w:r>
      <w:r w:rsidR="00B67E94">
        <w:t>providers who build in rights</w:t>
      </w:r>
      <w:r w:rsidR="006951D5">
        <w:noBreakHyphen/>
      </w:r>
      <w:r w:rsidR="00B67E94">
        <w:t>of</w:t>
      </w:r>
      <w:r w:rsidR="006951D5">
        <w:noBreakHyphen/>
      </w:r>
      <w:r w:rsidR="00B67E94">
        <w:t>ways or con</w:t>
      </w:r>
      <w:r w:rsidR="000A7081">
        <w:t xml:space="preserve">duct </w:t>
      </w:r>
      <w:r w:rsidR="00B67E94">
        <w:t xml:space="preserve">other trenching activity and </w:t>
      </w:r>
      <w:r w:rsidR="000A7081">
        <w:t xml:space="preserve">construct or install </w:t>
      </w:r>
      <w:r w:rsidR="00B67E94">
        <w:t xml:space="preserve">equipment </w:t>
      </w:r>
      <w:r w:rsidR="000A7081">
        <w:t xml:space="preserve">in trenches </w:t>
      </w:r>
      <w:r w:rsidR="00BE0B0D">
        <w:t xml:space="preserve">will </w:t>
      </w:r>
      <w:r w:rsidR="009166D7">
        <w:t xml:space="preserve">be </w:t>
      </w:r>
      <w:r w:rsidR="00DA4CF6">
        <w:t xml:space="preserve">considered </w:t>
      </w:r>
      <w:r w:rsidR="00295036">
        <w:t>full faci</w:t>
      </w:r>
      <w:r w:rsidR="00B67E94">
        <w:t>lities</w:t>
      </w:r>
      <w:r w:rsidR="006951D5">
        <w:noBreakHyphen/>
      </w:r>
      <w:r w:rsidR="00B67E94">
        <w:t>based</w:t>
      </w:r>
      <w:r w:rsidR="00BE0B0D">
        <w:t>, consistent with existing definitions.</w:t>
      </w:r>
      <w:r w:rsidR="00B67E94">
        <w:t xml:space="preserve"> Interconnected VoIP </w:t>
      </w:r>
      <w:r w:rsidR="00B560C2">
        <w:t xml:space="preserve">service providers </w:t>
      </w:r>
      <w:r w:rsidR="00B67E94">
        <w:t xml:space="preserve">only owning </w:t>
      </w:r>
      <w:r w:rsidR="00DA4CF6">
        <w:t xml:space="preserve">and installing </w:t>
      </w:r>
      <w:r w:rsidR="00B67E94">
        <w:t xml:space="preserve">equipment within existing structures </w:t>
      </w:r>
      <w:r w:rsidR="00B0697E">
        <w:t>or</w:t>
      </w:r>
      <w:r w:rsidRPr="00B0697E" w:rsidR="00B0697E">
        <w:t xml:space="preserve"> facilities of other </w:t>
      </w:r>
      <w:r w:rsidR="00B0697E">
        <w:t xml:space="preserve">licensed </w:t>
      </w:r>
      <w:r w:rsidR="00A43960">
        <w:t>service provider</w:t>
      </w:r>
      <w:r w:rsidRPr="00B0697E" w:rsidR="00B0697E">
        <w:t xml:space="preserve">s, public utilities, </w:t>
      </w:r>
      <w:r w:rsidR="00843400">
        <w:t xml:space="preserve">or </w:t>
      </w:r>
      <w:r w:rsidRPr="00B0697E" w:rsidR="00B0697E">
        <w:t>municipalities,</w:t>
      </w:r>
      <w:r w:rsidR="00FD26CA">
        <w:t xml:space="preserve"> </w:t>
      </w:r>
      <w:r w:rsidR="00000D7A">
        <w:t>will be</w:t>
      </w:r>
      <w:r w:rsidR="00B67E94">
        <w:t xml:space="preserve"> </w:t>
      </w:r>
      <w:r w:rsidR="00DA4CF6">
        <w:t xml:space="preserve">considered </w:t>
      </w:r>
      <w:r w:rsidR="00B67E94">
        <w:t>limited facilities</w:t>
      </w:r>
      <w:r w:rsidR="006951D5">
        <w:noBreakHyphen/>
      </w:r>
      <w:r w:rsidR="00B67E94">
        <w:t>based</w:t>
      </w:r>
      <w:r w:rsidR="00000D7A">
        <w:t>, consistent with existing definitions.</w:t>
      </w:r>
      <w:r w:rsidR="00B67E94">
        <w:t xml:space="preserve"> Interconnected VoIP </w:t>
      </w:r>
      <w:r w:rsidR="003B7936">
        <w:lastRenderedPageBreak/>
        <w:t xml:space="preserve">service providers </w:t>
      </w:r>
      <w:r w:rsidR="00B67E94">
        <w:t xml:space="preserve">that do not </w:t>
      </w:r>
      <w:r w:rsidR="007C4125">
        <w:t xml:space="preserve">own </w:t>
      </w:r>
      <w:r w:rsidR="00317E3F">
        <w:t xml:space="preserve">telecommunications infrastructure necessary for transmitting </w:t>
      </w:r>
      <w:r w:rsidR="0093403D">
        <w:t>telephone calls</w:t>
      </w:r>
      <w:r w:rsidR="00317E3F">
        <w:t xml:space="preserve"> </w:t>
      </w:r>
      <w:r w:rsidR="00000D7A">
        <w:t>will be considered</w:t>
      </w:r>
      <w:r w:rsidR="00317E3F">
        <w:t xml:space="preserve"> non</w:t>
      </w:r>
      <w:r w:rsidR="006951D5">
        <w:noBreakHyphen/>
      </w:r>
      <w:r w:rsidR="00317E3F">
        <w:t>facilities</w:t>
      </w:r>
      <w:r w:rsidR="006951D5">
        <w:noBreakHyphen/>
      </w:r>
      <w:r w:rsidR="00317E3F">
        <w:t>based.</w:t>
      </w:r>
    </w:p>
    <w:p w:rsidR="00CA5AFE" w:rsidP="000A2CD0" w:rsidRDefault="00E92D3C" w14:paraId="2C552D44" w14:textId="5B99D822">
      <w:pPr>
        <w:pStyle w:val="Heading2"/>
      </w:pPr>
      <w:bookmarkStart w:name="_Toc176770938" w:id="68"/>
      <w:bookmarkStart w:name="_Toc177021136" w:id="69"/>
      <w:bookmarkStart w:name="_Toc181692885" w:id="70"/>
      <w:r>
        <w:t xml:space="preserve">Nomadic </w:t>
      </w:r>
      <w:r w:rsidR="008F1144">
        <w:t>Registration</w:t>
      </w:r>
      <w:bookmarkEnd w:id="68"/>
      <w:bookmarkEnd w:id="69"/>
      <w:bookmarkEnd w:id="70"/>
    </w:p>
    <w:p w:rsidR="00A96B31" w:rsidP="003C2BCF" w:rsidRDefault="003C2BCF" w14:paraId="493BC550" w14:textId="729C76A5">
      <w:pPr>
        <w:pStyle w:val="Standard"/>
      </w:pPr>
      <w:r>
        <w:t xml:space="preserve">This decision </w:t>
      </w:r>
      <w:r w:rsidR="006156D6">
        <w:t>establishes</w:t>
      </w:r>
      <w:r>
        <w:t xml:space="preserve"> a formal registration process for nomadic interconnected VoIP</w:t>
      </w:r>
      <w:r w:rsidR="006C4ACB">
        <w:t xml:space="preserve"> service providers</w:t>
      </w:r>
      <w:r>
        <w:t xml:space="preserve"> (</w:t>
      </w:r>
      <w:r w:rsidR="00FD1DE8">
        <w:t>N</w:t>
      </w:r>
      <w:r>
        <w:t xml:space="preserve">omadic </w:t>
      </w:r>
      <w:r w:rsidR="00FD1DE8">
        <w:t>R</w:t>
      </w:r>
      <w:r>
        <w:t>egistration). Th</w:t>
      </w:r>
      <w:r w:rsidR="00657AC6">
        <w:t>e</w:t>
      </w:r>
      <w:r>
        <w:t xml:space="preserve"> </w:t>
      </w:r>
      <w:r w:rsidR="00A11CF4">
        <w:t>N</w:t>
      </w:r>
      <w:r>
        <w:t xml:space="preserve">omadic </w:t>
      </w:r>
      <w:r w:rsidR="00A11CF4">
        <w:t>R</w:t>
      </w:r>
      <w:r>
        <w:t xml:space="preserve">egistration form is contained in </w:t>
      </w:r>
      <w:r w:rsidR="00C04D12">
        <w:t>Appendix </w:t>
      </w:r>
      <w:r>
        <w:t>A</w:t>
      </w:r>
      <w:r w:rsidR="00AB5FC0">
        <w:t xml:space="preserve"> of this decision</w:t>
      </w:r>
      <w:r>
        <w:t xml:space="preserve">. </w:t>
      </w:r>
      <w:r w:rsidR="00C27C33">
        <w:t>N</w:t>
      </w:r>
      <w:r w:rsidRPr="00032086" w:rsidR="00211280">
        <w:t>omadic</w:t>
      </w:r>
      <w:r w:rsidR="00F350C5">
        <w:t>-only</w:t>
      </w:r>
      <w:r w:rsidRPr="00032086" w:rsidR="00211280">
        <w:t xml:space="preserve"> interconnected VoIP</w:t>
      </w:r>
      <w:r w:rsidRPr="00E41E7B" w:rsidR="00211280">
        <w:t xml:space="preserve"> service providers must attest under penalty </w:t>
      </w:r>
      <w:r w:rsidR="00FB61D5">
        <w:t>of</w:t>
      </w:r>
      <w:r w:rsidRPr="00E41E7B" w:rsidR="00211280">
        <w:t xml:space="preserve"> perjury that </w:t>
      </w:r>
      <w:r w:rsidRPr="004F1843" w:rsidR="004F1843">
        <w:t xml:space="preserve">their service has the same characteristics of Vonage’s </w:t>
      </w:r>
      <w:proofErr w:type="spellStart"/>
      <w:r w:rsidRPr="004F1843" w:rsidR="004F1843">
        <w:t>DigitalVoice</w:t>
      </w:r>
      <w:proofErr w:type="spellEnd"/>
      <w:r w:rsidRPr="004F1843" w:rsidR="004F1843">
        <w:t xml:space="preserve"> service at issue in the FCC Vonage Order and </w:t>
      </w:r>
      <w:r w:rsidRPr="00E41E7B" w:rsidR="00211280">
        <w:t xml:space="preserve">they </w:t>
      </w:r>
      <w:r w:rsidR="001C2412">
        <w:t xml:space="preserve">do not have the capability to </w:t>
      </w:r>
      <w:r w:rsidR="008B00A5">
        <w:t xml:space="preserve">track </w:t>
      </w:r>
      <w:r w:rsidR="00910F22">
        <w:t>intrastate and interstate calls</w:t>
      </w:r>
      <w:r w:rsidRPr="00E41E7B" w:rsidR="00211280">
        <w:t xml:space="preserve">. </w:t>
      </w:r>
      <w:r>
        <w:t xml:space="preserve">The </w:t>
      </w:r>
      <w:r w:rsidR="00D36941">
        <w:t>N</w:t>
      </w:r>
      <w:r>
        <w:t xml:space="preserve">omadic </w:t>
      </w:r>
      <w:r w:rsidR="00D36941">
        <w:t>R</w:t>
      </w:r>
      <w:r>
        <w:t xml:space="preserve">egistration </w:t>
      </w:r>
      <w:r w:rsidR="00BA6067">
        <w:t>process is</w:t>
      </w:r>
      <w:r>
        <w:t xml:space="preserve"> delegated to the ministerial approval of the Director of the Communications Division (or its successor). Upon approval,</w:t>
      </w:r>
      <w:r w:rsidDel="00074AAE" w:rsidR="00E45CE9">
        <w:t xml:space="preserve"> </w:t>
      </w:r>
      <w:r>
        <w:t xml:space="preserve">nomadic </w:t>
      </w:r>
      <w:r w:rsidR="00074AAE">
        <w:t>i</w:t>
      </w:r>
      <w:r>
        <w:t xml:space="preserve">nterconnected VoIP </w:t>
      </w:r>
      <w:r w:rsidR="00E45CE9">
        <w:t>service provider</w:t>
      </w:r>
      <w:r w:rsidR="00074AAE">
        <w:t>s</w:t>
      </w:r>
      <w:r w:rsidR="00E45CE9">
        <w:t xml:space="preserve"> </w:t>
      </w:r>
      <w:r>
        <w:t xml:space="preserve">will be issued a </w:t>
      </w:r>
      <w:r w:rsidR="00F93F90">
        <w:t>Utility ID Number</w:t>
      </w:r>
      <w:r>
        <w:t xml:space="preserve"> and </w:t>
      </w:r>
      <w:r w:rsidR="00FB2BDA">
        <w:t xml:space="preserve">designated as </w:t>
      </w:r>
      <w:r>
        <w:t>utility type</w:t>
      </w:r>
      <w:r w:rsidDel="00074AAE">
        <w:t xml:space="preserve"> </w:t>
      </w:r>
      <w:r>
        <w:t>DVN</w:t>
      </w:r>
      <w:r w:rsidR="00E45CE9">
        <w:t>.</w:t>
      </w:r>
    </w:p>
    <w:p w:rsidR="003D56E5" w:rsidP="003C2BCF" w:rsidRDefault="003C2BCF" w14:paraId="4F39A72A" w14:textId="77808795">
      <w:pPr>
        <w:pStyle w:val="Standard"/>
        <w:rPr>
          <w:rFonts w:cs="Arial"/>
          <w:color w:val="000000" w:themeColor="text1"/>
        </w:rPr>
      </w:pPr>
      <w:r>
        <w:t xml:space="preserve">If there are any pending CPCN and </w:t>
      </w:r>
      <w:r w:rsidR="0033191D">
        <w:t>Section </w:t>
      </w:r>
      <w:r>
        <w:t xml:space="preserve">1013 </w:t>
      </w:r>
      <w:r w:rsidR="00FB2BDA">
        <w:t>applications</w:t>
      </w:r>
      <w:r>
        <w:t xml:space="preserve"> with the Commission from </w:t>
      </w:r>
      <w:r w:rsidR="004A0E23">
        <w:t xml:space="preserve">companies </w:t>
      </w:r>
      <w:r w:rsidR="0030271C">
        <w:t xml:space="preserve">offering only </w:t>
      </w:r>
      <w:r>
        <w:t>nomadic interconnected VoIP</w:t>
      </w:r>
      <w:r w:rsidR="0063736B">
        <w:t xml:space="preserve"> service</w:t>
      </w:r>
      <w:r w:rsidR="008239F7">
        <w:t xml:space="preserve">, </w:t>
      </w:r>
      <w:r>
        <w:t>these applications</w:t>
      </w:r>
      <w:r w:rsidR="00A450D2">
        <w:t xml:space="preserve"> </w:t>
      </w:r>
      <w:r w:rsidR="00FA3CFC">
        <w:t>may</w:t>
      </w:r>
      <w:r w:rsidDel="006E169A">
        <w:t xml:space="preserve"> </w:t>
      </w:r>
      <w:r>
        <w:t>be dismissed</w:t>
      </w:r>
      <w:r w:rsidR="00F42A51">
        <w:t>.</w:t>
      </w:r>
      <w:r w:rsidR="00CD0E2A">
        <w:t xml:space="preserve"> </w:t>
      </w:r>
      <w:r w:rsidR="00866BCC">
        <w:t>Prior to</w:t>
      </w:r>
      <w:r w:rsidR="000565D0">
        <w:t xml:space="preserve"> dismissal, the applicant must</w:t>
      </w:r>
      <w:r w:rsidR="001C5D9F">
        <w:t xml:space="preserve"> file </w:t>
      </w:r>
      <w:r w:rsidR="005B358A">
        <w:t xml:space="preserve">in the pending docket </w:t>
      </w:r>
      <w:r w:rsidR="001C5D9F">
        <w:t>an attestation</w:t>
      </w:r>
      <w:r w:rsidRPr="009D455C" w:rsidR="001C5D9F">
        <w:t xml:space="preserve"> </w:t>
      </w:r>
      <w:r w:rsidR="009D455C">
        <w:t>that</w:t>
      </w:r>
      <w:r w:rsidR="004F21B7">
        <w:t xml:space="preserve"> its service meets the qualifications for </w:t>
      </w:r>
      <w:r w:rsidR="00DC0274">
        <w:t xml:space="preserve">the </w:t>
      </w:r>
      <w:r w:rsidR="004F21B7">
        <w:t xml:space="preserve">DVN </w:t>
      </w:r>
      <w:r w:rsidR="00DC0274">
        <w:t>utility type</w:t>
      </w:r>
      <w:r w:rsidR="009D455C">
        <w:t>, such as the one</w:t>
      </w:r>
      <w:r w:rsidRPr="00EC6AA1" w:rsidR="009D455C">
        <w:t xml:space="preserve"> provided in </w:t>
      </w:r>
      <w:r w:rsidR="00C04D12">
        <w:t>Appendix</w:t>
      </w:r>
      <w:r w:rsidR="00844EAF">
        <w:t> </w:t>
      </w:r>
      <w:r w:rsidRPr="00EC6AA1" w:rsidR="009D455C">
        <w:t>A</w:t>
      </w:r>
      <w:r w:rsidR="00EB67B0">
        <w:t>.</w:t>
      </w:r>
      <w:r w:rsidR="00CD0E2A">
        <w:t xml:space="preserve"> </w:t>
      </w:r>
      <w:r w:rsidR="0035319E">
        <w:t>Consistent with this decision, th</w:t>
      </w:r>
      <w:r w:rsidR="00DC6ADD">
        <w:t>e</w:t>
      </w:r>
      <w:r w:rsidR="0035319E">
        <w:t>se companies must now obtain</w:t>
      </w:r>
      <w:r w:rsidRPr="18A5EAEE" w:rsidR="0035319E">
        <w:rPr>
          <w:rFonts w:cs="Arial"/>
          <w:color w:val="000000" w:themeColor="text1"/>
        </w:rPr>
        <w:t xml:space="preserve"> a </w:t>
      </w:r>
      <w:r w:rsidR="0035319E">
        <w:rPr>
          <w:rFonts w:cs="Arial"/>
          <w:color w:val="000000" w:themeColor="text1"/>
        </w:rPr>
        <w:t>N</w:t>
      </w:r>
      <w:r w:rsidRPr="18A5EAEE" w:rsidR="0035319E">
        <w:rPr>
          <w:rFonts w:cs="Arial"/>
          <w:color w:val="000000" w:themeColor="text1"/>
        </w:rPr>
        <w:t xml:space="preserve">omadic </w:t>
      </w:r>
      <w:r w:rsidR="0035319E">
        <w:rPr>
          <w:rFonts w:cs="Arial"/>
          <w:color w:val="000000" w:themeColor="text1"/>
        </w:rPr>
        <w:t>R</w:t>
      </w:r>
      <w:r w:rsidRPr="18A5EAEE" w:rsidR="0035319E">
        <w:rPr>
          <w:rFonts w:cs="Arial"/>
          <w:color w:val="000000" w:themeColor="text1"/>
        </w:rPr>
        <w:t xml:space="preserve">egistration </w:t>
      </w:r>
      <w:r w:rsidR="0035319E">
        <w:rPr>
          <w:rFonts w:cs="Arial"/>
          <w:color w:val="000000" w:themeColor="text1"/>
        </w:rPr>
        <w:t xml:space="preserve">approval from the Director of </w:t>
      </w:r>
      <w:r w:rsidR="00EF09FD">
        <w:rPr>
          <w:rFonts w:cs="Arial"/>
          <w:color w:val="000000" w:themeColor="text1"/>
        </w:rPr>
        <w:t xml:space="preserve">the </w:t>
      </w:r>
      <w:r w:rsidRPr="18A5EAEE" w:rsidR="0035319E">
        <w:rPr>
          <w:rFonts w:cs="Arial"/>
          <w:color w:val="000000" w:themeColor="text1"/>
        </w:rPr>
        <w:t>Communications Division</w:t>
      </w:r>
      <w:r w:rsidR="00866BCC">
        <w:rPr>
          <w:rFonts w:cs="Arial"/>
          <w:color w:val="000000" w:themeColor="text1"/>
        </w:rPr>
        <w:t xml:space="preserve"> by filing a Nomadic Registration form, see </w:t>
      </w:r>
      <w:r w:rsidR="00C04D12">
        <w:rPr>
          <w:rFonts w:cs="Arial"/>
          <w:color w:val="000000" w:themeColor="text1"/>
        </w:rPr>
        <w:t>Appendix</w:t>
      </w:r>
      <w:r w:rsidR="00844EAF">
        <w:rPr>
          <w:rFonts w:cs="Arial"/>
          <w:color w:val="000000" w:themeColor="text1"/>
        </w:rPr>
        <w:t> </w:t>
      </w:r>
      <w:r w:rsidR="00866BCC">
        <w:rPr>
          <w:rFonts w:cs="Arial"/>
          <w:color w:val="000000" w:themeColor="text1"/>
        </w:rPr>
        <w:t>A</w:t>
      </w:r>
      <w:r w:rsidRPr="18A5EAEE" w:rsidR="0035319E">
        <w:rPr>
          <w:rFonts w:cs="Arial"/>
          <w:color w:val="000000" w:themeColor="text1"/>
        </w:rPr>
        <w:t>.</w:t>
      </w:r>
    </w:p>
    <w:p w:rsidR="00B50C9F" w:rsidP="009328A7" w:rsidRDefault="00A33B5A" w14:paraId="1B2FE4B7" w14:textId="581B6E62">
      <w:r>
        <w:t xml:space="preserve">In addition to establishing a </w:t>
      </w:r>
      <w:r w:rsidR="00E9012D">
        <w:t>N</w:t>
      </w:r>
      <w:r>
        <w:t xml:space="preserve">omadic </w:t>
      </w:r>
      <w:r w:rsidR="009C3BAC">
        <w:t>R</w:t>
      </w:r>
      <w:r>
        <w:t xml:space="preserve">egistration, it is reasonable to adopt and require a </w:t>
      </w:r>
      <w:r w:rsidR="00A75C00">
        <w:t>N</w:t>
      </w:r>
      <w:r>
        <w:t xml:space="preserve">omadic </w:t>
      </w:r>
      <w:r w:rsidR="00A75C00">
        <w:t>R</w:t>
      </w:r>
      <w:r>
        <w:t xml:space="preserve">egistration fee to help offset the costs of reviewing, processing and maintaining </w:t>
      </w:r>
      <w:r w:rsidR="003B148E">
        <w:t>N</w:t>
      </w:r>
      <w:r>
        <w:t xml:space="preserve">omadic </w:t>
      </w:r>
      <w:r w:rsidR="003B148E">
        <w:t>R</w:t>
      </w:r>
      <w:r>
        <w:t xml:space="preserve">egistrations. This </w:t>
      </w:r>
      <w:r w:rsidR="004F1843">
        <w:t xml:space="preserve">is </w:t>
      </w:r>
      <w:r w:rsidR="00EB3768">
        <w:t>the</w:t>
      </w:r>
      <w:r>
        <w:t xml:space="preserve"> </w:t>
      </w:r>
      <w:r w:rsidR="00EB3768">
        <w:t xml:space="preserve">same </w:t>
      </w:r>
      <w:r w:rsidR="001C6F1E">
        <w:lastRenderedPageBreak/>
        <w:t>amount</w:t>
      </w:r>
      <w:r w:rsidR="00EB3768">
        <w:t xml:space="preserve"> as </w:t>
      </w:r>
      <w:r>
        <w:t xml:space="preserve">the </w:t>
      </w:r>
      <w:r w:rsidR="001050AA">
        <w:t xml:space="preserve">Wireless registration fee </w:t>
      </w:r>
      <w:r w:rsidR="005234DC">
        <w:t xml:space="preserve">and </w:t>
      </w:r>
      <w:r w:rsidR="002043BE">
        <w:t>Section</w:t>
      </w:r>
      <w:r w:rsidR="00844EAF">
        <w:t> </w:t>
      </w:r>
      <w:r w:rsidR="00B57048">
        <w:t>1013</w:t>
      </w:r>
      <w:r>
        <w:t xml:space="preserve"> registration fee.</w:t>
      </w:r>
      <w:r>
        <w:rPr>
          <w:rStyle w:val="FootnoteReference"/>
        </w:rPr>
        <w:footnoteReference w:id="108"/>
      </w:r>
      <w:r>
        <w:t xml:space="preserve"> </w:t>
      </w:r>
      <w:r w:rsidRPr="00B12098">
        <w:t xml:space="preserve">Therefore, this decision establishes a </w:t>
      </w:r>
      <w:r w:rsidRPr="00B12098" w:rsidR="00324627">
        <w:t>N</w:t>
      </w:r>
      <w:r w:rsidRPr="00B12098">
        <w:t xml:space="preserve">omadic </w:t>
      </w:r>
      <w:r w:rsidRPr="00B12098" w:rsidR="00324627">
        <w:t>R</w:t>
      </w:r>
      <w:r w:rsidRPr="00B12098">
        <w:t>egistration fee</w:t>
      </w:r>
      <w:r w:rsidRPr="00B12098" w:rsidR="00F94C57">
        <w:t xml:space="preserve"> of $250</w:t>
      </w:r>
      <w:r w:rsidRPr="00B12098">
        <w:t xml:space="preserve">. The </w:t>
      </w:r>
      <w:r w:rsidRPr="00B12098" w:rsidR="000804C1">
        <w:t>N</w:t>
      </w:r>
      <w:r w:rsidRPr="00B12098">
        <w:t xml:space="preserve">omadic </w:t>
      </w:r>
      <w:r w:rsidRPr="00B12098" w:rsidR="000804C1">
        <w:t>R</w:t>
      </w:r>
      <w:r w:rsidRPr="00B12098">
        <w:t>egistration</w:t>
      </w:r>
      <w:r w:rsidRPr="00B12098" w:rsidR="00BB42E8">
        <w:t xml:space="preserve"> form</w:t>
      </w:r>
      <w:r w:rsidRPr="00B12098">
        <w:t xml:space="preserve"> shown at </w:t>
      </w:r>
      <w:r w:rsidR="00C04D12">
        <w:t>Appendix </w:t>
      </w:r>
      <w:r w:rsidRPr="00B12098" w:rsidR="00CA6DC0">
        <w:t>A</w:t>
      </w:r>
      <w:r w:rsidRPr="00B12098">
        <w:t xml:space="preserve"> includes this requirement and payment instructions.</w:t>
      </w:r>
    </w:p>
    <w:p w:rsidRPr="00EC6AA1" w:rsidR="009328A7" w:rsidP="009328A7" w:rsidRDefault="00F9633E" w14:paraId="65C1C45C" w14:textId="10E04A92">
      <w:pPr>
        <w:rPr>
          <w:bCs/>
          <w:szCs w:val="26"/>
        </w:rPr>
      </w:pPr>
      <w:r w:rsidRPr="00B12098">
        <w:t>Since</w:t>
      </w:r>
      <w:r w:rsidRPr="00EC6AA1" w:rsidR="008443CE">
        <w:t xml:space="preserve"> the cost of processing the Nomadic Registration increases over time with inflation, </w:t>
      </w:r>
      <w:r w:rsidRPr="00EC6AA1" w:rsidR="009328A7">
        <w:rPr>
          <w:bCs/>
          <w:szCs w:val="26"/>
        </w:rPr>
        <w:t xml:space="preserve">the Commission will adjust the application fee on an annual basis to account for changes to the </w:t>
      </w:r>
      <w:r w:rsidRPr="00EC6AA1" w:rsidR="007B66E4">
        <w:rPr>
          <w:bCs/>
          <w:szCs w:val="26"/>
        </w:rPr>
        <w:t>consumer price index (</w:t>
      </w:r>
      <w:r w:rsidRPr="00EC6AA1" w:rsidR="009328A7">
        <w:rPr>
          <w:bCs/>
          <w:szCs w:val="26"/>
        </w:rPr>
        <w:t>CPI</w:t>
      </w:r>
      <w:r w:rsidRPr="00EC6AA1" w:rsidR="007B66E4">
        <w:rPr>
          <w:bCs/>
          <w:szCs w:val="26"/>
        </w:rPr>
        <w:t>)</w:t>
      </w:r>
      <w:r w:rsidRPr="00EC6AA1" w:rsidR="009328A7">
        <w:rPr>
          <w:bCs/>
          <w:szCs w:val="26"/>
        </w:rPr>
        <w:t xml:space="preserve"> using the </w:t>
      </w:r>
      <w:r w:rsidRPr="00EC6AA1" w:rsidR="00F840DC">
        <w:rPr>
          <w:bCs/>
          <w:szCs w:val="26"/>
        </w:rPr>
        <w:t xml:space="preserve">United States </w:t>
      </w:r>
      <w:r w:rsidRPr="00EC6AA1" w:rsidR="009328A7">
        <w:rPr>
          <w:bCs/>
          <w:szCs w:val="26"/>
        </w:rPr>
        <w:t>B</w:t>
      </w:r>
      <w:r w:rsidRPr="00EC6AA1" w:rsidR="003D7AE5">
        <w:rPr>
          <w:bCs/>
          <w:szCs w:val="26"/>
        </w:rPr>
        <w:t>ureau of Labor Statistics (B</w:t>
      </w:r>
      <w:r w:rsidRPr="00EC6AA1" w:rsidR="009328A7">
        <w:rPr>
          <w:bCs/>
          <w:szCs w:val="26"/>
        </w:rPr>
        <w:t>LS</w:t>
      </w:r>
      <w:r w:rsidRPr="00EC6AA1" w:rsidR="003D7AE5">
        <w:rPr>
          <w:bCs/>
          <w:szCs w:val="26"/>
        </w:rPr>
        <w:t>)</w:t>
      </w:r>
      <w:r w:rsidRPr="00EC6AA1" w:rsidR="009328A7">
        <w:rPr>
          <w:bCs/>
          <w:szCs w:val="26"/>
        </w:rPr>
        <w:t xml:space="preserve"> CPI</w:t>
      </w:r>
      <w:r w:rsidR="00844EAF">
        <w:rPr>
          <w:bCs/>
          <w:szCs w:val="26"/>
        </w:rPr>
        <w:noBreakHyphen/>
      </w:r>
      <w:r w:rsidRPr="00EC6AA1" w:rsidR="009328A7">
        <w:rPr>
          <w:bCs/>
          <w:szCs w:val="26"/>
        </w:rPr>
        <w:t>U calculator.</w:t>
      </w:r>
      <w:r w:rsidRPr="00EC6AA1" w:rsidR="009328A7">
        <w:rPr>
          <w:rStyle w:val="FootnoteReference"/>
          <w:bCs/>
          <w:szCs w:val="26"/>
        </w:rPr>
        <w:footnoteReference w:id="109"/>
      </w:r>
      <w:r w:rsidRPr="00EC6AA1" w:rsidR="009328A7">
        <w:rPr>
          <w:bCs/>
          <w:szCs w:val="26"/>
        </w:rPr>
        <w:t xml:space="preserve"> Updating the fee annually balances the need to increase the fee based on increasing costs while shielding applicants from the monthly and/or seasonal volatility of inflation.</w:t>
      </w:r>
      <w:r w:rsidRPr="00EC6AA1" w:rsidR="009328A7">
        <w:rPr>
          <w:rStyle w:val="FootnoteReference"/>
          <w:bCs/>
          <w:szCs w:val="26"/>
        </w:rPr>
        <w:t xml:space="preserve"> </w:t>
      </w:r>
      <w:r w:rsidRPr="00EC6AA1" w:rsidR="009328A7">
        <w:rPr>
          <w:bCs/>
          <w:szCs w:val="26"/>
        </w:rPr>
        <w:t xml:space="preserve">The fee will be updated on </w:t>
      </w:r>
      <w:r w:rsidR="00424385">
        <w:rPr>
          <w:bCs/>
          <w:szCs w:val="26"/>
        </w:rPr>
        <w:t>July</w:t>
      </w:r>
      <w:r w:rsidR="00844EAF">
        <w:rPr>
          <w:bCs/>
          <w:szCs w:val="26"/>
        </w:rPr>
        <w:t> </w:t>
      </w:r>
      <w:r w:rsidRPr="00EC6AA1" w:rsidR="009328A7">
        <w:rPr>
          <w:bCs/>
          <w:szCs w:val="26"/>
        </w:rPr>
        <w:t xml:space="preserve">1 of each year, unless the Commission makes a finding stating otherwise. </w:t>
      </w:r>
      <w:r w:rsidRPr="00EC6AA1" w:rsidR="009328A7">
        <w:rPr>
          <w:szCs w:val="26"/>
        </w:rPr>
        <w:t xml:space="preserve">The new fee will be posted on the Commission’s website by </w:t>
      </w:r>
      <w:r w:rsidR="00424385">
        <w:rPr>
          <w:szCs w:val="26"/>
        </w:rPr>
        <w:t>July</w:t>
      </w:r>
      <w:r w:rsidR="00844EAF">
        <w:rPr>
          <w:szCs w:val="26"/>
        </w:rPr>
        <w:t> </w:t>
      </w:r>
      <w:r w:rsidRPr="00EC6AA1" w:rsidR="009328A7">
        <w:rPr>
          <w:szCs w:val="26"/>
        </w:rPr>
        <w:t xml:space="preserve">15 of each year and will be effective on </w:t>
      </w:r>
      <w:r w:rsidR="00424385">
        <w:rPr>
          <w:szCs w:val="26"/>
        </w:rPr>
        <w:t>August</w:t>
      </w:r>
      <w:r w:rsidR="00844EAF">
        <w:rPr>
          <w:szCs w:val="26"/>
        </w:rPr>
        <w:t> </w:t>
      </w:r>
      <w:r w:rsidRPr="00EC6AA1" w:rsidR="009328A7">
        <w:rPr>
          <w:szCs w:val="26"/>
        </w:rPr>
        <w:t>1 of each year.</w:t>
      </w:r>
    </w:p>
    <w:p w:rsidR="00B50C9F" w:rsidP="003C2BCF" w:rsidRDefault="00EA08AC" w14:paraId="3B1861CD" w14:textId="48BA932A">
      <w:pPr>
        <w:pStyle w:val="Standard"/>
      </w:pPr>
      <w:r w:rsidRPr="00EC6AA1">
        <w:t xml:space="preserve">Consistent with the </w:t>
      </w:r>
      <w:r w:rsidRPr="00EC6AA1" w:rsidR="00AA273F">
        <w:t>increase of the Nomadic Registration cost</w:t>
      </w:r>
      <w:r w:rsidRPr="00EC6AA1" w:rsidR="00173F37">
        <w:t xml:space="preserve"> and because the cost of processing </w:t>
      </w:r>
      <w:r w:rsidR="002043BE">
        <w:t>Section</w:t>
      </w:r>
      <w:r w:rsidR="00844EAF">
        <w:t> </w:t>
      </w:r>
      <w:r w:rsidRPr="00EC6AA1" w:rsidR="00173F37">
        <w:t xml:space="preserve">1013 registrations </w:t>
      </w:r>
      <w:r w:rsidR="0068615B">
        <w:t xml:space="preserve">and WIR </w:t>
      </w:r>
      <w:r w:rsidRPr="00EC6AA1" w:rsidR="00173F37">
        <w:t>also increases over time due to inflation</w:t>
      </w:r>
      <w:r w:rsidRPr="00EC6AA1" w:rsidR="00AA273F">
        <w:t xml:space="preserve">, </w:t>
      </w:r>
      <w:r w:rsidRPr="00EC6AA1" w:rsidR="009328A7">
        <w:t xml:space="preserve">the Commission will also </w:t>
      </w:r>
      <w:r w:rsidRPr="00EC6AA1" w:rsidR="00AA273F">
        <w:t xml:space="preserve">increase </w:t>
      </w:r>
      <w:r w:rsidR="00F04F8D">
        <w:t>the amount</w:t>
      </w:r>
      <w:r w:rsidR="001050AA">
        <w:t>s</w:t>
      </w:r>
      <w:r w:rsidRPr="00EC6AA1" w:rsidR="00AA273F">
        <w:t xml:space="preserve"> of the </w:t>
      </w:r>
      <w:r w:rsidR="002043BE">
        <w:t>Section</w:t>
      </w:r>
      <w:r w:rsidR="00844EAF">
        <w:t> </w:t>
      </w:r>
      <w:r w:rsidRPr="00EC6AA1" w:rsidR="00AA273F">
        <w:t xml:space="preserve">1013 </w:t>
      </w:r>
      <w:r w:rsidR="001050AA">
        <w:t xml:space="preserve">Wireless </w:t>
      </w:r>
      <w:r w:rsidRPr="00EC6AA1" w:rsidR="00AA273F">
        <w:t>registration fee</w:t>
      </w:r>
      <w:r w:rsidR="001050AA">
        <w:t>s</w:t>
      </w:r>
      <w:r w:rsidRPr="00EC6AA1" w:rsidR="00AA273F">
        <w:t xml:space="preserve"> on an annual basis to adjust for inflation using the </w:t>
      </w:r>
      <w:r w:rsidRPr="00EC6AA1" w:rsidR="00F840DC">
        <w:t>BLS</w:t>
      </w:r>
      <w:r w:rsidRPr="00EC6AA1" w:rsidR="00AA273F">
        <w:t xml:space="preserve"> </w:t>
      </w:r>
      <w:r w:rsidRPr="00EC6AA1" w:rsidR="00184B83">
        <w:t>CPI</w:t>
      </w:r>
      <w:r w:rsidR="00844EAF">
        <w:noBreakHyphen/>
      </w:r>
      <w:r w:rsidRPr="00EC6AA1" w:rsidR="00184B83">
        <w:t xml:space="preserve">U calculator on </w:t>
      </w:r>
      <w:r w:rsidR="00424385">
        <w:t>July</w:t>
      </w:r>
      <w:r w:rsidR="00844EAF">
        <w:t> </w:t>
      </w:r>
      <w:r w:rsidRPr="00EC6AA1" w:rsidR="00184B83">
        <w:t>1 of each year</w:t>
      </w:r>
      <w:r w:rsidRPr="00EC6AA1" w:rsidR="00F41210">
        <w:t xml:space="preserve"> (</w:t>
      </w:r>
      <w:r w:rsidRPr="00EC6AA1" w:rsidR="00184B83">
        <w:t xml:space="preserve">starting with </w:t>
      </w:r>
      <w:r w:rsidR="00424385">
        <w:t>July</w:t>
      </w:r>
      <w:r w:rsidR="00844EAF">
        <w:t> </w:t>
      </w:r>
      <w:r w:rsidRPr="00EC6AA1" w:rsidR="00184B83">
        <w:t>1, 202</w:t>
      </w:r>
      <w:r w:rsidR="00E357DA">
        <w:t>6</w:t>
      </w:r>
      <w:r w:rsidRPr="00EC6AA1" w:rsidR="005F5019">
        <w:t>, unless the Commission makes a finding stating otherwise</w:t>
      </w:r>
      <w:r w:rsidRPr="00EC6AA1" w:rsidR="00F41210">
        <w:t>), updat</w:t>
      </w:r>
      <w:r w:rsidRPr="00EC6AA1" w:rsidR="00B877C6">
        <w:t>e</w:t>
      </w:r>
      <w:r w:rsidRPr="00EC6AA1" w:rsidR="00F41210">
        <w:t xml:space="preserve"> the Commission’s website by </w:t>
      </w:r>
      <w:r w:rsidR="00424385">
        <w:t>July</w:t>
      </w:r>
      <w:r w:rsidR="00844EAF">
        <w:t> </w:t>
      </w:r>
      <w:r w:rsidRPr="00EC6AA1" w:rsidR="00F41210">
        <w:t>15 of each year</w:t>
      </w:r>
      <w:r w:rsidRPr="00EC6AA1" w:rsidR="00B824DD">
        <w:t xml:space="preserve"> to reflect the </w:t>
      </w:r>
      <w:r w:rsidRPr="00EC6AA1" w:rsidR="00DE15B9">
        <w:t>new</w:t>
      </w:r>
      <w:r w:rsidRPr="00EC6AA1" w:rsidR="00BC19FF">
        <w:t xml:space="preserve"> </w:t>
      </w:r>
      <w:r w:rsidRPr="00EC6AA1" w:rsidR="00846351">
        <w:t>cost</w:t>
      </w:r>
      <w:r w:rsidRPr="00EC6AA1" w:rsidR="00F41210">
        <w:t xml:space="preserve">, </w:t>
      </w:r>
      <w:r w:rsidRPr="00EC6AA1" w:rsidR="00262FAB">
        <w:t xml:space="preserve">and </w:t>
      </w:r>
      <w:r w:rsidRPr="00EC6AA1" w:rsidR="008C11A0">
        <w:t>make</w:t>
      </w:r>
      <w:r w:rsidRPr="00EC6AA1" w:rsidR="00A505E2">
        <w:t xml:space="preserve"> the new fee effective on</w:t>
      </w:r>
      <w:r w:rsidRPr="00EC6AA1" w:rsidR="00262FAB">
        <w:t xml:space="preserve"> </w:t>
      </w:r>
      <w:r w:rsidR="00424385">
        <w:t>August</w:t>
      </w:r>
      <w:r w:rsidR="00844EAF">
        <w:t> </w:t>
      </w:r>
      <w:r w:rsidRPr="00EC6AA1" w:rsidR="00262FAB">
        <w:t>1 of each year</w:t>
      </w:r>
      <w:r w:rsidRPr="00EC6AA1" w:rsidR="004E6398">
        <w:t>. This</w:t>
      </w:r>
      <w:r w:rsidRPr="00EC6AA1" w:rsidR="00F7460F">
        <w:t xml:space="preserve"> </w:t>
      </w:r>
      <w:r w:rsidRPr="00EC6AA1" w:rsidR="009A3313">
        <w:t>align</w:t>
      </w:r>
      <w:r w:rsidRPr="00EC6AA1" w:rsidR="00BC5B7B">
        <w:t>s</w:t>
      </w:r>
      <w:r w:rsidRPr="00EC6AA1" w:rsidR="009A3313">
        <w:t xml:space="preserve"> </w:t>
      </w:r>
      <w:r w:rsidRPr="00EC6AA1" w:rsidR="00BC5B7B">
        <w:t>the</w:t>
      </w:r>
      <w:r w:rsidRPr="00EC6AA1" w:rsidR="00445D31">
        <w:t xml:space="preserve"> </w:t>
      </w:r>
      <w:r w:rsidR="002043BE">
        <w:t>Section</w:t>
      </w:r>
      <w:r w:rsidR="00844EAF">
        <w:t> </w:t>
      </w:r>
      <w:r w:rsidRPr="00EC6AA1" w:rsidR="00445D31">
        <w:t xml:space="preserve">1013 registration </w:t>
      </w:r>
      <w:r w:rsidR="0068615B">
        <w:t xml:space="preserve">and WIR </w:t>
      </w:r>
      <w:r w:rsidRPr="00EC6AA1" w:rsidR="00445D31">
        <w:t>fee</w:t>
      </w:r>
      <w:r w:rsidR="0068615B">
        <w:t>s</w:t>
      </w:r>
      <w:r w:rsidRPr="00B12098" w:rsidR="009A3313">
        <w:t xml:space="preserve"> with the Nomadic </w:t>
      </w:r>
      <w:r w:rsidR="00EC6AA1">
        <w:t>R</w:t>
      </w:r>
      <w:r w:rsidRPr="00B12098" w:rsidR="009A3313">
        <w:t>egistration</w:t>
      </w:r>
      <w:r w:rsidRPr="00B12098" w:rsidR="00BC5B7B">
        <w:t xml:space="preserve"> and</w:t>
      </w:r>
      <w:r w:rsidRPr="00B12098" w:rsidR="00D04712">
        <w:t xml:space="preserve"> </w:t>
      </w:r>
      <w:r w:rsidRPr="00B12098" w:rsidR="00E50B54">
        <w:t>is</w:t>
      </w:r>
      <w:r w:rsidRPr="00B12098" w:rsidR="0082033E">
        <w:t xml:space="preserve"> </w:t>
      </w:r>
      <w:r w:rsidRPr="00B12098" w:rsidR="00B10FE0">
        <w:t>technology</w:t>
      </w:r>
      <w:r w:rsidR="00844EAF">
        <w:noBreakHyphen/>
      </w:r>
      <w:r w:rsidRPr="00B12098" w:rsidR="00B10FE0">
        <w:t>neutral</w:t>
      </w:r>
      <w:r w:rsidRPr="00EC6AA1" w:rsidR="00B327C7">
        <w:t>.</w:t>
      </w:r>
      <w:r w:rsidRPr="00EC6AA1" w:rsidR="00970BF8">
        <w:t xml:space="preserve"> This is also consistent with the annual increase </w:t>
      </w:r>
      <w:r w:rsidRPr="00B12098" w:rsidR="00013AE3">
        <w:t>for</w:t>
      </w:r>
      <w:r w:rsidRPr="00EC6AA1" w:rsidR="00970BF8">
        <w:t xml:space="preserve"> the CPCN </w:t>
      </w:r>
      <w:r w:rsidRPr="00EC6AA1" w:rsidR="00970BF8">
        <w:lastRenderedPageBreak/>
        <w:t>application fee to adjust</w:t>
      </w:r>
      <w:r w:rsidRPr="00B12098" w:rsidR="008B2372">
        <w:t xml:space="preserve"> it</w:t>
      </w:r>
      <w:r w:rsidRPr="00EC6AA1" w:rsidR="00970BF8">
        <w:t xml:space="preserve"> for the CPI, which is authorized in </w:t>
      </w:r>
      <w:r w:rsidR="00C04D12">
        <w:t>Pub.</w:t>
      </w:r>
      <w:r w:rsidR="00844EAF">
        <w:t> </w:t>
      </w:r>
      <w:r w:rsidR="00C04D12">
        <w:t>Util.</w:t>
      </w:r>
      <w:r w:rsidRPr="00EC6AA1" w:rsidR="00970BF8">
        <w:t xml:space="preserve"> Code </w:t>
      </w:r>
      <w:r w:rsidR="002043BE">
        <w:t>Section</w:t>
      </w:r>
      <w:r w:rsidR="00844EAF">
        <w:t> </w:t>
      </w:r>
      <w:r w:rsidRPr="00EC6AA1" w:rsidR="00970BF8">
        <w:t xml:space="preserve">1904(a) and implemented in </w:t>
      </w:r>
      <w:r w:rsidR="00424385">
        <w:t>Resolution (Res.) </w:t>
      </w:r>
      <w:r w:rsidRPr="00EC6AA1" w:rsidR="00970BF8">
        <w:t>ALJ</w:t>
      </w:r>
      <w:r w:rsidR="00844EAF">
        <w:noBreakHyphen/>
      </w:r>
      <w:r w:rsidRPr="00EC6AA1" w:rsidR="00970BF8">
        <w:t>464.</w:t>
      </w:r>
      <w:r w:rsidRPr="00B12098" w:rsidR="00AB1E93">
        <w:rPr>
          <w:rStyle w:val="FootnoteReference"/>
        </w:rPr>
        <w:footnoteReference w:id="110"/>
      </w:r>
    </w:p>
    <w:p w:rsidR="00A84156" w:rsidP="000A2CD0" w:rsidRDefault="00A84156" w14:paraId="1B238CCB" w14:textId="5DB9C71C">
      <w:pPr>
        <w:pStyle w:val="Heading2"/>
      </w:pPr>
      <w:bookmarkStart w:name="_Toc176770939" w:id="71"/>
      <w:bookmarkStart w:name="_Toc177021137" w:id="72"/>
      <w:bookmarkStart w:name="_Toc181692886" w:id="73"/>
      <w:r w:rsidRPr="00853DFD">
        <w:t>Compliance with Licensing and Registration</w:t>
      </w:r>
      <w:bookmarkEnd w:id="71"/>
      <w:bookmarkEnd w:id="72"/>
      <w:bookmarkEnd w:id="73"/>
    </w:p>
    <w:p w:rsidR="00A96B31" w:rsidP="002E6D75" w:rsidRDefault="000123D0" w14:paraId="66072E2B" w14:textId="7F7EE332">
      <w:pPr>
        <w:pStyle w:val="Standard"/>
      </w:pPr>
      <w:r>
        <w:t>Effective upon the issuance date of this</w:t>
      </w:r>
      <w:r w:rsidR="00F01A4B">
        <w:t xml:space="preserve"> decision, all</w:t>
      </w:r>
      <w:r w:rsidR="00A84156">
        <w:t xml:space="preserve"> interconnected VoIP service providers are required to obtain the requisite operating authority or approval through the</w:t>
      </w:r>
      <w:r w:rsidR="00CA6DC0">
        <w:t xml:space="preserve"> Commission</w:t>
      </w:r>
      <w:r w:rsidR="001045CD">
        <w:t>’s</w:t>
      </w:r>
      <w:r w:rsidR="00A84156">
        <w:t xml:space="preserve"> licensing and registration requirements prior to offering services in California. </w:t>
      </w:r>
      <w:r w:rsidR="000B6749">
        <w:t>A</w:t>
      </w:r>
      <w:r w:rsidR="00A84156">
        <w:t xml:space="preserve">ll interconnected VoIP service providers </w:t>
      </w:r>
      <w:r w:rsidR="000B6749">
        <w:t xml:space="preserve">should be allowed ample time to comply </w:t>
      </w:r>
      <w:r w:rsidR="004E79FB">
        <w:t xml:space="preserve">with </w:t>
      </w:r>
      <w:r w:rsidR="000B6749">
        <w:t>the licensing requirement before becoming subject to</w:t>
      </w:r>
      <w:r w:rsidR="00A84156">
        <w:t xml:space="preserve"> a penalty for</w:t>
      </w:r>
      <w:r w:rsidR="00FB3C84">
        <w:t xml:space="preserve"> </w:t>
      </w:r>
      <w:r w:rsidR="00A84156">
        <w:t>unlicensed provision of service.</w:t>
      </w:r>
      <w:r w:rsidR="002E6D75">
        <w:t xml:space="preserve"> Therefore, w</w:t>
      </w:r>
      <w:r w:rsidR="00A84156">
        <w:t xml:space="preserve">ithin 180 calendar days from issuance of this decision, all unlicensed interconnected VoIP service providers must file either a CPCN </w:t>
      </w:r>
      <w:r w:rsidR="00C0610D">
        <w:t>a</w:t>
      </w:r>
      <w:r w:rsidR="00A84156">
        <w:t xml:space="preserve">pplication, </w:t>
      </w:r>
      <w:r w:rsidR="002043BE">
        <w:t>Section </w:t>
      </w:r>
      <w:r w:rsidR="00A84156">
        <w:t xml:space="preserve">1013 registration, or </w:t>
      </w:r>
      <w:r w:rsidR="007B0EB1">
        <w:t>N</w:t>
      </w:r>
      <w:r w:rsidR="00A84156">
        <w:t xml:space="preserve">omadic </w:t>
      </w:r>
      <w:r w:rsidR="007B0EB1">
        <w:t>R</w:t>
      </w:r>
      <w:r w:rsidR="00A84156">
        <w:t>egistration.</w:t>
      </w:r>
    </w:p>
    <w:p w:rsidR="00A84156" w:rsidP="00A84156" w:rsidRDefault="00A84156" w14:paraId="4F254CA2" w14:textId="7FBA416A">
      <w:pPr>
        <w:pStyle w:val="Standard"/>
      </w:pPr>
      <w:r>
        <w:t>After the 180</w:t>
      </w:r>
      <w:r w:rsidR="006951D5">
        <w:noBreakHyphen/>
      </w:r>
      <w:r>
        <w:t>day grace period to comply with licensing and registration</w:t>
      </w:r>
      <w:r w:rsidR="002E6D75">
        <w:t xml:space="preserve"> requirements</w:t>
      </w:r>
      <w:r>
        <w:t xml:space="preserve">, </w:t>
      </w:r>
      <w:r w:rsidR="00770030">
        <w:t xml:space="preserve">applicants </w:t>
      </w:r>
      <w:r w:rsidR="002E6D75">
        <w:t xml:space="preserve">without </w:t>
      </w:r>
      <w:r w:rsidR="00770030">
        <w:t xml:space="preserve">operating authority or registration will be subject to </w:t>
      </w:r>
      <w:r>
        <w:t>the penalty for</w:t>
      </w:r>
      <w:r w:rsidR="002E6D75">
        <w:t xml:space="preserve"> noncompliance</w:t>
      </w:r>
      <w:r>
        <w:t xml:space="preserve">. For CPCN applications, the </w:t>
      </w:r>
      <w:r w:rsidR="00111C18">
        <w:t>Commission</w:t>
      </w:r>
      <w:r>
        <w:t xml:space="preserve"> shall determine the applicable penalty for the violation associated with unlicensed provision of service. Any </w:t>
      </w:r>
      <w:r w:rsidR="002043BE">
        <w:t>Section </w:t>
      </w:r>
      <w:r>
        <w:t xml:space="preserve">1013 registration requests involving interconnected VoIP service providers that have operated without the requisite </w:t>
      </w:r>
      <w:r w:rsidR="00DA7F2A">
        <w:t>license or registration</w:t>
      </w:r>
      <w:r>
        <w:t xml:space="preserve"> will </w:t>
      </w:r>
      <w:r w:rsidR="000642C6">
        <w:t xml:space="preserve">not be eligible for the </w:t>
      </w:r>
      <w:r w:rsidR="002043BE">
        <w:t>Section</w:t>
      </w:r>
      <w:r w:rsidR="00844EAF">
        <w:t> </w:t>
      </w:r>
      <w:r w:rsidR="00EC6AA1">
        <w:t>1013</w:t>
      </w:r>
      <w:r w:rsidR="000642C6">
        <w:t xml:space="preserve"> registration process and their application must be considered under the</w:t>
      </w:r>
      <w:r w:rsidR="00CE4A2B">
        <w:t xml:space="preserve"> </w:t>
      </w:r>
      <w:r w:rsidR="000642C6">
        <w:t>CPCN application process</w:t>
      </w:r>
      <w:r>
        <w:t xml:space="preserve">. For </w:t>
      </w:r>
      <w:r w:rsidR="000F38FD">
        <w:t>N</w:t>
      </w:r>
      <w:r>
        <w:t xml:space="preserve">omadic </w:t>
      </w:r>
      <w:r w:rsidR="000F38FD">
        <w:t>R</w:t>
      </w:r>
      <w:r>
        <w:t xml:space="preserve">egistrations, </w:t>
      </w:r>
      <w:r w:rsidR="004A182A">
        <w:t>the Communications Division</w:t>
      </w:r>
      <w:r>
        <w:t xml:space="preserve"> is authorized to issue a citation pursuant to </w:t>
      </w:r>
      <w:r w:rsidR="001C48A1">
        <w:t>Res. </w:t>
      </w:r>
      <w:r>
        <w:t>T</w:t>
      </w:r>
      <w:r w:rsidR="006951D5">
        <w:noBreakHyphen/>
      </w:r>
      <w:r>
        <w:t>17601 for un</w:t>
      </w:r>
      <w:r w:rsidR="000642C6">
        <w:t>registered</w:t>
      </w:r>
      <w:r>
        <w:t xml:space="preserve"> provision of service (</w:t>
      </w:r>
      <w:r w:rsidRPr="004A120D" w:rsidR="004A120D">
        <w:rPr>
          <w:i/>
          <w:iCs/>
        </w:rPr>
        <w:t>i.e.</w:t>
      </w:r>
      <w:r>
        <w:t>, $1</w:t>
      </w:r>
      <w:r w:rsidR="000642C6">
        <w:t>,</w:t>
      </w:r>
      <w:r>
        <w:t xml:space="preserve">000 penalty per month of operation without </w:t>
      </w:r>
      <w:r w:rsidR="00652FFC">
        <w:t xml:space="preserve">a </w:t>
      </w:r>
      <w:r w:rsidR="003202E9">
        <w:t>registration</w:t>
      </w:r>
      <w:r>
        <w:t>).</w:t>
      </w:r>
    </w:p>
    <w:p w:rsidR="00A96B31" w:rsidP="00A84156" w:rsidRDefault="00A84156" w14:paraId="0EA15B12" w14:textId="38AC85A7">
      <w:pPr>
        <w:pStyle w:val="Standard"/>
      </w:pPr>
      <w:r>
        <w:lastRenderedPageBreak/>
        <w:t>All past</w:t>
      </w:r>
      <w:r w:rsidR="006951D5">
        <w:noBreakHyphen/>
      </w:r>
      <w:r w:rsidR="00B67994">
        <w:t>due</w:t>
      </w:r>
      <w:r>
        <w:t xml:space="preserve"> surcharges </w:t>
      </w:r>
      <w:r w:rsidR="00652FFC">
        <w:t>accrued</w:t>
      </w:r>
      <w:r>
        <w:t xml:space="preserve"> during operation without authority or approval must be reported and remitted to the Commission. Service providers</w:t>
      </w:r>
      <w:r w:rsidRPr="00E30C84">
        <w:t xml:space="preserve"> must </w:t>
      </w:r>
      <w:r w:rsidR="00652FFC">
        <w:t xml:space="preserve">also </w:t>
      </w:r>
      <w:r w:rsidRPr="00E30C84">
        <w:t>pay 10</w:t>
      </w:r>
      <w:r w:rsidR="00263840">
        <w:t> percent</w:t>
      </w:r>
      <w:r w:rsidRPr="00E30C84">
        <w:t xml:space="preserve"> interest accrued for late remittance of surcharges</w:t>
      </w:r>
      <w:r>
        <w:t xml:space="preserve">. </w:t>
      </w:r>
      <w:r w:rsidR="002043BE">
        <w:t>Section </w:t>
      </w:r>
      <w:r>
        <w:t>8</w:t>
      </w:r>
      <w:r w:rsidR="00C547BE">
        <w:t>.1.1</w:t>
      </w:r>
      <w:r>
        <w:t xml:space="preserve"> </w:t>
      </w:r>
      <w:r w:rsidR="00C547BE">
        <w:t>discusses the</w:t>
      </w:r>
      <w:r>
        <w:t xml:space="preserve"> surcharge obligation and applicable late interest on surcharges.</w:t>
      </w:r>
    </w:p>
    <w:p w:rsidRPr="00E92D3C" w:rsidR="00A84156" w:rsidP="00A84156" w:rsidRDefault="00A84156" w14:paraId="1F0D5EB7" w14:textId="2C923EA7">
      <w:pPr>
        <w:pStyle w:val="Standard"/>
      </w:pPr>
      <w:r>
        <w:t xml:space="preserve">Additionally, interconnected VoIP service providers seeking to voluntarily surrender their authority or approval and cease to operate in California are required to comply with </w:t>
      </w:r>
      <w:r w:rsidR="00263840">
        <w:t>Res. </w:t>
      </w:r>
      <w:r>
        <w:t>T</w:t>
      </w:r>
      <w:r w:rsidR="006951D5">
        <w:noBreakHyphen/>
      </w:r>
      <w:r>
        <w:t>17723.</w:t>
      </w:r>
    </w:p>
    <w:p w:rsidR="006E4D58" w:rsidP="000A2CD0" w:rsidRDefault="00DF7210" w14:paraId="70FCFAFB" w14:textId="7A26E25A">
      <w:pPr>
        <w:pStyle w:val="Heading1"/>
      </w:pPr>
      <w:bookmarkStart w:name="_Toc176770940" w:id="74"/>
      <w:bookmarkStart w:name="_Toc177021138" w:id="75"/>
      <w:bookmarkStart w:name="_Toc181692887" w:id="76"/>
      <w:bookmarkEnd w:id="64"/>
      <w:r>
        <w:t>Streamlining</w:t>
      </w:r>
      <w:r w:rsidR="006E4D58">
        <w:t xml:space="preserve"> </w:t>
      </w:r>
      <w:r w:rsidR="008B3328">
        <w:t xml:space="preserve">the </w:t>
      </w:r>
      <w:r w:rsidR="00211DF9">
        <w:t>A</w:t>
      </w:r>
      <w:r w:rsidR="006E4D58">
        <w:t>pplication and Registration Processes</w:t>
      </w:r>
      <w:r w:rsidR="006C1BA4">
        <w:t xml:space="preserve"> </w:t>
      </w:r>
      <w:r w:rsidR="008B3328">
        <w:t>for all Telephone Corporations</w:t>
      </w:r>
      <w:r w:rsidR="00EC0434">
        <w:br/>
      </w:r>
      <w:r w:rsidR="006C1BA4">
        <w:t xml:space="preserve">Including Interconnected </w:t>
      </w:r>
      <w:r w:rsidRPr="19E6B670" w:rsidR="009D389C">
        <w:t>Voice Over Internet Protocol</w:t>
      </w:r>
      <w:r w:rsidR="009862EF">
        <w:t xml:space="preserve"> Service Providers</w:t>
      </w:r>
      <w:bookmarkEnd w:id="74"/>
      <w:bookmarkEnd w:id="75"/>
      <w:bookmarkEnd w:id="76"/>
    </w:p>
    <w:p w:rsidR="00411CC7" w:rsidP="00375FB6" w:rsidRDefault="006F10AF" w14:paraId="10CBCC0D" w14:textId="01F83F99">
      <w:pPr>
        <w:pStyle w:val="Standard"/>
      </w:pPr>
      <w:r>
        <w:rPr>
          <w:rFonts w:eastAsia="Times New Roman"/>
        </w:rPr>
        <w:t>This proceeding considered how to</w:t>
      </w:r>
      <w:r w:rsidR="00645351">
        <w:rPr>
          <w:rFonts w:eastAsia="Times New Roman"/>
        </w:rPr>
        <w:t xml:space="preserve"> incorporate interconnected VoIP</w:t>
      </w:r>
      <w:r w:rsidR="009862EF">
        <w:rPr>
          <w:rFonts w:eastAsia="Times New Roman"/>
        </w:rPr>
        <w:t xml:space="preserve"> service providers</w:t>
      </w:r>
      <w:r w:rsidR="00645351">
        <w:rPr>
          <w:rFonts w:eastAsia="Times New Roman"/>
        </w:rPr>
        <w:t xml:space="preserve"> into </w:t>
      </w:r>
      <w:r w:rsidR="004D543B">
        <w:rPr>
          <w:rFonts w:eastAsia="Times New Roman"/>
        </w:rPr>
        <w:t xml:space="preserve">existing </w:t>
      </w:r>
      <w:r w:rsidR="00645351">
        <w:rPr>
          <w:rFonts w:eastAsia="Times New Roman"/>
        </w:rPr>
        <w:t>regulatory framework</w:t>
      </w:r>
      <w:r w:rsidR="004D543B">
        <w:rPr>
          <w:rFonts w:eastAsia="Times New Roman"/>
        </w:rPr>
        <w:t>s</w:t>
      </w:r>
      <w:r w:rsidR="00411CC7">
        <w:rPr>
          <w:rFonts w:eastAsia="Times New Roman"/>
        </w:rPr>
        <w:t>, and whether the current market for technologies in use today for providing telephone service necessitate changes to the Commission’s licensing and registration processes.</w:t>
      </w:r>
      <w:r w:rsidR="00411CC7">
        <w:rPr>
          <w:rStyle w:val="FootnoteReference"/>
          <w:rFonts w:eastAsia="Times New Roman"/>
        </w:rPr>
        <w:footnoteReference w:id="111"/>
      </w:r>
      <w:r w:rsidR="00645351">
        <w:rPr>
          <w:rFonts w:eastAsia="Times New Roman"/>
        </w:rPr>
        <w:t xml:space="preserve"> Parties were invited to identify differences between the obligations for providers of interconnected VoIP service </w:t>
      </w:r>
      <w:r w:rsidR="00645351">
        <w:t xml:space="preserve">and other </w:t>
      </w:r>
      <w:r w:rsidR="00541E44">
        <w:t xml:space="preserve">service </w:t>
      </w:r>
      <w:r w:rsidR="00645351">
        <w:t xml:space="preserve">types such as local </w:t>
      </w:r>
      <w:r w:rsidR="00375FB6">
        <w:t>exchange service, interexchange service, and/or wireless service.</w:t>
      </w:r>
      <w:r w:rsidR="00375FB6">
        <w:rPr>
          <w:rStyle w:val="FootnoteReference"/>
        </w:rPr>
        <w:footnoteReference w:id="112"/>
      </w:r>
    </w:p>
    <w:p w:rsidR="00B50C9F" w:rsidP="00411CC7" w:rsidRDefault="00411CC7" w14:paraId="310F7CE4" w14:textId="6EA208FD">
      <w:pPr>
        <w:pStyle w:val="Standard"/>
      </w:pPr>
      <w:r>
        <w:rPr>
          <w:rFonts w:eastAsia="Times New Roman"/>
        </w:rPr>
        <w:t xml:space="preserve">Industry party arguments against integrating interconnected VoIP service providers into the existing regulatory framework are premised on the assumption that the existing CPCN and </w:t>
      </w:r>
      <w:r w:rsidR="002043BE">
        <w:rPr>
          <w:rFonts w:eastAsia="Times New Roman"/>
        </w:rPr>
        <w:t>Section</w:t>
      </w:r>
      <w:r w:rsidR="00844EAF">
        <w:rPr>
          <w:rFonts w:eastAsia="Times New Roman"/>
        </w:rPr>
        <w:t> </w:t>
      </w:r>
      <w:r>
        <w:rPr>
          <w:rFonts w:eastAsia="Times New Roman"/>
        </w:rPr>
        <w:t xml:space="preserve">1013 registration processes will </w:t>
      </w:r>
      <w:r>
        <w:rPr>
          <w:rFonts w:eastAsia="Times New Roman"/>
        </w:rPr>
        <w:lastRenderedPageBreak/>
        <w:t>remain as implemented yesterday.</w:t>
      </w:r>
      <w:r>
        <w:rPr>
          <w:rStyle w:val="FootnoteReference"/>
          <w:rFonts w:eastAsia="Times New Roman"/>
        </w:rPr>
        <w:footnoteReference w:id="113"/>
      </w:r>
      <w:r>
        <w:rPr>
          <w:rFonts w:eastAsia="Times New Roman"/>
        </w:rPr>
        <w:t xml:space="preserve"> Co</w:t>
      </w:r>
      <w:r>
        <w:t xml:space="preserve">nsumer parties argue for integrating interconnected VoIP service into the existing regulatory framework, even with no changes. Small Business asserts </w:t>
      </w:r>
      <w:r w:rsidR="00DF1F58">
        <w:t xml:space="preserve">that </w:t>
      </w:r>
      <w:r>
        <w:t>the regulatory framework for other telephone utility types ensures protection from unauthorized charges, service disruptions, and preserves baseline standards for service quality, reliability, and customer support to resolve disputes with their service provider</w:t>
      </w:r>
      <w:r w:rsidR="009C2B7D">
        <w:t>,</w:t>
      </w:r>
      <w:r>
        <w:t xml:space="preserve"> and customer support standards promulgated by the Commission such as those in </w:t>
      </w:r>
      <w:r w:rsidR="00424385">
        <w:t>General Order (GO) </w:t>
      </w:r>
      <w:r>
        <w:t>133</w:t>
      </w:r>
      <w:r w:rsidR="00844EAF">
        <w:noBreakHyphen/>
      </w:r>
      <w:r>
        <w:t>D.</w:t>
      </w:r>
      <w:r w:rsidR="009C2B7D">
        <w:rPr>
          <w:rStyle w:val="FootnoteReference"/>
        </w:rPr>
        <w:footnoteReference w:id="114"/>
      </w:r>
      <w:r w:rsidR="00CE4A2B">
        <w:t xml:space="preserve"> </w:t>
      </w:r>
      <w:r>
        <w:t>In contrast, Cal Broadband makes specific recommendations to reduce administrative burdens associated with the existing processes and adapt the processes as necessary to incorporate interconnected VoIP service providers.</w:t>
      </w:r>
      <w:r>
        <w:rPr>
          <w:rStyle w:val="FootnoteReference"/>
        </w:rPr>
        <w:footnoteReference w:id="115"/>
      </w:r>
      <w:r>
        <w:t xml:space="preserve"> This is the approach taken in this decision.</w:t>
      </w:r>
    </w:p>
    <w:p w:rsidR="00375FB6" w:rsidP="00375FB6" w:rsidRDefault="00375FB6" w14:paraId="2A749C6F" w14:textId="261C91BB">
      <w:pPr>
        <w:pStyle w:val="Standard"/>
        <w:rPr>
          <w:rFonts w:eastAsia="Times New Roman"/>
        </w:rPr>
      </w:pPr>
      <w:r>
        <w:t xml:space="preserve"> </w:t>
      </w:r>
      <w:r w:rsidR="00645351">
        <w:rPr>
          <w:rFonts w:eastAsia="Times New Roman"/>
        </w:rPr>
        <w:t>Our evaluation of differences leads to the determination in this decision that updates to existing licensing and registration processes pertaining to all telephone corporation types</w:t>
      </w:r>
      <w:r w:rsidR="00541E44">
        <w:rPr>
          <w:rFonts w:eastAsia="Times New Roman"/>
        </w:rPr>
        <w:t>, including interconnected VoIP,</w:t>
      </w:r>
      <w:r w:rsidR="00645351">
        <w:rPr>
          <w:rFonts w:eastAsia="Times New Roman"/>
        </w:rPr>
        <w:t xml:space="preserve"> are reasonable and necessary. Updating processes for all </w:t>
      </w:r>
      <w:r w:rsidR="00A54E38">
        <w:rPr>
          <w:rFonts w:eastAsia="Times New Roman"/>
        </w:rPr>
        <w:t>telephone corporation</w:t>
      </w:r>
      <w:r w:rsidR="00343F4E">
        <w:rPr>
          <w:rFonts w:eastAsia="Times New Roman"/>
        </w:rPr>
        <w:t xml:space="preserve"> </w:t>
      </w:r>
      <w:r w:rsidR="00645351">
        <w:rPr>
          <w:rFonts w:eastAsia="Times New Roman"/>
        </w:rPr>
        <w:t>types has benefits. Outdated</w:t>
      </w:r>
      <w:r w:rsidR="00652FFC">
        <w:rPr>
          <w:rFonts w:eastAsia="Times New Roman"/>
        </w:rPr>
        <w:t xml:space="preserve"> or</w:t>
      </w:r>
      <w:r w:rsidR="00645351">
        <w:rPr>
          <w:rFonts w:eastAsia="Times New Roman"/>
        </w:rPr>
        <w:t xml:space="preserve"> unclear requirements are barriers to a competitive and neutral communications market. Although the review in this proceeding is focused on</w:t>
      </w:r>
      <w:r w:rsidR="00466CD2">
        <w:rPr>
          <w:rFonts w:eastAsia="Times New Roman"/>
        </w:rPr>
        <w:t xml:space="preserve"> interconnected</w:t>
      </w:r>
      <w:r w:rsidR="00645351">
        <w:rPr>
          <w:rFonts w:eastAsia="Times New Roman"/>
        </w:rPr>
        <w:t xml:space="preserve"> VoIP</w:t>
      </w:r>
      <w:r w:rsidR="00466CD2">
        <w:rPr>
          <w:rFonts w:eastAsia="Times New Roman"/>
        </w:rPr>
        <w:t xml:space="preserve"> service and providers</w:t>
      </w:r>
      <w:r w:rsidR="00645351">
        <w:rPr>
          <w:rFonts w:eastAsia="Times New Roman"/>
        </w:rPr>
        <w:t>, many outdated</w:t>
      </w:r>
      <w:r w:rsidR="00652FFC">
        <w:rPr>
          <w:rFonts w:eastAsia="Times New Roman"/>
        </w:rPr>
        <w:t xml:space="preserve"> or</w:t>
      </w:r>
      <w:r w:rsidR="00645351">
        <w:rPr>
          <w:rFonts w:eastAsia="Times New Roman"/>
        </w:rPr>
        <w:t xml:space="preserve"> unclear requirements identified for purposes of regulating interconnected VoIP are equally outdated, unclear or extraneous for all </w:t>
      </w:r>
      <w:r w:rsidR="00A54E38">
        <w:rPr>
          <w:rFonts w:eastAsia="Times New Roman"/>
        </w:rPr>
        <w:t>telephone corporation</w:t>
      </w:r>
      <w:r w:rsidR="00541E44">
        <w:rPr>
          <w:rFonts w:eastAsia="Times New Roman"/>
        </w:rPr>
        <w:t xml:space="preserve"> </w:t>
      </w:r>
      <w:r w:rsidR="00645351">
        <w:rPr>
          <w:rFonts w:eastAsia="Times New Roman"/>
        </w:rPr>
        <w:t xml:space="preserve">types. </w:t>
      </w:r>
      <w:r w:rsidR="00645351">
        <w:rPr>
          <w:rFonts w:eastAsia="Times New Roman"/>
        </w:rPr>
        <w:lastRenderedPageBreak/>
        <w:t xml:space="preserve">Making changes universally allows interconnected VoIP </w:t>
      </w:r>
      <w:r w:rsidR="00541E44">
        <w:rPr>
          <w:rFonts w:eastAsia="Times New Roman"/>
        </w:rPr>
        <w:t xml:space="preserve">service providers </w:t>
      </w:r>
      <w:r w:rsidR="00645351">
        <w:rPr>
          <w:rFonts w:eastAsia="Times New Roman"/>
        </w:rPr>
        <w:t>to be included within existing application and registration processes.</w:t>
      </w:r>
    </w:p>
    <w:p w:rsidR="00A96B31" w:rsidP="00375FB6" w:rsidRDefault="00375FB6" w14:paraId="395B7B21" w14:textId="4DF36E50">
      <w:pPr>
        <w:pStyle w:val="Standard"/>
      </w:pPr>
      <w:r>
        <w:t>Without exception, parties in concept recommended a streamlined administrative process be developed and applied for interconnected VoIP service.</w:t>
      </w:r>
      <w:r>
        <w:rPr>
          <w:rStyle w:val="FootnoteReference"/>
        </w:rPr>
        <w:footnoteReference w:id="116"/>
      </w:r>
      <w:r>
        <w:t xml:space="preserve"> However, rather than reserve a new set of processes solely for interconnected VoIP service, we find it preferable to amend the existing processes by which all wireline telephone corporations apply for operating authority.</w:t>
      </w:r>
    </w:p>
    <w:p w:rsidR="00A96B31" w:rsidP="00F66B62" w:rsidRDefault="00834977" w14:paraId="693D4D28" w14:textId="19BBDA5F">
      <w:pPr>
        <w:pStyle w:val="Standard"/>
      </w:pPr>
      <w:r>
        <w:t xml:space="preserve">The CPCN application </w:t>
      </w:r>
      <w:r w:rsidR="00652FFC">
        <w:t>process is</w:t>
      </w:r>
      <w:r>
        <w:t xml:space="preserve"> extended to all facilities</w:t>
      </w:r>
      <w:r w:rsidR="006951D5">
        <w:noBreakHyphen/>
      </w:r>
      <w:r>
        <w:t xml:space="preserve">based interconnected VoIP service providers. </w:t>
      </w:r>
      <w:r w:rsidR="002D08B0">
        <w:t xml:space="preserve">This decision </w:t>
      </w:r>
      <w:r w:rsidR="00BC5406">
        <w:t xml:space="preserve">adopts </w:t>
      </w:r>
      <w:r w:rsidR="002D08B0">
        <w:t xml:space="preserve">a new CPCN application form and streamlines certain CPCN requirements. </w:t>
      </w:r>
      <w:r w:rsidR="009144FE">
        <w:t xml:space="preserve">The </w:t>
      </w:r>
      <w:r w:rsidR="002043BE">
        <w:t>Section </w:t>
      </w:r>
      <w:r w:rsidR="004C6CDD">
        <w:t>1013 registration form</w:t>
      </w:r>
      <w:r w:rsidR="002D08B0">
        <w:t xml:space="preserve">, </w:t>
      </w:r>
      <w:r w:rsidR="004C6CDD">
        <w:t>process</w:t>
      </w:r>
      <w:r w:rsidR="00C75CFC">
        <w:t>,</w:t>
      </w:r>
      <w:r w:rsidR="002D08B0">
        <w:t xml:space="preserve"> and requirements</w:t>
      </w:r>
      <w:r w:rsidR="004C6CDD">
        <w:t xml:space="preserve"> is extended to </w:t>
      </w:r>
      <w:r w:rsidR="00A45A64">
        <w:t xml:space="preserve">all </w:t>
      </w:r>
      <w:r w:rsidR="009F0770">
        <w:t>non</w:t>
      </w:r>
      <w:r w:rsidR="006951D5">
        <w:noBreakHyphen/>
      </w:r>
      <w:r w:rsidR="009F0770">
        <w:t>facilities</w:t>
      </w:r>
      <w:r w:rsidR="006951D5">
        <w:noBreakHyphen/>
      </w:r>
      <w:r w:rsidR="009F0770">
        <w:t xml:space="preserve">based </w:t>
      </w:r>
      <w:r w:rsidR="004C6CDD">
        <w:t>interconnected VoIP service</w:t>
      </w:r>
      <w:r w:rsidR="009144FE">
        <w:t xml:space="preserve"> providers, except </w:t>
      </w:r>
      <w:r w:rsidR="009F0770">
        <w:t>nomadic</w:t>
      </w:r>
      <w:r w:rsidR="006951D5">
        <w:noBreakHyphen/>
      </w:r>
      <w:r w:rsidR="00294B16">
        <w:t>only</w:t>
      </w:r>
      <w:r w:rsidR="009F0770">
        <w:t xml:space="preserve"> </w:t>
      </w:r>
      <w:r w:rsidR="002A74B6">
        <w:t xml:space="preserve">interconnected </w:t>
      </w:r>
      <w:r w:rsidR="00762D9E">
        <w:t xml:space="preserve">VoIP </w:t>
      </w:r>
      <w:r w:rsidR="002A74B6">
        <w:t xml:space="preserve">service </w:t>
      </w:r>
      <w:r w:rsidR="009F0770">
        <w:t>providers</w:t>
      </w:r>
      <w:r w:rsidR="004C6CDD">
        <w:t>.</w:t>
      </w:r>
      <w:r w:rsidR="004C6CDD">
        <w:rPr>
          <w:rStyle w:val="FootnoteReference"/>
        </w:rPr>
        <w:footnoteReference w:id="117"/>
      </w:r>
      <w:r w:rsidR="004C6CDD">
        <w:t xml:space="preserve"> </w:t>
      </w:r>
      <w:r w:rsidR="00BD6997">
        <w:t xml:space="preserve">In the event </w:t>
      </w:r>
      <w:r w:rsidR="00C75CFC">
        <w:t xml:space="preserve">a </w:t>
      </w:r>
      <w:r w:rsidR="002043BE">
        <w:t>Section</w:t>
      </w:r>
      <w:r w:rsidR="00844EAF">
        <w:t> </w:t>
      </w:r>
      <w:r w:rsidR="00C75CFC">
        <w:t>1013 application either does not meet the requirements for a simplified registration or the application is protested</w:t>
      </w:r>
      <w:r w:rsidR="00BD6997">
        <w:t>, a</w:t>
      </w:r>
      <w:r w:rsidR="009A378B">
        <w:t>n</w:t>
      </w:r>
      <w:r w:rsidR="00BD6997">
        <w:t xml:space="preserve"> interconnected VoIP service provider must seek operating authority through a CPCN application.</w:t>
      </w:r>
    </w:p>
    <w:p w:rsidRPr="008E0CA8" w:rsidR="00B02FE5" w:rsidP="00F66B62" w:rsidRDefault="00B02FE5" w14:paraId="7EE92B97" w14:textId="29780E48">
      <w:pPr>
        <w:pStyle w:val="Standard"/>
      </w:pPr>
      <w:r>
        <w:t xml:space="preserve">Cal Broadband </w:t>
      </w:r>
      <w:r w:rsidR="00401EF8">
        <w:t>recommend</w:t>
      </w:r>
      <w:r w:rsidR="004C1985">
        <w:t>s</w:t>
      </w:r>
      <w:r w:rsidR="00401EF8">
        <w:t xml:space="preserve"> simplifying the process for providers intending to build limited facilities, or for providers that own only their own switches and otherwise do not own or operate facilities by </w:t>
      </w:r>
      <w:r>
        <w:t xml:space="preserve">the </w:t>
      </w:r>
      <w:r w:rsidR="002043BE">
        <w:t>Section </w:t>
      </w:r>
      <w:r>
        <w:t xml:space="preserve">1013 registration </w:t>
      </w:r>
      <w:r w:rsidR="00401EF8">
        <w:t>to limited facilities</w:t>
      </w:r>
      <w:r w:rsidR="006951D5">
        <w:noBreakHyphen/>
      </w:r>
      <w:r>
        <w:t>based providers.</w:t>
      </w:r>
      <w:r>
        <w:rPr>
          <w:rStyle w:val="FootnoteReference"/>
        </w:rPr>
        <w:footnoteReference w:id="118"/>
      </w:r>
      <w:r>
        <w:t xml:space="preserve"> This decision does not expand </w:t>
      </w:r>
      <w:r>
        <w:lastRenderedPageBreak/>
        <w:t xml:space="preserve">the </w:t>
      </w:r>
      <w:r w:rsidR="002043BE">
        <w:t>Section </w:t>
      </w:r>
      <w:r>
        <w:t>1013 registration to providers with facilities (full or limited).</w:t>
      </w:r>
      <w:r>
        <w:rPr>
          <w:rStyle w:val="FootnoteReference"/>
        </w:rPr>
        <w:footnoteReference w:id="119"/>
      </w:r>
      <w:r w:rsidR="00BD6997">
        <w:t xml:space="preserve"> </w:t>
      </w:r>
      <w:r w:rsidR="00A768FD">
        <w:t>However, this decision improves efficiency for all CPCN applicants in a number of ways, allowing self</w:t>
      </w:r>
      <w:r w:rsidR="006951D5">
        <w:noBreakHyphen/>
      </w:r>
      <w:r w:rsidR="00A768FD">
        <w:t xml:space="preserve">attestation and default exemptions to fulfill </w:t>
      </w:r>
      <w:r w:rsidR="00BD6997">
        <w:t>CEQA</w:t>
      </w:r>
      <w:r w:rsidR="00A768FD">
        <w:t xml:space="preserve"> requirements (</w:t>
      </w:r>
      <w:r w:rsidR="002043BE">
        <w:t>Section </w:t>
      </w:r>
      <w:r w:rsidR="00E12DC5">
        <w:t>6</w:t>
      </w:r>
      <w:r w:rsidR="00BD6997">
        <w:t>.</w:t>
      </w:r>
      <w:r w:rsidR="00A768FD">
        <w:t>1.</w:t>
      </w:r>
      <w:r w:rsidR="00173441">
        <w:t>5</w:t>
      </w:r>
      <w:r w:rsidR="00BD6997">
        <w:t xml:space="preserve"> of this decision</w:t>
      </w:r>
      <w:r w:rsidR="00A768FD">
        <w:t>)</w:t>
      </w:r>
      <w:r w:rsidR="0019719B">
        <w:t>,</w:t>
      </w:r>
      <w:r w:rsidR="00E12DC5">
        <w:t xml:space="preserve"> and</w:t>
      </w:r>
      <w:r w:rsidR="0019719B">
        <w:t xml:space="preserve"> </w:t>
      </w:r>
      <w:r w:rsidR="00A768FD">
        <w:t>default grants of confidential status of financial resource documentation</w:t>
      </w:r>
      <w:r w:rsidR="00C85294">
        <w:t xml:space="preserve"> (</w:t>
      </w:r>
      <w:r w:rsidR="002043BE">
        <w:t>Section </w:t>
      </w:r>
      <w:r w:rsidR="00C85294">
        <w:t>6.1.</w:t>
      </w:r>
      <w:r w:rsidR="007671EB">
        <w:t>3</w:t>
      </w:r>
      <w:r w:rsidR="00C85294">
        <w:t xml:space="preserve"> of this decision). </w:t>
      </w:r>
      <w:r w:rsidR="00A768FD">
        <w:t>Additionally, limited facilities</w:t>
      </w:r>
      <w:r w:rsidR="006951D5">
        <w:noBreakHyphen/>
      </w:r>
      <w:r w:rsidR="00A768FD">
        <w:t xml:space="preserve">based interconnected VoIP </w:t>
      </w:r>
      <w:r w:rsidR="00C85294">
        <w:t xml:space="preserve">service </w:t>
      </w:r>
      <w:r w:rsidR="00A768FD">
        <w:t xml:space="preserve">providers are granted default exemptions to certain application requirements consistent with the default exemptions for </w:t>
      </w:r>
      <w:r w:rsidRPr="00C25ADF" w:rsidR="00575D93">
        <w:t>NDIEC</w:t>
      </w:r>
      <w:r w:rsidR="006913BA">
        <w:t>s</w:t>
      </w:r>
      <w:r w:rsidR="007A404D">
        <w:t xml:space="preserve"> (</w:t>
      </w:r>
      <w:r w:rsidR="002043BE">
        <w:t>Section </w:t>
      </w:r>
      <w:r w:rsidR="00C6461C">
        <w:t>8.</w:t>
      </w:r>
      <w:r w:rsidR="002A2988">
        <w:t>2.9</w:t>
      </w:r>
      <w:r w:rsidR="007A404D">
        <w:t xml:space="preserve"> of this decision)</w:t>
      </w:r>
      <w:r w:rsidR="00A768FD">
        <w:t>.</w:t>
      </w:r>
    </w:p>
    <w:p w:rsidRPr="00375FB6" w:rsidR="00375FB6" w:rsidP="00375FB6" w:rsidRDefault="008144D9" w14:paraId="0085DCCF" w14:textId="539F328B">
      <w:pPr>
        <w:pStyle w:val="Standard"/>
      </w:pPr>
      <w:r>
        <w:rPr>
          <w:color w:val="000000" w:themeColor="text1"/>
        </w:rPr>
        <w:t xml:space="preserve">As described in greater detail in the </w:t>
      </w:r>
      <w:r w:rsidR="00D10EB2">
        <w:rPr>
          <w:color w:val="000000" w:themeColor="text1"/>
        </w:rPr>
        <w:t>s</w:t>
      </w:r>
      <w:r w:rsidR="003960A8">
        <w:rPr>
          <w:color w:val="000000" w:themeColor="text1"/>
        </w:rPr>
        <w:t>ection</w:t>
      </w:r>
      <w:r>
        <w:rPr>
          <w:color w:val="000000" w:themeColor="text1"/>
        </w:rPr>
        <w:t>s immediately following,</w:t>
      </w:r>
      <w:r w:rsidR="00375FB6">
        <w:rPr>
          <w:color w:val="000000" w:themeColor="text1"/>
        </w:rPr>
        <w:t xml:space="preserve"> </w:t>
      </w:r>
      <w:r w:rsidR="004824CA">
        <w:rPr>
          <w:color w:val="000000" w:themeColor="text1"/>
        </w:rPr>
        <w:t>the</w:t>
      </w:r>
      <w:r w:rsidR="00375FB6">
        <w:rPr>
          <w:color w:val="000000" w:themeColor="text1"/>
        </w:rPr>
        <w:t xml:space="preserve"> CPCN application form </w:t>
      </w:r>
      <w:r w:rsidR="004824CA">
        <w:rPr>
          <w:color w:val="000000" w:themeColor="text1"/>
        </w:rPr>
        <w:t>will be the mode of seeking authority for all facilities</w:t>
      </w:r>
      <w:r w:rsidR="006951D5">
        <w:rPr>
          <w:color w:val="000000" w:themeColor="text1"/>
        </w:rPr>
        <w:noBreakHyphen/>
      </w:r>
      <w:r w:rsidR="004824CA">
        <w:rPr>
          <w:color w:val="000000" w:themeColor="text1"/>
        </w:rPr>
        <w:t xml:space="preserve">based telephone corporations including interconnected VoIP </w:t>
      </w:r>
      <w:r w:rsidR="00E37D0A">
        <w:rPr>
          <w:color w:val="000000" w:themeColor="text1"/>
        </w:rPr>
        <w:t xml:space="preserve">service </w:t>
      </w:r>
      <w:r w:rsidR="004824CA">
        <w:rPr>
          <w:color w:val="000000" w:themeColor="text1"/>
        </w:rPr>
        <w:t>providers, as well as telephone corporations who</w:t>
      </w:r>
      <w:r w:rsidR="00E37D0A">
        <w:rPr>
          <w:color w:val="000000" w:themeColor="text1"/>
        </w:rPr>
        <w:t xml:space="preserve"> are not qualified to use</w:t>
      </w:r>
      <w:r w:rsidDel="00E37D0A" w:rsidR="004824CA">
        <w:rPr>
          <w:color w:val="000000" w:themeColor="text1"/>
        </w:rPr>
        <w:t xml:space="preserve"> </w:t>
      </w:r>
      <w:r w:rsidR="004824CA">
        <w:rPr>
          <w:color w:val="000000" w:themeColor="text1"/>
        </w:rPr>
        <w:t xml:space="preserve">the </w:t>
      </w:r>
      <w:r w:rsidR="00B759A8">
        <w:rPr>
          <w:color w:val="000000" w:themeColor="text1"/>
        </w:rPr>
        <w:t>Section </w:t>
      </w:r>
      <w:r w:rsidR="004824CA">
        <w:rPr>
          <w:color w:val="000000" w:themeColor="text1"/>
        </w:rPr>
        <w:t>1013 registration process. For non</w:t>
      </w:r>
      <w:r w:rsidR="006951D5">
        <w:rPr>
          <w:color w:val="000000" w:themeColor="text1"/>
        </w:rPr>
        <w:noBreakHyphen/>
      </w:r>
      <w:r w:rsidR="004824CA">
        <w:rPr>
          <w:color w:val="000000" w:themeColor="text1"/>
        </w:rPr>
        <w:t>facilities</w:t>
      </w:r>
      <w:r w:rsidR="006951D5">
        <w:rPr>
          <w:color w:val="000000" w:themeColor="text1"/>
        </w:rPr>
        <w:noBreakHyphen/>
      </w:r>
      <w:r w:rsidR="004824CA">
        <w:rPr>
          <w:color w:val="000000" w:themeColor="text1"/>
        </w:rPr>
        <w:t xml:space="preserve">based </w:t>
      </w:r>
      <w:r w:rsidR="00633F46">
        <w:rPr>
          <w:color w:val="000000" w:themeColor="text1"/>
        </w:rPr>
        <w:t>telephone corporations</w:t>
      </w:r>
      <w:r w:rsidR="004824CA">
        <w:rPr>
          <w:color w:val="000000" w:themeColor="text1"/>
        </w:rPr>
        <w:t xml:space="preserve"> including interconnected VoIP </w:t>
      </w:r>
      <w:r w:rsidR="002F05EB">
        <w:rPr>
          <w:color w:val="000000" w:themeColor="text1"/>
        </w:rPr>
        <w:t xml:space="preserve">service </w:t>
      </w:r>
      <w:r w:rsidR="004824CA">
        <w:rPr>
          <w:color w:val="000000" w:themeColor="text1"/>
        </w:rPr>
        <w:t xml:space="preserve">providers, an updated </w:t>
      </w:r>
      <w:r w:rsidR="0033191D">
        <w:rPr>
          <w:color w:val="000000" w:themeColor="text1"/>
        </w:rPr>
        <w:t>Section </w:t>
      </w:r>
      <w:r w:rsidR="00375FB6">
        <w:rPr>
          <w:color w:val="000000" w:themeColor="text1"/>
        </w:rPr>
        <w:t>1013 registration</w:t>
      </w:r>
      <w:r w:rsidR="00FC2BA0">
        <w:rPr>
          <w:color w:val="000000" w:themeColor="text1"/>
        </w:rPr>
        <w:t xml:space="preserve"> is established. </w:t>
      </w:r>
      <w:r w:rsidR="00831D0E">
        <w:rPr>
          <w:color w:val="000000" w:themeColor="text1"/>
        </w:rPr>
        <w:t xml:space="preserve">Additionally, </w:t>
      </w:r>
      <w:r w:rsidR="007B4E93">
        <w:rPr>
          <w:color w:val="000000" w:themeColor="text1"/>
        </w:rPr>
        <w:t>this decision</w:t>
      </w:r>
      <w:r w:rsidR="00375FB6">
        <w:rPr>
          <w:color w:val="000000" w:themeColor="text1"/>
        </w:rPr>
        <w:t xml:space="preserve"> </w:t>
      </w:r>
      <w:r w:rsidR="007B4E93">
        <w:rPr>
          <w:color w:val="000000" w:themeColor="text1"/>
        </w:rPr>
        <w:t>adopts</w:t>
      </w:r>
      <w:r w:rsidR="00375FB6">
        <w:rPr>
          <w:color w:val="000000" w:themeColor="text1"/>
        </w:rPr>
        <w:t xml:space="preserve"> a new formal registration process for providers of </w:t>
      </w:r>
      <w:r w:rsidR="00986DD3">
        <w:rPr>
          <w:color w:val="000000" w:themeColor="text1"/>
        </w:rPr>
        <w:t>only</w:t>
      </w:r>
      <w:r w:rsidR="00375FB6">
        <w:rPr>
          <w:color w:val="000000" w:themeColor="text1"/>
        </w:rPr>
        <w:t xml:space="preserve"> nomadic interconnected VoIP service</w:t>
      </w:r>
      <w:r w:rsidR="001015A5">
        <w:rPr>
          <w:color w:val="000000" w:themeColor="text1"/>
        </w:rPr>
        <w:t xml:space="preserve"> (</w:t>
      </w:r>
      <w:r w:rsidR="00174CCA">
        <w:rPr>
          <w:color w:val="000000" w:themeColor="text1"/>
        </w:rPr>
        <w:t>N</w:t>
      </w:r>
      <w:r w:rsidR="001015A5">
        <w:rPr>
          <w:color w:val="000000" w:themeColor="text1"/>
        </w:rPr>
        <w:t xml:space="preserve">omadic </w:t>
      </w:r>
      <w:r w:rsidR="00174CCA">
        <w:rPr>
          <w:color w:val="000000" w:themeColor="text1"/>
        </w:rPr>
        <w:t>R</w:t>
      </w:r>
      <w:r w:rsidR="001015A5">
        <w:rPr>
          <w:color w:val="000000" w:themeColor="text1"/>
        </w:rPr>
        <w:t>egistration)</w:t>
      </w:r>
      <w:r w:rsidR="00375FB6">
        <w:rPr>
          <w:color w:val="000000" w:themeColor="text1"/>
        </w:rPr>
        <w:t xml:space="preserve">. The updates to the existing processes, and the new </w:t>
      </w:r>
      <w:r w:rsidR="004A4EAF">
        <w:rPr>
          <w:color w:val="000000" w:themeColor="text1"/>
        </w:rPr>
        <w:t>Nomadic</w:t>
      </w:r>
      <w:r w:rsidR="00CD0E2A">
        <w:rPr>
          <w:color w:val="000000" w:themeColor="text1"/>
        </w:rPr>
        <w:t xml:space="preserve"> </w:t>
      </w:r>
      <w:r w:rsidR="004A4EAF">
        <w:rPr>
          <w:color w:val="000000" w:themeColor="text1"/>
        </w:rPr>
        <w:t>R</w:t>
      </w:r>
      <w:r w:rsidR="00375FB6">
        <w:rPr>
          <w:color w:val="000000" w:themeColor="text1"/>
        </w:rPr>
        <w:t>egistration process</w:t>
      </w:r>
      <w:r w:rsidDel="004A4EAF" w:rsidR="00375FB6">
        <w:rPr>
          <w:color w:val="000000" w:themeColor="text1"/>
        </w:rPr>
        <w:t xml:space="preserve"> </w:t>
      </w:r>
      <w:r w:rsidR="00375FB6">
        <w:rPr>
          <w:color w:val="000000" w:themeColor="text1"/>
        </w:rPr>
        <w:t>are described below.</w:t>
      </w:r>
    </w:p>
    <w:p w:rsidR="006E4D58" w:rsidP="000A2CD0" w:rsidRDefault="009D389C" w14:paraId="01FECF21" w14:textId="35859860">
      <w:pPr>
        <w:pStyle w:val="Heading2"/>
      </w:pPr>
      <w:bookmarkStart w:name="_Toc176770941" w:id="77"/>
      <w:bookmarkStart w:name="_Toc177021139" w:id="78"/>
      <w:bookmarkStart w:name="_Toc181692888" w:id="79"/>
      <w:r w:rsidRPr="009D389C">
        <w:t>Certificate of Public Convenience</w:t>
      </w:r>
      <w:r w:rsidR="00094E3B">
        <w:br/>
      </w:r>
      <w:r w:rsidRPr="009D389C">
        <w:t>and Necessity</w:t>
      </w:r>
      <w:r w:rsidR="004C6CDD">
        <w:t xml:space="preserve"> </w:t>
      </w:r>
      <w:r w:rsidR="00472682">
        <w:t xml:space="preserve">Application </w:t>
      </w:r>
      <w:r w:rsidR="004C6CDD">
        <w:t>and</w:t>
      </w:r>
      <w:r w:rsidR="00094E3B">
        <w:br/>
      </w:r>
      <w:r w:rsidR="0033191D">
        <w:t>Section </w:t>
      </w:r>
      <w:r w:rsidR="00375FB6">
        <w:t>1013 Registration Updates</w:t>
      </w:r>
      <w:bookmarkEnd w:id="77"/>
      <w:bookmarkEnd w:id="78"/>
      <w:bookmarkEnd w:id="79"/>
    </w:p>
    <w:p w:rsidR="00A96B31" w:rsidP="00282BD6" w:rsidRDefault="00051AEC" w14:paraId="149BE890" w14:textId="593FCBAB">
      <w:pPr>
        <w:pStyle w:val="Standard"/>
      </w:pPr>
      <w:bookmarkStart w:name="_Hlk171599954" w:id="80"/>
      <w:r>
        <w:t xml:space="preserve">This </w:t>
      </w:r>
      <w:r w:rsidR="0033191D">
        <w:t xml:space="preserve">section </w:t>
      </w:r>
      <w:r>
        <w:t xml:space="preserve">makes </w:t>
      </w:r>
      <w:r w:rsidR="00DF7210">
        <w:t xml:space="preserve">multiple minor modifications </w:t>
      </w:r>
      <w:r w:rsidR="00A763B2">
        <w:t xml:space="preserve">and updates </w:t>
      </w:r>
      <w:r w:rsidR="00DF7210">
        <w:t xml:space="preserve">to the </w:t>
      </w:r>
      <w:r w:rsidR="00EE5490">
        <w:t xml:space="preserve">existing </w:t>
      </w:r>
      <w:r w:rsidR="00DF7210">
        <w:t xml:space="preserve">CPCN </w:t>
      </w:r>
      <w:r w:rsidR="00D62F69">
        <w:t>a</w:t>
      </w:r>
      <w:r w:rsidR="00DF7210">
        <w:t xml:space="preserve">pplication and </w:t>
      </w:r>
      <w:r w:rsidR="0033191D">
        <w:t>Section </w:t>
      </w:r>
      <w:r w:rsidR="00DF7210">
        <w:t>1013 registration</w:t>
      </w:r>
      <w:r w:rsidR="00911996">
        <w:t xml:space="preserve"> forms and</w:t>
      </w:r>
      <w:r w:rsidR="00DF7210">
        <w:t xml:space="preserve"> processes.</w:t>
      </w:r>
      <w:r w:rsidR="00545A25">
        <w:t xml:space="preserve"> </w:t>
      </w:r>
      <w:r w:rsidR="00545A25">
        <w:rPr>
          <w:color w:val="000000" w:themeColor="text1"/>
        </w:rPr>
        <w:t xml:space="preserve">The sample forms, instructions and processes found in </w:t>
      </w:r>
      <w:r w:rsidR="008301FC">
        <w:rPr>
          <w:color w:val="000000" w:themeColor="text1"/>
        </w:rPr>
        <w:t>Appendices</w:t>
      </w:r>
      <w:r w:rsidR="00844EAF">
        <w:rPr>
          <w:color w:val="000000" w:themeColor="text1"/>
        </w:rPr>
        <w:t> </w:t>
      </w:r>
      <w:r w:rsidR="00545A25">
        <w:rPr>
          <w:color w:val="000000" w:themeColor="text1"/>
        </w:rPr>
        <w:t>B</w:t>
      </w:r>
      <w:r w:rsidR="00F965EC">
        <w:rPr>
          <w:color w:val="000000" w:themeColor="text1"/>
        </w:rPr>
        <w:noBreakHyphen/>
      </w:r>
      <w:r w:rsidR="00545A25">
        <w:rPr>
          <w:color w:val="000000" w:themeColor="text1"/>
        </w:rPr>
        <w:t>C reflect the updates adopted in this decision.</w:t>
      </w:r>
    </w:p>
    <w:p w:rsidR="00394A8F" w:rsidP="000A2CD0" w:rsidRDefault="00394A8F" w14:paraId="36433189" w14:textId="0B282725">
      <w:pPr>
        <w:pStyle w:val="Heading3"/>
      </w:pPr>
      <w:bookmarkStart w:name="_Toc176770942" w:id="81"/>
      <w:bookmarkStart w:name="_Toc177021140" w:id="82"/>
      <w:bookmarkStart w:name="_Toc181692889" w:id="83"/>
      <w:r>
        <w:lastRenderedPageBreak/>
        <w:t>Application Fee</w:t>
      </w:r>
      <w:r w:rsidR="00A763B2">
        <w:t xml:space="preserve"> Related to</w:t>
      </w:r>
      <w:r w:rsidR="005C24BE">
        <w:br/>
      </w:r>
      <w:r w:rsidR="000645F4">
        <w:t>Section </w:t>
      </w:r>
      <w:r w:rsidR="00A763B2">
        <w:t xml:space="preserve">1013 </w:t>
      </w:r>
      <w:r w:rsidR="005D181A">
        <w:t>Registration Reassignments</w:t>
      </w:r>
      <w:bookmarkEnd w:id="81"/>
      <w:bookmarkEnd w:id="82"/>
      <w:bookmarkEnd w:id="83"/>
    </w:p>
    <w:p w:rsidR="00A96B31" w:rsidP="00D27317" w:rsidRDefault="00816C58" w14:paraId="70DC6765" w14:textId="1661CEE6">
      <w:pPr>
        <w:pStyle w:val="Standard"/>
      </w:pPr>
      <w:r>
        <w:t xml:space="preserve">Currently, </w:t>
      </w:r>
      <w:r w:rsidR="00E40687">
        <w:t>when a</w:t>
      </w:r>
      <w:r>
        <w:t xml:space="preserve"> </w:t>
      </w:r>
      <w:r w:rsidR="0033191D">
        <w:t>Section </w:t>
      </w:r>
      <w:r>
        <w:t xml:space="preserve">1013 applicant </w:t>
      </w:r>
      <w:r w:rsidR="00383A2A">
        <w:t xml:space="preserve">is </w:t>
      </w:r>
      <w:r>
        <w:t xml:space="preserve">found ineligible for a </w:t>
      </w:r>
      <w:r w:rsidR="0033191D">
        <w:t>Section </w:t>
      </w:r>
      <w:r>
        <w:t xml:space="preserve">1013 registration and </w:t>
      </w:r>
      <w:r w:rsidR="00A65D08">
        <w:t xml:space="preserve">the applicant </w:t>
      </w:r>
      <w:r>
        <w:t xml:space="preserve">opts to pursue operating authority through a CPCN, </w:t>
      </w:r>
      <w:r w:rsidR="00E40687">
        <w:t xml:space="preserve">the applicant </w:t>
      </w:r>
      <w:r>
        <w:t xml:space="preserve">is not required to pay the difference </w:t>
      </w:r>
      <w:r w:rsidR="004F5BD0">
        <w:t xml:space="preserve">between the </w:t>
      </w:r>
      <w:r w:rsidR="0033191D">
        <w:t>Section </w:t>
      </w:r>
      <w:r>
        <w:t>1013 registration fee and the CPCN application fee</w:t>
      </w:r>
      <w:r w:rsidR="00383A2A">
        <w:t>.</w:t>
      </w:r>
    </w:p>
    <w:p w:rsidR="00A96B31" w:rsidP="004B660B" w:rsidRDefault="00F22DDC" w14:paraId="4AF0D0F6" w14:textId="4E7262B0">
      <w:pPr>
        <w:pStyle w:val="Standard"/>
      </w:pPr>
      <w:r>
        <w:t xml:space="preserve">The administrative burden to process a CPCN application is higher than the administrative burden to process a </w:t>
      </w:r>
      <w:r w:rsidR="0033191D">
        <w:t>Section </w:t>
      </w:r>
      <w:r w:rsidR="00383A2A">
        <w:t xml:space="preserve">1013 </w:t>
      </w:r>
      <w:r>
        <w:t>application</w:t>
      </w:r>
      <w:r w:rsidR="00F0003D">
        <w:t xml:space="preserve"> and requires </w:t>
      </w:r>
      <w:r w:rsidR="00DE1303">
        <w:t xml:space="preserve">the </w:t>
      </w:r>
      <w:r w:rsidR="00A65D08">
        <w:t>CPCN</w:t>
      </w:r>
      <w:r w:rsidR="00DE1303">
        <w:t xml:space="preserve"> fee to process the application</w:t>
      </w:r>
      <w:r>
        <w:t>. Therefore, i</w:t>
      </w:r>
      <w:r w:rsidR="00210EB6">
        <w:t xml:space="preserve">n </w:t>
      </w:r>
      <w:r w:rsidR="007A0A37">
        <w:t>this decision we resolve the discrepancy in fees</w:t>
      </w:r>
      <w:r w:rsidR="00F0003D">
        <w:t xml:space="preserve"> </w:t>
      </w:r>
      <w:r w:rsidR="006B76C2">
        <w:t>paid. From the date of issuance of this decision, i</w:t>
      </w:r>
      <w:r w:rsidR="00210EB6">
        <w:t xml:space="preserve">n the event the </w:t>
      </w:r>
      <w:r w:rsidR="0033191D">
        <w:t>Section </w:t>
      </w:r>
      <w:r w:rsidR="00210EB6">
        <w:t xml:space="preserve">1013 applicant is found </w:t>
      </w:r>
      <w:r w:rsidR="00983F32">
        <w:t>ineligible for a</w:t>
      </w:r>
      <w:r w:rsidR="00210EB6">
        <w:t xml:space="preserve"> </w:t>
      </w:r>
      <w:r w:rsidR="0033191D">
        <w:t>Section </w:t>
      </w:r>
      <w:r w:rsidR="00210EB6">
        <w:t>1013 registration</w:t>
      </w:r>
      <w:r w:rsidR="0021063C">
        <w:t>, and</w:t>
      </w:r>
      <w:r w:rsidR="00210EB6">
        <w:t xml:space="preserve"> opts to pursue operating authority through a CPCN, the applicant is required to pay the difference</w:t>
      </w:r>
      <w:r w:rsidR="00A6048E">
        <w:t xml:space="preserve"> </w:t>
      </w:r>
      <w:r w:rsidR="009E4493">
        <w:t xml:space="preserve">between the </w:t>
      </w:r>
      <w:r w:rsidR="0033191D">
        <w:t>Section </w:t>
      </w:r>
      <w:r w:rsidR="00210EB6">
        <w:t>1013 registration fee and the CPCN application fee</w:t>
      </w:r>
      <w:r w:rsidR="0021063C">
        <w:t xml:space="preserve"> within </w:t>
      </w:r>
      <w:r w:rsidR="004128FB">
        <w:t>15</w:t>
      </w:r>
      <w:r w:rsidR="0021063C">
        <w:t xml:space="preserve"> </w:t>
      </w:r>
      <w:r w:rsidR="002D2C14">
        <w:t xml:space="preserve">calendar </w:t>
      </w:r>
      <w:r w:rsidR="0021063C">
        <w:t xml:space="preserve">days of </w:t>
      </w:r>
      <w:r w:rsidR="002D2C14">
        <w:t xml:space="preserve">the reassignment </w:t>
      </w:r>
      <w:r w:rsidR="0021063C">
        <w:t>notice</w:t>
      </w:r>
      <w:r w:rsidR="004128FB">
        <w:t xml:space="preserve">, as discussed in </w:t>
      </w:r>
      <w:r w:rsidR="00C04D12">
        <w:t>Appendix</w:t>
      </w:r>
      <w:r w:rsidR="00844EAF">
        <w:t> </w:t>
      </w:r>
      <w:r w:rsidR="004128FB">
        <w:t>B</w:t>
      </w:r>
      <w:r w:rsidR="00EA5404">
        <w:t>.</w:t>
      </w:r>
      <w:r w:rsidR="002D2C14">
        <w:t xml:space="preserve"> If </w:t>
      </w:r>
      <w:r w:rsidR="00FA0C53">
        <w:t xml:space="preserve">payment </w:t>
      </w:r>
      <w:r w:rsidR="00C824ED">
        <w:t>is not made</w:t>
      </w:r>
      <w:r w:rsidR="002C0809">
        <w:t xml:space="preserve"> by the due date</w:t>
      </w:r>
      <w:r w:rsidR="00C824ED">
        <w:t xml:space="preserve">, the </w:t>
      </w:r>
      <w:r w:rsidR="001E2058">
        <w:t>application will be dismissed</w:t>
      </w:r>
      <w:r w:rsidR="00430EB0">
        <w:t xml:space="preserve"> without prejudice</w:t>
      </w:r>
      <w:r w:rsidR="001E2058">
        <w:t>.</w:t>
      </w:r>
    </w:p>
    <w:p w:rsidR="005D0C3B" w:rsidP="000A2CD0" w:rsidRDefault="007E7422" w14:paraId="6D66737B" w14:textId="42E26C0E">
      <w:pPr>
        <w:pStyle w:val="Heading3"/>
      </w:pPr>
      <w:bookmarkStart w:name="_Toc176770943" w:id="84"/>
      <w:bookmarkStart w:name="_Toc177021141" w:id="85"/>
      <w:bookmarkStart w:name="_Toc181692890" w:id="86"/>
      <w:r>
        <w:t>Licensing and Registration</w:t>
      </w:r>
      <w:r w:rsidR="009C11DC">
        <w:br/>
      </w:r>
      <w:r w:rsidR="005D0C3B">
        <w:t>Application Information</w:t>
      </w:r>
      <w:bookmarkEnd w:id="84"/>
      <w:bookmarkEnd w:id="85"/>
      <w:bookmarkEnd w:id="86"/>
    </w:p>
    <w:p w:rsidRPr="008B5675" w:rsidR="00A6048E" w:rsidP="004B660B" w:rsidRDefault="00EA5404" w14:paraId="30EB90FD" w14:textId="1E3E2276">
      <w:pPr>
        <w:pStyle w:val="Standard"/>
      </w:pPr>
      <w:r>
        <w:t>Currently, providers may hold multiple licenses.</w:t>
      </w:r>
      <w:r w:rsidR="00CD0E2A">
        <w:t xml:space="preserve"> </w:t>
      </w:r>
      <w:r>
        <w:t>Performance under other operating authority, whether current or past, is relevant to approving additional operating authority. Therefore, this decision e</w:t>
      </w:r>
      <w:r w:rsidRPr="008B5675" w:rsidR="00A6048E">
        <w:t>stablishes a requirement for the applicant to list other licenses, whether current or past, which the applicant obtained from the Commission.</w:t>
      </w:r>
      <w:r w:rsidR="00E47170">
        <w:t xml:space="preserve"> This new requirement is applicable to all types of licensing applications and registrations.</w:t>
      </w:r>
    </w:p>
    <w:p w:rsidRPr="008B5675" w:rsidR="00A6048E" w:rsidP="00F11D94" w:rsidRDefault="00EA5404" w14:paraId="58260AC2" w14:textId="1463E677">
      <w:pPr>
        <w:pStyle w:val="Standard"/>
      </w:pPr>
      <w:r>
        <w:t>Currently, background checks include review of whether ownership is foreign or domestic</w:t>
      </w:r>
      <w:r w:rsidR="00997085">
        <w:t>,</w:t>
      </w:r>
      <w:r>
        <w:t xml:space="preserve"> but this is not a standard item on the application form. </w:t>
      </w:r>
      <w:r>
        <w:lastRenderedPageBreak/>
        <w:t xml:space="preserve">Identifying foreign ownership on </w:t>
      </w:r>
      <w:r w:rsidR="005C4034">
        <w:t xml:space="preserve">an </w:t>
      </w:r>
      <w:r>
        <w:t xml:space="preserve">application </w:t>
      </w:r>
      <w:r w:rsidR="00997085">
        <w:t xml:space="preserve">or registration </w:t>
      </w:r>
      <w:r>
        <w:t>form will make the administrative review more efficient. Therefore, this decision e</w:t>
      </w:r>
      <w:r w:rsidRPr="008B5675">
        <w:t>stablishes</w:t>
      </w:r>
      <w:r w:rsidRPr="008B5675" w:rsidR="00A6048E">
        <w:t xml:space="preserve"> a requirement for the applica</w:t>
      </w:r>
      <w:r w:rsidR="00997085">
        <w:t>nt</w:t>
      </w:r>
      <w:r w:rsidRPr="008B5675" w:rsidR="00A6048E">
        <w:t xml:space="preserve"> to identify whether they are or are affiliated with a foreign entity.</w:t>
      </w:r>
    </w:p>
    <w:p w:rsidR="00055CBB" w:rsidP="000A2CD0" w:rsidRDefault="008962B6" w14:paraId="56DEA30B" w14:textId="7F753F67">
      <w:pPr>
        <w:pStyle w:val="Heading3"/>
      </w:pPr>
      <w:bookmarkStart w:name="_Toc176770944" w:id="87"/>
      <w:bookmarkStart w:name="_Toc177021142" w:id="88"/>
      <w:bookmarkStart w:name="_Toc181692891" w:id="89"/>
      <w:r>
        <w:t>Presumpti</w:t>
      </w:r>
      <w:r w:rsidR="00BC1746">
        <w:t>on</w:t>
      </w:r>
      <w:r>
        <w:t xml:space="preserve"> of </w:t>
      </w:r>
      <w:r w:rsidR="005D0C3B">
        <w:t>Confidential</w:t>
      </w:r>
      <w:r w:rsidR="00BC1746">
        <w:t>ity</w:t>
      </w:r>
      <w:r w:rsidR="00055CBB">
        <w:t xml:space="preserve"> </w:t>
      </w:r>
      <w:r w:rsidR="00BC1746">
        <w:t>for</w:t>
      </w:r>
      <w:r w:rsidR="005D0C3B">
        <w:t xml:space="preserve"> </w:t>
      </w:r>
      <w:r w:rsidR="00EC6AA1">
        <w:t xml:space="preserve">Certain </w:t>
      </w:r>
      <w:r w:rsidR="005C4034">
        <w:t xml:space="preserve">Financial </w:t>
      </w:r>
      <w:r w:rsidR="00545A25">
        <w:t xml:space="preserve">Documents, Construction Costs, </w:t>
      </w:r>
      <w:r w:rsidR="00EC6AA1">
        <w:t xml:space="preserve">and </w:t>
      </w:r>
      <w:r w:rsidR="00BC1746">
        <w:t>Customer Numbers</w:t>
      </w:r>
      <w:bookmarkEnd w:id="87"/>
      <w:bookmarkEnd w:id="88"/>
      <w:bookmarkEnd w:id="89"/>
    </w:p>
    <w:p w:rsidR="008962B6" w:rsidP="008962B6" w:rsidRDefault="008962B6" w14:paraId="513D2D8C" w14:textId="4D1D769E">
      <w:pPr>
        <w:pStyle w:val="Standard"/>
        <w:rPr>
          <w:rFonts w:eastAsia="Times New Roman" w:cs="Times New Roman"/>
          <w:szCs w:val="26"/>
        </w:rPr>
      </w:pPr>
      <w:r>
        <w:t xml:space="preserve">The Commission requires CPCN and </w:t>
      </w:r>
      <w:r w:rsidR="002043BE">
        <w:t>Section</w:t>
      </w:r>
      <w:r w:rsidR="00844EAF">
        <w:t> </w:t>
      </w:r>
      <w:r>
        <w:t>1013 applicants to possess a minimum amount of funds for operation.</w:t>
      </w:r>
      <w:r>
        <w:rPr>
          <w:rStyle w:val="FootnoteReference"/>
        </w:rPr>
        <w:footnoteReference w:id="120"/>
      </w:r>
      <w:r>
        <w:t xml:space="preserve"> CPCN applicants for facilities</w:t>
      </w:r>
      <w:r w:rsidR="00844EAF">
        <w:noBreakHyphen/>
      </w:r>
      <w:r>
        <w:t>based service must also provide a statement detailing the estimated cost of construction, and the estimated number of customers for the first and fifth years of operation.</w:t>
      </w:r>
      <w:r>
        <w:rPr>
          <w:rStyle w:val="FootnoteReference"/>
        </w:rPr>
        <w:footnoteReference w:id="121"/>
      </w:r>
      <w:r>
        <w:t xml:space="preserve"> CPCN applicants </w:t>
      </w:r>
      <w:r w:rsidR="00A57703">
        <w:t xml:space="preserve">may </w:t>
      </w:r>
      <w:r>
        <w:t xml:space="preserve">request </w:t>
      </w:r>
      <w:r w:rsidR="00F30623">
        <w:t xml:space="preserve">that </w:t>
      </w:r>
      <w:r>
        <w:t xml:space="preserve">the information be kept confidential by filing a motion pursuant to </w:t>
      </w:r>
      <w:r w:rsidR="00F05DE3">
        <w:t>Rule</w:t>
      </w:r>
      <w:r w:rsidR="00844EAF">
        <w:t> </w:t>
      </w:r>
      <w:r>
        <w:t>11.4</w:t>
      </w:r>
      <w:r w:rsidR="00F05DE3">
        <w:t xml:space="preserve"> </w:t>
      </w:r>
      <w:r>
        <w:t xml:space="preserve">and </w:t>
      </w:r>
      <w:r w:rsidR="00424385">
        <w:rPr>
          <w:rFonts w:eastAsia="Times New Roman" w:cs="Times New Roman"/>
          <w:szCs w:val="26"/>
        </w:rPr>
        <w:t>GO </w:t>
      </w:r>
      <w:r w:rsidRPr="00641762">
        <w:rPr>
          <w:rFonts w:eastAsia="Times New Roman" w:cs="Times New Roman"/>
          <w:szCs w:val="26"/>
        </w:rPr>
        <w:t>66</w:t>
      </w:r>
      <w:r w:rsidR="00844EAF">
        <w:rPr>
          <w:rFonts w:eastAsia="Times New Roman" w:cs="Times New Roman"/>
          <w:szCs w:val="26"/>
        </w:rPr>
        <w:noBreakHyphen/>
      </w:r>
      <w:r w:rsidRPr="00641762">
        <w:rPr>
          <w:rFonts w:eastAsia="Times New Roman" w:cs="Times New Roman"/>
          <w:szCs w:val="26"/>
        </w:rPr>
        <w:t>D</w:t>
      </w:r>
      <w:r>
        <w:rPr>
          <w:rFonts w:eastAsia="Times New Roman" w:cs="Times New Roman"/>
          <w:szCs w:val="26"/>
        </w:rPr>
        <w:t xml:space="preserve">. </w:t>
      </w:r>
      <w:r w:rsidR="002043BE">
        <w:rPr>
          <w:rFonts w:eastAsia="Times New Roman" w:cs="Times New Roman"/>
          <w:szCs w:val="26"/>
        </w:rPr>
        <w:t>Section</w:t>
      </w:r>
      <w:r w:rsidR="00844EAF">
        <w:rPr>
          <w:rFonts w:eastAsia="Times New Roman" w:cs="Times New Roman"/>
          <w:szCs w:val="26"/>
        </w:rPr>
        <w:t> </w:t>
      </w:r>
      <w:r>
        <w:rPr>
          <w:rFonts w:eastAsia="Times New Roman" w:cs="Times New Roman"/>
          <w:szCs w:val="26"/>
        </w:rPr>
        <w:t xml:space="preserve">1013 applicants, on the other hand, </w:t>
      </w:r>
      <w:r w:rsidR="00A57703">
        <w:rPr>
          <w:rFonts w:eastAsia="Times New Roman" w:cs="Times New Roman"/>
          <w:szCs w:val="26"/>
        </w:rPr>
        <w:t xml:space="preserve">can </w:t>
      </w:r>
      <w:r>
        <w:t>seek confidential treatment using an alternative procedure established by the Commission in D.97</w:t>
      </w:r>
      <w:r w:rsidR="00844EAF">
        <w:noBreakHyphen/>
      </w:r>
      <w:r>
        <w:t>09</w:t>
      </w:r>
      <w:r w:rsidR="00844EAF">
        <w:noBreakHyphen/>
      </w:r>
      <w:r>
        <w:t>035 “[t]o allow commercially valuable financial information to be held under seal, while maintaining the schedule for registrations.”</w:t>
      </w:r>
      <w:r>
        <w:rPr>
          <w:rStyle w:val="FootnoteReference"/>
        </w:rPr>
        <w:footnoteReference w:id="122"/>
      </w:r>
    </w:p>
    <w:p w:rsidR="00055CBB" w:rsidP="008962B6" w:rsidRDefault="007624DB" w14:paraId="27FCB011" w14:textId="5556E56C">
      <w:pPr>
        <w:pStyle w:val="Standard"/>
        <w:rPr>
          <w:rFonts w:eastAsia="Times New Roman" w:cs="Times New Roman"/>
          <w:szCs w:val="26"/>
        </w:rPr>
      </w:pPr>
      <w:r>
        <w:t>Any process involving requests for confidential treatment of information submitted to the Commission must be consistent with the Commission’s disclosure obligations.</w:t>
      </w:r>
      <w:r w:rsidR="00CE4A2B">
        <w:t xml:space="preserve"> </w:t>
      </w:r>
      <w:r w:rsidR="00424385">
        <w:rPr>
          <w:rFonts w:eastAsia="Times New Roman" w:cs="Times New Roman"/>
          <w:szCs w:val="26"/>
        </w:rPr>
        <w:t>GO </w:t>
      </w:r>
      <w:r w:rsidR="008962B6">
        <w:rPr>
          <w:rFonts w:eastAsia="Times New Roman" w:cs="Times New Roman"/>
          <w:szCs w:val="26"/>
        </w:rPr>
        <w:t>66</w:t>
      </w:r>
      <w:r w:rsidR="00844EAF">
        <w:rPr>
          <w:rFonts w:eastAsia="Times New Roman" w:cs="Times New Roman"/>
          <w:szCs w:val="26"/>
        </w:rPr>
        <w:noBreakHyphen/>
      </w:r>
      <w:r w:rsidR="008962B6">
        <w:rPr>
          <w:rFonts w:eastAsia="Times New Roman" w:cs="Times New Roman"/>
          <w:szCs w:val="26"/>
        </w:rPr>
        <w:t xml:space="preserve">D, </w:t>
      </w:r>
      <w:r w:rsidRPr="007364CB" w:rsidR="008962B6">
        <w:rPr>
          <w:rFonts w:eastAsia="Times New Roman" w:cs="Times New Roman"/>
          <w:szCs w:val="26"/>
        </w:rPr>
        <w:t xml:space="preserve">effective </w:t>
      </w:r>
      <w:r w:rsidR="00424385">
        <w:rPr>
          <w:rFonts w:eastAsia="Times New Roman" w:cs="Times New Roman"/>
          <w:szCs w:val="26"/>
        </w:rPr>
        <w:t>January</w:t>
      </w:r>
      <w:r w:rsidR="00844EAF">
        <w:rPr>
          <w:rFonts w:eastAsia="Times New Roman" w:cs="Times New Roman"/>
          <w:szCs w:val="26"/>
        </w:rPr>
        <w:t> </w:t>
      </w:r>
      <w:r w:rsidRPr="007364CB" w:rsidR="008962B6">
        <w:rPr>
          <w:rFonts w:eastAsia="Times New Roman" w:cs="Times New Roman"/>
          <w:szCs w:val="26"/>
        </w:rPr>
        <w:t xml:space="preserve">1, 2018, </w:t>
      </w:r>
      <w:r w:rsidR="00AE3CBF">
        <w:rPr>
          <w:rFonts w:eastAsia="Times New Roman" w:cs="Times New Roman"/>
          <w:szCs w:val="26"/>
        </w:rPr>
        <w:t>sets forth</w:t>
      </w:r>
      <w:r w:rsidRPr="000E4FE8" w:rsidR="008962B6">
        <w:rPr>
          <w:rFonts w:eastAsia="Times New Roman" w:cs="Times New Roman"/>
          <w:szCs w:val="26"/>
        </w:rPr>
        <w:t xml:space="preserve"> </w:t>
      </w:r>
      <w:r w:rsidRPr="002C41F0" w:rsidR="008962B6">
        <w:rPr>
          <w:rFonts w:eastAsia="Times New Roman" w:cs="Times New Roman"/>
          <w:szCs w:val="26"/>
        </w:rPr>
        <w:t xml:space="preserve">the Commission’s </w:t>
      </w:r>
      <w:r w:rsidR="00AE3CBF">
        <w:rPr>
          <w:rFonts w:eastAsia="Times New Roman" w:cs="Times New Roman"/>
          <w:szCs w:val="26"/>
        </w:rPr>
        <w:t>rules and</w:t>
      </w:r>
      <w:r w:rsidRPr="002C41F0" w:rsidR="008962B6">
        <w:rPr>
          <w:rFonts w:eastAsia="Times New Roman" w:cs="Times New Roman"/>
          <w:szCs w:val="26"/>
        </w:rPr>
        <w:t xml:space="preserve"> guidelines </w:t>
      </w:r>
      <w:r w:rsidR="00AE3CBF">
        <w:rPr>
          <w:rFonts w:eastAsia="Times New Roman" w:cs="Times New Roman"/>
          <w:szCs w:val="26"/>
        </w:rPr>
        <w:t>concerning the submission of confidential information to the Commission and</w:t>
      </w:r>
      <w:r w:rsidR="00FA4C3F">
        <w:rPr>
          <w:rFonts w:eastAsia="Times New Roman" w:cs="Times New Roman"/>
          <w:szCs w:val="26"/>
        </w:rPr>
        <w:t xml:space="preserve"> </w:t>
      </w:r>
      <w:r w:rsidRPr="002C41F0" w:rsidR="008962B6">
        <w:rPr>
          <w:rFonts w:eastAsia="Times New Roman" w:cs="Times New Roman"/>
          <w:szCs w:val="26"/>
        </w:rPr>
        <w:t xml:space="preserve">access to </w:t>
      </w:r>
      <w:r w:rsidRPr="00D66CFF" w:rsidR="008962B6">
        <w:rPr>
          <w:rFonts w:eastAsia="Times New Roman" w:cs="Times New Roman"/>
          <w:szCs w:val="26"/>
        </w:rPr>
        <w:t xml:space="preserve">its </w:t>
      </w:r>
      <w:r w:rsidRPr="00DD345D" w:rsidR="008962B6">
        <w:rPr>
          <w:rFonts w:eastAsia="Times New Roman" w:cs="Times New Roman"/>
          <w:szCs w:val="26"/>
        </w:rPr>
        <w:t>records</w:t>
      </w:r>
      <w:r w:rsidR="00AE3CBF">
        <w:rPr>
          <w:rFonts w:eastAsia="Times New Roman" w:cs="Times New Roman"/>
          <w:szCs w:val="26"/>
        </w:rPr>
        <w:t>.</w:t>
      </w:r>
      <w:r w:rsidRPr="00DD345D" w:rsidR="008962B6">
        <w:rPr>
          <w:rFonts w:eastAsia="Times New Roman" w:cs="Times New Roman"/>
          <w:szCs w:val="26"/>
        </w:rPr>
        <w:t xml:space="preserve"> </w:t>
      </w:r>
      <w:r w:rsidR="00B63F2A">
        <w:rPr>
          <w:rFonts w:eastAsia="Times New Roman" w:cs="Times New Roman"/>
          <w:szCs w:val="26"/>
        </w:rPr>
        <w:t>Subsequently, th</w:t>
      </w:r>
      <w:r w:rsidR="00424C19">
        <w:rPr>
          <w:rFonts w:eastAsia="Times New Roman" w:cs="Times New Roman"/>
          <w:szCs w:val="26"/>
        </w:rPr>
        <w:t xml:space="preserve">e </w:t>
      </w:r>
      <w:r w:rsidR="00424C19">
        <w:rPr>
          <w:rFonts w:eastAsia="Times New Roman" w:cs="Times New Roman"/>
          <w:szCs w:val="26"/>
        </w:rPr>
        <w:lastRenderedPageBreak/>
        <w:t xml:space="preserve">Commission updated its </w:t>
      </w:r>
      <w:r w:rsidR="00424385">
        <w:rPr>
          <w:rFonts w:eastAsia="Times New Roman" w:cs="Times New Roman"/>
          <w:szCs w:val="26"/>
        </w:rPr>
        <w:t>GO </w:t>
      </w:r>
      <w:r w:rsidR="00424C19">
        <w:rPr>
          <w:rFonts w:eastAsia="Times New Roman" w:cs="Times New Roman"/>
          <w:szCs w:val="26"/>
        </w:rPr>
        <w:t>66</w:t>
      </w:r>
      <w:r w:rsidR="00424385">
        <w:rPr>
          <w:rFonts w:eastAsia="Times New Roman" w:cs="Times New Roman"/>
          <w:szCs w:val="26"/>
        </w:rPr>
        <w:t xml:space="preserve">-D </w:t>
      </w:r>
      <w:r w:rsidR="00424C19">
        <w:rPr>
          <w:rFonts w:eastAsia="Times New Roman" w:cs="Times New Roman"/>
          <w:szCs w:val="26"/>
        </w:rPr>
        <w:t>rules</w:t>
      </w:r>
      <w:r w:rsidR="007B41A1">
        <w:rPr>
          <w:rFonts w:eastAsia="Times New Roman" w:cs="Times New Roman"/>
          <w:szCs w:val="26"/>
        </w:rPr>
        <w:t xml:space="preserve"> </w:t>
      </w:r>
      <w:r w:rsidRPr="00DD345D" w:rsidR="008962B6">
        <w:rPr>
          <w:rFonts w:eastAsia="Times New Roman" w:cs="Times New Roman"/>
          <w:szCs w:val="26"/>
        </w:rPr>
        <w:t>to make Commission records more accessible.</w:t>
      </w:r>
      <w:r w:rsidRPr="00AA27FB" w:rsidR="008962B6">
        <w:rPr>
          <w:rStyle w:val="FootnoteReference"/>
        </w:rPr>
        <w:footnoteReference w:id="123"/>
      </w:r>
    </w:p>
    <w:p w:rsidR="00B50C9F" w:rsidP="008962B6" w:rsidRDefault="008962B6" w14:paraId="7E378C1E" w14:textId="48DAA9F3">
      <w:pPr>
        <w:pStyle w:val="Standard"/>
      </w:pPr>
      <w:r>
        <w:t>State law</w:t>
      </w:r>
      <w:r w:rsidR="00424C19">
        <w:t>, discussed below,</w:t>
      </w:r>
      <w:r>
        <w:t xml:space="preserve"> and </w:t>
      </w:r>
      <w:r w:rsidR="00424385">
        <w:t>GO </w:t>
      </w:r>
      <w:r>
        <w:t>66</w:t>
      </w:r>
      <w:r w:rsidR="00844EAF">
        <w:noBreakHyphen/>
      </w:r>
      <w:r>
        <w:t xml:space="preserve">D require that we update the </w:t>
      </w:r>
      <w:r w:rsidR="002043BE">
        <w:t>Section</w:t>
      </w:r>
      <w:r w:rsidR="00844EAF">
        <w:t> </w:t>
      </w:r>
      <w:r>
        <w:t>1013 confidentiality process to be consistent with current requirements.</w:t>
      </w:r>
      <w:r w:rsidRPr="004526F1">
        <w:rPr>
          <w:rStyle w:val="FootnoteReference"/>
        </w:rPr>
        <w:footnoteReference w:id="124"/>
      </w:r>
      <w:r>
        <w:t xml:space="preserve"> </w:t>
      </w:r>
      <w:r>
        <w:rPr>
          <w:rFonts w:eastAsia="Times New Roman" w:cs="Times New Roman"/>
          <w:szCs w:val="26"/>
        </w:rPr>
        <w:t xml:space="preserve">Updating the </w:t>
      </w:r>
      <w:r w:rsidR="002043BE">
        <w:rPr>
          <w:rFonts w:eastAsia="Times New Roman" w:cs="Times New Roman"/>
          <w:szCs w:val="26"/>
        </w:rPr>
        <w:t>Section</w:t>
      </w:r>
      <w:r w:rsidR="00844EAF">
        <w:rPr>
          <w:rFonts w:eastAsia="Times New Roman" w:cs="Times New Roman"/>
          <w:szCs w:val="26"/>
        </w:rPr>
        <w:t> </w:t>
      </w:r>
      <w:r>
        <w:rPr>
          <w:rFonts w:eastAsia="Times New Roman" w:cs="Times New Roman"/>
          <w:szCs w:val="26"/>
        </w:rPr>
        <w:t xml:space="preserve">1013 </w:t>
      </w:r>
      <w:r w:rsidR="00F20BF4">
        <w:rPr>
          <w:rFonts w:eastAsia="Times New Roman" w:cs="Times New Roman"/>
          <w:szCs w:val="26"/>
        </w:rPr>
        <w:t xml:space="preserve">registration </w:t>
      </w:r>
      <w:r>
        <w:rPr>
          <w:rFonts w:eastAsia="Times New Roman" w:cs="Times New Roman"/>
          <w:szCs w:val="26"/>
        </w:rPr>
        <w:t>and CPCN application processes regarding confidentiality</w:t>
      </w:r>
      <w:r>
        <w:t xml:space="preserve"> also facilitates our goal of streamlining both of these </w:t>
      </w:r>
      <w:r w:rsidR="007B41A1">
        <w:t xml:space="preserve">licensing </w:t>
      </w:r>
      <w:r>
        <w:t>processes.</w:t>
      </w:r>
    </w:p>
    <w:p w:rsidR="00055CBB" w:rsidP="008962B6" w:rsidRDefault="008962B6" w14:paraId="1A4FBBF8" w14:textId="07B6BD0E">
      <w:pPr>
        <w:pStyle w:val="Standard"/>
        <w:rPr>
          <w:rFonts w:eastAsia="Times New Roman" w:cs="Times New Roman"/>
          <w:szCs w:val="26"/>
        </w:rPr>
      </w:pPr>
      <w:r>
        <w:rPr>
          <w:rFonts w:eastAsia="Times New Roman" w:cs="Times New Roman"/>
          <w:szCs w:val="26"/>
        </w:rPr>
        <w:t xml:space="preserve">First, the Commission’s disclosure requirements must be consistent with </w:t>
      </w:r>
      <w:r w:rsidRPr="00641762">
        <w:rPr>
          <w:rFonts w:eastAsia="Times New Roman" w:cs="Times New Roman"/>
          <w:szCs w:val="26"/>
        </w:rPr>
        <w:t>Article 3</w:t>
      </w:r>
      <w:r w:rsidR="006718D3">
        <w:rPr>
          <w:rFonts w:eastAsia="Times New Roman" w:cs="Times New Roman"/>
          <w:szCs w:val="26"/>
        </w:rPr>
        <w:t>, subdivision</w:t>
      </w:r>
      <w:r w:rsidR="00844EAF">
        <w:rPr>
          <w:rFonts w:eastAsia="Times New Roman" w:cs="Times New Roman"/>
          <w:szCs w:val="26"/>
        </w:rPr>
        <w:t> </w:t>
      </w:r>
      <w:r w:rsidRPr="00641762">
        <w:rPr>
          <w:rFonts w:eastAsia="Times New Roman" w:cs="Times New Roman"/>
          <w:szCs w:val="26"/>
        </w:rPr>
        <w:t>(b)(2)</w:t>
      </w:r>
      <w:r w:rsidR="006718D3">
        <w:rPr>
          <w:rFonts w:eastAsia="Times New Roman" w:cs="Times New Roman"/>
          <w:szCs w:val="26"/>
        </w:rPr>
        <w:t xml:space="preserve"> of the California Constitution</w:t>
      </w:r>
      <w:r>
        <w:rPr>
          <w:rFonts w:eastAsia="Times New Roman" w:cs="Times New Roman"/>
          <w:szCs w:val="26"/>
        </w:rPr>
        <w:t>, which</w:t>
      </w:r>
      <w:r w:rsidRPr="00641762">
        <w:rPr>
          <w:rFonts w:eastAsia="Times New Roman" w:cs="Times New Roman"/>
          <w:szCs w:val="26"/>
        </w:rPr>
        <w:t xml:space="preserve"> </w:t>
      </w:r>
      <w:r w:rsidRPr="00D073E4">
        <w:rPr>
          <w:rFonts w:eastAsia="Times New Roman" w:cs="Times New Roman"/>
          <w:szCs w:val="26"/>
        </w:rPr>
        <w:t>states that statutes, court rules, and other authority limiting access to information must be broadly construed if they further the people’s right of access, and narrowly construed if they limit the right of access.</w:t>
      </w:r>
      <w:r w:rsidRPr="00BF1E02">
        <w:rPr>
          <w:rFonts w:eastAsia="Times New Roman" w:cs="Times New Roman"/>
          <w:szCs w:val="26"/>
        </w:rPr>
        <w:t xml:space="preserve"> </w:t>
      </w:r>
      <w:r w:rsidRPr="005F2FA8">
        <w:rPr>
          <w:rFonts w:eastAsia="Times New Roman" w:cs="Times New Roman"/>
          <w:szCs w:val="26"/>
        </w:rPr>
        <w:t>Rules that limit the right of access must be adopted with findings demonstrating the interest protected by the limitation and the need for protecting that interest.</w:t>
      </w:r>
      <w:r w:rsidRPr="00194269">
        <w:rPr>
          <w:vertAlign w:val="superscript"/>
        </w:rPr>
        <w:footnoteReference w:id="125"/>
      </w:r>
    </w:p>
    <w:p w:rsidR="008962B6" w:rsidP="008962B6" w:rsidRDefault="008962B6" w14:paraId="19F1E7F4" w14:textId="28544B8F">
      <w:pPr>
        <w:pStyle w:val="Standard"/>
        <w:rPr>
          <w:rFonts w:eastAsia="Times New Roman" w:cs="Times New Roman"/>
          <w:szCs w:val="26"/>
        </w:rPr>
      </w:pPr>
      <w:r>
        <w:rPr>
          <w:rFonts w:eastAsia="Times New Roman" w:cs="Times New Roman"/>
          <w:szCs w:val="26"/>
        </w:rPr>
        <w:t>Second, t</w:t>
      </w:r>
      <w:r w:rsidRPr="00641762">
        <w:rPr>
          <w:rFonts w:eastAsia="Times New Roman" w:cs="Times New Roman"/>
          <w:szCs w:val="26"/>
        </w:rPr>
        <w:t xml:space="preserve">he </w:t>
      </w:r>
      <w:r>
        <w:rPr>
          <w:rFonts w:eastAsia="Times New Roman" w:cs="Times New Roman"/>
          <w:szCs w:val="26"/>
        </w:rPr>
        <w:t xml:space="preserve">Commission’s disclosure requirements must meet the </w:t>
      </w:r>
      <w:r w:rsidRPr="00641762">
        <w:rPr>
          <w:rFonts w:eastAsia="Times New Roman" w:cs="Times New Roman"/>
          <w:szCs w:val="26"/>
        </w:rPr>
        <w:t>California Public Records Act (CPRA)</w:t>
      </w:r>
      <w:r>
        <w:rPr>
          <w:rFonts w:eastAsia="Times New Roman" w:cs="Times New Roman"/>
          <w:szCs w:val="26"/>
        </w:rPr>
        <w:t>, which</w:t>
      </w:r>
      <w:r w:rsidRPr="00641762">
        <w:rPr>
          <w:rFonts w:eastAsia="Times New Roman" w:cs="Times New Roman"/>
          <w:szCs w:val="26"/>
        </w:rPr>
        <w:t xml:space="preserve"> </w:t>
      </w:r>
      <w:r>
        <w:rPr>
          <w:rFonts w:eastAsia="Times New Roman" w:cs="Times New Roman"/>
          <w:szCs w:val="26"/>
        </w:rPr>
        <w:t xml:space="preserve">furthers public access by </w:t>
      </w:r>
      <w:r w:rsidRPr="00641762">
        <w:rPr>
          <w:rFonts w:eastAsia="Times New Roman" w:cs="Times New Roman"/>
          <w:szCs w:val="26"/>
        </w:rPr>
        <w:t>requir</w:t>
      </w:r>
      <w:r>
        <w:rPr>
          <w:rFonts w:eastAsia="Times New Roman" w:cs="Times New Roman"/>
          <w:szCs w:val="26"/>
        </w:rPr>
        <w:t xml:space="preserve">ing </w:t>
      </w:r>
      <w:r w:rsidRPr="00641762">
        <w:rPr>
          <w:rFonts w:eastAsia="Times New Roman" w:cs="Times New Roman"/>
          <w:szCs w:val="26"/>
        </w:rPr>
        <w:t xml:space="preserve">public agency records be open to </w:t>
      </w:r>
      <w:r w:rsidRPr="00D073E4">
        <w:rPr>
          <w:rFonts w:eastAsia="Times New Roman" w:cs="Times New Roman"/>
          <w:szCs w:val="26"/>
        </w:rPr>
        <w:t>public inspection unless the</w:t>
      </w:r>
      <w:r>
        <w:rPr>
          <w:rFonts w:eastAsia="Times New Roman" w:cs="Times New Roman"/>
          <w:szCs w:val="26"/>
        </w:rPr>
        <w:t xml:space="preserve"> records</w:t>
      </w:r>
      <w:r w:rsidRPr="00D073E4">
        <w:rPr>
          <w:rFonts w:eastAsia="Times New Roman" w:cs="Times New Roman"/>
          <w:szCs w:val="26"/>
        </w:rPr>
        <w:t xml:space="preserve"> are exempt </w:t>
      </w:r>
      <w:r w:rsidRPr="00D073E4">
        <w:rPr>
          <w:rFonts w:eastAsia="Times New Roman" w:cs="Times New Roman"/>
          <w:szCs w:val="26"/>
        </w:rPr>
        <w:lastRenderedPageBreak/>
        <w:t>from disclosure under the provisions of the CPRA.</w:t>
      </w:r>
      <w:r w:rsidRPr="00194269">
        <w:rPr>
          <w:vertAlign w:val="superscript"/>
        </w:rPr>
        <w:footnoteReference w:id="126"/>
      </w:r>
      <w:r w:rsidR="00CE4A2B">
        <w:rPr>
          <w:rFonts w:eastAsia="Times New Roman" w:cs="Times New Roman"/>
          <w:szCs w:val="26"/>
        </w:rPr>
        <w:t xml:space="preserve"> </w:t>
      </w:r>
      <w:r w:rsidRPr="00BF1E02">
        <w:rPr>
          <w:rFonts w:eastAsia="Times New Roman" w:cs="Times New Roman"/>
          <w:szCs w:val="26"/>
        </w:rPr>
        <w:t>“Public records” are broadly defined to include all records “relating to the conduct of the people’s business;</w:t>
      </w:r>
      <w:r>
        <w:rPr>
          <w:rFonts w:eastAsia="Times New Roman" w:cs="Times New Roman"/>
          <w:szCs w:val="26"/>
        </w:rPr>
        <w:t>”</w:t>
      </w:r>
      <w:r w:rsidRPr="00BF1E02">
        <w:rPr>
          <w:rFonts w:eastAsia="Times New Roman" w:cs="Times New Roman"/>
          <w:szCs w:val="26"/>
        </w:rPr>
        <w:t xml:space="preserve"> only records </w:t>
      </w:r>
      <w:r w:rsidRPr="005F2FA8">
        <w:rPr>
          <w:rFonts w:eastAsia="Times New Roman" w:cs="Times New Roman"/>
          <w:szCs w:val="26"/>
        </w:rPr>
        <w:t>expressly excluded from the definitio</w:t>
      </w:r>
      <w:r w:rsidRPr="00641762">
        <w:rPr>
          <w:rFonts w:eastAsia="Times New Roman" w:cs="Times New Roman"/>
          <w:szCs w:val="26"/>
        </w:rPr>
        <w:t xml:space="preserve">n by statute, or </w:t>
      </w:r>
      <w:r w:rsidRPr="00D073E4">
        <w:rPr>
          <w:rFonts w:eastAsia="Times New Roman" w:cs="Times New Roman"/>
          <w:szCs w:val="26"/>
        </w:rPr>
        <w:t>of a purely personal nature</w:t>
      </w:r>
      <w:r w:rsidRPr="007364CB">
        <w:rPr>
          <w:rFonts w:eastAsia="Times New Roman" w:cs="Times New Roman"/>
          <w:szCs w:val="26"/>
        </w:rPr>
        <w:t>,</w:t>
      </w:r>
      <w:r w:rsidRPr="000E4FE8">
        <w:rPr>
          <w:rFonts w:eastAsia="Times New Roman" w:cs="Times New Roman"/>
          <w:szCs w:val="26"/>
        </w:rPr>
        <w:t xml:space="preserve"> fall outside this definition.</w:t>
      </w:r>
      <w:r w:rsidRPr="00194269">
        <w:rPr>
          <w:vertAlign w:val="superscript"/>
        </w:rPr>
        <w:footnoteReference w:id="127"/>
      </w:r>
      <w:r w:rsidR="00CE4A2B">
        <w:rPr>
          <w:rFonts w:eastAsia="Times New Roman" w:cs="Times New Roman"/>
          <w:szCs w:val="26"/>
        </w:rPr>
        <w:t xml:space="preserve"> </w:t>
      </w:r>
      <w:r w:rsidRPr="00BF1E02">
        <w:rPr>
          <w:rFonts w:eastAsia="Times New Roman" w:cs="Times New Roman"/>
          <w:szCs w:val="26"/>
        </w:rPr>
        <w:t>Since records received by a state regulatory agency from regulated entities relate to the agency’s conduct of the people’s regulatory business, the CPRA definition of public rec</w:t>
      </w:r>
      <w:r w:rsidRPr="005F2FA8">
        <w:rPr>
          <w:rFonts w:eastAsia="Times New Roman" w:cs="Times New Roman"/>
          <w:szCs w:val="26"/>
        </w:rPr>
        <w:t xml:space="preserve">ords includes records received by, as well as generated by, </w:t>
      </w:r>
      <w:r w:rsidRPr="00641762">
        <w:rPr>
          <w:rFonts w:eastAsia="Times New Roman" w:cs="Times New Roman"/>
          <w:szCs w:val="26"/>
        </w:rPr>
        <w:t>the Commission</w:t>
      </w:r>
      <w:r w:rsidRPr="00D073E4">
        <w:rPr>
          <w:rFonts w:eastAsia="Times New Roman" w:cs="Times New Roman"/>
          <w:szCs w:val="26"/>
        </w:rPr>
        <w:t>.</w:t>
      </w:r>
      <w:r w:rsidRPr="009B3A19">
        <w:rPr>
          <w:vertAlign w:val="superscript"/>
        </w:rPr>
        <w:footnoteReference w:id="128"/>
      </w:r>
      <w:r w:rsidR="00CE4A2B">
        <w:rPr>
          <w:rFonts w:eastAsia="Times New Roman" w:cs="Times New Roman"/>
          <w:szCs w:val="26"/>
        </w:rPr>
        <w:t xml:space="preserve"> </w:t>
      </w:r>
      <w:r w:rsidRPr="004B2FEA">
        <w:rPr>
          <w:rFonts w:eastAsia="Times New Roman" w:cs="Times New Roman"/>
          <w:szCs w:val="26"/>
        </w:rPr>
        <w:t>The CPRA requires the Commission to adopt written guidelines for access to agency records, and requires that such</w:t>
      </w:r>
      <w:r w:rsidRPr="00C81CF0">
        <w:rPr>
          <w:rFonts w:eastAsia="Times New Roman" w:cs="Times New Roman"/>
          <w:szCs w:val="26"/>
        </w:rPr>
        <w:t xml:space="preserve"> regulations and guidelines be consistent with the CPRA and reflect the intent</w:t>
      </w:r>
      <w:r w:rsidRPr="009C0BD7">
        <w:rPr>
          <w:rFonts w:eastAsia="Times New Roman" w:cs="Times New Roman"/>
          <w:szCs w:val="26"/>
        </w:rPr>
        <w:t>ion of the Legislature to make agency records accessible to the public.</w:t>
      </w:r>
      <w:r w:rsidRPr="00AA27FB">
        <w:rPr>
          <w:vertAlign w:val="superscript"/>
        </w:rPr>
        <w:footnoteReference w:id="129"/>
      </w:r>
    </w:p>
    <w:p w:rsidR="00B50C9F" w:rsidP="008962B6" w:rsidRDefault="00F20BF4" w14:paraId="020DE398" w14:textId="00D6D3BB">
      <w:pPr>
        <w:pStyle w:val="Standard"/>
      </w:pPr>
      <w:r>
        <w:rPr>
          <w:rFonts w:eastAsia="Times New Roman" w:cs="Times New Roman"/>
          <w:szCs w:val="26"/>
        </w:rPr>
        <w:t xml:space="preserve">Third, </w:t>
      </w:r>
      <w:r w:rsidR="00424385">
        <w:rPr>
          <w:rFonts w:eastAsia="Times New Roman" w:cs="Times New Roman"/>
          <w:szCs w:val="26"/>
        </w:rPr>
        <w:t>GO </w:t>
      </w:r>
      <w:r w:rsidRPr="0090794F" w:rsidR="008962B6">
        <w:t>66</w:t>
      </w:r>
      <w:r w:rsidR="00844EAF">
        <w:noBreakHyphen/>
      </w:r>
      <w:r w:rsidRPr="0090794F" w:rsidR="008962B6">
        <w:t xml:space="preserve">D, </w:t>
      </w:r>
      <w:r w:rsidR="002043BE">
        <w:t>Section</w:t>
      </w:r>
      <w:r w:rsidR="00844EAF">
        <w:t> </w:t>
      </w:r>
      <w:r w:rsidRPr="00AE0590" w:rsidR="008962B6">
        <w:t>3.</w:t>
      </w:r>
      <w:r w:rsidR="008962B6">
        <w:t>4(b)</w:t>
      </w:r>
      <w:r w:rsidRPr="008E681B" w:rsidR="008962B6">
        <w:t>,</w:t>
      </w:r>
      <w:r w:rsidR="008962B6">
        <w:t xml:space="preserve"> addresses the Commission’s </w:t>
      </w:r>
      <w:r>
        <w:t>discretion</w:t>
      </w:r>
      <w:r w:rsidR="008962B6">
        <w:t xml:space="preserve"> to </w:t>
      </w:r>
      <w:r>
        <w:t xml:space="preserve">make </w:t>
      </w:r>
      <w:r w:rsidR="008962B6">
        <w:t>preemptive</w:t>
      </w:r>
      <w:r>
        <w:t xml:space="preserve"> confidentiality</w:t>
      </w:r>
      <w:r w:rsidR="008962B6">
        <w:t xml:space="preserve"> determin</w:t>
      </w:r>
      <w:r>
        <w:t>ations in proceedings.</w:t>
      </w:r>
      <w:r w:rsidR="008962B6">
        <w:t xml:space="preserve"> </w:t>
      </w:r>
      <w:r w:rsidRPr="00F20BF4">
        <w:t>Specifically, “in any proceeding in which the Commission issues a decision requiring the submission of information, the Commission may make a determination of whether the information required by the decision will be treated as public or confidential.”</w:t>
      </w:r>
      <w:r w:rsidRPr="00F20BF4">
        <w:rPr>
          <w:vertAlign w:val="superscript"/>
        </w:rPr>
        <w:footnoteReference w:id="130"/>
      </w:r>
      <w:r w:rsidRPr="00F20BF4">
        <w:t xml:space="preserve"> Pursuant to</w:t>
      </w:r>
      <w:r w:rsidR="00844EAF">
        <w:t> </w:t>
      </w:r>
      <w:r w:rsidRPr="00F20BF4">
        <w:t>GO 66</w:t>
      </w:r>
      <w:r w:rsidR="00844EAF">
        <w:noBreakHyphen/>
      </w:r>
      <w:r w:rsidRPr="00F20BF4">
        <w:t xml:space="preserve">D, </w:t>
      </w:r>
      <w:r w:rsidR="002043BE">
        <w:t>Section</w:t>
      </w:r>
      <w:r w:rsidR="00844EAF">
        <w:t> </w:t>
      </w:r>
      <w:r w:rsidRPr="00F20BF4">
        <w:t>3.4</w:t>
      </w:r>
      <w:r w:rsidR="00CD4F6A">
        <w:t>, subdivision</w:t>
      </w:r>
      <w:r w:rsidR="00844EAF">
        <w:t> </w:t>
      </w:r>
      <w:r w:rsidRPr="00F20BF4">
        <w:t xml:space="preserve">(b), in this decision, the Commission determines that the </w:t>
      </w:r>
      <w:r w:rsidR="00A2406D">
        <w:t xml:space="preserve">following information warrants </w:t>
      </w:r>
      <w:r w:rsidR="00A2406D">
        <w:lastRenderedPageBreak/>
        <w:t>confidential treatment for three years if submitted in accordance with this decision: (1)</w:t>
      </w:r>
      <w:r w:rsidR="00844EAF">
        <w:t> </w:t>
      </w:r>
      <w:r w:rsidRPr="00F20BF4">
        <w:t xml:space="preserve">financial documents listed in </w:t>
      </w:r>
      <w:r w:rsidR="00C04D12">
        <w:t>Appendix</w:t>
      </w:r>
      <w:r w:rsidR="00844EAF">
        <w:t> </w:t>
      </w:r>
      <w:r w:rsidRPr="00F20BF4">
        <w:t xml:space="preserve">F, which </w:t>
      </w:r>
      <w:r w:rsidR="002043BE">
        <w:t>Section</w:t>
      </w:r>
      <w:r w:rsidR="00844EAF">
        <w:t> </w:t>
      </w:r>
      <w:r w:rsidRPr="00F20BF4">
        <w:t>1013 and</w:t>
      </w:r>
      <w:r w:rsidRPr="00F20BF4">
        <w:rPr>
          <w:i/>
          <w:iCs/>
        </w:rPr>
        <w:t xml:space="preserve"> </w:t>
      </w:r>
      <w:r w:rsidR="002043BE">
        <w:t>Section</w:t>
      </w:r>
      <w:r w:rsidR="00844EAF">
        <w:t> </w:t>
      </w:r>
      <w:r w:rsidRPr="00F20BF4">
        <w:t>1001 (CPCN) applicants are required to submit</w:t>
      </w:r>
      <w:r w:rsidR="00C54A90">
        <w:t>,</w:t>
      </w:r>
      <w:r w:rsidR="00A2406D">
        <w:t xml:space="preserve"> and (2)</w:t>
      </w:r>
      <w:r w:rsidR="00844EAF">
        <w:t> </w:t>
      </w:r>
      <w:r w:rsidR="00A2406D">
        <w:t>the estimated cost of construction and the estimated number of customers for the first and fifth years of operation, which Rule</w:t>
      </w:r>
      <w:r w:rsidR="00844EAF">
        <w:t> </w:t>
      </w:r>
      <w:r w:rsidR="00A2406D">
        <w:t>3.1(f) and</w:t>
      </w:r>
      <w:r w:rsidR="00844EAF">
        <w:t> </w:t>
      </w:r>
      <w:r w:rsidR="00A2406D">
        <w:t>(j) require CPCN applicants to submit.</w:t>
      </w:r>
    </w:p>
    <w:p w:rsidR="00AA44A4" w:rsidP="0045724A" w:rsidRDefault="008962B6" w14:paraId="00EAC11B" w14:textId="4C8559F7">
      <w:pPr>
        <w:pStyle w:val="Standard"/>
      </w:pPr>
      <w:r>
        <w:t>Th</w:t>
      </w:r>
      <w:r w:rsidR="00F20BF4">
        <w:t>is</w:t>
      </w:r>
      <w:r>
        <w:t xml:space="preserve"> decision </w:t>
      </w:r>
      <w:r w:rsidR="00F20BF4">
        <w:t>maintains</w:t>
      </w:r>
      <w:r>
        <w:t xml:space="preserve"> longstanding requirements for applicants for operating authority pursuant to Section</w:t>
      </w:r>
      <w:r w:rsidR="00844EAF">
        <w:t> </w:t>
      </w:r>
      <w:r>
        <w:t>1013 or Section</w:t>
      </w:r>
      <w:r w:rsidR="00844EAF">
        <w:t> </w:t>
      </w:r>
      <w:r>
        <w:t>1001 to support their request with documentation of the requisite financial resources first established in D.95</w:t>
      </w:r>
      <w:r w:rsidR="00844EAF">
        <w:noBreakHyphen/>
      </w:r>
      <w:r>
        <w:t>07</w:t>
      </w:r>
      <w:r w:rsidR="00844EAF">
        <w:noBreakHyphen/>
      </w:r>
      <w:r>
        <w:t>054.</w:t>
      </w:r>
      <w:r>
        <w:rPr>
          <w:rStyle w:val="FootnoteReference"/>
        </w:rPr>
        <w:footnoteReference w:id="131"/>
      </w:r>
      <w:r>
        <w:t xml:space="preserve"> Th</w:t>
      </w:r>
      <w:r w:rsidR="0045724A">
        <w:t>is</w:t>
      </w:r>
      <w:r>
        <w:t xml:space="preserve"> decision </w:t>
      </w:r>
      <w:r w:rsidR="0045724A">
        <w:t>also maintains</w:t>
      </w:r>
      <w:r>
        <w:t xml:space="preserve"> the longstanding requirement for facilities</w:t>
      </w:r>
      <w:r w:rsidR="00844EAF">
        <w:noBreakHyphen/>
      </w:r>
      <w:r>
        <w:t>based CPCN applicants provide estimates of the cost of construction, and of customer numbers in the first and fifth years of operation.</w:t>
      </w:r>
      <w:r>
        <w:rPr>
          <w:rStyle w:val="FootnoteReference"/>
        </w:rPr>
        <w:footnoteReference w:id="132"/>
      </w:r>
    </w:p>
    <w:p w:rsidR="00055CBB" w:rsidP="0045724A" w:rsidRDefault="008962B6" w14:paraId="19934048" w14:textId="32D938F1">
      <w:pPr>
        <w:pStyle w:val="Standard"/>
      </w:pPr>
      <w:r>
        <w:t>CPCN applicants frequently seek confidential treatment of this required information</w:t>
      </w:r>
      <w:r w:rsidR="0045724A">
        <w:t>.</w:t>
      </w:r>
      <w:r>
        <w:t xml:space="preserve"> </w:t>
      </w:r>
      <w:r w:rsidR="0045724A">
        <w:t>These requests</w:t>
      </w:r>
      <w:r>
        <w:t xml:space="preserve"> are rarely </w:t>
      </w:r>
      <w:r w:rsidR="00B03F0D">
        <w:t>opposed,</w:t>
      </w:r>
      <w:r>
        <w:t xml:space="preserve"> and the Commission routinely grants confidential treatment of this limited required information for a period of three years</w:t>
      </w:r>
      <w:r w:rsidR="00AA44A4">
        <w:t xml:space="preserve"> in CPCN decisions</w:t>
      </w:r>
      <w:r>
        <w:t>.</w:t>
      </w:r>
    </w:p>
    <w:p w:rsidR="00055CBB" w:rsidP="001871F9" w:rsidRDefault="008962B6" w14:paraId="4821B46D" w14:textId="7DC8B785">
      <w:pPr>
        <w:pStyle w:val="Standard"/>
      </w:pPr>
      <w:r>
        <w:t>Rather than continue to individually adjudicate the requests for confidential treatment</w:t>
      </w:r>
      <w:r w:rsidR="0045724A">
        <w:t xml:space="preserve"> </w:t>
      </w:r>
      <w:r w:rsidRPr="0045724A" w:rsidR="0045724A">
        <w:t xml:space="preserve">of the same documents proving financial resources required to be furnished in </w:t>
      </w:r>
      <w:r w:rsidR="002043BE">
        <w:t>Section</w:t>
      </w:r>
      <w:r w:rsidR="00844EAF">
        <w:t> </w:t>
      </w:r>
      <w:r w:rsidRPr="0045724A" w:rsidR="0045724A">
        <w:t>1013</w:t>
      </w:r>
      <w:r w:rsidR="00CA2DD2">
        <w:t xml:space="preserve"> registrations</w:t>
      </w:r>
      <w:r w:rsidRPr="0045724A" w:rsidR="0045724A">
        <w:t xml:space="preserve"> and CPCN applications, we believe it is in the public interest to streamline and expedite these confidentiality requests </w:t>
      </w:r>
      <w:r w:rsidR="0011725A">
        <w:t xml:space="preserve">in this decision. Thus, this decision determines </w:t>
      </w:r>
      <w:r w:rsidR="00627467">
        <w:t xml:space="preserve">that this </w:t>
      </w:r>
      <w:r w:rsidR="0011725A">
        <w:t xml:space="preserve">discrete set of financial documents and business data concerning construction costs and customer numbers </w:t>
      </w:r>
      <w:r w:rsidRPr="00272E2E" w:rsidR="00272E2E">
        <w:t xml:space="preserve">submitted as a requirement of obtaining operating authority </w:t>
      </w:r>
      <w:r w:rsidR="0011725A">
        <w:lastRenderedPageBreak/>
        <w:t>should be treated as confidential</w:t>
      </w:r>
      <w:r w:rsidR="00272E2E">
        <w:t xml:space="preserve"> </w:t>
      </w:r>
      <w:r w:rsidRPr="00272E2E" w:rsidR="00272E2E">
        <w:t>in the context of the review process for granting operating authority.</w:t>
      </w:r>
    </w:p>
    <w:p w:rsidR="008962B6" w:rsidP="001871F9" w:rsidRDefault="0045724A" w14:paraId="75FA1353" w14:textId="55DD0A72">
      <w:pPr>
        <w:pStyle w:val="Standard"/>
      </w:pPr>
      <w:r>
        <w:t>Specifically</w:t>
      </w:r>
      <w:r w:rsidR="008962B6">
        <w:t xml:space="preserve">, </w:t>
      </w:r>
      <w:r w:rsidR="00C04D12">
        <w:t>Appendix</w:t>
      </w:r>
      <w:r w:rsidR="00844EAF">
        <w:t> </w:t>
      </w:r>
      <w:r w:rsidR="00335149">
        <w:t xml:space="preserve">F in </w:t>
      </w:r>
      <w:r w:rsidR="008962B6">
        <w:t xml:space="preserve">the instant decision sets forth in a clarified list of financial instruments by which applicants without profitable interstate operations may prove they possess at least $25,000 (for </w:t>
      </w:r>
      <w:r w:rsidR="002043BE">
        <w:t>Section</w:t>
      </w:r>
      <w:r w:rsidR="00844EAF">
        <w:t> </w:t>
      </w:r>
      <w:r w:rsidR="008962B6">
        <w:t>1013 applicants) or $100,000 (for CPCN applicants) as follows:</w:t>
      </w:r>
    </w:p>
    <w:p w:rsidR="00055CBB" w:rsidP="00322B77" w:rsidRDefault="00322B77" w14:paraId="67A642ED" w14:textId="50BA006D">
      <w:pPr>
        <w:pStyle w:val="BlockQuote0"/>
      </w:pPr>
      <w:r>
        <w:t>(1) </w:t>
      </w:r>
      <w:r w:rsidR="002A6467">
        <w:t>Unaudited b</w:t>
      </w:r>
      <w:r w:rsidR="008962B6">
        <w:t>ank statements; (</w:t>
      </w:r>
      <w:r w:rsidR="002A6467">
        <w:t>2</w:t>
      </w:r>
      <w:r>
        <w:t>)</w:t>
      </w:r>
      <w:r w:rsidR="00844EAF">
        <w:t> </w:t>
      </w:r>
      <w:r w:rsidR="008962B6">
        <w:t>certificate of deposit or other liquid deposits with a reputable bank or financial institution; (</w:t>
      </w:r>
      <w:r w:rsidR="002A6467">
        <w:t>3</w:t>
      </w:r>
      <w:r>
        <w:t>)</w:t>
      </w:r>
      <w:r w:rsidR="00844EAF">
        <w:t> </w:t>
      </w:r>
      <w:r w:rsidR="008962B6">
        <w:t>preferred stock proceeds or other shareholder equity; (</w:t>
      </w:r>
      <w:r w:rsidR="002A6467">
        <w:t>4</w:t>
      </w:r>
      <w:r>
        <w:t>)</w:t>
      </w:r>
      <w:r w:rsidR="00844EAF">
        <w:t> </w:t>
      </w:r>
      <w:r w:rsidR="008962B6">
        <w:t>letter of credit issued by a reputable bank or other financial institution; (</w:t>
      </w:r>
      <w:r w:rsidR="002A6467">
        <w:t>5</w:t>
      </w:r>
      <w:r>
        <w:t>)</w:t>
      </w:r>
      <w:r w:rsidR="00844EAF">
        <w:t> </w:t>
      </w:r>
      <w:r w:rsidR="008962B6">
        <w:t>loan issued by a qualified subsidiary, affiliate, of applicant, or a qualified corporation holding controlling interest in the applicant; (</w:t>
      </w:r>
      <w:r w:rsidR="002A6467">
        <w:t>6</w:t>
      </w:r>
      <w:r>
        <w:t>)</w:t>
      </w:r>
      <w:r w:rsidR="00844EAF">
        <w:t> </w:t>
      </w:r>
      <w:r w:rsidR="008962B6">
        <w:t xml:space="preserve">guarantee, issued by a corporation, </w:t>
      </w:r>
      <w:proofErr w:type="spellStart"/>
      <w:r w:rsidR="008962B6">
        <w:t>copartnership</w:t>
      </w:r>
      <w:proofErr w:type="spellEnd"/>
      <w:r w:rsidR="008962B6">
        <w:t>, or other person or association; (</w:t>
      </w:r>
      <w:r w:rsidR="002A6467">
        <w:t>7</w:t>
      </w:r>
      <w:r>
        <w:t>)</w:t>
      </w:r>
      <w:r w:rsidR="00844EAF">
        <w:t> </w:t>
      </w:r>
      <w:r w:rsidR="008962B6">
        <w:t>guarantee, issued by a qualified subsidiary, affiliate, or applicant; and (</w:t>
      </w:r>
      <w:r w:rsidR="002A6467">
        <w:t>8</w:t>
      </w:r>
      <w:r>
        <w:t>)</w:t>
      </w:r>
      <w:r w:rsidR="00844EAF">
        <w:t> </w:t>
      </w:r>
      <w:r w:rsidR="008962B6">
        <w:t>audited financial statements.</w:t>
      </w:r>
    </w:p>
    <w:p w:rsidR="00055CBB" w:rsidP="003E581E" w:rsidRDefault="008962B6" w14:paraId="67670FEE" w14:textId="18356194">
      <w:pPr>
        <w:pStyle w:val="Standard"/>
        <w:spacing w:before="240"/>
        <w:ind w:firstLine="0"/>
      </w:pPr>
      <w:r w:rsidRPr="00F87DD9">
        <w:t xml:space="preserve">Any of the financial instruments listed above </w:t>
      </w:r>
      <w:r w:rsidR="00760AF0">
        <w:t xml:space="preserve">are likely to </w:t>
      </w:r>
      <w:r>
        <w:t>display</w:t>
      </w:r>
      <w:r w:rsidRPr="00F87DD9">
        <w:t xml:space="preserve"> sensitive financial information relating to </w:t>
      </w:r>
      <w:r w:rsidR="001C1F00">
        <w:t>a provider’</w:t>
      </w:r>
      <w:r w:rsidRPr="00F87DD9">
        <w:t>s bank accounts, cash deposits and transactions</w:t>
      </w:r>
      <w:r>
        <w:t xml:space="preserve"> to prove financial fitness</w:t>
      </w:r>
      <w:r w:rsidRPr="00F87DD9">
        <w:t>.</w:t>
      </w:r>
      <w:r w:rsidR="0083579E">
        <w:t xml:space="preserve"> </w:t>
      </w:r>
      <w:r w:rsidRPr="0083579E" w:rsidR="0083579E">
        <w:t>Moreover, estimated costs of construction and estimated customers numbers are developed by applicants for their specific business operations and could reveal their expenditures and market share, which their competitors could use to obtain a competitive advantage over them.</w:t>
      </w:r>
    </w:p>
    <w:p w:rsidR="00B50C9F" w:rsidP="0045724A" w:rsidRDefault="00760AF0" w14:paraId="574CAABB" w14:textId="62E3ECAC">
      <w:pPr>
        <w:pStyle w:val="Standard"/>
        <w:ind w:firstLine="360"/>
      </w:pPr>
      <w:r>
        <w:t xml:space="preserve">California </w:t>
      </w:r>
      <w:r w:rsidRPr="00F87DD9" w:rsidR="008962B6">
        <w:t>Government</w:t>
      </w:r>
      <w:r>
        <w:t xml:space="preserve"> </w:t>
      </w:r>
      <w:r w:rsidRPr="00F87DD9" w:rsidR="008962B6">
        <w:t xml:space="preserve">Code section 7925.005 </w:t>
      </w:r>
      <w:r w:rsidRPr="0045724A" w:rsidR="0045724A">
        <w:t xml:space="preserve">“does not require the disclosure of a statement of personal worth or personal financial data required by a licensing agency and filed by an applicant with the licensing agency to establish the applicant's personal qualification for the license, certificate, or permit requested.” In addition, </w:t>
      </w:r>
      <w:r>
        <w:t>Government</w:t>
      </w:r>
      <w:r w:rsidRPr="0045724A">
        <w:t xml:space="preserve"> </w:t>
      </w:r>
      <w:r w:rsidRPr="0045724A" w:rsidR="0045724A">
        <w:t>Code section 7927.605</w:t>
      </w:r>
      <w:r w:rsidR="000E43F2">
        <w:t>, subdivision</w:t>
      </w:r>
      <w:r w:rsidR="00844EAF">
        <w:t> </w:t>
      </w:r>
      <w:r w:rsidRPr="0045724A" w:rsidR="0045724A">
        <w:t>(a)</w:t>
      </w:r>
      <w:r w:rsidR="000E43F2">
        <w:t>,</w:t>
      </w:r>
      <w:r w:rsidRPr="0045724A" w:rsidR="0045724A">
        <w:t xml:space="preserve"> “does not require the disclosure of records that are any of the following: corporate financial records, corporate proprietary information including trade </w:t>
      </w:r>
      <w:r w:rsidRPr="0045724A" w:rsidR="0045724A">
        <w:lastRenderedPageBreak/>
        <w:t>secrets</w:t>
      </w:r>
      <w:r w:rsidR="00844EAF">
        <w:t> </w:t>
      </w:r>
      <w:r w:rsidR="000E43F2">
        <w:t>.</w:t>
      </w:r>
      <w:r w:rsidR="000326D4">
        <w:t> </w:t>
      </w:r>
      <w:r w:rsidR="000E43F2">
        <w:t>.</w:t>
      </w:r>
      <w:r w:rsidR="000326D4">
        <w:t> </w:t>
      </w:r>
      <w:r w:rsidR="000E43F2">
        <w:t>.</w:t>
      </w:r>
      <w:r w:rsidR="000326D4">
        <w:t> </w:t>
      </w:r>
      <w:r w:rsidR="000E43F2">
        <w:t>.</w:t>
      </w:r>
      <w:r w:rsidRPr="0045724A" w:rsidR="000E43F2">
        <w:t>”</w:t>
      </w:r>
      <w:r w:rsidR="000E43F2">
        <w:rPr>
          <w:rStyle w:val="FootnoteReference"/>
        </w:rPr>
        <w:footnoteReference w:id="133"/>
      </w:r>
      <w:r w:rsidR="00CE4A2B">
        <w:t xml:space="preserve"> </w:t>
      </w:r>
      <w:r w:rsidRPr="0045724A" w:rsidR="0045724A">
        <w:t>In other words, these provisions authorize the Commission to treat this type of financial information as confidential.</w:t>
      </w:r>
      <w:r w:rsidR="00844EAF">
        <w:t> </w:t>
      </w:r>
    </w:p>
    <w:p w:rsidR="00055CBB" w:rsidP="0083579E" w:rsidRDefault="00760AF0" w14:paraId="146C04E6" w14:textId="32F7A37B">
      <w:pPr>
        <w:pStyle w:val="Standard"/>
        <w:ind w:firstLine="360"/>
      </w:pPr>
      <w:r>
        <w:t>Government</w:t>
      </w:r>
      <w:r w:rsidRPr="0045724A">
        <w:t xml:space="preserve"> </w:t>
      </w:r>
      <w:r w:rsidRPr="0045724A" w:rsidR="0045724A">
        <w:t>Code section 7922.000 also allows the Commission to withhold information</w:t>
      </w:r>
      <w:r w:rsidR="008962B6">
        <w:t xml:space="preserve"> where “the public interest served by not disclosing the record clearly outweighs the public interest served by disclosure.”</w:t>
      </w:r>
      <w:r w:rsidR="008962B6">
        <w:rPr>
          <w:rStyle w:val="FootnoteReference"/>
        </w:rPr>
        <w:footnoteReference w:id="134"/>
      </w:r>
      <w:r w:rsidRPr="00DF1879" w:rsidR="008962B6">
        <w:t xml:space="preserve"> </w:t>
      </w:r>
      <w:r w:rsidR="008962B6">
        <w:t>With regard to the information required to support applications for voice</w:t>
      </w:r>
      <w:r w:rsidR="002A65B4">
        <w:t xml:space="preserve"> service</w:t>
      </w:r>
      <w:r w:rsidR="009E6AF4">
        <w:t>, including interconnected VoIP</w:t>
      </w:r>
      <w:r w:rsidR="008962B6">
        <w:t>, the public interest benefits from efficient facilitation of market entry which in turn supports the policy goals of a neutral and competitive telecommunications marketplace.</w:t>
      </w:r>
      <w:r w:rsidR="00CE4A2B">
        <w:t xml:space="preserve"> </w:t>
      </w:r>
      <w:r w:rsidRPr="002A65B4" w:rsidR="002A65B4">
        <w:t>On the other hand, it is not clear from the record before us what public interest, if any, is served by disclosing this financial and business information.</w:t>
      </w:r>
      <w:r w:rsidR="00844EAF">
        <w:t> </w:t>
      </w:r>
      <w:r w:rsidRPr="002A65B4" w:rsidR="002A65B4">
        <w:t xml:space="preserve">Absent a showing to the contrary, it is thus reasonable to presume that the public interest in maintaining the confidentiality of the financial documents listed in </w:t>
      </w:r>
      <w:r w:rsidR="00C04D12">
        <w:t>Appendix</w:t>
      </w:r>
      <w:r w:rsidR="00844EAF">
        <w:t> </w:t>
      </w:r>
      <w:r w:rsidRPr="002A65B4" w:rsidR="002A65B4">
        <w:t>F clearly outweighs the public interest in their disclosure.</w:t>
      </w:r>
    </w:p>
    <w:p w:rsidR="008962B6" w:rsidP="0083579E" w:rsidRDefault="0083579E" w14:paraId="60D08892" w14:textId="11371A72">
      <w:pPr>
        <w:pStyle w:val="Standard"/>
        <w:ind w:firstLine="360"/>
      </w:pPr>
      <w:r w:rsidRPr="00CA2DD2">
        <w:t>Treating t</w:t>
      </w:r>
      <w:r>
        <w:t>he</w:t>
      </w:r>
      <w:r w:rsidRPr="00CA2DD2">
        <w:t xml:space="preserve"> list of financial documents</w:t>
      </w:r>
      <w:r>
        <w:t xml:space="preserve"> in </w:t>
      </w:r>
      <w:r w:rsidR="00C04D12">
        <w:t>Appendix</w:t>
      </w:r>
      <w:r w:rsidR="00844EAF">
        <w:t> </w:t>
      </w:r>
      <w:r>
        <w:t>F, construction costs, and customer numbers</w:t>
      </w:r>
      <w:r w:rsidRPr="00CA2DD2">
        <w:t xml:space="preserve"> as presumptively</w:t>
      </w:r>
      <w:r w:rsidR="00CA2DD2">
        <w:t xml:space="preserve"> </w:t>
      </w:r>
      <w:r w:rsidR="008962B6">
        <w:t>confidentiality harmonizes the expedited confidentiality process</w:t>
      </w:r>
      <w:r w:rsidR="003B4E8E">
        <w:t>,</w:t>
      </w:r>
      <w:r w:rsidR="008962B6">
        <w:t xml:space="preserve"> we envisioned for </w:t>
      </w:r>
      <w:r w:rsidR="002043BE">
        <w:t>Section</w:t>
      </w:r>
      <w:r w:rsidR="00844EAF">
        <w:t> </w:t>
      </w:r>
      <w:r w:rsidR="008962B6">
        <w:t>1013 applicants in D.97</w:t>
      </w:r>
      <w:r w:rsidR="00844EAF">
        <w:noBreakHyphen/>
      </w:r>
      <w:r w:rsidR="008962B6">
        <w:t>09</w:t>
      </w:r>
      <w:r w:rsidR="00844EAF">
        <w:noBreakHyphen/>
      </w:r>
      <w:r w:rsidR="008962B6">
        <w:t xml:space="preserve">035 with the </w:t>
      </w:r>
      <w:r>
        <w:t xml:space="preserve">current </w:t>
      </w:r>
      <w:r w:rsidR="008962B6">
        <w:t xml:space="preserve">requirements of </w:t>
      </w:r>
      <w:r w:rsidR="00424385">
        <w:t>GO </w:t>
      </w:r>
      <w:r w:rsidR="008962B6">
        <w:t>66</w:t>
      </w:r>
      <w:r w:rsidR="00844EAF">
        <w:noBreakHyphen/>
      </w:r>
      <w:r w:rsidR="008962B6">
        <w:t xml:space="preserve">D. </w:t>
      </w:r>
      <w:r w:rsidRPr="001E14FE" w:rsidR="008962B6">
        <w:t xml:space="preserve">In order for applicants for </w:t>
      </w:r>
      <w:r w:rsidR="002043BE">
        <w:t>Section</w:t>
      </w:r>
      <w:r w:rsidR="00844EAF">
        <w:t> </w:t>
      </w:r>
      <w:r w:rsidRPr="001E14FE" w:rsidR="008962B6">
        <w:t xml:space="preserve">1013 and CPCN operating authority to </w:t>
      </w:r>
      <w:r w:rsidR="00FD6746">
        <w:t xml:space="preserve">be granted </w:t>
      </w:r>
      <w:r w:rsidRPr="001E14FE" w:rsidR="008962B6">
        <w:t>confidential</w:t>
      </w:r>
      <w:r w:rsidR="00FD6746">
        <w:t xml:space="preserve"> treatment </w:t>
      </w:r>
      <w:r w:rsidR="00FD6746">
        <w:lastRenderedPageBreak/>
        <w:t xml:space="preserve">of the financial documents listed in </w:t>
      </w:r>
      <w:r w:rsidR="00C04D12">
        <w:t>Appendix</w:t>
      </w:r>
      <w:r w:rsidR="00844EAF">
        <w:t> </w:t>
      </w:r>
      <w:r w:rsidR="00FD6746">
        <w:t xml:space="preserve">F, </w:t>
      </w:r>
      <w:r w:rsidRPr="0083579E">
        <w:t xml:space="preserve">construction costs, and customer numbers, </w:t>
      </w:r>
      <w:r w:rsidR="00FD6746">
        <w:t xml:space="preserve">applicants </w:t>
      </w:r>
      <w:r w:rsidRPr="001E14FE" w:rsidR="008962B6">
        <w:t xml:space="preserve">must clearly designate </w:t>
      </w:r>
      <w:r w:rsidRPr="004E5445" w:rsidR="004E5445">
        <w:t xml:space="preserve">on the electronic document or </w:t>
      </w:r>
      <w:r w:rsidRPr="001E14FE" w:rsidR="008962B6">
        <w:t xml:space="preserve">in a separate sealed envelope “Protected from public disclosure pursuant to </w:t>
      </w:r>
      <w:r w:rsidRPr="00CF659C" w:rsidR="008962B6">
        <w:t>Decision xx</w:t>
      </w:r>
      <w:r w:rsidR="00844EAF">
        <w:noBreakHyphen/>
      </w:r>
      <w:r w:rsidRPr="00CF659C" w:rsidR="008962B6">
        <w:t>xx</w:t>
      </w:r>
      <w:r w:rsidR="00844EAF">
        <w:noBreakHyphen/>
      </w:r>
      <w:r w:rsidRPr="00CF659C" w:rsidR="008962B6">
        <w:t xml:space="preserve">xxx </w:t>
      </w:r>
      <w:r w:rsidRPr="001E14FE" w:rsidR="008962B6">
        <w:rPr>
          <w:i/>
          <w:iCs/>
        </w:rPr>
        <w:t>[</w:t>
      </w:r>
      <w:r w:rsidRPr="001216AD" w:rsidR="008962B6">
        <w:rPr>
          <w:i/>
          <w:iCs/>
        </w:rPr>
        <w:t>insert decision number of final decision in R.22</w:t>
      </w:r>
      <w:r w:rsidR="00844EAF">
        <w:rPr>
          <w:i/>
          <w:iCs/>
        </w:rPr>
        <w:noBreakHyphen/>
      </w:r>
      <w:r w:rsidRPr="001216AD" w:rsidR="008962B6">
        <w:rPr>
          <w:i/>
          <w:iCs/>
        </w:rPr>
        <w:t>08</w:t>
      </w:r>
      <w:r w:rsidR="00844EAF">
        <w:rPr>
          <w:i/>
          <w:iCs/>
        </w:rPr>
        <w:noBreakHyphen/>
      </w:r>
      <w:r w:rsidRPr="001216AD" w:rsidR="008962B6">
        <w:rPr>
          <w:i/>
          <w:iCs/>
        </w:rPr>
        <w:t>008 once issued]</w:t>
      </w:r>
      <w:r w:rsidR="007D3CC4">
        <w:t xml:space="preserve"> and submit </w:t>
      </w:r>
      <w:r w:rsidRPr="007A5ECA" w:rsidR="007A5ECA">
        <w:t xml:space="preserve">a public confidentiality </w:t>
      </w:r>
      <w:proofErr w:type="spellStart"/>
      <w:r w:rsidRPr="007A5ECA" w:rsidR="007A5ECA">
        <w:t>declarati</w:t>
      </w:r>
      <w:proofErr w:type="spellEnd"/>
      <w:r w:rsidRPr="004E5445" w:rsidR="004E5445">
        <w:t xml:space="preserve"> on the confidential </w:t>
      </w:r>
      <w:r w:rsidRPr="007A5ECA" w:rsidR="007A5ECA">
        <w:t>documents and cite to this decision as the basis for confidential treatment</w:t>
      </w:r>
      <w:r w:rsidRPr="00CF659C" w:rsidR="008962B6">
        <w:t>.</w:t>
      </w:r>
    </w:p>
    <w:p w:rsidR="003D56E5" w:rsidP="00F66B62" w:rsidRDefault="008962B6" w14:paraId="7684ED86" w14:textId="7B41B285">
      <w:pPr>
        <w:pStyle w:val="Standard"/>
      </w:pPr>
      <w:r>
        <w:t xml:space="preserve"> </w:t>
      </w:r>
      <w:r w:rsidR="00424385">
        <w:rPr>
          <w:rFonts w:eastAsia="Times New Roman" w:cs="Times New Roman"/>
          <w:szCs w:val="26"/>
        </w:rPr>
        <w:t>GO </w:t>
      </w:r>
      <w:r w:rsidRPr="0090794F">
        <w:t>66</w:t>
      </w:r>
      <w:r w:rsidR="00844EAF">
        <w:noBreakHyphen/>
      </w:r>
      <w:r w:rsidRPr="0090794F">
        <w:t xml:space="preserve">D, </w:t>
      </w:r>
      <w:r w:rsidR="00BD1168">
        <w:t>Sections</w:t>
      </w:r>
      <w:r w:rsidR="00844EAF">
        <w:t> </w:t>
      </w:r>
      <w:r>
        <w:t>5</w:t>
      </w:r>
      <w:r w:rsidR="006951D5">
        <w:noBreakHyphen/>
      </w:r>
      <w:r>
        <w:t>6</w:t>
      </w:r>
      <w:r w:rsidRPr="008E681B">
        <w:t>,</w:t>
      </w:r>
      <w:r>
        <w:t xml:space="preserve"> address the Commission’s response to CPRA requests for disclosure of information submitted in compliance with </w:t>
      </w:r>
      <w:r w:rsidR="002043BE">
        <w:t>Section</w:t>
      </w:r>
      <w:r w:rsidR="00844EAF">
        <w:t> </w:t>
      </w:r>
      <w:r>
        <w:t xml:space="preserve">3.4. As long as information is submitted lawfully, </w:t>
      </w:r>
      <w:r>
        <w:rPr>
          <w:i/>
          <w:iCs/>
        </w:rPr>
        <w:t>i.e</w:t>
      </w:r>
      <w:r w:rsidR="00441995">
        <w:rPr>
          <w:i/>
          <w:iCs/>
        </w:rPr>
        <w:t>.</w:t>
      </w:r>
      <w:r w:rsidR="00F30FDF">
        <w:rPr>
          <w:i/>
          <w:iCs/>
        </w:rPr>
        <w:t>,</w:t>
      </w:r>
      <w:r>
        <w:t xml:space="preserve"> as directed in this decision, it will not be released per a CPRA request absent an order of the Commission.</w:t>
      </w:r>
      <w:r w:rsidR="00CE4A2B">
        <w:t xml:space="preserve"> </w:t>
      </w:r>
      <w:r w:rsidR="000220B9">
        <w:t xml:space="preserve">Parties </w:t>
      </w:r>
      <w:r w:rsidR="00DE5322">
        <w:t xml:space="preserve">seeking the disclosure of any </w:t>
      </w:r>
      <w:r w:rsidR="003B3A45">
        <w:t xml:space="preserve">specific </w:t>
      </w:r>
      <w:r w:rsidR="00DE5322">
        <w:t xml:space="preserve">information covered by this decision </w:t>
      </w:r>
      <w:r w:rsidR="00924D8E">
        <w:t>should be prepared to</w:t>
      </w:r>
      <w:r w:rsidR="00DE5322">
        <w:t xml:space="preserve"> </w:t>
      </w:r>
      <w:r w:rsidR="00917FF9">
        <w:t xml:space="preserve">rebut the presumption </w:t>
      </w:r>
      <w:r w:rsidR="003B3A45">
        <w:t xml:space="preserve">of confidentiality </w:t>
      </w:r>
      <w:r w:rsidR="00917FF9">
        <w:t xml:space="preserve">by </w:t>
      </w:r>
      <w:r w:rsidR="006E359A">
        <w:t>showing what public interest would be served by the disclosure</w:t>
      </w:r>
      <w:r w:rsidR="00340F37">
        <w:t>.</w:t>
      </w:r>
    </w:p>
    <w:p w:rsidR="00A96B31" w:rsidP="000A2CD0" w:rsidRDefault="007E5208" w14:paraId="2BBE2DBD" w14:textId="149B5C73">
      <w:pPr>
        <w:pStyle w:val="Heading3"/>
      </w:pPr>
      <w:bookmarkStart w:name="_Toc176770945" w:id="91"/>
      <w:bookmarkStart w:name="_Toc177021143" w:id="92"/>
      <w:bookmarkStart w:name="_Toc181692892" w:id="93"/>
      <w:bookmarkEnd w:id="80"/>
      <w:r>
        <w:t>Clarification of Cash Requirements</w:t>
      </w:r>
      <w:r w:rsidR="002E6D33">
        <w:br/>
      </w:r>
      <w:r>
        <w:t>for New Market Entrants</w:t>
      </w:r>
      <w:bookmarkEnd w:id="91"/>
      <w:bookmarkEnd w:id="92"/>
      <w:bookmarkEnd w:id="93"/>
    </w:p>
    <w:p w:rsidR="00B3651D" w:rsidP="007E5208" w:rsidRDefault="00F56104" w14:paraId="4D299AD5" w14:textId="34AADC96">
      <w:pPr>
        <w:pStyle w:val="Standard"/>
      </w:pPr>
      <w:r>
        <w:t xml:space="preserve">The existing CPCN application and </w:t>
      </w:r>
      <w:r w:rsidR="002043BE">
        <w:t>Section </w:t>
      </w:r>
      <w:r>
        <w:t xml:space="preserve">1013 registration process requires that applicants clearly demonstrate that </w:t>
      </w:r>
      <w:r w:rsidR="00663B98">
        <w:t xml:space="preserve">they </w:t>
      </w:r>
      <w:r w:rsidR="009B49CB">
        <w:t>are</w:t>
      </w:r>
      <w:r>
        <w:t xml:space="preserve"> </w:t>
      </w:r>
      <w:r w:rsidR="005A2A21">
        <w:t>financially</w:t>
      </w:r>
      <w:r>
        <w:t xml:space="preserve"> capable of rendering </w:t>
      </w:r>
      <w:r w:rsidR="006E46E4">
        <w:t>their</w:t>
      </w:r>
      <w:r>
        <w:t xml:space="preserve"> proposed service</w:t>
      </w:r>
      <w:r w:rsidR="006E46E4">
        <w:t>s</w:t>
      </w:r>
      <w:r w:rsidR="00EA1524">
        <w:t xml:space="preserve"> and meeting the new firm’s expenses</w:t>
      </w:r>
      <w:r>
        <w:t xml:space="preserve">. </w:t>
      </w:r>
      <w:r w:rsidR="00441995">
        <w:t>We</w:t>
      </w:r>
      <w:r w:rsidR="0033191D">
        <w:t> </w:t>
      </w:r>
      <w:r w:rsidR="007E5208">
        <w:t xml:space="preserve">make minor modifications to the existing </w:t>
      </w:r>
      <w:r>
        <w:t xml:space="preserve">financial </w:t>
      </w:r>
      <w:r w:rsidR="007E5208">
        <w:t>requirements for new market entrants.</w:t>
      </w:r>
    </w:p>
    <w:p w:rsidR="00B67437" w:rsidP="00B3651D" w:rsidRDefault="007E5208" w14:paraId="4AB3D4BD" w14:textId="442B8FE8">
      <w:pPr>
        <w:pStyle w:val="Standard"/>
      </w:pPr>
      <w:r>
        <w:t xml:space="preserve">First, we standardize the amount of cash required </w:t>
      </w:r>
      <w:r w:rsidR="006E46E4">
        <w:t>for deposits</w:t>
      </w:r>
      <w:r>
        <w:t xml:space="preserve"> as $25,000</w:t>
      </w:r>
      <w:r w:rsidR="006E46E4">
        <w:t xml:space="preserve"> rather than requiring the applicant to show that it has the deposit</w:t>
      </w:r>
      <w:r w:rsidR="00321E80">
        <w:t xml:space="preserve"> amount equivalent to that</w:t>
      </w:r>
      <w:r w:rsidR="006E46E4">
        <w:t xml:space="preserve"> required </w:t>
      </w:r>
      <w:r w:rsidR="00321E80">
        <w:t>by</w:t>
      </w:r>
      <w:r w:rsidR="006E46E4">
        <w:t xml:space="preserve"> each ILEC is seeks to interconnect with</w:t>
      </w:r>
      <w:r>
        <w:t>.</w:t>
      </w:r>
      <w:r w:rsidR="00B3651D">
        <w:t xml:space="preserve"> </w:t>
      </w:r>
      <w:r w:rsidR="00B67437">
        <w:t>This decision changes the deposit requirement for any service provider intending to interconnect with ILECs</w:t>
      </w:r>
      <w:r w:rsidRPr="00A45A64" w:rsidR="00A45A64">
        <w:t xml:space="preserve"> </w:t>
      </w:r>
      <w:r w:rsidR="00A45A64">
        <w:t>to a flat $25,000</w:t>
      </w:r>
      <w:r w:rsidR="00B67437">
        <w:t xml:space="preserve"> instead of an amount equal to the deposits required by ILECs.</w:t>
      </w:r>
    </w:p>
    <w:p w:rsidR="00B50C9F" w:rsidP="00B12098" w:rsidRDefault="007E5208" w14:paraId="07E2BE9C" w14:textId="5BC73466">
      <w:pPr>
        <w:pStyle w:val="Standard"/>
      </w:pPr>
      <w:r>
        <w:lastRenderedPageBreak/>
        <w:t xml:space="preserve">Second, we clarify the means by which new market entrants without profitable interstate operations may satisfy the requirement to demonstrate </w:t>
      </w:r>
      <w:r w:rsidR="005F2B61">
        <w:t xml:space="preserve">a minimum unencumbered </w:t>
      </w:r>
      <w:r w:rsidR="00FB119A">
        <w:t>financial</w:t>
      </w:r>
      <w:r w:rsidR="005F2B61">
        <w:t xml:space="preserve"> requirement </w:t>
      </w:r>
      <w:r w:rsidR="00925B9A">
        <w:t xml:space="preserve">for the first year of operation </w:t>
      </w:r>
      <w:r w:rsidR="00A062DA">
        <w:t>using “cash or cash equivalent</w:t>
      </w:r>
      <w:r w:rsidR="00925B9A">
        <w:t>.</w:t>
      </w:r>
      <w:r w:rsidR="00A062DA">
        <w:t>”</w:t>
      </w:r>
      <w:r>
        <w:t xml:space="preserve"> </w:t>
      </w:r>
      <w:r w:rsidR="00327AAF">
        <w:t>Currently, t</w:t>
      </w:r>
      <w:r>
        <w:t xml:space="preserve">he means by which new market entrants may demonstrate possession of the requisite amount </w:t>
      </w:r>
      <w:r w:rsidR="00327AAF">
        <w:t xml:space="preserve">of </w:t>
      </w:r>
      <w:r w:rsidR="00FB119A">
        <w:t xml:space="preserve">the </w:t>
      </w:r>
      <w:r w:rsidR="00327AAF">
        <w:t xml:space="preserve">unencumbered </w:t>
      </w:r>
      <w:r w:rsidR="00EA1524">
        <w:t>financi</w:t>
      </w:r>
      <w:r w:rsidR="00FB119A">
        <w:t>al requirement</w:t>
      </w:r>
      <w:r w:rsidR="00327AAF">
        <w:t xml:space="preserve"> </w:t>
      </w:r>
      <w:r>
        <w:t xml:space="preserve">differs by whether the new market entrant is already financially profitable or not yet financially profitable. We make no modifications to the means for financially profitable entities. For entities not yet financially profitable, we </w:t>
      </w:r>
      <w:r w:rsidR="00EA1524">
        <w:t>remove the cash option</w:t>
      </w:r>
      <w:r w:rsidR="00FB119A">
        <w:t>s (</w:t>
      </w:r>
      <w:r w:rsidR="004E5445">
        <w:rPr>
          <w:i/>
          <w:iCs/>
        </w:rPr>
        <w:t xml:space="preserve">i.e., </w:t>
      </w:r>
      <w:r w:rsidR="00FB119A">
        <w:t>cash, traveler’s checks, etc.)</w:t>
      </w:r>
      <w:r w:rsidR="00EA1524">
        <w:t xml:space="preserve"> and </w:t>
      </w:r>
      <w:r w:rsidR="00FB119A">
        <w:t>instead include an option to provide unaudited bank statements</w:t>
      </w:r>
      <w:r>
        <w:t>.</w:t>
      </w:r>
      <w:r w:rsidRPr="003E581E">
        <w:rPr>
          <w:bCs/>
          <w:vertAlign w:val="superscript"/>
        </w:rPr>
        <w:footnoteReference w:id="135"/>
      </w:r>
      <w:r>
        <w:t xml:space="preserve"> </w:t>
      </w:r>
      <w:r w:rsidR="00FB119A">
        <w:t>For those utilizing</w:t>
      </w:r>
      <w:r>
        <w:t xml:space="preserve"> </w:t>
      </w:r>
      <w:r w:rsidR="00035BE3">
        <w:t>unaudited</w:t>
      </w:r>
      <w:r w:rsidR="00290413">
        <w:t xml:space="preserve"> </w:t>
      </w:r>
      <w:r w:rsidR="008E7D72">
        <w:t>bank statement</w:t>
      </w:r>
      <w:r w:rsidR="00F44107">
        <w:t>s</w:t>
      </w:r>
      <w:r w:rsidR="00B46A44">
        <w:t>, the first statement</w:t>
      </w:r>
      <w:r w:rsidR="00362839">
        <w:t xml:space="preserve"> must be</w:t>
      </w:r>
      <w:r w:rsidR="00290413">
        <w:t xml:space="preserve"> dated within two months </w:t>
      </w:r>
      <w:r w:rsidR="00B46A44">
        <w:t>prior to</w:t>
      </w:r>
      <w:r w:rsidR="00290413">
        <w:t xml:space="preserve"> the application date</w:t>
      </w:r>
      <w:r w:rsidR="00A862A4">
        <w:t>.</w:t>
      </w:r>
      <w:r w:rsidR="008E7D72">
        <w:t xml:space="preserve"> In order to</w:t>
      </w:r>
      <w:r w:rsidR="00A24D93">
        <w:t xml:space="preserve"> meet the requirement </w:t>
      </w:r>
      <w:r w:rsidR="00362839">
        <w:t>to demonstrate funds are</w:t>
      </w:r>
      <w:r w:rsidR="00A24D93">
        <w:t xml:space="preserve"> available for the first year of operations, applicants electing to use </w:t>
      </w:r>
      <w:r w:rsidR="00514327">
        <w:t xml:space="preserve">unaudited </w:t>
      </w:r>
      <w:r w:rsidR="00A24D93">
        <w:t xml:space="preserve">bank statements must also provide updated </w:t>
      </w:r>
      <w:r w:rsidR="00B46A44">
        <w:t>bank statements</w:t>
      </w:r>
      <w:r w:rsidR="00A24D93">
        <w:t xml:space="preserve"> at six and twelve months after the issuance date of the decision granting their operating authority</w:t>
      </w:r>
      <w:r w:rsidR="00DD7C57">
        <w:t xml:space="preserve">, with </w:t>
      </w:r>
      <w:r w:rsidR="00D15D63">
        <w:t xml:space="preserve">applicants submitting the documents within </w:t>
      </w:r>
      <w:r w:rsidR="00AD2A4E">
        <w:t>8</w:t>
      </w:r>
      <w:r w:rsidR="00D15D63">
        <w:t xml:space="preserve"> and 14 months of the </w:t>
      </w:r>
      <w:r w:rsidR="002A1BF0">
        <w:t>issuance date of the decision authorizing operating authority</w:t>
      </w:r>
      <w:r w:rsidR="00D15D63">
        <w:t>, respectively</w:t>
      </w:r>
      <w:r w:rsidR="00E429E3">
        <w:t xml:space="preserve">, </w:t>
      </w:r>
      <w:r w:rsidRPr="00362839" w:rsidR="00362839">
        <w:t xml:space="preserve">to the Director of Communications Division via email to </w:t>
      </w:r>
      <w:hyperlink w:history="1" r:id="rId15">
        <w:r w:rsidRPr="00362839" w:rsidR="00362839">
          <w:rPr>
            <w:rStyle w:val="Hyperlink"/>
          </w:rPr>
          <w:t>cdcompliance@cpuc.ca.gov</w:t>
        </w:r>
      </w:hyperlink>
      <w:r w:rsidRPr="00362839" w:rsidR="00362839">
        <w:t>.</w:t>
      </w:r>
    </w:p>
    <w:p w:rsidRPr="002D62E2" w:rsidR="001F3F8A" w:rsidP="00EB291B" w:rsidRDefault="00C04D12" w14:paraId="2EDA653D" w14:textId="36DC3500">
      <w:pPr>
        <w:pStyle w:val="Standard"/>
      </w:pPr>
      <w:r>
        <w:t>Appendix </w:t>
      </w:r>
      <w:r w:rsidR="00B32A2C">
        <w:t>F</w:t>
      </w:r>
      <w:r w:rsidR="007E5208">
        <w:t xml:space="preserve"> to this decision contains the complete list of acceptable means</w:t>
      </w:r>
      <w:r w:rsidR="00EB291B">
        <w:t xml:space="preserve"> </w:t>
      </w:r>
      <w:r w:rsidR="007E5208">
        <w:t>by which new market entrants, whether profitable or unprofitable, may document possession of the requisite financial resources</w:t>
      </w:r>
      <w:r w:rsidRPr="002D62E2" w:rsidR="001F3F8A">
        <w:t>.</w:t>
      </w:r>
      <w:r w:rsidR="00231A63">
        <w:t xml:space="preserve"> Applicants should refer </w:t>
      </w:r>
      <w:r w:rsidR="002043BE">
        <w:lastRenderedPageBreak/>
        <w:t>Section</w:t>
      </w:r>
      <w:r w:rsidR="00844EAF">
        <w:t> </w:t>
      </w:r>
      <w:r w:rsidR="00231A63">
        <w:t>6.1.</w:t>
      </w:r>
      <w:r w:rsidR="007B0D8B">
        <w:t>3</w:t>
      </w:r>
      <w:r w:rsidR="00231A63">
        <w:t xml:space="preserve">, above, regarding </w:t>
      </w:r>
      <w:r w:rsidR="00577F33">
        <w:t xml:space="preserve">presumptive designation of </w:t>
      </w:r>
      <w:r w:rsidR="00231A63">
        <w:t>confidential</w:t>
      </w:r>
      <w:r w:rsidR="00577F33">
        <w:t>ity</w:t>
      </w:r>
      <w:r w:rsidR="00231A63">
        <w:t xml:space="preserve"> </w:t>
      </w:r>
      <w:r w:rsidR="00577F33">
        <w:t>for required</w:t>
      </w:r>
      <w:r w:rsidR="00231A63">
        <w:t xml:space="preserve"> </w:t>
      </w:r>
      <w:r w:rsidR="00B56DDC">
        <w:t>financial documents.</w:t>
      </w:r>
    </w:p>
    <w:p w:rsidR="006E4D58" w:rsidP="000A2CD0" w:rsidRDefault="00BC24AD" w14:paraId="77EA82A0" w14:textId="30B40EE4">
      <w:pPr>
        <w:pStyle w:val="Heading3"/>
      </w:pPr>
      <w:bookmarkStart w:name="_Toc176770946" w:id="94"/>
      <w:bookmarkStart w:name="_Toc177021144" w:id="95"/>
      <w:bookmarkStart w:name="_Toc181692893" w:id="96"/>
      <w:r>
        <w:t>California Environmental</w:t>
      </w:r>
      <w:r w:rsidR="006C1F75">
        <w:br/>
      </w:r>
      <w:r>
        <w:t xml:space="preserve">Quality Act </w:t>
      </w:r>
      <w:r w:rsidR="00AC7C41">
        <w:t>Review</w:t>
      </w:r>
      <w:bookmarkEnd w:id="94"/>
      <w:bookmarkEnd w:id="95"/>
      <w:bookmarkEnd w:id="96"/>
    </w:p>
    <w:p w:rsidR="008201D6" w:rsidP="00026D74" w:rsidRDefault="008201D6" w14:paraId="0B345CFA" w14:textId="7209A55C">
      <w:pPr>
        <w:pStyle w:val="Standard"/>
      </w:pPr>
      <w:r w:rsidRPr="008201D6">
        <w:t>Pursuant to the CEQA</w:t>
      </w:r>
      <w:r>
        <w:rPr>
          <w:rStyle w:val="FootnoteReference"/>
        </w:rPr>
        <w:footnoteReference w:id="136"/>
      </w:r>
      <w:r w:rsidRPr="008201D6">
        <w:t xml:space="preserve"> and </w:t>
      </w:r>
      <w:r w:rsidR="00F05DE3">
        <w:t>Rule </w:t>
      </w:r>
      <w:r w:rsidRPr="008201D6">
        <w:t>2.4, the Commission acts as the designated lead agency to consider the environmental consequences of projects that are subject to</w:t>
      </w:r>
      <w:r w:rsidR="00CE4A2B">
        <w:t xml:space="preserve"> </w:t>
      </w:r>
      <w:r w:rsidRPr="008201D6">
        <w:t>the Commission’s approval to determine any potential environmental impacts, to</w:t>
      </w:r>
      <w:r w:rsidR="00CE4A2B">
        <w:t xml:space="preserve"> </w:t>
      </w:r>
      <w:r w:rsidRPr="008201D6">
        <w:t>avoid adverse effects, investigate alternatives, and ensure that any affected environmental impact is restored or otherwise mitigated to the fullest extent possible under CEQA.</w:t>
      </w:r>
      <w:r>
        <w:t xml:space="preserve"> </w:t>
      </w:r>
      <w:r>
        <w:rPr>
          <w:rFonts w:eastAsia="Times New Roman" w:cs="Times New Roman"/>
          <w:szCs w:val="20"/>
        </w:rPr>
        <w:t>All telephone corporations, including interconnected VoIP service providers, that are limited facilities</w:t>
      </w:r>
      <w:r w:rsidR="006951D5">
        <w:rPr>
          <w:rFonts w:eastAsia="Times New Roman" w:cs="Times New Roman"/>
          <w:szCs w:val="20"/>
        </w:rPr>
        <w:noBreakHyphen/>
      </w:r>
      <w:r>
        <w:rPr>
          <w:rFonts w:eastAsia="Times New Roman" w:cs="Times New Roman"/>
          <w:szCs w:val="20"/>
        </w:rPr>
        <w:t>based or non</w:t>
      </w:r>
      <w:r w:rsidR="006951D5">
        <w:rPr>
          <w:rFonts w:eastAsia="Times New Roman" w:cs="Times New Roman"/>
          <w:szCs w:val="20"/>
        </w:rPr>
        <w:noBreakHyphen/>
      </w:r>
      <w:r>
        <w:rPr>
          <w:rFonts w:eastAsia="Times New Roman" w:cs="Times New Roman"/>
          <w:szCs w:val="20"/>
        </w:rPr>
        <w:t>facilities</w:t>
      </w:r>
      <w:r w:rsidR="006951D5">
        <w:rPr>
          <w:rFonts w:eastAsia="Times New Roman" w:cs="Times New Roman"/>
          <w:szCs w:val="20"/>
        </w:rPr>
        <w:noBreakHyphen/>
      </w:r>
      <w:r>
        <w:rPr>
          <w:rFonts w:eastAsia="Times New Roman" w:cs="Times New Roman"/>
          <w:szCs w:val="20"/>
        </w:rPr>
        <w:t xml:space="preserve">based </w:t>
      </w:r>
      <w:r w:rsidR="00754C87">
        <w:rPr>
          <w:rFonts w:eastAsia="Times New Roman" w:cs="Times New Roman"/>
          <w:szCs w:val="20"/>
        </w:rPr>
        <w:t xml:space="preserve">are </w:t>
      </w:r>
      <w:r>
        <w:rPr>
          <w:rFonts w:eastAsia="Times New Roman" w:cs="Times New Roman"/>
          <w:szCs w:val="20"/>
        </w:rPr>
        <w:t>not subject to CEQA</w:t>
      </w:r>
      <w:r w:rsidR="0072143C">
        <w:rPr>
          <w:rFonts w:eastAsia="Times New Roman" w:cs="Times New Roman"/>
          <w:szCs w:val="20"/>
        </w:rPr>
        <w:t xml:space="preserve"> review because it can be seen with certainty that there is no possibility that granting these licenses will have an adverse impact on the environment</w:t>
      </w:r>
      <w:r>
        <w:rPr>
          <w:rFonts w:eastAsia="Times New Roman" w:cs="Times New Roman"/>
          <w:szCs w:val="20"/>
        </w:rPr>
        <w:t>.</w:t>
      </w:r>
      <w:r>
        <w:rPr>
          <w:rStyle w:val="FootnoteReference"/>
          <w:rFonts w:eastAsia="Times New Roman" w:cs="Times New Roman"/>
          <w:szCs w:val="20"/>
        </w:rPr>
        <w:footnoteReference w:id="137"/>
      </w:r>
    </w:p>
    <w:p w:rsidR="00055CBB" w:rsidP="00026D74" w:rsidRDefault="008201D6" w14:paraId="38C86E51" w14:textId="7A5485CB">
      <w:pPr>
        <w:pStyle w:val="Standard"/>
      </w:pPr>
      <w:r w:rsidRPr="008201D6">
        <w:t xml:space="preserve"> </w:t>
      </w:r>
      <w:r>
        <w:t>F</w:t>
      </w:r>
      <w:r w:rsidR="00EA1A6D">
        <w:t>ull facilities</w:t>
      </w:r>
      <w:r w:rsidR="00844EAF">
        <w:noBreakHyphen/>
      </w:r>
      <w:r w:rsidR="00EA1A6D">
        <w:t>based</w:t>
      </w:r>
      <w:r>
        <w:t xml:space="preserve"> </w:t>
      </w:r>
      <w:r w:rsidR="00725B01">
        <w:t xml:space="preserve">voice, </w:t>
      </w:r>
      <w:r>
        <w:t>including interconnected VoIP</w:t>
      </w:r>
      <w:r w:rsidR="00725B01">
        <w:t>,</w:t>
      </w:r>
      <w:r>
        <w:t xml:space="preserve"> </w:t>
      </w:r>
      <w:r w:rsidR="00886F89">
        <w:t xml:space="preserve">service </w:t>
      </w:r>
      <w:r>
        <w:t>providers</w:t>
      </w:r>
      <w:r w:rsidR="00EA1A6D">
        <w:t>,</w:t>
      </w:r>
      <w:r>
        <w:t xml:space="preserve"> </w:t>
      </w:r>
      <w:r w:rsidR="004C5C1E">
        <w:t xml:space="preserve">are subject to CEQA review. </w:t>
      </w:r>
      <w:r w:rsidR="00725B01">
        <w:t>S</w:t>
      </w:r>
      <w:r w:rsidR="0075043B">
        <w:t>ervice providers</w:t>
      </w:r>
      <w:r w:rsidR="00730F11">
        <w:t xml:space="preserve"> </w:t>
      </w:r>
      <w:r w:rsidR="0075043B">
        <w:t>who intend to construct only those types of facilities which are</w:t>
      </w:r>
      <w:r w:rsidR="00E74B69">
        <w:t xml:space="preserve"> </w:t>
      </w:r>
      <w:r w:rsidR="00BD64F0">
        <w:t xml:space="preserve">highly </w:t>
      </w:r>
      <w:r w:rsidR="00E74B69">
        <w:t>likely to be</w:t>
      </w:r>
      <w:r w:rsidR="0075043B">
        <w:t xml:space="preserve"> categorically</w:t>
      </w:r>
      <w:r w:rsidR="007A57A3">
        <w:t xml:space="preserve"> </w:t>
      </w:r>
      <w:r w:rsidR="003C3D9B">
        <w:t xml:space="preserve">exempt </w:t>
      </w:r>
      <w:r w:rsidR="007A57A3">
        <w:t>from CEQA may utilize the Energy Division’s 21</w:t>
      </w:r>
      <w:r w:rsidR="00844EAF">
        <w:noBreakHyphen/>
      </w:r>
      <w:r w:rsidR="008D4DDD">
        <w:t>d</w:t>
      </w:r>
      <w:r w:rsidR="007A57A3">
        <w:t xml:space="preserve">ay expedited CEQA review process, as outlined in </w:t>
      </w:r>
      <w:r w:rsidR="00C04D12">
        <w:t>Appendix</w:t>
      </w:r>
      <w:r w:rsidR="00844EAF">
        <w:t> </w:t>
      </w:r>
      <w:r w:rsidR="007A57A3">
        <w:t>H.</w:t>
      </w:r>
      <w:r w:rsidR="007E162B">
        <w:t xml:space="preserve"> </w:t>
      </w:r>
      <w:r w:rsidR="008C68A8">
        <w:t>This 21</w:t>
      </w:r>
      <w:r w:rsidR="00844EAF">
        <w:noBreakHyphen/>
      </w:r>
      <w:r w:rsidR="008C68A8">
        <w:t>day review process has routinely been granted on an individual application basis,</w:t>
      </w:r>
      <w:r w:rsidR="00754C87">
        <w:t xml:space="preserve"> </w:t>
      </w:r>
      <w:r w:rsidR="008C68A8">
        <w:t>and the Commission extends this process on an industry</w:t>
      </w:r>
      <w:r w:rsidR="00844EAF">
        <w:noBreakHyphen/>
      </w:r>
      <w:r w:rsidR="008C68A8">
        <w:t>wide basis to full facilities</w:t>
      </w:r>
      <w:r w:rsidR="00844EAF">
        <w:noBreakHyphen/>
      </w:r>
      <w:r w:rsidR="008C68A8">
        <w:t>based voice</w:t>
      </w:r>
      <w:r w:rsidR="00625C96">
        <w:t xml:space="preserve"> providers</w:t>
      </w:r>
      <w:r w:rsidR="00C36FBF">
        <w:t>, including</w:t>
      </w:r>
      <w:r w:rsidR="008C68A8">
        <w:t xml:space="preserve"> interconnected VoIP.</w:t>
      </w:r>
      <w:r w:rsidR="00625C96">
        <w:rPr>
          <w:rStyle w:val="FootnoteReference"/>
        </w:rPr>
        <w:footnoteReference w:id="138"/>
      </w:r>
      <w:r w:rsidR="00CE4A2B">
        <w:t xml:space="preserve"> </w:t>
      </w:r>
      <w:r w:rsidR="00E66791">
        <w:t xml:space="preserve">In their </w:t>
      </w:r>
      <w:r w:rsidR="00D85101">
        <w:t xml:space="preserve">CPCN </w:t>
      </w:r>
      <w:r w:rsidR="00E66791">
        <w:t xml:space="preserve">applications, </w:t>
      </w:r>
      <w:r w:rsidR="00E66791">
        <w:lastRenderedPageBreak/>
        <w:t>a</w:t>
      </w:r>
      <w:r w:rsidR="000131F6">
        <w:t>pplicants should indicate that</w:t>
      </w:r>
      <w:r w:rsidR="00F325D4">
        <w:t xml:space="preserve"> they</w:t>
      </w:r>
      <w:r w:rsidR="000131F6">
        <w:t xml:space="preserve"> </w:t>
      </w:r>
      <w:r w:rsidR="005406A6">
        <w:t xml:space="preserve">comply with applicable sections of </w:t>
      </w:r>
      <w:r w:rsidR="00206509">
        <w:t>Rule </w:t>
      </w:r>
      <w:r w:rsidR="005406A6">
        <w:t xml:space="preserve">3.1 and list the categorical exemptions </w:t>
      </w:r>
      <w:r w:rsidR="007D3FFF">
        <w:t xml:space="preserve">relevant to </w:t>
      </w:r>
      <w:r w:rsidR="005406A6">
        <w:t>their proposed projects</w:t>
      </w:r>
      <w:r w:rsidR="0057619D">
        <w:t>, as</w:t>
      </w:r>
      <w:r w:rsidR="00C706D6">
        <w:t xml:space="preserve"> requested </w:t>
      </w:r>
      <w:r w:rsidR="0057619D">
        <w:t>in</w:t>
      </w:r>
      <w:r w:rsidR="00C706D6">
        <w:t xml:space="preserve"> the CPCN form</w:t>
      </w:r>
      <w:r w:rsidR="007F25A2">
        <w:t xml:space="preserve"> (</w:t>
      </w:r>
      <w:r w:rsidR="006212B8">
        <w:t>questions</w:t>
      </w:r>
      <w:r w:rsidR="00C706D6">
        <w:t xml:space="preserve"> 13</w:t>
      </w:r>
      <w:r w:rsidR="00844EAF">
        <w:noBreakHyphen/>
      </w:r>
      <w:r w:rsidR="00C706D6">
        <w:t>15</w:t>
      </w:r>
      <w:r w:rsidR="007F25A2">
        <w:t>)</w:t>
      </w:r>
      <w:r w:rsidR="00C706D6">
        <w:t xml:space="preserve"> </w:t>
      </w:r>
      <w:r w:rsidR="007F25A2">
        <w:t xml:space="preserve">included </w:t>
      </w:r>
      <w:r w:rsidR="00C706D6">
        <w:t>in</w:t>
      </w:r>
      <w:r w:rsidR="0057619D">
        <w:t xml:space="preserve"> </w:t>
      </w:r>
      <w:r w:rsidR="00C04D12">
        <w:t>Appendix</w:t>
      </w:r>
      <w:r w:rsidR="00844EAF">
        <w:t> </w:t>
      </w:r>
      <w:r w:rsidR="00C706D6">
        <w:t>C.</w:t>
      </w:r>
    </w:p>
    <w:p w:rsidRPr="00CA25DB" w:rsidR="00E24E87" w:rsidP="00E24E87" w:rsidRDefault="00E24E87" w14:paraId="7D710F41" w14:textId="59B2F576">
      <w:pPr>
        <w:pStyle w:val="Standard"/>
        <w:rPr>
          <w:rFonts w:eastAsia="Times New Roman" w:cs="Times New Roman"/>
          <w:szCs w:val="20"/>
        </w:rPr>
      </w:pPr>
      <w:r>
        <w:t>Currently recognized exemptions for CEQA include m</w:t>
      </w:r>
      <w:r w:rsidR="009B46A2">
        <w:t>ost</w:t>
      </w:r>
      <w:r>
        <w:t xml:space="preserve"> of the activities that </w:t>
      </w:r>
      <w:r w:rsidR="00295036">
        <w:t>full faci</w:t>
      </w:r>
      <w:r>
        <w:t>lities</w:t>
      </w:r>
      <w:r w:rsidR="006951D5">
        <w:noBreakHyphen/>
      </w:r>
      <w:r>
        <w:t>based providers of interconnected VoIP use in construction, including the</w:t>
      </w:r>
      <w:r>
        <w:rPr>
          <w:rFonts w:eastAsia="Times New Roman" w:cs="Times New Roman"/>
          <w:szCs w:val="20"/>
        </w:rPr>
        <w:t xml:space="preserve"> following:</w:t>
      </w:r>
    </w:p>
    <w:p w:rsidRPr="003E48C0" w:rsidR="00E24E87" w:rsidP="00843C15" w:rsidRDefault="007750D9" w14:paraId="75632D97" w14:textId="5F512FCD">
      <w:pPr>
        <w:pStyle w:val="BlockQuoteH025"/>
        <w:numPr>
          <w:ilvl w:val="0"/>
          <w:numId w:val="10"/>
        </w:numPr>
        <w:tabs>
          <w:tab w:val="clear" w:pos="1440"/>
        </w:tabs>
        <w:ind w:left="1080"/>
        <w:rPr>
          <w:szCs w:val="26"/>
        </w:rPr>
      </w:pPr>
      <w:r>
        <w:rPr>
          <w:szCs w:val="26"/>
        </w:rPr>
        <w:t>Class 1 E</w:t>
      </w:r>
      <w:r w:rsidRPr="003E48C0" w:rsidR="00E24E87">
        <w:rPr>
          <w:szCs w:val="26"/>
        </w:rPr>
        <w:t>xemption</w:t>
      </w:r>
      <w:r w:rsidR="004E3961">
        <w:rPr>
          <w:szCs w:val="26"/>
        </w:rPr>
        <w:t xml:space="preserve">:  </w:t>
      </w:r>
      <w:r w:rsidRPr="003E48C0" w:rsidR="00E24E87">
        <w:rPr>
          <w:szCs w:val="26"/>
        </w:rPr>
        <w:t xml:space="preserve">operation, repair, maintenance, leasing or minor alteration of existing public or private structures and </w:t>
      </w:r>
      <w:r w:rsidRPr="00843C15" w:rsidR="00E24E87">
        <w:t>facilities</w:t>
      </w:r>
      <w:r w:rsidRPr="003E48C0" w:rsidR="00E24E87">
        <w:rPr>
          <w:szCs w:val="26"/>
        </w:rPr>
        <w:t>, with negligible or no expansion of an existing use. This includes existing facilities used to provide pu</w:t>
      </w:r>
      <w:r w:rsidR="00D722D9">
        <w:rPr>
          <w:szCs w:val="26"/>
        </w:rPr>
        <w:t>blic util</w:t>
      </w:r>
      <w:r w:rsidRPr="003E48C0" w:rsidR="00E24E87">
        <w:rPr>
          <w:szCs w:val="26"/>
        </w:rPr>
        <w:t>ity services. (</w:t>
      </w:r>
      <w:r w:rsidR="00E24E87">
        <w:rPr>
          <w:szCs w:val="26"/>
        </w:rPr>
        <w:t xml:space="preserve">California Code of Regulations, </w:t>
      </w:r>
      <w:r w:rsidR="00B47779">
        <w:rPr>
          <w:szCs w:val="26"/>
        </w:rPr>
        <w:t>Title </w:t>
      </w:r>
      <w:r w:rsidR="00E24E87">
        <w:rPr>
          <w:szCs w:val="26"/>
        </w:rPr>
        <w:t xml:space="preserve">14, </w:t>
      </w:r>
      <w:r w:rsidR="002043BE">
        <w:rPr>
          <w:szCs w:val="26"/>
        </w:rPr>
        <w:t>Section </w:t>
      </w:r>
      <w:r w:rsidRPr="003E48C0" w:rsidR="00E24E87">
        <w:rPr>
          <w:szCs w:val="26"/>
        </w:rPr>
        <w:t>15301.)</w:t>
      </w:r>
    </w:p>
    <w:p w:rsidR="00E24E87" w:rsidP="00843C15" w:rsidRDefault="007750D9" w14:paraId="78D8F928" w14:textId="0091F175">
      <w:pPr>
        <w:pStyle w:val="BlockQuoteH025"/>
        <w:numPr>
          <w:ilvl w:val="0"/>
          <w:numId w:val="10"/>
        </w:numPr>
        <w:tabs>
          <w:tab w:val="clear" w:pos="1440"/>
        </w:tabs>
        <w:ind w:left="1080"/>
        <w:rPr>
          <w:szCs w:val="26"/>
        </w:rPr>
      </w:pPr>
      <w:r>
        <w:rPr>
          <w:szCs w:val="26"/>
        </w:rPr>
        <w:t>Class 2</w:t>
      </w:r>
      <w:r w:rsidRPr="00277644" w:rsidR="00E24E87">
        <w:rPr>
          <w:szCs w:val="26"/>
        </w:rPr>
        <w:t xml:space="preserve"> Exemption</w:t>
      </w:r>
      <w:r w:rsidR="004E3961">
        <w:rPr>
          <w:szCs w:val="26"/>
        </w:rPr>
        <w:t xml:space="preserve">:  </w:t>
      </w:r>
      <w:r w:rsidRPr="00277644" w:rsidR="00E24E87">
        <w:rPr>
          <w:szCs w:val="26"/>
        </w:rPr>
        <w:t xml:space="preserve">replacement or reconstruction of existing structures and facilities where the new structure will be located on the same site as the </w:t>
      </w:r>
      <w:r w:rsidRPr="00843C15" w:rsidR="00E24E87">
        <w:t>structure</w:t>
      </w:r>
      <w:r w:rsidRPr="00277644" w:rsidR="00E24E87">
        <w:rPr>
          <w:szCs w:val="26"/>
        </w:rPr>
        <w:t xml:space="preserve"> replaced and will have substantially the same purpose and capacity as the structure replaced. (</w:t>
      </w:r>
      <w:r w:rsidR="00E24E87">
        <w:rPr>
          <w:szCs w:val="26"/>
        </w:rPr>
        <w:t>California Code of Regulation</w:t>
      </w:r>
      <w:r w:rsidR="00BB04EB">
        <w:rPr>
          <w:szCs w:val="26"/>
        </w:rPr>
        <w:t>s</w:t>
      </w:r>
      <w:r w:rsidR="00E24E87">
        <w:rPr>
          <w:szCs w:val="26"/>
        </w:rPr>
        <w:t xml:space="preserve">, </w:t>
      </w:r>
      <w:r w:rsidR="00B47779">
        <w:rPr>
          <w:szCs w:val="26"/>
        </w:rPr>
        <w:t>Title </w:t>
      </w:r>
      <w:r w:rsidRPr="00277644" w:rsidR="00E24E87">
        <w:rPr>
          <w:szCs w:val="26"/>
        </w:rPr>
        <w:t>14</w:t>
      </w:r>
      <w:r w:rsidR="00E24E87">
        <w:rPr>
          <w:szCs w:val="26"/>
        </w:rPr>
        <w:t xml:space="preserve">, </w:t>
      </w:r>
      <w:r w:rsidR="0033191D">
        <w:rPr>
          <w:szCs w:val="26"/>
        </w:rPr>
        <w:t>Section </w:t>
      </w:r>
      <w:r w:rsidRPr="00277644" w:rsidR="00E24E87">
        <w:rPr>
          <w:szCs w:val="26"/>
        </w:rPr>
        <w:t>15302.)</w:t>
      </w:r>
    </w:p>
    <w:p w:rsidR="00E24E87" w:rsidP="00843C15" w:rsidRDefault="007750D9" w14:paraId="36DB64C0" w14:textId="7447A1C6">
      <w:pPr>
        <w:pStyle w:val="BlockQuoteH025"/>
        <w:numPr>
          <w:ilvl w:val="0"/>
          <w:numId w:val="10"/>
        </w:numPr>
        <w:tabs>
          <w:tab w:val="clear" w:pos="1440"/>
        </w:tabs>
        <w:ind w:left="1080"/>
        <w:rPr>
          <w:szCs w:val="26"/>
        </w:rPr>
      </w:pPr>
      <w:r>
        <w:rPr>
          <w:szCs w:val="26"/>
        </w:rPr>
        <w:t>Class 3 E</w:t>
      </w:r>
      <w:r w:rsidRPr="003E48C0" w:rsidR="00E24E87">
        <w:rPr>
          <w:szCs w:val="26"/>
        </w:rPr>
        <w:t>xemption</w:t>
      </w:r>
      <w:r w:rsidR="004E3961">
        <w:rPr>
          <w:szCs w:val="26"/>
        </w:rPr>
        <w:t xml:space="preserve">:  </w:t>
      </w:r>
      <w:r w:rsidRPr="003E48C0" w:rsidR="00E24E87">
        <w:rPr>
          <w:szCs w:val="26"/>
        </w:rPr>
        <w:t xml:space="preserve">construction including water main, sewage, electrical, gas </w:t>
      </w:r>
      <w:r w:rsidRPr="00335AF5" w:rsidR="00E24E87">
        <w:rPr>
          <w:szCs w:val="26"/>
        </w:rPr>
        <w:t>and</w:t>
      </w:r>
      <w:r w:rsidRPr="00335AF5" w:rsidR="00E24E87">
        <w:rPr>
          <w:iCs/>
          <w:szCs w:val="26"/>
        </w:rPr>
        <w:t xml:space="preserve"> other utility extensions of reasonable length</w:t>
      </w:r>
      <w:r w:rsidRPr="00335AF5" w:rsidR="00E24E87">
        <w:rPr>
          <w:szCs w:val="26"/>
        </w:rPr>
        <w:t xml:space="preserve"> to serve such construction. This includes the construction of limited numbers</w:t>
      </w:r>
      <w:r w:rsidRPr="003E48C0" w:rsidR="00E24E87">
        <w:rPr>
          <w:szCs w:val="26"/>
        </w:rPr>
        <w:t xml:space="preserve"> of new small facilities or utility extensions. (</w:t>
      </w:r>
      <w:r w:rsidR="00E24E87">
        <w:rPr>
          <w:szCs w:val="26"/>
        </w:rPr>
        <w:t xml:space="preserve">California Code of Regulations, </w:t>
      </w:r>
      <w:r w:rsidR="00B47779">
        <w:rPr>
          <w:szCs w:val="26"/>
        </w:rPr>
        <w:t>Title </w:t>
      </w:r>
      <w:r w:rsidRPr="003E48C0" w:rsidR="00E24E87">
        <w:rPr>
          <w:szCs w:val="26"/>
        </w:rPr>
        <w:t>14</w:t>
      </w:r>
      <w:r w:rsidR="00E24E87">
        <w:rPr>
          <w:szCs w:val="26"/>
        </w:rPr>
        <w:t xml:space="preserve">, </w:t>
      </w:r>
      <w:r w:rsidR="0033191D">
        <w:rPr>
          <w:szCs w:val="26"/>
        </w:rPr>
        <w:t>Section </w:t>
      </w:r>
      <w:r w:rsidRPr="003E48C0" w:rsidR="00E24E87">
        <w:rPr>
          <w:szCs w:val="26"/>
        </w:rPr>
        <w:t>15303.)</w:t>
      </w:r>
    </w:p>
    <w:p w:rsidR="00E24E87" w:rsidP="00843C15" w:rsidRDefault="00E24E87" w14:paraId="19B4DEE9" w14:textId="1AF2DD96">
      <w:pPr>
        <w:pStyle w:val="BlockQuoteH025"/>
        <w:numPr>
          <w:ilvl w:val="0"/>
          <w:numId w:val="10"/>
        </w:numPr>
        <w:tabs>
          <w:tab w:val="clear" w:pos="1440"/>
        </w:tabs>
        <w:ind w:left="1080"/>
      </w:pPr>
      <w:r>
        <w:t>Class 4</w:t>
      </w:r>
      <w:r w:rsidRPr="00E91A47">
        <w:t xml:space="preserve"> Exemption</w:t>
      </w:r>
      <w:r w:rsidR="004E3961">
        <w:t xml:space="preserve">:  </w:t>
      </w:r>
      <w:r w:rsidRPr="00E91A47">
        <w:t>minor public or private alterations in the condition of land, water, and/or vegetation which do not involve the removal of healthy, mature, scenic trees except for forestry and agricultural purposes.</w:t>
      </w:r>
      <w:r w:rsidR="00CD0E2A">
        <w:t xml:space="preserve"> </w:t>
      </w:r>
      <w:r w:rsidRPr="00E91A47">
        <w:t>Among other things, this includes filling of earth into previously excavated land with material compatible with the natural features of the site, and minor trenching and backfilling where the surface is restored</w:t>
      </w:r>
      <w:r>
        <w:t>.</w:t>
      </w:r>
      <w:r w:rsidRPr="00E91A47">
        <w:t xml:space="preserve"> (</w:t>
      </w:r>
      <w:r>
        <w:t xml:space="preserve">California Code of Regulations, </w:t>
      </w:r>
      <w:r w:rsidR="00B47779">
        <w:t>Title </w:t>
      </w:r>
      <w:r>
        <w:t xml:space="preserve">14, </w:t>
      </w:r>
      <w:r w:rsidR="0033191D">
        <w:t>Section </w:t>
      </w:r>
      <w:r>
        <w:t>15</w:t>
      </w:r>
      <w:r w:rsidRPr="00E91A47">
        <w:t>304</w:t>
      </w:r>
      <w:r>
        <w:t>.</w:t>
      </w:r>
      <w:r w:rsidRPr="00E91A47">
        <w:t>)</w:t>
      </w:r>
    </w:p>
    <w:p w:rsidRPr="00F44CB9" w:rsidR="00E24E87" w:rsidP="00843C15" w:rsidRDefault="007750D9" w14:paraId="4AD85D39" w14:textId="3FC4FB1B">
      <w:pPr>
        <w:pStyle w:val="BlockQuoteH025"/>
        <w:numPr>
          <w:ilvl w:val="0"/>
          <w:numId w:val="10"/>
        </w:numPr>
        <w:tabs>
          <w:tab w:val="clear" w:pos="1440"/>
        </w:tabs>
        <w:ind w:left="1080"/>
        <w:rPr>
          <w:szCs w:val="26"/>
        </w:rPr>
      </w:pPr>
      <w:r>
        <w:rPr>
          <w:szCs w:val="26"/>
        </w:rPr>
        <w:lastRenderedPageBreak/>
        <w:t>Class 3</w:t>
      </w:r>
      <w:r w:rsidRPr="00F44CB9" w:rsidR="00E24E87">
        <w:rPr>
          <w:szCs w:val="26"/>
        </w:rPr>
        <w:t>2(a</w:t>
      </w:r>
      <w:r w:rsidR="003C2FAD">
        <w:rPr>
          <w:szCs w:val="26"/>
        </w:rPr>
        <w:t>)</w:t>
      </w:r>
      <w:r w:rsidR="006951D5">
        <w:rPr>
          <w:szCs w:val="26"/>
        </w:rPr>
        <w:noBreakHyphen/>
      </w:r>
      <w:r w:rsidR="003C2FAD">
        <w:rPr>
          <w:szCs w:val="26"/>
        </w:rPr>
        <w:t>(</w:t>
      </w:r>
      <w:r w:rsidRPr="00F44CB9" w:rsidR="00E24E87">
        <w:rPr>
          <w:szCs w:val="26"/>
        </w:rPr>
        <w:t>e) Exemption</w:t>
      </w:r>
      <w:r w:rsidR="004E3961">
        <w:rPr>
          <w:szCs w:val="26"/>
        </w:rPr>
        <w:t xml:space="preserve">:  </w:t>
      </w:r>
      <w:r w:rsidRPr="00F44CB9" w:rsidR="00E24E87">
        <w:rPr>
          <w:szCs w:val="26"/>
        </w:rPr>
        <w:t>consists of projects characterized as in</w:t>
      </w:r>
      <w:r w:rsidR="006951D5">
        <w:rPr>
          <w:szCs w:val="26"/>
        </w:rPr>
        <w:noBreakHyphen/>
      </w:r>
      <w:r w:rsidRPr="00F44CB9" w:rsidR="00E24E87">
        <w:rPr>
          <w:szCs w:val="26"/>
        </w:rPr>
        <w:t xml:space="preserve">fill development meeting the following </w:t>
      </w:r>
      <w:r w:rsidRPr="00843C15" w:rsidR="00E24E87">
        <w:t>conditions</w:t>
      </w:r>
      <w:r w:rsidR="004E3961">
        <w:rPr>
          <w:szCs w:val="26"/>
        </w:rPr>
        <w:t xml:space="preserve">:  </w:t>
      </w:r>
      <w:r w:rsidRPr="00F44CB9" w:rsidR="00E24E87">
        <w:rPr>
          <w:szCs w:val="26"/>
        </w:rPr>
        <w:t>(a) The project is consistent with applicable general plan designation, general plan policies, and applicable zoning designation and regulations; (b) The proposed development occurs within city limits on a project site of no more than five acres substantially surrounded by urban uses; (c) The project site has no value, as habitat for endangered, rare or threatened species; (d) Approval of the project would not result in any significant effects relating to traffic, noise, air quality, or water quality; and (e) The site can be adequately served by all required utilities and public services.</w:t>
      </w:r>
      <w:r w:rsidR="00CD0E2A">
        <w:rPr>
          <w:szCs w:val="26"/>
        </w:rPr>
        <w:t xml:space="preserve"> </w:t>
      </w:r>
      <w:r w:rsidRPr="00F44CB9" w:rsidR="00E24E87">
        <w:rPr>
          <w:szCs w:val="26"/>
        </w:rPr>
        <w:t>(</w:t>
      </w:r>
      <w:r w:rsidR="00E24E87">
        <w:rPr>
          <w:szCs w:val="26"/>
        </w:rPr>
        <w:t xml:space="preserve">California Code of Regulations, </w:t>
      </w:r>
      <w:r w:rsidR="00B47779">
        <w:rPr>
          <w:szCs w:val="26"/>
        </w:rPr>
        <w:t>Title </w:t>
      </w:r>
      <w:r w:rsidR="00E24E87">
        <w:rPr>
          <w:szCs w:val="26"/>
        </w:rPr>
        <w:t>14,</w:t>
      </w:r>
      <w:r w:rsidRPr="00F44CB9" w:rsidR="00E24E87">
        <w:rPr>
          <w:szCs w:val="26"/>
        </w:rPr>
        <w:t xml:space="preserve"> </w:t>
      </w:r>
      <w:r w:rsidR="0033191D">
        <w:rPr>
          <w:szCs w:val="26"/>
        </w:rPr>
        <w:t>Section </w:t>
      </w:r>
      <w:r w:rsidRPr="00F44CB9" w:rsidR="00E24E87">
        <w:rPr>
          <w:szCs w:val="26"/>
        </w:rPr>
        <w:t>15332.)</w:t>
      </w:r>
    </w:p>
    <w:p w:rsidRPr="001E2BB0" w:rsidR="00E24E87" w:rsidP="007750D9" w:rsidRDefault="0033191D" w14:paraId="697D1F9B" w14:textId="18AD10E8">
      <w:pPr>
        <w:pStyle w:val="BlockQuoteH025"/>
        <w:numPr>
          <w:ilvl w:val="0"/>
          <w:numId w:val="10"/>
        </w:numPr>
        <w:tabs>
          <w:tab w:val="clear" w:pos="1440"/>
        </w:tabs>
        <w:ind w:left="1080"/>
        <w:rPr>
          <w:szCs w:val="26"/>
        </w:rPr>
      </w:pPr>
      <w:r>
        <w:rPr>
          <w:color w:val="000000"/>
          <w:szCs w:val="26"/>
        </w:rPr>
        <w:t>Section </w:t>
      </w:r>
      <w:r w:rsidRPr="00F44CB9" w:rsidR="00E24E87">
        <w:rPr>
          <w:color w:val="000000"/>
          <w:szCs w:val="26"/>
        </w:rPr>
        <w:t>21080.51</w:t>
      </w:r>
      <w:r w:rsidR="00E24E87">
        <w:rPr>
          <w:color w:val="000000"/>
          <w:szCs w:val="26"/>
        </w:rPr>
        <w:t xml:space="preserve"> of the Public Resources Code</w:t>
      </w:r>
      <w:r w:rsidRPr="00F44CB9" w:rsidR="00E24E87">
        <w:rPr>
          <w:color w:val="000000"/>
          <w:szCs w:val="26"/>
        </w:rPr>
        <w:t xml:space="preserve">, which provides an exemption from CEQA for projects that consist of linear broadband deployment that meet certain </w:t>
      </w:r>
      <w:r w:rsidRPr="007750D9" w:rsidR="00E24E87">
        <w:t>requirements</w:t>
      </w:r>
      <w:r w:rsidRPr="00F44CB9" w:rsidR="00E24E87">
        <w:rPr>
          <w:color w:val="000000"/>
          <w:szCs w:val="26"/>
        </w:rPr>
        <w:t>.</w:t>
      </w:r>
    </w:p>
    <w:p w:rsidR="00A96B31" w:rsidP="00E24E87" w:rsidRDefault="00E24E87" w14:paraId="1F36E062" w14:textId="29BB3442">
      <w:pPr>
        <w:pStyle w:val="Standard"/>
      </w:pPr>
      <w:r>
        <w:t>Categorical exemptions to the CEQA change periodically. The Commission</w:t>
      </w:r>
      <w:r w:rsidR="00893D67">
        <w:t>’</w:t>
      </w:r>
      <w:r>
        <w:t xml:space="preserve">s </w:t>
      </w:r>
      <w:r w:rsidR="008650F5">
        <w:t>Energy Division</w:t>
      </w:r>
      <w:r>
        <w:t xml:space="preserve"> is authorized to post a list of categorical exemptions to CEQA which are applicable to interconnected VoIP </w:t>
      </w:r>
      <w:r w:rsidR="00BA3871">
        <w:t xml:space="preserve">service </w:t>
      </w:r>
      <w:r>
        <w:t>providers on the Commission</w:t>
      </w:r>
      <w:r w:rsidR="00893D67">
        <w:t>’</w:t>
      </w:r>
      <w:r>
        <w:t>s website and to update this list to reflect statutory changes to CEQA.</w:t>
      </w:r>
    </w:p>
    <w:p w:rsidR="00055CBB" w:rsidP="00E24E87" w:rsidRDefault="0077278D" w14:paraId="252BC5FF" w14:textId="179DAF17">
      <w:pPr>
        <w:pStyle w:val="Standard"/>
      </w:pPr>
      <w:r>
        <w:t>Applicants requesting to</w:t>
      </w:r>
      <w:r w:rsidR="00DF3B85">
        <w:t xml:space="preserve"> construct </w:t>
      </w:r>
      <w:r w:rsidR="008C535E">
        <w:t xml:space="preserve">full </w:t>
      </w:r>
      <w:r w:rsidR="00DF3B85">
        <w:t xml:space="preserve">facilities that do not qualify </w:t>
      </w:r>
      <w:r w:rsidR="00807F42">
        <w:t>for</w:t>
      </w:r>
      <w:r w:rsidR="00DF3B85">
        <w:t xml:space="preserve"> a categorical exemption under CEQA must provide a Preliminary Environmental Assessment with their CPCN application and will be subject to CEQA review as part of their application.</w:t>
      </w:r>
    </w:p>
    <w:p w:rsidR="00375FB6" w:rsidP="000A2CD0" w:rsidRDefault="007C3D66" w14:paraId="6D5D818F" w14:textId="1FDABA5A">
      <w:pPr>
        <w:pStyle w:val="Heading2"/>
      </w:pPr>
      <w:bookmarkStart w:name="_Toc176770947" w:id="97"/>
      <w:bookmarkStart w:name="_Toc177021145" w:id="98"/>
      <w:bookmarkStart w:name="_Toc181692894" w:id="99"/>
      <w:r>
        <w:t xml:space="preserve">Communications Division </w:t>
      </w:r>
      <w:r w:rsidR="00AC44AA">
        <w:t>May</w:t>
      </w:r>
      <w:r>
        <w:t xml:space="preserve"> </w:t>
      </w:r>
      <w:r w:rsidR="008A22BA">
        <w:t>Revise Application and</w:t>
      </w:r>
      <w:r w:rsidR="003F3A79">
        <w:t xml:space="preserve"> Registration Forms </w:t>
      </w:r>
      <w:r w:rsidR="00C7195D">
        <w:t>Consistent with Commission Decisions</w:t>
      </w:r>
      <w:bookmarkEnd w:id="97"/>
      <w:bookmarkEnd w:id="98"/>
      <w:bookmarkEnd w:id="99"/>
    </w:p>
    <w:p w:rsidRPr="00C95E78" w:rsidR="00003922" w:rsidP="00F66B62" w:rsidRDefault="00626C24" w14:paraId="21BAD2D5" w14:textId="2F6B57C4">
      <w:pPr>
        <w:pStyle w:val="Standard"/>
      </w:pPr>
      <w:r>
        <w:t xml:space="preserve">The Staff Proposal recommended </w:t>
      </w:r>
      <w:r w:rsidR="00D858C9">
        <w:t xml:space="preserve">that </w:t>
      </w:r>
      <w:r>
        <w:t>the</w:t>
      </w:r>
      <w:r w:rsidR="00003922">
        <w:t xml:space="preserve"> Commission </w:t>
      </w:r>
      <w:r w:rsidR="00AC44AA">
        <w:t xml:space="preserve">authorize </w:t>
      </w:r>
      <w:r w:rsidR="00003922">
        <w:t xml:space="preserve">the Communications Division to </w:t>
      </w:r>
      <w:r w:rsidR="00F21277">
        <w:t>make</w:t>
      </w:r>
      <w:r w:rsidDel="00F21277" w:rsidR="00003922">
        <w:t xml:space="preserve"> </w:t>
      </w:r>
      <w:r w:rsidR="00003922">
        <w:t xml:space="preserve">administrative </w:t>
      </w:r>
      <w:r w:rsidRPr="00C95E78" w:rsidR="00003922">
        <w:t>changes</w:t>
      </w:r>
      <w:r w:rsidR="001F4826">
        <w:t xml:space="preserve"> to </w:t>
      </w:r>
      <w:r w:rsidR="0033191D">
        <w:t>Section </w:t>
      </w:r>
      <w:r w:rsidR="006F0EE9">
        <w:t xml:space="preserve">1013 </w:t>
      </w:r>
      <w:r w:rsidR="00B46737">
        <w:lastRenderedPageBreak/>
        <w:t>r</w:t>
      </w:r>
      <w:r w:rsidR="006F0EE9">
        <w:t>egistration</w:t>
      </w:r>
      <w:r w:rsidRPr="00C95E78" w:rsidR="00003922">
        <w:t xml:space="preserve"> </w:t>
      </w:r>
      <w:r w:rsidR="00821CB8">
        <w:t xml:space="preserve">and </w:t>
      </w:r>
      <w:r w:rsidRPr="00444A8D" w:rsidR="00821CB8">
        <w:t xml:space="preserve">WIR </w:t>
      </w:r>
      <w:r w:rsidRPr="00C95E78" w:rsidR="00003922">
        <w:t>form</w:t>
      </w:r>
      <w:r w:rsidR="00821CB8">
        <w:t>s</w:t>
      </w:r>
      <w:r w:rsidRPr="00C95E78" w:rsidR="00003922">
        <w:t xml:space="preserve"> and instructions</w:t>
      </w:r>
      <w:r w:rsidRPr="00697476" w:rsidR="00003922">
        <w:t xml:space="preserve">, </w:t>
      </w:r>
      <w:r w:rsidR="0088530D">
        <w:t xml:space="preserve">as needed </w:t>
      </w:r>
      <w:r w:rsidR="001C7BC7">
        <w:t>and</w:t>
      </w:r>
      <w:r w:rsidRPr="00697476" w:rsidR="00003922">
        <w:t xml:space="preserve"> consistent with existing Commission rules and requirements. </w:t>
      </w:r>
      <w:r w:rsidRPr="00444A8D" w:rsidR="00003922">
        <w:t>The</w:t>
      </w:r>
      <w:r w:rsidR="00061D57">
        <w:t>se</w:t>
      </w:r>
      <w:r w:rsidR="00742B50">
        <w:t xml:space="preserve"> registration processes </w:t>
      </w:r>
      <w:r w:rsidR="00F859FB">
        <w:t xml:space="preserve">were established as ministerial </w:t>
      </w:r>
      <w:r w:rsidR="000533B8">
        <w:t>ones</w:t>
      </w:r>
      <w:r w:rsidR="00F859FB">
        <w:t>.</w:t>
      </w:r>
      <w:r w:rsidR="00003922">
        <w:rPr>
          <w:rStyle w:val="FootnoteReference"/>
        </w:rPr>
        <w:footnoteReference w:id="139"/>
      </w:r>
      <w:r w:rsidRPr="00444A8D" w:rsidR="00003922">
        <w:t xml:space="preserve"> </w:t>
      </w:r>
      <w:r w:rsidR="00D94DC3">
        <w:t>A</w:t>
      </w:r>
      <w:r w:rsidRPr="00444A8D" w:rsidR="00D94DC3">
        <w:t>mbiguous or outdated language on the forms and instructions</w:t>
      </w:r>
      <w:r w:rsidR="00D94DC3">
        <w:t xml:space="preserve"> </w:t>
      </w:r>
      <w:r w:rsidR="005F4074">
        <w:t>ha</w:t>
      </w:r>
      <w:r w:rsidR="00E93F22">
        <w:t>s</w:t>
      </w:r>
      <w:r w:rsidR="005F4074">
        <w:t xml:space="preserve"> resulted in common application deficiencies and questions from applica</w:t>
      </w:r>
      <w:r w:rsidR="001820ED">
        <w:t>nt</w:t>
      </w:r>
      <w:r w:rsidR="005F4074">
        <w:t>s</w:t>
      </w:r>
      <w:r w:rsidR="00B255F3">
        <w:t xml:space="preserve">, which in turn </w:t>
      </w:r>
      <w:r w:rsidR="009D6A6B">
        <w:t xml:space="preserve">have </w:t>
      </w:r>
      <w:r w:rsidR="00D94DC3">
        <w:t>cause</w:t>
      </w:r>
      <w:r w:rsidR="009D6A6B">
        <w:t>d</w:t>
      </w:r>
      <w:r w:rsidR="00D94DC3">
        <w:t xml:space="preserve"> </w:t>
      </w:r>
      <w:r w:rsidR="006A3B59">
        <w:t xml:space="preserve">unnecessary </w:t>
      </w:r>
      <w:r w:rsidR="00D94DC3">
        <w:t xml:space="preserve">delays in </w:t>
      </w:r>
      <w:r w:rsidR="00B255F3">
        <w:t xml:space="preserve">staff </w:t>
      </w:r>
      <w:r w:rsidR="00D94DC3">
        <w:t xml:space="preserve">review and processing. </w:t>
      </w:r>
      <w:r w:rsidR="00413028">
        <w:t xml:space="preserve">Thus, </w:t>
      </w:r>
      <w:r w:rsidR="007F22BF">
        <w:t>authorizing</w:t>
      </w:r>
      <w:r w:rsidRPr="00444A8D" w:rsidDel="007F22BF" w:rsidR="00003922">
        <w:t xml:space="preserve"> </w:t>
      </w:r>
      <w:r w:rsidR="00AA1504">
        <w:t>Communications Division</w:t>
      </w:r>
      <w:r w:rsidR="00D94DC3">
        <w:t xml:space="preserve"> </w:t>
      </w:r>
      <w:r w:rsidR="00FC64D6">
        <w:t>s</w:t>
      </w:r>
      <w:r w:rsidRPr="00444A8D" w:rsidR="00D94DC3">
        <w:t>taff</w:t>
      </w:r>
      <w:r w:rsidRPr="00444A8D" w:rsidDel="00FC64D6" w:rsidR="00003922">
        <w:t xml:space="preserve"> </w:t>
      </w:r>
      <w:r w:rsidRPr="00444A8D" w:rsidR="00003922">
        <w:t xml:space="preserve">to update and clarify registration </w:t>
      </w:r>
      <w:r w:rsidR="00FF3874">
        <w:t>and application</w:t>
      </w:r>
      <w:r w:rsidRPr="00444A8D" w:rsidR="00003922">
        <w:t xml:space="preserve"> requirements on the forms and instructions </w:t>
      </w:r>
      <w:r w:rsidR="0091776E">
        <w:t>in response to the</w:t>
      </w:r>
      <w:r w:rsidRPr="00444A8D" w:rsidR="00003922">
        <w:t xml:space="preserve"> most common deficiencies and applicant inquiries</w:t>
      </w:r>
      <w:r w:rsidR="0091776E">
        <w:t xml:space="preserve"> can further expedite</w:t>
      </w:r>
      <w:r w:rsidR="00CA19E8">
        <w:t xml:space="preserve"> these processes</w:t>
      </w:r>
      <w:r w:rsidRPr="00444A8D" w:rsidR="00003922">
        <w:t>.</w:t>
      </w:r>
    </w:p>
    <w:p w:rsidR="00003922" w:rsidP="00003922" w:rsidRDefault="00861D41" w14:paraId="30B8296C" w14:textId="4921AD22">
      <w:pPr>
        <w:pStyle w:val="Standard"/>
        <w:rPr>
          <w:bCs/>
          <w:szCs w:val="26"/>
        </w:rPr>
      </w:pPr>
      <w:r>
        <w:rPr>
          <w:bCs/>
          <w:szCs w:val="26"/>
        </w:rPr>
        <w:t xml:space="preserve">We therefore authorize </w:t>
      </w:r>
      <w:r w:rsidR="00AA1504">
        <w:rPr>
          <w:bCs/>
          <w:szCs w:val="26"/>
        </w:rPr>
        <w:t>Communications Division staff</w:t>
      </w:r>
      <w:r>
        <w:rPr>
          <w:bCs/>
          <w:szCs w:val="26"/>
        </w:rPr>
        <w:t xml:space="preserve"> to </w:t>
      </w:r>
      <w:r w:rsidR="00003922">
        <w:rPr>
          <w:bCs/>
          <w:szCs w:val="26"/>
        </w:rPr>
        <w:t xml:space="preserve">modify the </w:t>
      </w:r>
      <w:r w:rsidR="0033191D">
        <w:rPr>
          <w:bCs/>
          <w:szCs w:val="26"/>
        </w:rPr>
        <w:t>Section </w:t>
      </w:r>
      <w:r w:rsidR="00003922">
        <w:rPr>
          <w:bCs/>
          <w:szCs w:val="26"/>
        </w:rPr>
        <w:t>1013</w:t>
      </w:r>
      <w:r w:rsidR="007B0D8B">
        <w:rPr>
          <w:bCs/>
          <w:szCs w:val="26"/>
        </w:rPr>
        <w:t xml:space="preserve"> and</w:t>
      </w:r>
      <w:r w:rsidR="00003922">
        <w:rPr>
          <w:bCs/>
          <w:szCs w:val="26"/>
        </w:rPr>
        <w:t xml:space="preserve"> </w:t>
      </w:r>
      <w:r w:rsidR="00F12970">
        <w:rPr>
          <w:bCs/>
          <w:szCs w:val="26"/>
        </w:rPr>
        <w:t xml:space="preserve">WIR </w:t>
      </w:r>
      <w:r w:rsidR="002127C5">
        <w:rPr>
          <w:bCs/>
          <w:szCs w:val="26"/>
        </w:rPr>
        <w:t>registration</w:t>
      </w:r>
      <w:r w:rsidR="00F12970">
        <w:rPr>
          <w:bCs/>
          <w:szCs w:val="26"/>
        </w:rPr>
        <w:t xml:space="preserve"> </w:t>
      </w:r>
      <w:r w:rsidR="00003922">
        <w:rPr>
          <w:bCs/>
          <w:szCs w:val="26"/>
        </w:rPr>
        <w:t>form</w:t>
      </w:r>
      <w:r w:rsidR="00251070">
        <w:rPr>
          <w:bCs/>
          <w:szCs w:val="26"/>
        </w:rPr>
        <w:t>s</w:t>
      </w:r>
      <w:r w:rsidR="002227EA">
        <w:rPr>
          <w:bCs/>
          <w:szCs w:val="26"/>
        </w:rPr>
        <w:t xml:space="preserve"> and instructions</w:t>
      </w:r>
      <w:r w:rsidR="00003922">
        <w:rPr>
          <w:bCs/>
          <w:szCs w:val="26"/>
        </w:rPr>
        <w:t xml:space="preserve"> to clarify </w:t>
      </w:r>
      <w:r w:rsidR="00E93F22">
        <w:rPr>
          <w:bCs/>
          <w:szCs w:val="26"/>
        </w:rPr>
        <w:t>their</w:t>
      </w:r>
      <w:r w:rsidR="00003922">
        <w:rPr>
          <w:bCs/>
          <w:szCs w:val="26"/>
        </w:rPr>
        <w:t xml:space="preserve"> content</w:t>
      </w:r>
      <w:r w:rsidR="00AA7AF8">
        <w:rPr>
          <w:bCs/>
          <w:szCs w:val="26"/>
        </w:rPr>
        <w:t>s</w:t>
      </w:r>
      <w:r w:rsidR="00003922">
        <w:rPr>
          <w:bCs/>
          <w:szCs w:val="26"/>
        </w:rPr>
        <w:t xml:space="preserve">, to improve the accessibility of the document in electronic form, or make other changes </w:t>
      </w:r>
      <w:r w:rsidR="004B6A5E">
        <w:rPr>
          <w:bCs/>
          <w:szCs w:val="26"/>
        </w:rPr>
        <w:t>when necessary</w:t>
      </w:r>
      <w:r w:rsidR="002874DB">
        <w:rPr>
          <w:bCs/>
          <w:szCs w:val="26"/>
        </w:rPr>
        <w:t>,</w:t>
      </w:r>
      <w:r w:rsidR="00003922">
        <w:rPr>
          <w:bCs/>
          <w:szCs w:val="26"/>
        </w:rPr>
        <w:t xml:space="preserve"> consistent with this decision.</w:t>
      </w:r>
    </w:p>
    <w:p w:rsidR="00003922" w:rsidP="00003922" w:rsidRDefault="00003922" w14:paraId="2419DA4B" w14:textId="593A539F">
      <w:pPr>
        <w:pStyle w:val="Standard"/>
        <w:rPr>
          <w:bCs/>
          <w:szCs w:val="26"/>
        </w:rPr>
      </w:pPr>
      <w:r>
        <w:rPr>
          <w:bCs/>
          <w:szCs w:val="26"/>
        </w:rPr>
        <w:t xml:space="preserve">This decision </w:t>
      </w:r>
      <w:r w:rsidR="0024342E">
        <w:rPr>
          <w:bCs/>
          <w:szCs w:val="26"/>
        </w:rPr>
        <w:t>also</w:t>
      </w:r>
      <w:r w:rsidR="00CD0E2A">
        <w:rPr>
          <w:bCs/>
          <w:szCs w:val="26"/>
        </w:rPr>
        <w:t xml:space="preserve"> </w:t>
      </w:r>
      <w:r w:rsidR="00AB4D3C">
        <w:rPr>
          <w:bCs/>
          <w:szCs w:val="26"/>
        </w:rPr>
        <w:t xml:space="preserve">updates the </w:t>
      </w:r>
      <w:r w:rsidR="002043BE">
        <w:rPr>
          <w:bCs/>
          <w:szCs w:val="26"/>
        </w:rPr>
        <w:t>Section</w:t>
      </w:r>
      <w:r w:rsidR="00844EAF">
        <w:rPr>
          <w:bCs/>
          <w:szCs w:val="26"/>
        </w:rPr>
        <w:t> </w:t>
      </w:r>
      <w:r w:rsidR="002D0947">
        <w:rPr>
          <w:bCs/>
          <w:szCs w:val="26"/>
        </w:rPr>
        <w:t>1013 registration</w:t>
      </w:r>
      <w:r w:rsidR="00AB4D3C">
        <w:rPr>
          <w:bCs/>
          <w:szCs w:val="26"/>
        </w:rPr>
        <w:t xml:space="preserve"> form and adds the </w:t>
      </w:r>
      <w:r w:rsidR="002D0947">
        <w:rPr>
          <w:bCs/>
          <w:szCs w:val="26"/>
        </w:rPr>
        <w:t xml:space="preserve">CPCN </w:t>
      </w:r>
      <w:r w:rsidR="009865DF">
        <w:rPr>
          <w:bCs/>
          <w:szCs w:val="26"/>
        </w:rPr>
        <w:t xml:space="preserve">application </w:t>
      </w:r>
      <w:r w:rsidR="002D0947">
        <w:rPr>
          <w:bCs/>
          <w:szCs w:val="26"/>
        </w:rPr>
        <w:t xml:space="preserve">and </w:t>
      </w:r>
      <w:r w:rsidR="00AB4D3C">
        <w:rPr>
          <w:bCs/>
          <w:szCs w:val="26"/>
        </w:rPr>
        <w:t>Nomadic Registration</w:t>
      </w:r>
      <w:r>
        <w:rPr>
          <w:bCs/>
          <w:szCs w:val="26"/>
        </w:rPr>
        <w:t xml:space="preserve"> form</w:t>
      </w:r>
      <w:r w:rsidR="009865DF">
        <w:rPr>
          <w:bCs/>
          <w:szCs w:val="26"/>
        </w:rPr>
        <w:t>s</w:t>
      </w:r>
      <w:r>
        <w:rPr>
          <w:bCs/>
          <w:szCs w:val="26"/>
        </w:rPr>
        <w:t xml:space="preserve"> into the licensing </w:t>
      </w:r>
      <w:r w:rsidR="000E5613">
        <w:rPr>
          <w:bCs/>
          <w:szCs w:val="26"/>
        </w:rPr>
        <w:t xml:space="preserve">and registration </w:t>
      </w:r>
      <w:r>
        <w:rPr>
          <w:bCs/>
          <w:szCs w:val="26"/>
        </w:rPr>
        <w:t xml:space="preserve">process. </w:t>
      </w:r>
      <w:r w:rsidR="00AA1504">
        <w:rPr>
          <w:bCs/>
          <w:szCs w:val="26"/>
        </w:rPr>
        <w:t>Communications Division staff</w:t>
      </w:r>
      <w:r w:rsidR="00B02EF0">
        <w:rPr>
          <w:bCs/>
          <w:szCs w:val="26"/>
        </w:rPr>
        <w:t xml:space="preserve"> </w:t>
      </w:r>
      <w:r>
        <w:rPr>
          <w:bCs/>
          <w:szCs w:val="26"/>
        </w:rPr>
        <w:t xml:space="preserve">may also modify </w:t>
      </w:r>
      <w:r w:rsidR="004E1606">
        <w:rPr>
          <w:bCs/>
          <w:szCs w:val="26"/>
        </w:rPr>
        <w:t xml:space="preserve">these </w:t>
      </w:r>
      <w:r w:rsidR="001F7DAE">
        <w:rPr>
          <w:bCs/>
          <w:szCs w:val="26"/>
        </w:rPr>
        <w:t xml:space="preserve">application and registration </w:t>
      </w:r>
      <w:r>
        <w:rPr>
          <w:bCs/>
          <w:szCs w:val="26"/>
        </w:rPr>
        <w:t>form</w:t>
      </w:r>
      <w:r w:rsidR="00657A3D">
        <w:rPr>
          <w:bCs/>
          <w:szCs w:val="26"/>
        </w:rPr>
        <w:t>s</w:t>
      </w:r>
      <w:r>
        <w:rPr>
          <w:bCs/>
          <w:szCs w:val="26"/>
        </w:rPr>
        <w:t xml:space="preserve"> to clarify </w:t>
      </w:r>
      <w:r w:rsidR="009C2392">
        <w:rPr>
          <w:bCs/>
          <w:szCs w:val="26"/>
        </w:rPr>
        <w:t>their</w:t>
      </w:r>
      <w:r>
        <w:rPr>
          <w:bCs/>
          <w:szCs w:val="26"/>
        </w:rPr>
        <w:t xml:space="preserve"> content, to improve the accessibility of the document in electronic form, or make other changes </w:t>
      </w:r>
      <w:r w:rsidR="00E34F2E">
        <w:rPr>
          <w:bCs/>
          <w:szCs w:val="26"/>
        </w:rPr>
        <w:t xml:space="preserve">when </w:t>
      </w:r>
      <w:r>
        <w:rPr>
          <w:bCs/>
          <w:szCs w:val="26"/>
        </w:rPr>
        <w:t>necessary</w:t>
      </w:r>
      <w:r w:rsidR="002874DB">
        <w:rPr>
          <w:bCs/>
          <w:szCs w:val="26"/>
        </w:rPr>
        <w:t>,</w:t>
      </w:r>
      <w:r>
        <w:rPr>
          <w:bCs/>
          <w:szCs w:val="26"/>
        </w:rPr>
        <w:t xml:space="preserve"> consistent with this decision.</w:t>
      </w:r>
    </w:p>
    <w:p w:rsidRPr="00D5789E" w:rsidR="00D5789E" w:rsidP="00F66B62" w:rsidRDefault="00D5789E" w14:paraId="01659EF8" w14:textId="1ADEC130">
      <w:pPr>
        <w:pStyle w:val="Standard"/>
      </w:pPr>
      <w:r w:rsidRPr="0B10B0AF">
        <w:t xml:space="preserve">All changes to </w:t>
      </w:r>
      <w:r w:rsidR="006B42E6">
        <w:t xml:space="preserve">application and registration </w:t>
      </w:r>
      <w:r w:rsidRPr="0B10B0AF">
        <w:t>forms will be posted on the Commission</w:t>
      </w:r>
      <w:r w:rsidR="00893D67">
        <w:t>’</w:t>
      </w:r>
      <w:r w:rsidRPr="0B10B0AF">
        <w:t>s website under the Communications Division Licensing and Registration Information Section</w:t>
      </w:r>
      <w:r w:rsidR="00DB4FC5">
        <w:t>, or its successor</w:t>
      </w:r>
      <w:r w:rsidRPr="0B10B0AF">
        <w:t xml:space="preserve">. Applicants are directed to </w:t>
      </w:r>
      <w:r w:rsidRPr="0B10B0AF">
        <w:lastRenderedPageBreak/>
        <w:t>review and utilize the latest forms and instructions provided on the Commission</w:t>
      </w:r>
      <w:r w:rsidR="00893D67">
        <w:t>’</w:t>
      </w:r>
      <w:r w:rsidRPr="0B10B0AF">
        <w:t>s website.</w:t>
      </w:r>
      <w:r w:rsidRPr="0B10B0AF">
        <w:rPr>
          <w:rStyle w:val="FootnoteReference"/>
        </w:rPr>
        <w:footnoteReference w:id="140"/>
      </w:r>
    </w:p>
    <w:p w:rsidR="000D27AB" w:rsidP="000A2CD0" w:rsidRDefault="000B5571" w14:paraId="5A81647F" w14:textId="0DCB2C07">
      <w:pPr>
        <w:pStyle w:val="Heading1"/>
      </w:pPr>
      <w:bookmarkStart w:name="_Toc176770948" w:id="100"/>
      <w:bookmarkStart w:name="_Toc177021146" w:id="101"/>
      <w:bookmarkStart w:name="_Toc181692895" w:id="102"/>
      <w:r>
        <w:t>Migration</w:t>
      </w:r>
      <w:r w:rsidR="004940AE">
        <w:t xml:space="preserve"> Process</w:t>
      </w:r>
      <w:r w:rsidR="001F592C">
        <w:t xml:space="preserve"> </w:t>
      </w:r>
      <w:r w:rsidR="004940AE">
        <w:t>for</w:t>
      </w:r>
      <w:r w:rsidR="001F592C">
        <w:t xml:space="preserve"> </w:t>
      </w:r>
      <w:r w:rsidR="000D27AB">
        <w:t xml:space="preserve">Interconnected </w:t>
      </w:r>
      <w:r w:rsidRPr="19E6B670" w:rsidR="009D389C">
        <w:t>Voice Over Internet Protocol</w:t>
      </w:r>
      <w:r w:rsidR="001F592C">
        <w:t xml:space="preserve"> </w:t>
      </w:r>
      <w:r w:rsidR="00E1304C">
        <w:t>Service</w:t>
      </w:r>
      <w:r w:rsidR="00F72738">
        <w:t xml:space="preserve"> </w:t>
      </w:r>
      <w:r w:rsidR="001F592C">
        <w:t>Providers</w:t>
      </w:r>
      <w:r w:rsidR="00FD6953">
        <w:t xml:space="preserve"> Holding Prior</w:t>
      </w:r>
      <w:r w:rsidR="00657A3D">
        <w:t xml:space="preserve"> </w:t>
      </w:r>
      <w:r w:rsidR="0033191D">
        <w:t>Section </w:t>
      </w:r>
      <w:r w:rsidR="00BC3476">
        <w:t xml:space="preserve">285 </w:t>
      </w:r>
      <w:r w:rsidR="00657A3D">
        <w:t>Regist</w:t>
      </w:r>
      <w:r w:rsidR="00D90B2F">
        <w:t>ration or</w:t>
      </w:r>
      <w:r w:rsidR="001F592C">
        <w:t xml:space="preserve"> </w:t>
      </w:r>
      <w:r w:rsidR="0033191D">
        <w:t>Section </w:t>
      </w:r>
      <w:r w:rsidR="00696D01">
        <w:t xml:space="preserve">1001 or </w:t>
      </w:r>
      <w:r w:rsidR="0033191D">
        <w:t>Section </w:t>
      </w:r>
      <w:r w:rsidR="00696D01">
        <w:t xml:space="preserve">1013 </w:t>
      </w:r>
      <w:r w:rsidR="008671B9">
        <w:t>Operating</w:t>
      </w:r>
      <w:r w:rsidR="00D42E1D">
        <w:t xml:space="preserve"> Authority</w:t>
      </w:r>
      <w:bookmarkEnd w:id="100"/>
      <w:bookmarkEnd w:id="101"/>
      <w:bookmarkEnd w:id="102"/>
    </w:p>
    <w:p w:rsidR="00A96B31" w:rsidP="00B546E3" w:rsidRDefault="00B546E3" w14:paraId="2F3DED7C" w14:textId="7ABFB6E9">
      <w:pPr>
        <w:pStyle w:val="Standard"/>
      </w:pPr>
      <w:r>
        <w:t>This proceeding scoped the issue of how the currently operating interconnected VoIP service</w:t>
      </w:r>
      <w:r w:rsidR="00216876">
        <w:t xml:space="preserve"> providers</w:t>
      </w:r>
      <w:r>
        <w:t xml:space="preserve"> should be </w:t>
      </w:r>
      <w:r w:rsidR="008B1C76">
        <w:t xml:space="preserve">migrated </w:t>
      </w:r>
      <w:r>
        <w:t xml:space="preserve">to the new </w:t>
      </w:r>
      <w:r w:rsidR="00811ACE">
        <w:t xml:space="preserve">interconnected </w:t>
      </w:r>
      <w:r w:rsidR="003B58C0">
        <w:t xml:space="preserve">VoIP </w:t>
      </w:r>
      <w:r>
        <w:t>regulatory framework</w:t>
      </w:r>
      <w:r w:rsidR="00216876">
        <w:t xml:space="preserve"> adopted in this decision</w:t>
      </w:r>
      <w:r>
        <w:t>. Parties provided input in response to proposals recommended in the Staff Proposal and in comments on the Scoping Memo.</w:t>
      </w:r>
      <w:r w:rsidR="00104DB9">
        <w:t xml:space="preserve"> A few</w:t>
      </w:r>
      <w:r w:rsidRPr="00104DB9" w:rsidR="00104DB9">
        <w:t xml:space="preserve"> providers sought party status after the issuance of the proposed decision in order to file comments asking the Commission to address the impact of telephone providers in possession of operating authority prior to August 2022.</w:t>
      </w:r>
    </w:p>
    <w:p w:rsidR="00A96B31" w:rsidP="00B546E3" w:rsidRDefault="00B546E3" w14:paraId="3F4446A4" w14:textId="54BD80D2">
      <w:pPr>
        <w:pStyle w:val="Standard"/>
      </w:pPr>
      <w:r>
        <w:t xml:space="preserve">Most industry parties commenting on the framework and process for currently operating interconnected VoIP </w:t>
      </w:r>
      <w:r w:rsidR="002D1BFA">
        <w:t xml:space="preserve">service </w:t>
      </w:r>
      <w:r>
        <w:t xml:space="preserve">providers recommended reinstating the </w:t>
      </w:r>
      <w:r w:rsidR="00F11D94">
        <w:t xml:space="preserve">prior </w:t>
      </w:r>
      <w:r w:rsidR="0033191D">
        <w:t>Section </w:t>
      </w:r>
      <w:r>
        <w:t>285 registration</w:t>
      </w:r>
      <w:r w:rsidR="00EC07D0">
        <w:t xml:space="preserve"> process</w:t>
      </w:r>
      <w:r>
        <w:t>. Cal Broadband</w:t>
      </w:r>
      <w:r w:rsidR="00DC3237">
        <w:t xml:space="preserve"> also argued that</w:t>
      </w:r>
      <w:r>
        <w:t xml:space="preserve">, in the event the Commission </w:t>
      </w:r>
      <w:r w:rsidR="00F676DC">
        <w:t xml:space="preserve">did not reinstate </w:t>
      </w:r>
      <w:r w:rsidR="0033191D">
        <w:t>Section </w:t>
      </w:r>
      <w:r w:rsidR="00F676DC">
        <w:t>285 registration</w:t>
      </w:r>
      <w:r w:rsidR="00861AF9">
        <w:t xml:space="preserve"> and required </w:t>
      </w:r>
      <w:r w:rsidR="00FF4F55">
        <w:t>a different process</w:t>
      </w:r>
      <w:r w:rsidR="00F676DC">
        <w:t xml:space="preserve"> </w:t>
      </w:r>
      <w:r w:rsidR="00893D67">
        <w:t>“</w:t>
      </w:r>
      <w:r>
        <w:t xml:space="preserve">it would be contrary to the public interest for the Commission to conduct a lengthy </w:t>
      </w:r>
      <w:r>
        <w:rPr>
          <w:i/>
          <w:iCs/>
        </w:rPr>
        <w:t>de novo</w:t>
      </w:r>
      <w:r>
        <w:t xml:space="preserve"> review of companies that have been providing interconnected VoIP service in the state</w:t>
      </w:r>
      <w:r w:rsidR="00403ACC">
        <w:t>.</w:t>
      </w:r>
      <w:r w:rsidR="00893D67">
        <w:t>”</w:t>
      </w:r>
      <w:r w:rsidR="00403ACC">
        <w:rPr>
          <w:rStyle w:val="FootnoteReference"/>
        </w:rPr>
        <w:footnoteReference w:id="141"/>
      </w:r>
      <w:r>
        <w:t xml:space="preserve"> </w:t>
      </w:r>
      <w:r w:rsidR="00EA6739">
        <w:t>W</w:t>
      </w:r>
      <w:r>
        <w:t>e agree</w:t>
      </w:r>
      <w:r w:rsidR="00EA6739">
        <w:t xml:space="preserve"> that c</w:t>
      </w:r>
      <w:r>
        <w:t xml:space="preserve">onducting a lengthy </w:t>
      </w:r>
      <w:r>
        <w:rPr>
          <w:i/>
          <w:iCs/>
        </w:rPr>
        <w:t>de novo</w:t>
      </w:r>
      <w:r>
        <w:t xml:space="preserve"> review of a provider currently operating in California would be burdensome and counterproductive.</w:t>
      </w:r>
      <w:r>
        <w:rPr>
          <w:rStyle w:val="FootnoteReference"/>
        </w:rPr>
        <w:footnoteReference w:id="142"/>
      </w:r>
    </w:p>
    <w:p w:rsidR="00B546E3" w:rsidP="005A527A" w:rsidRDefault="00ED3576" w14:paraId="17B6CFA4" w14:textId="386E1AB2">
      <w:pPr>
        <w:pStyle w:val="Standard"/>
      </w:pPr>
      <w:r>
        <w:lastRenderedPageBreak/>
        <w:t xml:space="preserve">We therefore </w:t>
      </w:r>
      <w:r w:rsidR="00B546E3">
        <w:t xml:space="preserve">adopt </w:t>
      </w:r>
      <w:r w:rsidRPr="0058387A" w:rsidR="00B546E3">
        <w:t>a</w:t>
      </w:r>
      <w:r w:rsidR="00B546E3">
        <w:t xml:space="preserve"> streamlined </w:t>
      </w:r>
      <w:r w:rsidR="00CA60DA">
        <w:t xml:space="preserve">migration </w:t>
      </w:r>
      <w:r w:rsidR="00B546E3">
        <w:t xml:space="preserve">process to implement the new licensing and registration framework adopted </w:t>
      </w:r>
      <w:r w:rsidR="0071273C">
        <w:t>in this decision</w:t>
      </w:r>
      <w:r w:rsidR="00B546E3">
        <w:t xml:space="preserve"> for interconnected VoIP</w:t>
      </w:r>
      <w:r w:rsidR="00BA3871">
        <w:t xml:space="preserve"> service</w:t>
      </w:r>
      <w:r w:rsidR="00B546E3">
        <w:t xml:space="preserve"> providers</w:t>
      </w:r>
      <w:r w:rsidR="00D858C9">
        <w:t xml:space="preserve"> as described below</w:t>
      </w:r>
      <w:r w:rsidR="00B546E3">
        <w:t xml:space="preserve">. Once the </w:t>
      </w:r>
      <w:r w:rsidR="0071273C">
        <w:t>migration</w:t>
      </w:r>
      <w:r w:rsidR="00B546E3">
        <w:t xml:space="preserve"> process is complete, all interconnected VoIP</w:t>
      </w:r>
      <w:r w:rsidR="00BA3871">
        <w:t xml:space="preserve"> service</w:t>
      </w:r>
      <w:r w:rsidR="00B546E3">
        <w:t xml:space="preserve"> providers are required to comply with the regulatory obligations</w:t>
      </w:r>
      <w:r w:rsidR="002D1BFA">
        <w:t>, some existing and some new,</w:t>
      </w:r>
      <w:r w:rsidR="00B546E3">
        <w:t xml:space="preserve"> outlined in this decision. </w:t>
      </w:r>
      <w:r w:rsidR="00593257">
        <w:t xml:space="preserve">By default, all interconnected VoIP </w:t>
      </w:r>
      <w:r w:rsidR="002C1A73">
        <w:t xml:space="preserve">service providers </w:t>
      </w:r>
      <w:r w:rsidR="00593257">
        <w:t>subject to migration are granted either a non</w:t>
      </w:r>
      <w:r w:rsidR="006951D5">
        <w:noBreakHyphen/>
      </w:r>
      <w:r w:rsidR="00593257">
        <w:t>facilities</w:t>
      </w:r>
      <w:r w:rsidR="006951D5">
        <w:noBreakHyphen/>
      </w:r>
      <w:r w:rsidR="00593257">
        <w:t xml:space="preserve">based </w:t>
      </w:r>
      <w:r w:rsidR="00E76F1D">
        <w:t>f</w:t>
      </w:r>
      <w:r w:rsidR="00593257">
        <w:t xml:space="preserve">ixed </w:t>
      </w:r>
      <w:r w:rsidR="00E76F1D">
        <w:t>i</w:t>
      </w:r>
      <w:r w:rsidR="00593257">
        <w:t xml:space="preserve">nterconnected VoIP operating authority </w:t>
      </w:r>
      <w:r w:rsidR="00E54371">
        <w:t>pur</w:t>
      </w:r>
      <w:r w:rsidR="00A168BC">
        <w:t xml:space="preserve">suant to </w:t>
      </w:r>
      <w:r w:rsidR="0033191D">
        <w:t>Section </w:t>
      </w:r>
      <w:r w:rsidR="00593257">
        <w:t xml:space="preserve">1013 </w:t>
      </w:r>
      <w:r w:rsidR="005F0FFC">
        <w:t>(</w:t>
      </w:r>
      <w:r w:rsidRPr="004A120D" w:rsidR="004A120D">
        <w:rPr>
          <w:i/>
          <w:iCs/>
        </w:rPr>
        <w:t>i.e.</w:t>
      </w:r>
      <w:r w:rsidR="005F0FFC">
        <w:t>, DVF status)</w:t>
      </w:r>
      <w:r w:rsidR="00593257">
        <w:rPr>
          <w:rStyle w:val="FootnoteReference"/>
        </w:rPr>
        <w:footnoteReference w:id="143"/>
      </w:r>
      <w:r w:rsidR="00593257">
        <w:t xml:space="preserve"> or a nomadic</w:t>
      </w:r>
      <w:r w:rsidR="006951D5">
        <w:noBreakHyphen/>
      </w:r>
      <w:r w:rsidR="00CE2BD1">
        <w:t>only</w:t>
      </w:r>
      <w:r w:rsidR="00593257">
        <w:t xml:space="preserve"> interconnected VoIP status </w:t>
      </w:r>
      <w:r w:rsidR="009A4A41">
        <w:t>(</w:t>
      </w:r>
      <w:r w:rsidRPr="004A120D" w:rsidR="004A120D">
        <w:rPr>
          <w:i/>
          <w:iCs/>
        </w:rPr>
        <w:t>i.e.</w:t>
      </w:r>
      <w:r w:rsidR="0060268D">
        <w:t xml:space="preserve">, </w:t>
      </w:r>
      <w:r w:rsidR="009A4A41">
        <w:t>DVN</w:t>
      </w:r>
      <w:r w:rsidR="0060268D">
        <w:t xml:space="preserve"> </w:t>
      </w:r>
      <w:r w:rsidR="001F3B50">
        <w:t>status</w:t>
      </w:r>
      <w:r w:rsidR="009A4A41">
        <w:t>)</w:t>
      </w:r>
      <w:r w:rsidR="0060268D">
        <w:t xml:space="preserve"> </w:t>
      </w:r>
      <w:r w:rsidR="00593257">
        <w:t xml:space="preserve">subject to the regulatory obligations </w:t>
      </w:r>
      <w:r w:rsidR="00616AA2">
        <w:t>adopted herein</w:t>
      </w:r>
      <w:r w:rsidR="00593257">
        <w:t xml:space="preserve">. </w:t>
      </w:r>
      <w:r w:rsidR="00B546E3">
        <w:t xml:space="preserve">The </w:t>
      </w:r>
      <w:r w:rsidR="00C416BB">
        <w:t>migration</w:t>
      </w:r>
      <w:r w:rsidR="00B546E3">
        <w:t xml:space="preserve"> process adopted today will not diminish the ability of interconnected VoIP </w:t>
      </w:r>
      <w:r w:rsidR="00C416BB">
        <w:t xml:space="preserve">service </w:t>
      </w:r>
      <w:r w:rsidR="00B546E3">
        <w:t xml:space="preserve">providers to continue their operations in the state or to bring new, innovative offerings to the market. </w:t>
      </w:r>
      <w:r w:rsidR="009B6FE8">
        <w:t>Nor does the migration</w:t>
      </w:r>
      <w:r w:rsidR="00B546E3">
        <w:t xml:space="preserve"> impact the ability of interconnected VoIP </w:t>
      </w:r>
      <w:r w:rsidR="00BD14C2">
        <w:t xml:space="preserve">service </w:t>
      </w:r>
      <w:r w:rsidR="00B546E3">
        <w:t xml:space="preserve">providers that registered through the prior </w:t>
      </w:r>
      <w:r w:rsidR="0033191D">
        <w:t>Section </w:t>
      </w:r>
      <w:r w:rsidR="00B546E3">
        <w:t>285 process to continue their obligation to report and remit surcharges.</w:t>
      </w:r>
    </w:p>
    <w:p w:rsidR="00A96B31" w:rsidP="005A527A" w:rsidRDefault="00AC09ED" w14:paraId="54FB603B" w14:textId="11642CA8">
      <w:pPr>
        <w:pStyle w:val="Standard"/>
        <w:rPr>
          <w:rFonts w:cs="Arial"/>
          <w:color w:val="000000" w:themeColor="text1"/>
        </w:rPr>
      </w:pPr>
      <w:r>
        <w:rPr>
          <w:rFonts w:cs="Arial"/>
          <w:color w:val="000000" w:themeColor="text1"/>
        </w:rPr>
        <w:t xml:space="preserve">Existing and currently operating </w:t>
      </w:r>
      <w:r w:rsidR="00ED3685">
        <w:rPr>
          <w:rFonts w:cs="Arial"/>
          <w:color w:val="000000" w:themeColor="text1"/>
        </w:rPr>
        <w:t xml:space="preserve">interconnected VoIP service providers </w:t>
      </w:r>
      <w:r>
        <w:rPr>
          <w:rFonts w:cs="Arial"/>
          <w:color w:val="000000" w:themeColor="text1"/>
        </w:rPr>
        <w:t>are considered in three sets</w:t>
      </w:r>
      <w:r w:rsidR="00ED3685">
        <w:rPr>
          <w:rFonts w:cs="Arial"/>
          <w:color w:val="000000" w:themeColor="text1"/>
        </w:rPr>
        <w:t>.</w:t>
      </w:r>
      <w:r w:rsidR="00CD0E2A">
        <w:rPr>
          <w:rFonts w:cs="Arial"/>
          <w:color w:val="000000" w:themeColor="text1"/>
        </w:rPr>
        <w:t xml:space="preserve"> </w:t>
      </w:r>
      <w:r w:rsidR="00A26F7A">
        <w:rPr>
          <w:rFonts w:cs="Arial"/>
          <w:color w:val="000000" w:themeColor="text1"/>
        </w:rPr>
        <w:t xml:space="preserve">The first </w:t>
      </w:r>
      <w:r w:rsidR="00495F05">
        <w:rPr>
          <w:rFonts w:cs="Arial"/>
          <w:color w:val="000000" w:themeColor="text1"/>
        </w:rPr>
        <w:t xml:space="preserve">set </w:t>
      </w:r>
      <w:r w:rsidR="00B80D79">
        <w:rPr>
          <w:rFonts w:cs="Arial"/>
          <w:color w:val="000000" w:themeColor="text1"/>
        </w:rPr>
        <w:t>consists</w:t>
      </w:r>
      <w:r w:rsidR="00495F05">
        <w:rPr>
          <w:rFonts w:cs="Arial"/>
          <w:color w:val="000000" w:themeColor="text1"/>
        </w:rPr>
        <w:t xml:space="preserve"> </w:t>
      </w:r>
      <w:r w:rsidR="00A26F7A">
        <w:rPr>
          <w:rFonts w:cs="Arial"/>
          <w:color w:val="000000" w:themeColor="text1"/>
        </w:rPr>
        <w:t xml:space="preserve">of interconnected VoIP </w:t>
      </w:r>
      <w:r w:rsidR="00343C21">
        <w:rPr>
          <w:rFonts w:cs="Arial"/>
          <w:color w:val="000000" w:themeColor="text1"/>
        </w:rPr>
        <w:t xml:space="preserve">service </w:t>
      </w:r>
      <w:r w:rsidR="00A26F7A">
        <w:rPr>
          <w:rFonts w:cs="Arial"/>
          <w:color w:val="000000" w:themeColor="text1"/>
        </w:rPr>
        <w:t xml:space="preserve">providers </w:t>
      </w:r>
      <w:r w:rsidR="00C2173D">
        <w:rPr>
          <w:rFonts w:cs="Arial"/>
          <w:color w:val="000000" w:themeColor="text1"/>
        </w:rPr>
        <w:t xml:space="preserve">already registered through the prior </w:t>
      </w:r>
      <w:r w:rsidR="0033191D">
        <w:rPr>
          <w:rFonts w:cs="Arial"/>
          <w:color w:val="000000" w:themeColor="text1"/>
        </w:rPr>
        <w:t>Section </w:t>
      </w:r>
      <w:r w:rsidR="00A83590">
        <w:rPr>
          <w:rFonts w:cs="Arial"/>
          <w:color w:val="000000" w:themeColor="text1"/>
        </w:rPr>
        <w:t xml:space="preserve">285 </w:t>
      </w:r>
      <w:r w:rsidR="007E585D">
        <w:rPr>
          <w:rFonts w:cs="Arial"/>
          <w:color w:val="000000" w:themeColor="text1"/>
        </w:rPr>
        <w:t>registration</w:t>
      </w:r>
      <w:r w:rsidR="00B80D79">
        <w:rPr>
          <w:rFonts w:cs="Arial"/>
          <w:color w:val="000000" w:themeColor="text1"/>
        </w:rPr>
        <w:t xml:space="preserve"> </w:t>
      </w:r>
      <w:r w:rsidR="00A83590">
        <w:rPr>
          <w:rFonts w:cs="Arial"/>
          <w:color w:val="000000" w:themeColor="text1"/>
        </w:rPr>
        <w:t>process</w:t>
      </w:r>
      <w:r>
        <w:rPr>
          <w:rFonts w:cs="Arial"/>
          <w:color w:val="000000" w:themeColor="text1"/>
        </w:rPr>
        <w:t xml:space="preserve"> </w:t>
      </w:r>
      <w:r w:rsidRPr="00AC09ED">
        <w:rPr>
          <w:rFonts w:cs="Arial"/>
          <w:color w:val="000000" w:themeColor="text1"/>
        </w:rPr>
        <w:t>designated as utility type DVS</w:t>
      </w:r>
      <w:r w:rsidR="00852369">
        <w:rPr>
          <w:rFonts w:cs="Arial"/>
          <w:color w:val="000000" w:themeColor="text1"/>
        </w:rPr>
        <w:t xml:space="preserve">, as listed in </w:t>
      </w:r>
      <w:r w:rsidR="00C04D12">
        <w:rPr>
          <w:rFonts w:cs="Arial"/>
          <w:color w:val="000000" w:themeColor="text1"/>
        </w:rPr>
        <w:t>Appendix</w:t>
      </w:r>
      <w:r w:rsidR="00844EAF">
        <w:rPr>
          <w:rFonts w:cs="Arial"/>
          <w:color w:val="000000" w:themeColor="text1"/>
        </w:rPr>
        <w:t> </w:t>
      </w:r>
      <w:r w:rsidR="00852369">
        <w:rPr>
          <w:rFonts w:cs="Arial"/>
          <w:color w:val="000000" w:themeColor="text1"/>
        </w:rPr>
        <w:t>D</w:t>
      </w:r>
      <w:r w:rsidR="00C12E02">
        <w:rPr>
          <w:rFonts w:cs="Arial"/>
          <w:color w:val="000000" w:themeColor="text1"/>
        </w:rPr>
        <w:t>.</w:t>
      </w:r>
      <w:r w:rsidR="00A26F7A">
        <w:rPr>
          <w:rFonts w:cs="Arial"/>
          <w:color w:val="000000" w:themeColor="text1"/>
        </w:rPr>
        <w:t xml:space="preserve"> The second</w:t>
      </w:r>
      <w:r w:rsidR="00F375DC">
        <w:rPr>
          <w:rFonts w:cs="Arial"/>
          <w:color w:val="000000" w:themeColor="text1"/>
        </w:rPr>
        <w:t xml:space="preserve"> set </w:t>
      </w:r>
      <w:r w:rsidR="005956FF">
        <w:rPr>
          <w:rFonts w:cs="Arial"/>
          <w:color w:val="000000" w:themeColor="text1"/>
        </w:rPr>
        <w:t>consists of</w:t>
      </w:r>
      <w:r w:rsidR="00F375DC">
        <w:rPr>
          <w:rFonts w:cs="Arial"/>
          <w:color w:val="000000" w:themeColor="text1"/>
        </w:rPr>
        <w:t xml:space="preserve"> interconnected VoIP service providers granted </w:t>
      </w:r>
      <w:r w:rsidR="00465830">
        <w:rPr>
          <w:rFonts w:cs="Arial"/>
          <w:color w:val="000000" w:themeColor="text1"/>
        </w:rPr>
        <w:t>operating authority</w:t>
      </w:r>
      <w:r w:rsidR="00852369">
        <w:rPr>
          <w:rFonts w:cs="Arial"/>
          <w:color w:val="000000" w:themeColor="text1"/>
        </w:rPr>
        <w:t xml:space="preserve"> between </w:t>
      </w:r>
      <w:r w:rsidR="00B755F7">
        <w:rPr>
          <w:rFonts w:cs="Arial"/>
          <w:color w:val="000000" w:themeColor="text1"/>
        </w:rPr>
        <w:t>August</w:t>
      </w:r>
      <w:r w:rsidR="00852369">
        <w:rPr>
          <w:rFonts w:cs="Arial"/>
          <w:color w:val="000000" w:themeColor="text1"/>
        </w:rPr>
        <w:t xml:space="preserve"> 202</w:t>
      </w:r>
      <w:r w:rsidR="00B755F7">
        <w:rPr>
          <w:rFonts w:cs="Arial"/>
          <w:color w:val="000000" w:themeColor="text1"/>
        </w:rPr>
        <w:t>2</w:t>
      </w:r>
      <w:r w:rsidR="00852369">
        <w:rPr>
          <w:rFonts w:cs="Arial"/>
          <w:color w:val="000000" w:themeColor="text1"/>
        </w:rPr>
        <w:t xml:space="preserve"> and the present</w:t>
      </w:r>
      <w:r>
        <w:rPr>
          <w:rFonts w:cs="Arial"/>
          <w:color w:val="000000" w:themeColor="text1"/>
        </w:rPr>
        <w:t xml:space="preserve"> </w:t>
      </w:r>
      <w:r w:rsidRPr="00AC09ED">
        <w:rPr>
          <w:rFonts w:cs="Arial"/>
          <w:color w:val="000000" w:themeColor="text1"/>
        </w:rPr>
        <w:t>designated as utility type IER</w:t>
      </w:r>
      <w:r w:rsidR="00852369">
        <w:rPr>
          <w:rFonts w:cs="Arial"/>
          <w:color w:val="000000" w:themeColor="text1"/>
        </w:rPr>
        <w:t xml:space="preserve">, as listed in </w:t>
      </w:r>
      <w:r w:rsidR="00C04D12">
        <w:rPr>
          <w:rFonts w:cs="Arial"/>
          <w:color w:val="000000" w:themeColor="text1"/>
        </w:rPr>
        <w:t>Appendix</w:t>
      </w:r>
      <w:r w:rsidR="00844EAF">
        <w:rPr>
          <w:rFonts w:cs="Arial"/>
          <w:color w:val="000000" w:themeColor="text1"/>
        </w:rPr>
        <w:t> </w:t>
      </w:r>
      <w:r w:rsidR="00852369">
        <w:rPr>
          <w:rFonts w:cs="Arial"/>
          <w:color w:val="000000" w:themeColor="text1"/>
        </w:rPr>
        <w:t>E</w:t>
      </w:r>
      <w:r w:rsidR="00465830">
        <w:rPr>
          <w:rFonts w:cs="Arial"/>
          <w:color w:val="000000" w:themeColor="text1"/>
        </w:rPr>
        <w:t>.</w:t>
      </w:r>
      <w:r w:rsidR="004F3A1A">
        <w:rPr>
          <w:rFonts w:cs="Arial"/>
          <w:color w:val="000000" w:themeColor="text1"/>
        </w:rPr>
        <w:t xml:space="preserve"> </w:t>
      </w:r>
      <w:r w:rsidRPr="00AC09ED">
        <w:rPr>
          <w:rFonts w:cs="Arial"/>
          <w:color w:val="000000" w:themeColor="text1"/>
        </w:rPr>
        <w:t xml:space="preserve">The third set consists of interconnected VoIP service providers </w:t>
      </w:r>
      <w:r w:rsidRPr="00AC09ED">
        <w:rPr>
          <w:rFonts w:cs="Arial"/>
          <w:color w:val="000000" w:themeColor="text1"/>
        </w:rPr>
        <w:lastRenderedPageBreak/>
        <w:t xml:space="preserve">granted operating authority prior to August 2022 with any utility type designation. </w:t>
      </w:r>
      <w:r w:rsidR="00295113">
        <w:rPr>
          <w:rFonts w:cs="Arial"/>
          <w:color w:val="000000" w:themeColor="text1"/>
        </w:rPr>
        <w:t xml:space="preserve">Each </w:t>
      </w:r>
      <w:r w:rsidR="00852369">
        <w:rPr>
          <w:rFonts w:cs="Arial"/>
          <w:color w:val="000000" w:themeColor="text1"/>
        </w:rPr>
        <w:t xml:space="preserve">migration </w:t>
      </w:r>
      <w:r w:rsidR="00234DC7">
        <w:rPr>
          <w:rFonts w:cs="Arial"/>
          <w:color w:val="000000" w:themeColor="text1"/>
        </w:rPr>
        <w:t>group</w:t>
      </w:r>
      <w:r w:rsidR="000E6DE0">
        <w:rPr>
          <w:rFonts w:cs="Arial"/>
          <w:color w:val="000000" w:themeColor="text1"/>
        </w:rPr>
        <w:t xml:space="preserve"> is</w:t>
      </w:r>
      <w:r w:rsidR="00295113">
        <w:rPr>
          <w:rFonts w:cs="Arial"/>
          <w:color w:val="000000" w:themeColor="text1"/>
        </w:rPr>
        <w:t xml:space="preserve"> discussed more fully below.</w:t>
      </w:r>
    </w:p>
    <w:p w:rsidRPr="00651F81" w:rsidR="00651F81" w:rsidP="000A2CD0" w:rsidRDefault="00E26368" w14:paraId="6A970F0D" w14:textId="41524EFF">
      <w:pPr>
        <w:pStyle w:val="Heading2"/>
      </w:pPr>
      <w:bookmarkStart w:name="_Toc176770949" w:id="103"/>
      <w:bookmarkStart w:name="_Toc177021147" w:id="104"/>
      <w:bookmarkStart w:name="_Toc181692896" w:id="105"/>
      <w:r>
        <w:t xml:space="preserve">Migration for </w:t>
      </w:r>
      <w:r w:rsidR="009A134C">
        <w:t xml:space="preserve">Providers </w:t>
      </w:r>
      <w:r w:rsidDel="00E26368" w:rsidR="00DA715F">
        <w:t xml:space="preserve">Already Registered </w:t>
      </w:r>
      <w:r w:rsidR="001F7388">
        <w:t xml:space="preserve">as </w:t>
      </w:r>
      <w:r w:rsidR="0033191D">
        <w:t>Section </w:t>
      </w:r>
      <w:r w:rsidR="002141DB">
        <w:t xml:space="preserve">285 </w:t>
      </w:r>
      <w:r w:rsidR="00A43960">
        <w:t xml:space="preserve">Service </w:t>
      </w:r>
      <w:r w:rsidR="0071308B">
        <w:t>Providers</w:t>
      </w:r>
      <w:bookmarkEnd w:id="103"/>
      <w:bookmarkEnd w:id="104"/>
      <w:bookmarkEnd w:id="105"/>
    </w:p>
    <w:p w:rsidR="00A96B31" w:rsidP="000A2CD0" w:rsidRDefault="00DA715F" w14:paraId="1AF2AB4B" w14:textId="228FA29E">
      <w:pPr>
        <w:pStyle w:val="Heading3"/>
      </w:pPr>
      <w:bookmarkStart w:name="_Toc176770950" w:id="106"/>
      <w:bookmarkStart w:name="_Toc177021148" w:id="107"/>
      <w:bookmarkStart w:name="_Toc181692897" w:id="108"/>
      <w:r>
        <w:t xml:space="preserve">Automatic </w:t>
      </w:r>
      <w:r w:rsidR="00251890">
        <w:t>Migration</w:t>
      </w:r>
      <w:r>
        <w:t xml:space="preserve"> </w:t>
      </w:r>
      <w:r w:rsidRPr="003B1950" w:rsidR="003B1950">
        <w:t>from Digital Voice Service to Digital Voice Fixed Status</w:t>
      </w:r>
      <w:bookmarkEnd w:id="106"/>
      <w:bookmarkEnd w:id="107"/>
      <w:bookmarkEnd w:id="108"/>
    </w:p>
    <w:p w:rsidR="00356D17" w:rsidP="00356D17" w:rsidRDefault="00A45429" w14:paraId="7418C7CA" w14:textId="6447FF55">
      <w:pPr>
        <w:pStyle w:val="Standard"/>
        <w:rPr>
          <w:color w:val="000000" w:themeColor="text1"/>
        </w:rPr>
      </w:pPr>
      <w:r>
        <w:t xml:space="preserve">This decision </w:t>
      </w:r>
      <w:r w:rsidR="29B205FD">
        <w:t>migrates</w:t>
      </w:r>
      <w:r>
        <w:t xml:space="preserve"> existing </w:t>
      </w:r>
      <w:r w:rsidR="009876EA">
        <w:rPr>
          <w:rFonts w:cs="Arial"/>
          <w:color w:val="000000" w:themeColor="text1"/>
        </w:rPr>
        <w:t xml:space="preserve">interconnected VoIP providers already registered through the prior </w:t>
      </w:r>
      <w:r w:rsidR="0033191D">
        <w:t>Section </w:t>
      </w:r>
      <w:r w:rsidR="009876EA">
        <w:t xml:space="preserve">285 process </w:t>
      </w:r>
      <w:r w:rsidR="00E10688">
        <w:t xml:space="preserve">and listed in </w:t>
      </w:r>
      <w:r w:rsidR="00C04D12">
        <w:t>Appendix </w:t>
      </w:r>
      <w:r w:rsidR="00E10688">
        <w:t>D</w:t>
      </w:r>
      <w:r w:rsidRPr="5E139514" w:rsidR="009876EA">
        <w:rPr>
          <w:rFonts w:cs="Arial"/>
          <w:color w:val="000000" w:themeColor="text1"/>
        </w:rPr>
        <w:t xml:space="preserve"> </w:t>
      </w:r>
      <w:r>
        <w:t>to the new regulatory framework adopted in this decision</w:t>
      </w:r>
      <w:r w:rsidRPr="000C63FB">
        <w:t>.</w:t>
      </w:r>
      <w:r w:rsidR="00CD0E2A">
        <w:t xml:space="preserve"> </w:t>
      </w:r>
      <w:r w:rsidR="009876EA">
        <w:t xml:space="preserve">These </w:t>
      </w:r>
      <w:r w:rsidR="00F46899">
        <w:t xml:space="preserve">providers </w:t>
      </w:r>
      <w:r>
        <w:t>are automatically granted operating authority</w:t>
      </w:r>
      <w:r w:rsidR="0006684E">
        <w:t xml:space="preserve"> as </w:t>
      </w:r>
      <w:r w:rsidR="00826333">
        <w:t>non</w:t>
      </w:r>
      <w:r w:rsidR="006951D5">
        <w:noBreakHyphen/>
      </w:r>
      <w:r w:rsidR="00826333">
        <w:t>facilities</w:t>
      </w:r>
      <w:r w:rsidR="006951D5">
        <w:noBreakHyphen/>
      </w:r>
      <w:r w:rsidR="00826333">
        <w:t>based</w:t>
      </w:r>
      <w:r w:rsidR="006C1701">
        <w:t xml:space="preserve"> providers</w:t>
      </w:r>
      <w:r>
        <w:t xml:space="preserve">, effective 45 calendar days from the </w:t>
      </w:r>
      <w:r w:rsidR="00D46086">
        <w:t xml:space="preserve">issuance </w:t>
      </w:r>
      <w:r>
        <w:t xml:space="preserve">date of this decision. Each </w:t>
      </w:r>
      <w:r w:rsidR="005A5BF0">
        <w:t>migrated</w:t>
      </w:r>
      <w:r w:rsidRPr="00D10C46">
        <w:t xml:space="preserve"> </w:t>
      </w:r>
      <w:r>
        <w:t xml:space="preserve">provider will maintain its existing </w:t>
      </w:r>
      <w:r w:rsidR="00F93F90">
        <w:t>Utility ID Number</w:t>
      </w:r>
      <w:r>
        <w:t xml:space="preserve"> and its assigned utility type will change from DVS to </w:t>
      </w:r>
      <w:r w:rsidRPr="001E2BB0">
        <w:rPr>
          <w:rFonts w:eastAsiaTheme="minorEastAsia"/>
        </w:rPr>
        <w:t>DVF.</w:t>
      </w:r>
      <w:r w:rsidR="00820413">
        <w:rPr>
          <w:rStyle w:val="FootnoteReference"/>
          <w:rFonts w:eastAsiaTheme="minorEastAsia"/>
        </w:rPr>
        <w:footnoteReference w:id="144"/>
      </w:r>
      <w:r w:rsidR="00CD0E2A">
        <w:rPr>
          <w:rFonts w:eastAsiaTheme="minorEastAsia"/>
        </w:rPr>
        <w:t xml:space="preserve"> </w:t>
      </w:r>
      <w:r w:rsidR="0060532E">
        <w:rPr>
          <w:rFonts w:eastAsiaTheme="minorEastAsia"/>
        </w:rPr>
        <w:t>This migration process includes a 45</w:t>
      </w:r>
      <w:r w:rsidR="006951D5">
        <w:rPr>
          <w:rFonts w:eastAsiaTheme="minorEastAsia"/>
        </w:rPr>
        <w:noBreakHyphen/>
      </w:r>
      <w:r w:rsidR="003216C4">
        <w:rPr>
          <w:rFonts w:eastAsiaTheme="minorEastAsia"/>
        </w:rPr>
        <w:t xml:space="preserve">calendar </w:t>
      </w:r>
      <w:r w:rsidR="0060532E">
        <w:rPr>
          <w:rFonts w:eastAsiaTheme="minorEastAsia"/>
        </w:rPr>
        <w:t>day opt</w:t>
      </w:r>
      <w:r w:rsidR="006951D5">
        <w:rPr>
          <w:rFonts w:eastAsiaTheme="minorEastAsia"/>
        </w:rPr>
        <w:noBreakHyphen/>
      </w:r>
      <w:r w:rsidR="0060532E">
        <w:rPr>
          <w:rFonts w:eastAsiaTheme="minorEastAsia"/>
        </w:rPr>
        <w:t>out period for those providers</w:t>
      </w:r>
      <w:r w:rsidR="00175BDE">
        <w:rPr>
          <w:rFonts w:eastAsiaTheme="minorEastAsia"/>
        </w:rPr>
        <w:t>.</w:t>
      </w:r>
      <w:r w:rsidR="00CD0E2A">
        <w:rPr>
          <w:rFonts w:eastAsiaTheme="minorEastAsia"/>
        </w:rPr>
        <w:t xml:space="preserve"> </w:t>
      </w:r>
      <w:r w:rsidRPr="001E2BB0">
        <w:rPr>
          <w:rFonts w:eastAsiaTheme="minorEastAsia"/>
        </w:rPr>
        <w:t>After the expiration of the 45</w:t>
      </w:r>
      <w:r w:rsidR="00844EAF">
        <w:rPr>
          <w:rFonts w:eastAsiaTheme="minorEastAsia"/>
        </w:rPr>
        <w:noBreakHyphen/>
      </w:r>
      <w:r>
        <w:rPr>
          <w:rFonts w:eastAsiaTheme="minorEastAsia"/>
        </w:rPr>
        <w:t xml:space="preserve">calendar </w:t>
      </w:r>
      <w:r w:rsidRPr="001E2BB0">
        <w:rPr>
          <w:rFonts w:eastAsiaTheme="minorEastAsia"/>
        </w:rPr>
        <w:t>day opt</w:t>
      </w:r>
      <w:r w:rsidR="006951D5">
        <w:rPr>
          <w:rFonts w:eastAsiaTheme="minorEastAsia"/>
        </w:rPr>
        <w:noBreakHyphen/>
      </w:r>
      <w:r w:rsidRPr="001E2BB0">
        <w:rPr>
          <w:rFonts w:eastAsiaTheme="minorEastAsia"/>
        </w:rPr>
        <w:t>out period</w:t>
      </w:r>
      <w:r w:rsidRPr="113C34D4">
        <w:rPr>
          <w:rFonts w:eastAsiaTheme="minorEastAsia"/>
        </w:rPr>
        <w:t>,</w:t>
      </w:r>
      <w:r w:rsidRPr="001E2BB0">
        <w:rPr>
          <w:rFonts w:eastAsiaTheme="minorEastAsia"/>
        </w:rPr>
        <w:t xml:space="preserve"> C</w:t>
      </w:r>
      <w:r>
        <w:rPr>
          <w:rFonts w:eastAsiaTheme="minorEastAsia"/>
        </w:rPr>
        <w:t xml:space="preserve">ommunications Division </w:t>
      </w:r>
      <w:r w:rsidR="00130141">
        <w:rPr>
          <w:rFonts w:eastAsiaTheme="minorEastAsia"/>
        </w:rPr>
        <w:t>s</w:t>
      </w:r>
      <w:r>
        <w:rPr>
          <w:rFonts w:eastAsiaTheme="minorEastAsia"/>
        </w:rPr>
        <w:t>taff</w:t>
      </w:r>
      <w:r w:rsidRPr="001E2BB0">
        <w:rPr>
          <w:rFonts w:eastAsiaTheme="minorEastAsia"/>
        </w:rPr>
        <w:t xml:space="preserve"> will update </w:t>
      </w:r>
      <w:r>
        <w:rPr>
          <w:rFonts w:eastAsiaTheme="minorEastAsia"/>
        </w:rPr>
        <w:t xml:space="preserve">Commission </w:t>
      </w:r>
      <w:r w:rsidRPr="001E2BB0">
        <w:rPr>
          <w:rFonts w:eastAsiaTheme="minorEastAsia"/>
        </w:rPr>
        <w:t>records</w:t>
      </w:r>
      <w:r w:rsidR="00FF3DDF">
        <w:rPr>
          <w:rFonts w:eastAsiaTheme="minorEastAsia"/>
        </w:rPr>
        <w:t xml:space="preserve"> </w:t>
      </w:r>
      <w:r w:rsidR="00302F63">
        <w:rPr>
          <w:rFonts w:eastAsiaTheme="minorEastAsia"/>
        </w:rPr>
        <w:t>in accordance with the</w:t>
      </w:r>
      <w:r w:rsidR="006D02B6">
        <w:rPr>
          <w:rFonts w:eastAsiaTheme="minorEastAsia"/>
        </w:rPr>
        <w:t xml:space="preserve"> two new interconnected VoIP </w:t>
      </w:r>
      <w:r w:rsidR="00FE7533">
        <w:rPr>
          <w:rFonts w:eastAsiaTheme="minorEastAsia"/>
        </w:rPr>
        <w:t xml:space="preserve">service </w:t>
      </w:r>
      <w:r w:rsidR="006D02B6">
        <w:rPr>
          <w:rFonts w:eastAsiaTheme="minorEastAsia"/>
        </w:rPr>
        <w:t xml:space="preserve">utility types </w:t>
      </w:r>
      <w:r w:rsidR="00E1607D">
        <w:rPr>
          <w:rFonts w:eastAsiaTheme="minorEastAsia"/>
        </w:rPr>
        <w:t>set forth in this decision</w:t>
      </w:r>
      <w:r w:rsidRPr="113C34D4">
        <w:rPr>
          <w:rFonts w:eastAsiaTheme="minorEastAsia"/>
        </w:rPr>
        <w:t xml:space="preserve">. </w:t>
      </w:r>
      <w:r w:rsidRPr="5E139514">
        <w:rPr>
          <w:rFonts w:cs="Arial"/>
          <w:color w:val="000000" w:themeColor="text1"/>
        </w:rPr>
        <w:t xml:space="preserve">No additional information will be requested from these </w:t>
      </w:r>
      <w:r>
        <w:rPr>
          <w:rFonts w:cs="Arial"/>
          <w:color w:val="000000" w:themeColor="text1"/>
        </w:rPr>
        <w:t>providers</w:t>
      </w:r>
      <w:r w:rsidRPr="5E139514">
        <w:rPr>
          <w:rFonts w:cs="Arial"/>
          <w:color w:val="000000" w:themeColor="text1"/>
        </w:rPr>
        <w:t xml:space="preserve"> </w:t>
      </w:r>
      <w:r>
        <w:rPr>
          <w:rFonts w:cs="Arial"/>
          <w:color w:val="000000" w:themeColor="text1"/>
        </w:rPr>
        <w:t>unless</w:t>
      </w:r>
      <w:r w:rsidRPr="5E139514">
        <w:rPr>
          <w:rFonts w:cs="Arial"/>
          <w:color w:val="000000" w:themeColor="text1"/>
        </w:rPr>
        <w:t xml:space="preserve"> </w:t>
      </w:r>
      <w:r>
        <w:rPr>
          <w:rFonts w:cs="Arial"/>
          <w:color w:val="000000" w:themeColor="text1"/>
        </w:rPr>
        <w:t>they voluntarily take the action to opt</w:t>
      </w:r>
      <w:r w:rsidR="006951D5">
        <w:rPr>
          <w:rFonts w:cs="Arial"/>
          <w:color w:val="000000" w:themeColor="text1"/>
        </w:rPr>
        <w:noBreakHyphen/>
      </w:r>
      <w:r>
        <w:rPr>
          <w:rFonts w:cs="Arial"/>
          <w:color w:val="000000" w:themeColor="text1"/>
        </w:rPr>
        <w:t>out</w:t>
      </w:r>
      <w:r w:rsidR="00B365BF">
        <w:rPr>
          <w:rFonts w:cs="Arial"/>
          <w:color w:val="000000" w:themeColor="text1"/>
        </w:rPr>
        <w:t xml:space="preserve"> as described below</w:t>
      </w:r>
      <w:r>
        <w:rPr>
          <w:rFonts w:cs="Arial"/>
          <w:color w:val="000000" w:themeColor="text1"/>
        </w:rPr>
        <w:t xml:space="preserve">. </w:t>
      </w:r>
      <w:r w:rsidRPr="113C34D4">
        <w:rPr>
          <w:rFonts w:eastAsiaTheme="minorEastAsia"/>
        </w:rPr>
        <w:t xml:space="preserve">This will </w:t>
      </w:r>
      <w:r w:rsidRPr="001E2BB0">
        <w:rPr>
          <w:rFonts w:eastAsiaTheme="minorEastAsia"/>
        </w:rPr>
        <w:t xml:space="preserve">complete the </w:t>
      </w:r>
      <w:r w:rsidR="00BF6655">
        <w:rPr>
          <w:rFonts w:eastAsiaTheme="minorEastAsia"/>
        </w:rPr>
        <w:t>migration</w:t>
      </w:r>
      <w:r w:rsidRPr="001E2BB0">
        <w:rPr>
          <w:rFonts w:eastAsiaTheme="minorEastAsia"/>
        </w:rPr>
        <w:t xml:space="preserve"> process. </w:t>
      </w:r>
      <w:r w:rsidR="00E10688">
        <w:rPr>
          <w:rFonts w:cs="Arial"/>
          <w:color w:val="000000" w:themeColor="text1"/>
        </w:rPr>
        <w:t>Providers wishing to</w:t>
      </w:r>
      <w:r w:rsidRPr="00BA0BA3" w:rsidR="004B1B30">
        <w:rPr>
          <w:rFonts w:cs="Arial"/>
          <w:color w:val="000000" w:themeColor="text1"/>
        </w:rPr>
        <w:t xml:space="preserve"> confirm their updated status </w:t>
      </w:r>
      <w:r w:rsidR="008129E4">
        <w:rPr>
          <w:rFonts w:cs="Arial"/>
          <w:color w:val="000000" w:themeColor="text1"/>
        </w:rPr>
        <w:t>may do so by reviewing their record on the</w:t>
      </w:r>
      <w:r w:rsidRPr="00BA0BA3" w:rsidR="004B1B30">
        <w:rPr>
          <w:rFonts w:cs="Arial"/>
          <w:color w:val="000000" w:themeColor="text1"/>
        </w:rPr>
        <w:t xml:space="preserve"> C</w:t>
      </w:r>
      <w:r w:rsidRPr="00527E45" w:rsidR="004B1B30">
        <w:rPr>
          <w:color w:val="000000" w:themeColor="text1"/>
        </w:rPr>
        <w:t>ommission</w:t>
      </w:r>
      <w:r w:rsidR="00893D67">
        <w:rPr>
          <w:color w:val="000000" w:themeColor="text1"/>
        </w:rPr>
        <w:t>’</w:t>
      </w:r>
      <w:r w:rsidRPr="00527E45" w:rsidR="004B1B30">
        <w:rPr>
          <w:color w:val="000000" w:themeColor="text1"/>
        </w:rPr>
        <w:t xml:space="preserve">s </w:t>
      </w:r>
      <w:r w:rsidRPr="00155BBB" w:rsidR="004B1B30">
        <w:t xml:space="preserve">Utility Contact System </w:t>
      </w:r>
      <w:r w:rsidRPr="00BA0BA3" w:rsidR="004B1B30">
        <w:t>Search webpage</w:t>
      </w:r>
      <w:r w:rsidR="004B1B30">
        <w:t>.</w:t>
      </w:r>
      <w:r w:rsidR="004B1B30">
        <w:rPr>
          <w:rStyle w:val="FootnoteReference"/>
        </w:rPr>
        <w:footnoteReference w:id="145"/>
      </w:r>
    </w:p>
    <w:p w:rsidR="00DA715F" w:rsidP="000A2CD0" w:rsidRDefault="00DA715F" w14:paraId="7A8F7143" w14:textId="6FC30162">
      <w:pPr>
        <w:pStyle w:val="Heading3"/>
      </w:pPr>
      <w:bookmarkStart w:name="_Toc176770951" w:id="110"/>
      <w:bookmarkStart w:name="_Toc177021149" w:id="111"/>
      <w:bookmarkStart w:name="_Toc181692898" w:id="112"/>
      <w:r>
        <w:lastRenderedPageBreak/>
        <w:t>Opt</w:t>
      </w:r>
      <w:r w:rsidR="006951D5">
        <w:noBreakHyphen/>
      </w:r>
      <w:r>
        <w:t xml:space="preserve">Out </w:t>
      </w:r>
      <w:r w:rsidR="00610712">
        <w:t>from Automatic</w:t>
      </w:r>
      <w:r w:rsidR="00F1118C">
        <w:br/>
      </w:r>
      <w:r w:rsidR="00610712">
        <w:t xml:space="preserve">Migration </w:t>
      </w:r>
      <w:r>
        <w:t>Options</w:t>
      </w:r>
      <w:bookmarkEnd w:id="110"/>
      <w:bookmarkEnd w:id="111"/>
      <w:bookmarkEnd w:id="112"/>
    </w:p>
    <w:p w:rsidR="001C429D" w:rsidP="001C429D" w:rsidRDefault="009D7E1D" w14:paraId="5AD1448B" w14:textId="7148FB95">
      <w:pPr>
        <w:pStyle w:val="Standard"/>
      </w:pPr>
      <w:r>
        <w:t>To avoid automatic migration</w:t>
      </w:r>
      <w:r w:rsidR="00B75BD9">
        <w:t xml:space="preserve"> to DVF </w:t>
      </w:r>
      <w:r w:rsidR="00350160">
        <w:t>status</w:t>
      </w:r>
      <w:r>
        <w:t xml:space="preserve">, </w:t>
      </w:r>
      <w:r w:rsidDel="00B943C4" w:rsidR="00AE097E">
        <w:t>e</w:t>
      </w:r>
      <w:r w:rsidDel="00B943C4" w:rsidR="003A1B46">
        <w:t xml:space="preserve">xisting </w:t>
      </w:r>
      <w:r w:rsidDel="00B943C4" w:rsidR="003A1B46">
        <w:rPr>
          <w:rFonts w:cs="Arial"/>
          <w:color w:val="000000" w:themeColor="text1"/>
        </w:rPr>
        <w:t xml:space="preserve">interconnected VoIP </w:t>
      </w:r>
      <w:r w:rsidDel="00B943C4" w:rsidR="00D52F3D">
        <w:rPr>
          <w:rFonts w:cs="Arial"/>
          <w:color w:val="000000" w:themeColor="text1"/>
        </w:rPr>
        <w:t xml:space="preserve">service </w:t>
      </w:r>
      <w:r w:rsidDel="00B943C4" w:rsidR="003A1B46">
        <w:rPr>
          <w:rFonts w:cs="Arial"/>
          <w:color w:val="000000" w:themeColor="text1"/>
        </w:rPr>
        <w:t>providers</w:t>
      </w:r>
      <w:r w:rsidR="0072144D">
        <w:rPr>
          <w:rFonts w:cs="Arial"/>
          <w:color w:val="000000" w:themeColor="text1"/>
        </w:rPr>
        <w:t xml:space="preserve"> with 285 registrations</w:t>
      </w:r>
      <w:r w:rsidDel="00B943C4" w:rsidR="003A1B46">
        <w:rPr>
          <w:rFonts w:cs="Arial"/>
          <w:color w:val="000000" w:themeColor="text1"/>
        </w:rPr>
        <w:t xml:space="preserve"> </w:t>
      </w:r>
      <w:r w:rsidR="003A1B46">
        <w:t xml:space="preserve">must opt out </w:t>
      </w:r>
      <w:r w:rsidR="003A37D6">
        <w:t>with</w:t>
      </w:r>
      <w:r w:rsidR="007C4A79">
        <w:t>in</w:t>
      </w:r>
      <w:r w:rsidR="003A37D6">
        <w:t xml:space="preserve"> 45 calendar days of the issuance of this d</w:t>
      </w:r>
      <w:r w:rsidR="005E5D22">
        <w:t>ecision</w:t>
      </w:r>
      <w:r w:rsidR="007C4A79">
        <w:t>,</w:t>
      </w:r>
      <w:r w:rsidR="005E5D22">
        <w:t xml:space="preserve"> </w:t>
      </w:r>
      <w:r w:rsidR="003A1B46">
        <w:t>if they</w:t>
      </w:r>
      <w:r w:rsidR="001B1471">
        <w:t xml:space="preserve"> either</w:t>
      </w:r>
      <w:r w:rsidR="003A1B46">
        <w:t xml:space="preserve"> </w:t>
      </w:r>
      <w:r w:rsidR="00F1118C">
        <w:t>(</w:t>
      </w:r>
      <w:r w:rsidR="003A1B46">
        <w:t>1)</w:t>
      </w:r>
      <w:r w:rsidR="00F1118C">
        <w:t> </w:t>
      </w:r>
      <w:r w:rsidR="003A1B46">
        <w:t>qualify as a nomadic</w:t>
      </w:r>
      <w:r w:rsidR="006951D5">
        <w:noBreakHyphen/>
      </w:r>
      <w:r w:rsidR="003A37D6">
        <w:t>only</w:t>
      </w:r>
      <w:r w:rsidR="003A1B46">
        <w:t xml:space="preserve"> interconnected VoIP </w:t>
      </w:r>
      <w:r w:rsidR="0090002E">
        <w:t>service provider</w:t>
      </w:r>
      <w:r w:rsidR="003A1B46">
        <w:t xml:space="preserve">, or </w:t>
      </w:r>
      <w:r w:rsidR="00F1118C">
        <w:t>(</w:t>
      </w:r>
      <w:r w:rsidR="003A1B46">
        <w:t>2)</w:t>
      </w:r>
      <w:r w:rsidR="00F1118C">
        <w:t> </w:t>
      </w:r>
      <w:r w:rsidR="003A1B46">
        <w:t>no longer plan to operate in California.</w:t>
      </w:r>
    </w:p>
    <w:p w:rsidR="001C429D" w:rsidP="000A2CD0" w:rsidRDefault="001C429D" w14:paraId="5D77A90D" w14:textId="0F5CBB78">
      <w:pPr>
        <w:pStyle w:val="Heading4"/>
      </w:pPr>
      <w:bookmarkStart w:name="_Toc176770952" w:id="113"/>
      <w:bookmarkStart w:name="_Toc177021150" w:id="114"/>
      <w:bookmarkStart w:name="_Toc181692899" w:id="115"/>
      <w:r>
        <w:t>Opt</w:t>
      </w:r>
      <w:r w:rsidR="006951D5">
        <w:noBreakHyphen/>
      </w:r>
      <w:r>
        <w:t xml:space="preserve">Out </w:t>
      </w:r>
      <w:r w:rsidR="006608C3">
        <w:t xml:space="preserve">for </w:t>
      </w:r>
      <w:r w:rsidR="0033191D">
        <w:t>Section </w:t>
      </w:r>
      <w:r w:rsidR="005A1C9F">
        <w:t>285</w:t>
      </w:r>
      <w:r w:rsidR="00D64514">
        <w:br/>
      </w:r>
      <w:r w:rsidR="00AA1D76">
        <w:t>Nomadic</w:t>
      </w:r>
      <w:r w:rsidR="006951D5">
        <w:noBreakHyphen/>
      </w:r>
      <w:r w:rsidR="00512EC2">
        <w:t>Only</w:t>
      </w:r>
      <w:r w:rsidR="00AA1D76">
        <w:t xml:space="preserve"> Interconnected</w:t>
      </w:r>
      <w:r w:rsidR="00D64514">
        <w:br/>
      </w:r>
      <w:r w:rsidRPr="19E6B670" w:rsidR="009D389C">
        <w:t>Voice Over Internet Protocol</w:t>
      </w:r>
      <w:r w:rsidR="00D64514">
        <w:br/>
      </w:r>
      <w:r w:rsidR="00AA1D76">
        <w:t>Service Providers</w:t>
      </w:r>
      <w:bookmarkEnd w:id="113"/>
      <w:bookmarkEnd w:id="114"/>
      <w:bookmarkEnd w:id="115"/>
    </w:p>
    <w:p w:rsidRPr="00D10C46" w:rsidR="007C374B" w:rsidP="007C374B" w:rsidRDefault="1531D6B1" w14:paraId="00F95EE3" w14:textId="79DCF66A">
      <w:pPr>
        <w:pStyle w:val="Standard"/>
        <w:rPr>
          <w:rFonts w:cs="Arial"/>
          <w:color w:val="000000" w:themeColor="text1"/>
        </w:rPr>
      </w:pPr>
      <w:r w:rsidRPr="0A305C42">
        <w:rPr>
          <w:rFonts w:cs="Arial"/>
          <w:color w:val="000000" w:themeColor="text1"/>
        </w:rPr>
        <w:t xml:space="preserve">A </w:t>
      </w:r>
      <w:r w:rsidR="00CA2425">
        <w:rPr>
          <w:rFonts w:cs="Arial"/>
          <w:color w:val="000000" w:themeColor="text1"/>
        </w:rPr>
        <w:t>nomadic</w:t>
      </w:r>
      <w:r w:rsidR="006951D5">
        <w:rPr>
          <w:rFonts w:cs="Arial"/>
          <w:color w:val="000000" w:themeColor="text1"/>
        </w:rPr>
        <w:noBreakHyphen/>
      </w:r>
      <w:r w:rsidR="00F22B9E">
        <w:rPr>
          <w:rFonts w:cs="Arial"/>
          <w:color w:val="000000" w:themeColor="text1"/>
        </w:rPr>
        <w:t>only</w:t>
      </w:r>
      <w:r w:rsidR="00CA2425">
        <w:rPr>
          <w:rFonts w:cs="Arial"/>
          <w:color w:val="000000" w:themeColor="text1"/>
        </w:rPr>
        <w:t xml:space="preserve"> interconnected</w:t>
      </w:r>
      <w:r w:rsidR="00180B79">
        <w:rPr>
          <w:rFonts w:cs="Arial"/>
          <w:color w:val="000000" w:themeColor="text1"/>
        </w:rPr>
        <w:t xml:space="preserve"> VoIP </w:t>
      </w:r>
      <w:r w:rsidR="00B13A9F">
        <w:rPr>
          <w:rFonts w:cs="Arial"/>
          <w:color w:val="000000" w:themeColor="text1"/>
        </w:rPr>
        <w:t xml:space="preserve">service provider </w:t>
      </w:r>
      <w:r w:rsidRPr="0A305C42" w:rsidR="007C374B">
        <w:rPr>
          <w:rFonts w:cs="Arial"/>
          <w:color w:val="000000" w:themeColor="text1"/>
        </w:rPr>
        <w:t xml:space="preserve">must attest in writing to the Commission that it </w:t>
      </w:r>
      <w:r w:rsidR="00F22B9E">
        <w:rPr>
          <w:rFonts w:cs="Arial"/>
          <w:color w:val="000000" w:themeColor="text1"/>
        </w:rPr>
        <w:t>qualifies for nomadic</w:t>
      </w:r>
      <w:r w:rsidR="006951D5">
        <w:rPr>
          <w:rFonts w:cs="Arial"/>
          <w:color w:val="000000" w:themeColor="text1"/>
        </w:rPr>
        <w:noBreakHyphen/>
      </w:r>
      <w:r w:rsidR="00F22B9E">
        <w:rPr>
          <w:rFonts w:cs="Arial"/>
          <w:color w:val="000000" w:themeColor="text1"/>
        </w:rPr>
        <w:t>only status</w:t>
      </w:r>
      <w:r w:rsidRPr="00B13A9F" w:rsidR="007C374B">
        <w:rPr>
          <w:rFonts w:cs="Arial"/>
          <w:iCs/>
          <w:color w:val="000000" w:themeColor="text1"/>
        </w:rPr>
        <w:t>.</w:t>
      </w:r>
      <w:r w:rsidR="0072144D">
        <w:rPr>
          <w:rStyle w:val="FootnoteReference"/>
          <w:rFonts w:cs="Arial"/>
          <w:iCs/>
          <w:color w:val="000000" w:themeColor="text1"/>
        </w:rPr>
        <w:footnoteReference w:id="146"/>
      </w:r>
      <w:r w:rsidRPr="0A305C42" w:rsidR="009E4E28">
        <w:rPr>
          <w:rFonts w:cs="Arial"/>
          <w:color w:val="000000" w:themeColor="text1"/>
        </w:rPr>
        <w:t xml:space="preserve"> </w:t>
      </w:r>
      <w:r w:rsidRPr="0A305C42" w:rsidR="007C374B">
        <w:rPr>
          <w:rFonts w:cs="Arial"/>
          <w:color w:val="000000" w:themeColor="text1"/>
        </w:rPr>
        <w:t>The attestation must include the provider</w:t>
      </w:r>
      <w:r w:rsidR="00893D67">
        <w:rPr>
          <w:rFonts w:cs="Arial"/>
          <w:color w:val="000000" w:themeColor="text1"/>
        </w:rPr>
        <w:t>’</w:t>
      </w:r>
      <w:r w:rsidRPr="0A305C42" w:rsidR="007C374B">
        <w:rPr>
          <w:rFonts w:cs="Arial"/>
          <w:color w:val="000000" w:themeColor="text1"/>
        </w:rPr>
        <w:t xml:space="preserve">s legal name as registered with the Commission and its assigned </w:t>
      </w:r>
      <w:r w:rsidR="00F93F90">
        <w:rPr>
          <w:rFonts w:cs="Arial"/>
          <w:color w:val="000000" w:themeColor="text1"/>
        </w:rPr>
        <w:t>Utility ID Number</w:t>
      </w:r>
      <w:r w:rsidRPr="0A305C42" w:rsidR="007C374B">
        <w:rPr>
          <w:rFonts w:cs="Arial"/>
          <w:color w:val="000000" w:themeColor="text1"/>
        </w:rPr>
        <w:t xml:space="preserve">. The attestation must be signed under penalty </w:t>
      </w:r>
      <w:r w:rsidRPr="0A305C42" w:rsidR="009E4E28">
        <w:rPr>
          <w:rFonts w:cs="Arial"/>
          <w:color w:val="000000" w:themeColor="text1"/>
        </w:rPr>
        <w:t>of</w:t>
      </w:r>
      <w:r w:rsidRPr="0A305C42" w:rsidR="007C374B">
        <w:rPr>
          <w:rFonts w:cs="Arial"/>
          <w:color w:val="000000" w:themeColor="text1"/>
        </w:rPr>
        <w:t xml:space="preserve"> perjury by an officer of the company. This information must be submitted to the Director of </w:t>
      </w:r>
      <w:r w:rsidR="000E551F">
        <w:rPr>
          <w:rFonts w:cs="Arial"/>
          <w:color w:val="000000" w:themeColor="text1"/>
        </w:rPr>
        <w:t xml:space="preserve">the </w:t>
      </w:r>
      <w:r w:rsidR="00F64385">
        <w:rPr>
          <w:rFonts w:cs="Arial"/>
          <w:color w:val="000000" w:themeColor="text1"/>
        </w:rPr>
        <w:t>Communications Division</w:t>
      </w:r>
      <w:r w:rsidRPr="0A305C42" w:rsidR="007C374B">
        <w:rPr>
          <w:rFonts w:cs="Arial"/>
          <w:color w:val="000000" w:themeColor="text1"/>
        </w:rPr>
        <w:t xml:space="preserve"> via email to </w:t>
      </w:r>
      <w:hyperlink r:id="rId16">
        <w:r w:rsidRPr="0A305C42" w:rsidR="007C374B">
          <w:rPr>
            <w:rStyle w:val="Hyperlink"/>
            <w:rFonts w:cs="Arial"/>
          </w:rPr>
          <w:t>CDCompliance@cpuc.ca.gov</w:t>
        </w:r>
      </w:hyperlink>
      <w:r w:rsidRPr="0A305C42" w:rsidR="007C374B">
        <w:rPr>
          <w:rFonts w:cs="Arial"/>
          <w:color w:val="000000" w:themeColor="text1"/>
        </w:rPr>
        <w:t xml:space="preserve"> within 45 calendar days of </w:t>
      </w:r>
      <w:r w:rsidR="001C4FF2">
        <w:rPr>
          <w:rFonts w:cs="Arial"/>
          <w:color w:val="000000" w:themeColor="text1"/>
        </w:rPr>
        <w:t>this decision</w:t>
      </w:r>
      <w:r w:rsidR="00893D67">
        <w:rPr>
          <w:rFonts w:cs="Arial"/>
          <w:color w:val="000000" w:themeColor="text1"/>
        </w:rPr>
        <w:t>’</w:t>
      </w:r>
      <w:r w:rsidR="001C4FF2">
        <w:rPr>
          <w:rFonts w:cs="Arial"/>
          <w:color w:val="000000" w:themeColor="text1"/>
        </w:rPr>
        <w:t xml:space="preserve">s </w:t>
      </w:r>
      <w:r w:rsidR="00B13A9F">
        <w:rPr>
          <w:rFonts w:cs="Arial"/>
          <w:color w:val="000000" w:themeColor="text1"/>
        </w:rPr>
        <w:t>i</w:t>
      </w:r>
      <w:r w:rsidR="00E74C6A">
        <w:rPr>
          <w:rFonts w:cs="Arial"/>
          <w:color w:val="000000" w:themeColor="text1"/>
        </w:rPr>
        <w:t>s</w:t>
      </w:r>
      <w:r w:rsidR="00B13A9F">
        <w:rPr>
          <w:rFonts w:cs="Arial"/>
          <w:color w:val="000000" w:themeColor="text1"/>
        </w:rPr>
        <w:t>suance</w:t>
      </w:r>
      <w:r w:rsidRPr="0A305C42" w:rsidR="00B13A9F">
        <w:rPr>
          <w:rFonts w:cs="Arial"/>
          <w:color w:val="000000" w:themeColor="text1"/>
        </w:rPr>
        <w:t xml:space="preserve"> </w:t>
      </w:r>
      <w:r w:rsidRPr="0A305C42" w:rsidR="007C374B">
        <w:rPr>
          <w:rFonts w:cs="Arial"/>
          <w:color w:val="000000" w:themeColor="text1"/>
        </w:rPr>
        <w:t xml:space="preserve">date. Once </w:t>
      </w:r>
      <w:r w:rsidR="00F36389">
        <w:rPr>
          <w:rFonts w:cs="Arial"/>
          <w:color w:val="000000" w:themeColor="text1"/>
        </w:rPr>
        <w:t>staff</w:t>
      </w:r>
      <w:r w:rsidRPr="0A305C42" w:rsidR="007C374B">
        <w:rPr>
          <w:rFonts w:cs="Arial"/>
          <w:color w:val="000000" w:themeColor="text1"/>
        </w:rPr>
        <w:t xml:space="preserve"> receives and reviews this information, the </w:t>
      </w:r>
      <w:r w:rsidR="00CD63FD">
        <w:rPr>
          <w:rFonts w:cs="Arial"/>
          <w:color w:val="000000" w:themeColor="text1"/>
        </w:rPr>
        <w:t xml:space="preserve">service provider </w:t>
      </w:r>
      <w:r w:rsidRPr="0A305C42" w:rsidR="007C374B">
        <w:rPr>
          <w:rFonts w:cs="Arial"/>
          <w:color w:val="000000" w:themeColor="text1"/>
        </w:rPr>
        <w:t xml:space="preserve">will </w:t>
      </w:r>
      <w:r w:rsidRPr="0A305C42" w:rsidR="009A2A57">
        <w:rPr>
          <w:rFonts w:cs="Arial"/>
          <w:color w:val="000000" w:themeColor="text1"/>
        </w:rPr>
        <w:t xml:space="preserve">be </w:t>
      </w:r>
      <w:r w:rsidR="00CF2DA4">
        <w:rPr>
          <w:rFonts w:cs="Arial"/>
          <w:color w:val="000000" w:themeColor="text1"/>
          <w:szCs w:val="26"/>
        </w:rPr>
        <w:t xml:space="preserve">migrated </w:t>
      </w:r>
      <w:r w:rsidR="0072144D">
        <w:rPr>
          <w:rFonts w:cs="Arial"/>
          <w:color w:val="000000" w:themeColor="text1"/>
          <w:szCs w:val="26"/>
        </w:rPr>
        <w:t>to</w:t>
      </w:r>
      <w:r w:rsidR="00CF2DA4">
        <w:rPr>
          <w:rFonts w:cs="Arial"/>
          <w:color w:val="000000" w:themeColor="text1"/>
          <w:szCs w:val="26"/>
        </w:rPr>
        <w:t xml:space="preserve"> a non</w:t>
      </w:r>
      <w:r w:rsidR="006951D5">
        <w:rPr>
          <w:rFonts w:cs="Arial"/>
          <w:color w:val="000000" w:themeColor="text1"/>
          <w:szCs w:val="26"/>
        </w:rPr>
        <w:noBreakHyphen/>
      </w:r>
      <w:r w:rsidR="00CF2DA4">
        <w:rPr>
          <w:rFonts w:cs="Arial"/>
          <w:color w:val="000000" w:themeColor="text1"/>
          <w:szCs w:val="26"/>
        </w:rPr>
        <w:t>facilities</w:t>
      </w:r>
      <w:r w:rsidR="006951D5">
        <w:rPr>
          <w:rFonts w:cs="Arial"/>
          <w:color w:val="000000" w:themeColor="text1"/>
          <w:szCs w:val="26"/>
        </w:rPr>
        <w:noBreakHyphen/>
      </w:r>
      <w:r w:rsidR="00CF2DA4">
        <w:rPr>
          <w:rFonts w:cs="Arial"/>
          <w:color w:val="000000" w:themeColor="text1"/>
          <w:szCs w:val="26"/>
        </w:rPr>
        <w:t>based nomadic</w:t>
      </w:r>
      <w:r w:rsidR="006951D5">
        <w:rPr>
          <w:rFonts w:cs="Arial"/>
          <w:color w:val="000000" w:themeColor="text1"/>
          <w:szCs w:val="26"/>
        </w:rPr>
        <w:noBreakHyphen/>
      </w:r>
      <w:r w:rsidR="00442081">
        <w:rPr>
          <w:rFonts w:cs="Arial"/>
          <w:color w:val="000000" w:themeColor="text1"/>
          <w:szCs w:val="26"/>
        </w:rPr>
        <w:t>only</w:t>
      </w:r>
      <w:r w:rsidR="00CF2DA4">
        <w:rPr>
          <w:rFonts w:cs="Arial"/>
          <w:color w:val="000000" w:themeColor="text1"/>
          <w:szCs w:val="26"/>
        </w:rPr>
        <w:t xml:space="preserve"> interconnected VoIP</w:t>
      </w:r>
      <w:r w:rsidR="00654AAA">
        <w:rPr>
          <w:rFonts w:cs="Arial"/>
          <w:color w:val="000000" w:themeColor="text1"/>
          <w:szCs w:val="26"/>
        </w:rPr>
        <w:t xml:space="preserve"> service provider</w:t>
      </w:r>
      <w:r w:rsidR="00CF2DA4">
        <w:rPr>
          <w:rFonts w:cs="Arial"/>
          <w:color w:val="000000" w:themeColor="text1"/>
          <w:szCs w:val="26"/>
        </w:rPr>
        <w:t xml:space="preserve">. </w:t>
      </w:r>
      <w:r w:rsidR="00CF2DA4">
        <w:t>Each migrated</w:t>
      </w:r>
      <w:r w:rsidRPr="00D10C46" w:rsidR="00CF2DA4">
        <w:t xml:space="preserve"> </w:t>
      </w:r>
      <w:r w:rsidR="00CF2DA4">
        <w:t xml:space="preserve">provider will maintain its existing </w:t>
      </w:r>
      <w:r w:rsidR="00F93F90">
        <w:t>Utility ID Number</w:t>
      </w:r>
      <w:r w:rsidR="00CF2DA4">
        <w:t xml:space="preserve"> and its assigned utility type will change from DVS to </w:t>
      </w:r>
      <w:r w:rsidRPr="001E2BB0" w:rsidR="00CF2DA4">
        <w:rPr>
          <w:rFonts w:eastAsiaTheme="minorEastAsia"/>
        </w:rPr>
        <w:t>DV</w:t>
      </w:r>
      <w:r w:rsidR="00CF2DA4">
        <w:rPr>
          <w:rFonts w:eastAsiaTheme="minorEastAsia"/>
        </w:rPr>
        <w:t>N</w:t>
      </w:r>
      <w:r w:rsidRPr="001E2BB0" w:rsidR="00CF2DA4">
        <w:rPr>
          <w:rFonts w:eastAsiaTheme="minorEastAsia"/>
        </w:rPr>
        <w:t>.</w:t>
      </w:r>
    </w:p>
    <w:p w:rsidR="00A96B31" w:rsidP="007C374B" w:rsidRDefault="007C374B" w14:paraId="66647C53" w14:textId="65DB09FF">
      <w:pPr>
        <w:pStyle w:val="Standard"/>
        <w:rPr>
          <w:rFonts w:eastAsiaTheme="minorEastAsia"/>
          <w:szCs w:val="26"/>
        </w:rPr>
      </w:pPr>
      <w:r w:rsidRPr="00FC26B0">
        <w:rPr>
          <w:rFonts w:eastAsiaTheme="minorEastAsia"/>
        </w:rPr>
        <w:t xml:space="preserve">After the expiration of the </w:t>
      </w:r>
      <w:r w:rsidRPr="00FC26B0" w:rsidR="002B5C77">
        <w:rPr>
          <w:rFonts w:eastAsiaTheme="minorEastAsia"/>
        </w:rPr>
        <w:t>45</w:t>
      </w:r>
      <w:r w:rsidR="00844EAF">
        <w:rPr>
          <w:rFonts w:eastAsiaTheme="minorEastAsia"/>
        </w:rPr>
        <w:noBreakHyphen/>
      </w:r>
      <w:r w:rsidRPr="00FC26B0" w:rsidR="002B5C77">
        <w:rPr>
          <w:rFonts w:eastAsiaTheme="minorEastAsia"/>
        </w:rPr>
        <w:t>calendar</w:t>
      </w:r>
      <w:r>
        <w:rPr>
          <w:rFonts w:eastAsiaTheme="minorEastAsia"/>
        </w:rPr>
        <w:t xml:space="preserve"> </w:t>
      </w:r>
      <w:r w:rsidRPr="00FC26B0">
        <w:rPr>
          <w:rFonts w:eastAsiaTheme="minorEastAsia"/>
        </w:rPr>
        <w:t>day opt</w:t>
      </w:r>
      <w:r w:rsidR="006951D5">
        <w:rPr>
          <w:rFonts w:eastAsiaTheme="minorEastAsia"/>
        </w:rPr>
        <w:noBreakHyphen/>
      </w:r>
      <w:r w:rsidRPr="00FC26B0">
        <w:rPr>
          <w:rFonts w:eastAsiaTheme="minorEastAsia"/>
        </w:rPr>
        <w:t>out period</w:t>
      </w:r>
      <w:r w:rsidRPr="113C34D4">
        <w:rPr>
          <w:rFonts w:eastAsiaTheme="minorEastAsia"/>
        </w:rPr>
        <w:t>,</w:t>
      </w:r>
      <w:r w:rsidRPr="00FC26B0">
        <w:rPr>
          <w:rFonts w:eastAsiaTheme="minorEastAsia"/>
        </w:rPr>
        <w:t xml:space="preserve"> </w:t>
      </w:r>
      <w:r w:rsidR="00AA1504">
        <w:rPr>
          <w:rFonts w:eastAsiaTheme="minorEastAsia"/>
        </w:rPr>
        <w:t>Communications Division staff</w:t>
      </w:r>
      <w:r w:rsidRPr="00FC26B0">
        <w:rPr>
          <w:rFonts w:eastAsiaTheme="minorEastAsia"/>
        </w:rPr>
        <w:t xml:space="preserve"> will update </w:t>
      </w:r>
      <w:r>
        <w:rPr>
          <w:rFonts w:eastAsiaTheme="minorEastAsia"/>
        </w:rPr>
        <w:t xml:space="preserve">Commission </w:t>
      </w:r>
      <w:r w:rsidRPr="00FC26B0">
        <w:rPr>
          <w:rFonts w:eastAsiaTheme="minorEastAsia"/>
        </w:rPr>
        <w:t>records</w:t>
      </w:r>
      <w:r w:rsidR="002B5C77">
        <w:rPr>
          <w:rFonts w:eastAsiaTheme="minorEastAsia"/>
        </w:rPr>
        <w:t>,</w:t>
      </w:r>
      <w:r w:rsidR="00804AAF">
        <w:rPr>
          <w:rFonts w:eastAsiaTheme="minorEastAsia"/>
        </w:rPr>
        <w:t xml:space="preserve"> and the updated information</w:t>
      </w:r>
      <w:r w:rsidR="0098167A">
        <w:rPr>
          <w:rFonts w:eastAsiaTheme="minorEastAsia"/>
        </w:rPr>
        <w:t xml:space="preserve"> will be reflected in </w:t>
      </w:r>
      <w:r w:rsidR="005962B6">
        <w:rPr>
          <w:rFonts w:eastAsiaTheme="minorEastAsia"/>
        </w:rPr>
        <w:t>the</w:t>
      </w:r>
      <w:r w:rsidR="0098167A">
        <w:rPr>
          <w:rFonts w:eastAsiaTheme="minorEastAsia"/>
        </w:rPr>
        <w:t xml:space="preserve"> </w:t>
      </w:r>
      <w:r w:rsidRPr="00BA0BA3" w:rsidR="005962B6">
        <w:rPr>
          <w:rFonts w:cs="Arial"/>
          <w:color w:val="000000" w:themeColor="text1"/>
        </w:rPr>
        <w:t>C</w:t>
      </w:r>
      <w:r w:rsidRPr="00527E45" w:rsidR="005962B6">
        <w:rPr>
          <w:color w:val="000000" w:themeColor="text1"/>
        </w:rPr>
        <w:t>ommission</w:t>
      </w:r>
      <w:r w:rsidR="00893D67">
        <w:rPr>
          <w:color w:val="000000" w:themeColor="text1"/>
        </w:rPr>
        <w:t>’</w:t>
      </w:r>
      <w:r w:rsidRPr="00527E45" w:rsidR="005962B6">
        <w:rPr>
          <w:color w:val="000000" w:themeColor="text1"/>
        </w:rPr>
        <w:t xml:space="preserve">s </w:t>
      </w:r>
      <w:r w:rsidRPr="00155BBB" w:rsidR="005962B6">
        <w:t xml:space="preserve">Utility Contact System </w:t>
      </w:r>
      <w:r w:rsidRPr="00BA0BA3" w:rsidR="005962B6">
        <w:t>Search webpage</w:t>
      </w:r>
      <w:r w:rsidRPr="113C34D4">
        <w:rPr>
          <w:rFonts w:eastAsiaTheme="minorEastAsia"/>
        </w:rPr>
        <w:t xml:space="preserve">. </w:t>
      </w:r>
      <w:r>
        <w:rPr>
          <w:rFonts w:eastAsiaTheme="minorEastAsia"/>
          <w:szCs w:val="26"/>
        </w:rPr>
        <w:t xml:space="preserve">This will </w:t>
      </w:r>
      <w:r w:rsidRPr="00D83D8D">
        <w:rPr>
          <w:rFonts w:eastAsiaTheme="minorEastAsia"/>
          <w:szCs w:val="26"/>
        </w:rPr>
        <w:t xml:space="preserve">complete the </w:t>
      </w:r>
      <w:r w:rsidR="009F290A">
        <w:rPr>
          <w:rFonts w:eastAsiaTheme="minorEastAsia"/>
          <w:szCs w:val="26"/>
        </w:rPr>
        <w:t>migration</w:t>
      </w:r>
      <w:r w:rsidRPr="00D83D8D" w:rsidR="009F290A">
        <w:rPr>
          <w:rFonts w:eastAsiaTheme="minorEastAsia"/>
          <w:szCs w:val="26"/>
        </w:rPr>
        <w:t xml:space="preserve"> </w:t>
      </w:r>
      <w:r w:rsidRPr="00D83D8D">
        <w:rPr>
          <w:rFonts w:eastAsiaTheme="minorEastAsia"/>
          <w:szCs w:val="26"/>
        </w:rPr>
        <w:t>process.</w:t>
      </w:r>
    </w:p>
    <w:p w:rsidRPr="007C374B" w:rsidR="007C374B" w:rsidP="007C374B" w:rsidRDefault="007C374B" w14:paraId="5301A3E5" w14:textId="773AB486">
      <w:pPr>
        <w:pStyle w:val="Standard"/>
      </w:pPr>
      <w:r>
        <w:lastRenderedPageBreak/>
        <w:t xml:space="preserve">Any </w:t>
      </w:r>
      <w:r w:rsidR="00E76F1D">
        <w:t>service provider</w:t>
      </w:r>
      <w:r>
        <w:t xml:space="preserve"> who ha</w:t>
      </w:r>
      <w:r w:rsidR="00E76F1D">
        <w:t>s</w:t>
      </w:r>
      <w:r>
        <w:t xml:space="preserve"> not opted</w:t>
      </w:r>
      <w:r w:rsidR="006951D5">
        <w:noBreakHyphen/>
      </w:r>
      <w:r>
        <w:t xml:space="preserve">out of the automatic </w:t>
      </w:r>
      <w:r w:rsidR="00FC094D">
        <w:t xml:space="preserve">migration </w:t>
      </w:r>
      <w:r>
        <w:t xml:space="preserve">process during the </w:t>
      </w:r>
      <w:r w:rsidR="002B5C77">
        <w:t>45</w:t>
      </w:r>
      <w:r w:rsidR="00844EAF">
        <w:noBreakHyphen/>
      </w:r>
      <w:r w:rsidR="002B5C77">
        <w:t>calendar</w:t>
      </w:r>
      <w:r>
        <w:t xml:space="preserve"> day period and </w:t>
      </w:r>
      <w:r w:rsidR="00162E25">
        <w:t>seeks</w:t>
      </w:r>
      <w:r w:rsidR="003B479A">
        <w:t xml:space="preserve"> to offer</w:t>
      </w:r>
      <w:r>
        <w:t xml:space="preserve"> nomadic</w:t>
      </w:r>
      <w:r w:rsidR="006951D5">
        <w:noBreakHyphen/>
      </w:r>
      <w:r w:rsidR="00162E25">
        <w:t>only interconnected</w:t>
      </w:r>
      <w:r>
        <w:t xml:space="preserve"> VoIP service </w:t>
      </w:r>
      <w:r w:rsidR="00755BBA">
        <w:t>at a later time</w:t>
      </w:r>
      <w:r>
        <w:t xml:space="preserve"> must simultaneously apply for a </w:t>
      </w:r>
      <w:r w:rsidR="00F27A06">
        <w:t>N</w:t>
      </w:r>
      <w:r w:rsidR="004B66CB">
        <w:t xml:space="preserve">omadic </w:t>
      </w:r>
      <w:r w:rsidR="00F27A06">
        <w:t>R</w:t>
      </w:r>
      <w:r>
        <w:t xml:space="preserve">egistration and voluntarily surrender </w:t>
      </w:r>
      <w:r w:rsidR="00D77E21">
        <w:t>its</w:t>
      </w:r>
      <w:r>
        <w:t xml:space="preserve"> </w:t>
      </w:r>
      <w:r w:rsidR="006C795B">
        <w:t xml:space="preserve">existing </w:t>
      </w:r>
      <w:r>
        <w:t xml:space="preserve">operating authority </w:t>
      </w:r>
      <w:r w:rsidR="00B3762A">
        <w:t>(</w:t>
      </w:r>
      <w:r w:rsidR="00E556FB">
        <w:t xml:space="preserve">obtained through the automatic migration under this decision) </w:t>
      </w:r>
      <w:r>
        <w:t xml:space="preserve">via a </w:t>
      </w:r>
      <w:r w:rsidR="005F2D22">
        <w:t>Tier 2</w:t>
      </w:r>
      <w:r w:rsidR="00E21830">
        <w:t xml:space="preserve"> advice letter</w:t>
      </w:r>
      <w:r>
        <w:t>.</w:t>
      </w:r>
    </w:p>
    <w:p w:rsidR="007C374B" w:rsidP="000A2CD0" w:rsidRDefault="005F021E" w14:paraId="6D4B66C2" w14:textId="5B023DD0">
      <w:pPr>
        <w:pStyle w:val="Heading4"/>
      </w:pPr>
      <w:bookmarkStart w:name="_Toc176770953" w:id="116"/>
      <w:bookmarkStart w:name="_Toc177021151" w:id="117"/>
      <w:bookmarkStart w:name="_Toc181692900" w:id="118"/>
      <w:r>
        <w:t>Opt</w:t>
      </w:r>
      <w:r w:rsidR="006951D5">
        <w:noBreakHyphen/>
      </w:r>
      <w:r w:rsidRPr="00C93536">
        <w:t>Out</w:t>
      </w:r>
      <w:r>
        <w:t xml:space="preserve"> for </w:t>
      </w:r>
      <w:r w:rsidR="0033191D">
        <w:t>Section </w:t>
      </w:r>
      <w:r>
        <w:t>285</w:t>
      </w:r>
      <w:r w:rsidR="00EC6326">
        <w:t xml:space="preserve"> Providers</w:t>
      </w:r>
      <w:r w:rsidR="00990F97">
        <w:t xml:space="preserve"> </w:t>
      </w:r>
      <w:r w:rsidR="00670FA8">
        <w:t>Planning to Cease Operations</w:t>
      </w:r>
      <w:bookmarkEnd w:id="116"/>
      <w:bookmarkEnd w:id="117"/>
      <w:bookmarkEnd w:id="118"/>
    </w:p>
    <w:p w:rsidR="00A96B31" w:rsidP="00670FA8" w:rsidRDefault="0033191D" w14:paraId="50AED4A5" w14:textId="5C1A52C3">
      <w:pPr>
        <w:pStyle w:val="Standard"/>
        <w:rPr>
          <w:rFonts w:cs="Times New Roman"/>
          <w:szCs w:val="26"/>
        </w:rPr>
      </w:pPr>
      <w:r>
        <w:rPr>
          <w:rFonts w:cs="Times New Roman"/>
          <w:szCs w:val="26"/>
        </w:rPr>
        <w:t>Section </w:t>
      </w:r>
      <w:r w:rsidR="00F6182D">
        <w:rPr>
          <w:rFonts w:cs="Times New Roman"/>
          <w:szCs w:val="26"/>
        </w:rPr>
        <w:t xml:space="preserve">285 </w:t>
      </w:r>
      <w:r w:rsidR="00030943">
        <w:rPr>
          <w:rFonts w:cs="Times New Roman"/>
          <w:szCs w:val="26"/>
        </w:rPr>
        <w:t xml:space="preserve">service providers </w:t>
      </w:r>
      <w:r w:rsidRPr="00D10C46" w:rsidR="002F5AF2">
        <w:rPr>
          <w:rFonts w:cs="Times New Roman"/>
          <w:szCs w:val="26"/>
        </w:rPr>
        <w:t xml:space="preserve">who </w:t>
      </w:r>
      <w:r w:rsidR="002F5AF2">
        <w:rPr>
          <w:rFonts w:cs="Times New Roman"/>
          <w:szCs w:val="26"/>
        </w:rPr>
        <w:t xml:space="preserve">do not want to continue providing interconnected VoIP services in California and </w:t>
      </w:r>
      <w:r w:rsidR="008A3E58">
        <w:rPr>
          <w:rFonts w:cs="Times New Roman"/>
          <w:szCs w:val="26"/>
        </w:rPr>
        <w:t>seek</w:t>
      </w:r>
      <w:r w:rsidR="002F5AF2">
        <w:rPr>
          <w:rFonts w:cs="Times New Roman"/>
          <w:szCs w:val="26"/>
        </w:rPr>
        <w:t xml:space="preserve"> to voluntarily </w:t>
      </w:r>
      <w:r w:rsidRPr="00D10C46" w:rsidR="002F5AF2">
        <w:rPr>
          <w:rFonts w:cs="Times New Roman"/>
          <w:szCs w:val="26"/>
        </w:rPr>
        <w:t xml:space="preserve">surrender their </w:t>
      </w:r>
      <w:r w:rsidR="002F5AF2">
        <w:rPr>
          <w:rFonts w:cs="Times New Roman"/>
          <w:szCs w:val="26"/>
        </w:rPr>
        <w:t xml:space="preserve">prior </w:t>
      </w:r>
      <w:r>
        <w:rPr>
          <w:rFonts w:cs="Times New Roman"/>
          <w:szCs w:val="26"/>
        </w:rPr>
        <w:t>Section </w:t>
      </w:r>
      <w:r w:rsidR="002F5AF2">
        <w:rPr>
          <w:rFonts w:cs="Times New Roman"/>
          <w:szCs w:val="26"/>
        </w:rPr>
        <w:t>285 registration</w:t>
      </w:r>
      <w:r w:rsidRPr="00D10C46" w:rsidR="002F5AF2">
        <w:rPr>
          <w:rFonts w:cs="Times New Roman"/>
          <w:szCs w:val="26"/>
        </w:rPr>
        <w:t xml:space="preserve"> must opt</w:t>
      </w:r>
      <w:r w:rsidR="006951D5">
        <w:rPr>
          <w:rFonts w:cs="Times New Roman"/>
          <w:szCs w:val="26"/>
        </w:rPr>
        <w:noBreakHyphen/>
      </w:r>
      <w:r w:rsidRPr="00D10C46" w:rsidR="002F5AF2">
        <w:rPr>
          <w:rFonts w:cs="Times New Roman"/>
          <w:szCs w:val="26"/>
        </w:rPr>
        <w:t xml:space="preserve">out from the automatic </w:t>
      </w:r>
      <w:r w:rsidR="00030943">
        <w:rPr>
          <w:rFonts w:cs="Arial"/>
          <w:color w:val="000000" w:themeColor="text1"/>
        </w:rPr>
        <w:t xml:space="preserve">migration </w:t>
      </w:r>
      <w:r w:rsidRPr="00D10C46" w:rsidR="002F5AF2">
        <w:rPr>
          <w:rFonts w:cs="Times New Roman"/>
          <w:szCs w:val="26"/>
        </w:rPr>
        <w:t xml:space="preserve">within </w:t>
      </w:r>
      <w:r w:rsidR="002F5AF2">
        <w:rPr>
          <w:rFonts w:cs="Times New Roman"/>
          <w:szCs w:val="26"/>
        </w:rPr>
        <w:t>45 calendar days</w:t>
      </w:r>
      <w:r w:rsidRPr="00D10C46" w:rsidR="002F5AF2">
        <w:rPr>
          <w:rFonts w:cs="Times New Roman"/>
          <w:szCs w:val="26"/>
        </w:rPr>
        <w:t xml:space="preserve"> </w:t>
      </w:r>
      <w:r w:rsidR="002F5AF2">
        <w:rPr>
          <w:rFonts w:cs="Times New Roman"/>
          <w:szCs w:val="26"/>
        </w:rPr>
        <w:t xml:space="preserve">of </w:t>
      </w:r>
      <w:r w:rsidR="00954592">
        <w:rPr>
          <w:rFonts w:cs="Times New Roman"/>
          <w:szCs w:val="26"/>
        </w:rPr>
        <w:t>this decision</w:t>
      </w:r>
      <w:r w:rsidR="00893D67">
        <w:rPr>
          <w:rFonts w:cs="Times New Roman"/>
          <w:szCs w:val="26"/>
        </w:rPr>
        <w:t>’</w:t>
      </w:r>
      <w:r w:rsidR="00954592">
        <w:rPr>
          <w:rFonts w:cs="Times New Roman"/>
          <w:szCs w:val="26"/>
        </w:rPr>
        <w:t xml:space="preserve">s </w:t>
      </w:r>
      <w:r w:rsidR="00870D53">
        <w:rPr>
          <w:rFonts w:cs="Times New Roman"/>
          <w:szCs w:val="26"/>
        </w:rPr>
        <w:t>issuance</w:t>
      </w:r>
      <w:r w:rsidR="002F5AF2">
        <w:rPr>
          <w:rFonts w:cs="Times New Roman"/>
          <w:szCs w:val="26"/>
        </w:rPr>
        <w:t xml:space="preserve"> date</w:t>
      </w:r>
      <w:r w:rsidRPr="00D10C46" w:rsidR="002F5AF2">
        <w:rPr>
          <w:rFonts w:cs="Times New Roman"/>
          <w:szCs w:val="26"/>
        </w:rPr>
        <w:t>.</w:t>
      </w:r>
    </w:p>
    <w:p w:rsidRPr="00D10C46" w:rsidR="00670FA8" w:rsidP="00670FA8" w:rsidRDefault="00670FA8" w14:paraId="0C3D96B7" w14:textId="1736847C">
      <w:pPr>
        <w:pStyle w:val="Standard"/>
        <w:rPr>
          <w:rFonts w:cs="Times New Roman"/>
          <w:color w:val="000000" w:themeColor="text1"/>
          <w:szCs w:val="26"/>
        </w:rPr>
      </w:pPr>
      <w:r w:rsidRPr="00D10C46">
        <w:rPr>
          <w:rFonts w:cs="Times New Roman"/>
          <w:szCs w:val="26"/>
        </w:rPr>
        <w:t>To opt</w:t>
      </w:r>
      <w:r w:rsidR="006951D5">
        <w:rPr>
          <w:rFonts w:cs="Times New Roman"/>
          <w:szCs w:val="26"/>
        </w:rPr>
        <w:noBreakHyphen/>
      </w:r>
      <w:r w:rsidRPr="00D10C46">
        <w:rPr>
          <w:rFonts w:cs="Times New Roman"/>
          <w:szCs w:val="26"/>
        </w:rPr>
        <w:t xml:space="preserve">out and surrender, </w:t>
      </w:r>
      <w:r>
        <w:rPr>
          <w:rFonts w:cs="Times New Roman"/>
          <w:szCs w:val="26"/>
        </w:rPr>
        <w:t>providers</w:t>
      </w:r>
      <w:r w:rsidRPr="00D10C46">
        <w:rPr>
          <w:rFonts w:cs="Times New Roman"/>
          <w:szCs w:val="26"/>
        </w:rPr>
        <w:t xml:space="preserve"> must submit</w:t>
      </w:r>
      <w:r w:rsidRPr="00D10C46">
        <w:rPr>
          <w:rFonts w:cs="Times New Roman"/>
          <w:spacing w:val="-3"/>
          <w:szCs w:val="26"/>
        </w:rPr>
        <w:t xml:space="preserve"> </w:t>
      </w:r>
      <w:r w:rsidRPr="00D10C46">
        <w:rPr>
          <w:rFonts w:cs="Times New Roman"/>
          <w:szCs w:val="26"/>
        </w:rPr>
        <w:t xml:space="preserve">a request to </w:t>
      </w:r>
      <w:r>
        <w:rPr>
          <w:rFonts w:cs="Times New Roman"/>
          <w:szCs w:val="26"/>
        </w:rPr>
        <w:t xml:space="preserve">the </w:t>
      </w:r>
      <w:r w:rsidRPr="00D10C46">
        <w:rPr>
          <w:rFonts w:cs="Times New Roman"/>
          <w:szCs w:val="26"/>
        </w:rPr>
        <w:t xml:space="preserve">Director </w:t>
      </w:r>
      <w:r>
        <w:rPr>
          <w:rFonts w:cs="Times New Roman"/>
          <w:szCs w:val="26"/>
        </w:rPr>
        <w:t xml:space="preserve">of </w:t>
      </w:r>
      <w:r w:rsidR="00F64385">
        <w:rPr>
          <w:rFonts w:cs="Times New Roman"/>
          <w:szCs w:val="26"/>
        </w:rPr>
        <w:t>the Communications Division</w:t>
      </w:r>
      <w:r w:rsidRPr="00D10C46">
        <w:rPr>
          <w:rFonts w:cs="Times New Roman"/>
          <w:szCs w:val="26"/>
        </w:rPr>
        <w:t xml:space="preserve"> via email to</w:t>
      </w:r>
      <w:r w:rsidR="00F64385">
        <w:rPr>
          <w:rFonts w:cs="Times New Roman"/>
          <w:szCs w:val="26"/>
        </w:rPr>
        <w:t xml:space="preserve"> </w:t>
      </w:r>
      <w:hyperlink w:history="1" r:id="rId17">
        <w:r w:rsidRPr="008E3AFE" w:rsidR="00F64385">
          <w:rPr>
            <w:rStyle w:val="Hyperlink"/>
            <w:rFonts w:cs="Times New Roman"/>
            <w:szCs w:val="26"/>
          </w:rPr>
          <w:t>CDcompliance@cpuc.ca.gov</w:t>
        </w:r>
      </w:hyperlink>
      <w:r w:rsidRPr="00F64385">
        <w:rPr>
          <w:rFonts w:cs="Times New Roman"/>
          <w:color w:val="000000" w:themeColor="text1"/>
          <w:szCs w:val="26"/>
        </w:rPr>
        <w:t>.</w:t>
      </w:r>
      <w:r w:rsidRPr="00D27A15">
        <w:rPr>
          <w:rFonts w:cs="Times New Roman"/>
          <w:color w:val="000000" w:themeColor="text1"/>
          <w:szCs w:val="26"/>
        </w:rPr>
        <w:t xml:space="preserve"> </w:t>
      </w:r>
      <w:r w:rsidRPr="00D10C46">
        <w:rPr>
          <w:rFonts w:cs="Times New Roman"/>
          <w:color w:val="000000" w:themeColor="text1"/>
          <w:szCs w:val="26"/>
        </w:rPr>
        <w:t>The request should include:</w:t>
      </w:r>
    </w:p>
    <w:p w:rsidRPr="00D10C46" w:rsidR="00670FA8" w:rsidRDefault="00670FA8" w14:paraId="31CBA659" w14:textId="01919EE2">
      <w:pPr>
        <w:pStyle w:val="BlockQuoteBullet1"/>
        <w:numPr>
          <w:ilvl w:val="0"/>
          <w:numId w:val="24"/>
        </w:numPr>
        <w:ind w:left="1080"/>
        <w:rPr>
          <w:rFonts w:cs="Times New Roman"/>
          <w:color w:val="000000" w:themeColor="text1"/>
          <w:szCs w:val="26"/>
        </w:rPr>
      </w:pPr>
      <w:r w:rsidRPr="00D10C46">
        <w:rPr>
          <w:rFonts w:cs="Times New Roman"/>
          <w:color w:val="000000" w:themeColor="text1"/>
          <w:szCs w:val="26"/>
        </w:rPr>
        <w:t xml:space="preserve">Utility </w:t>
      </w:r>
      <w:r w:rsidRPr="00476E84">
        <w:rPr>
          <w:rFonts w:cs="Times New Roman"/>
          <w:szCs w:val="26"/>
        </w:rPr>
        <w:t>ID</w:t>
      </w:r>
      <w:r w:rsidR="00220D78">
        <w:rPr>
          <w:rFonts w:cs="Times New Roman"/>
          <w:szCs w:val="26"/>
        </w:rPr>
        <w:t xml:space="preserve"> Number</w:t>
      </w:r>
      <w:r w:rsidRPr="00D10C46">
        <w:rPr>
          <w:rFonts w:cs="Times New Roman"/>
          <w:color w:val="000000" w:themeColor="text1"/>
          <w:szCs w:val="26"/>
        </w:rPr>
        <w:t xml:space="preserve"> and Utility Name</w:t>
      </w:r>
      <w:r w:rsidR="005E5900">
        <w:rPr>
          <w:rFonts w:cs="Times New Roman"/>
          <w:color w:val="000000" w:themeColor="text1"/>
          <w:szCs w:val="26"/>
        </w:rPr>
        <w:t>;</w:t>
      </w:r>
    </w:p>
    <w:p w:rsidR="00A96B31" w:rsidRDefault="00670FA8" w14:paraId="26798227" w14:textId="4BBC9AC3">
      <w:pPr>
        <w:pStyle w:val="BlockQuoteBullet1"/>
        <w:numPr>
          <w:ilvl w:val="0"/>
          <w:numId w:val="24"/>
        </w:numPr>
        <w:ind w:left="1080"/>
        <w:rPr>
          <w:rFonts w:cs="Times New Roman"/>
          <w:color w:val="000000" w:themeColor="text1"/>
          <w:szCs w:val="26"/>
        </w:rPr>
      </w:pPr>
      <w:r w:rsidRPr="00476E84">
        <w:rPr>
          <w:rFonts w:cs="Times New Roman"/>
          <w:szCs w:val="26"/>
        </w:rPr>
        <w:t>Requested</w:t>
      </w:r>
      <w:r w:rsidRPr="00D10C46">
        <w:rPr>
          <w:rFonts w:cs="Times New Roman"/>
          <w:color w:val="000000" w:themeColor="text1"/>
          <w:szCs w:val="26"/>
        </w:rPr>
        <w:t xml:space="preserve"> effective date of </w:t>
      </w:r>
      <w:r w:rsidRPr="005E5900">
        <w:t>deactivation</w:t>
      </w:r>
      <w:r w:rsidRPr="00D10C46">
        <w:rPr>
          <w:rFonts w:cs="Times New Roman"/>
          <w:color w:val="000000" w:themeColor="text1"/>
          <w:szCs w:val="26"/>
        </w:rPr>
        <w:t xml:space="preserve"> and attestation that it has no </w:t>
      </w:r>
      <w:r>
        <w:rPr>
          <w:rFonts w:cs="Times New Roman"/>
          <w:color w:val="000000" w:themeColor="text1"/>
          <w:szCs w:val="26"/>
        </w:rPr>
        <w:t xml:space="preserve">active </w:t>
      </w:r>
      <w:r w:rsidRPr="00D10C46">
        <w:rPr>
          <w:rFonts w:cs="Times New Roman"/>
          <w:color w:val="000000" w:themeColor="text1"/>
          <w:szCs w:val="26"/>
        </w:rPr>
        <w:t>customers</w:t>
      </w:r>
      <w:r>
        <w:rPr>
          <w:rFonts w:cs="Times New Roman"/>
          <w:color w:val="000000" w:themeColor="text1"/>
          <w:szCs w:val="26"/>
        </w:rPr>
        <w:t>, no pending complaints,</w:t>
      </w:r>
      <w:r w:rsidRPr="00D10C46">
        <w:rPr>
          <w:rFonts w:cs="Times New Roman"/>
          <w:color w:val="000000" w:themeColor="text1"/>
          <w:szCs w:val="26"/>
        </w:rPr>
        <w:t xml:space="preserve"> and no outstanding monies (</w:t>
      </w:r>
      <w:r w:rsidRPr="004A120D" w:rsidR="004A120D">
        <w:rPr>
          <w:rFonts w:cs="Times New Roman"/>
          <w:i/>
          <w:iCs/>
          <w:color w:val="000000" w:themeColor="text1"/>
          <w:szCs w:val="26"/>
        </w:rPr>
        <w:t>e.g.</w:t>
      </w:r>
      <w:r w:rsidRPr="00D10C46">
        <w:rPr>
          <w:rFonts w:cs="Times New Roman"/>
          <w:color w:val="000000" w:themeColor="text1"/>
          <w:szCs w:val="26"/>
        </w:rPr>
        <w:t>, surcharges, interest, and penalties) owed to the Commission</w:t>
      </w:r>
      <w:r w:rsidR="005E5900">
        <w:rPr>
          <w:rFonts w:cs="Times New Roman"/>
          <w:color w:val="000000" w:themeColor="text1"/>
          <w:szCs w:val="26"/>
        </w:rPr>
        <w:t>; and</w:t>
      </w:r>
    </w:p>
    <w:p w:rsidR="00A96B31" w:rsidRDefault="00670FA8" w14:paraId="1E51A9A9" w14:textId="21A6B9C3">
      <w:pPr>
        <w:pStyle w:val="BlockQuoteBullet1"/>
        <w:numPr>
          <w:ilvl w:val="0"/>
          <w:numId w:val="24"/>
        </w:numPr>
        <w:ind w:left="1080"/>
        <w:rPr>
          <w:rFonts w:cs="Times New Roman"/>
          <w:color w:val="000000" w:themeColor="text1"/>
          <w:szCs w:val="26"/>
        </w:rPr>
      </w:pPr>
      <w:r w:rsidRPr="00D10C46">
        <w:rPr>
          <w:rFonts w:cs="Times New Roman"/>
          <w:color w:val="000000" w:themeColor="text1"/>
          <w:szCs w:val="26"/>
        </w:rPr>
        <w:t xml:space="preserve">A copy of </w:t>
      </w:r>
      <w:r w:rsidRPr="00476E84">
        <w:rPr>
          <w:rFonts w:cs="Times New Roman"/>
          <w:szCs w:val="26"/>
        </w:rPr>
        <w:t>the</w:t>
      </w:r>
      <w:r w:rsidRPr="00D10C46">
        <w:rPr>
          <w:rFonts w:cs="Times New Roman"/>
          <w:color w:val="000000" w:themeColor="text1"/>
          <w:szCs w:val="26"/>
        </w:rPr>
        <w:t xml:space="preserve"> </w:t>
      </w:r>
      <w:r w:rsidRPr="006F7966" w:rsidR="006F7966">
        <w:rPr>
          <w:rFonts w:cs="Times New Roman"/>
          <w:color w:val="000000" w:themeColor="text1"/>
          <w:szCs w:val="26"/>
        </w:rPr>
        <w:t>Telecommunications and User Fee Filing System</w:t>
      </w:r>
      <w:r w:rsidRPr="00D10C46">
        <w:rPr>
          <w:rFonts w:cs="Times New Roman"/>
          <w:color w:val="000000" w:themeColor="text1"/>
          <w:szCs w:val="26"/>
        </w:rPr>
        <w:t xml:space="preserve"> reporting through the month prior to filing the request should also be included</w:t>
      </w:r>
      <w:r>
        <w:rPr>
          <w:rFonts w:cs="Times New Roman"/>
          <w:color w:val="000000" w:themeColor="text1"/>
          <w:szCs w:val="26"/>
        </w:rPr>
        <w:t xml:space="preserve"> to ensure that the provider is current and up to date with its </w:t>
      </w:r>
      <w:r w:rsidR="003E31CC">
        <w:rPr>
          <w:rFonts w:cs="Times New Roman"/>
          <w:color w:val="000000" w:themeColor="text1"/>
          <w:szCs w:val="26"/>
        </w:rPr>
        <w:t>p</w:t>
      </w:r>
      <w:r w:rsidR="0060382C">
        <w:rPr>
          <w:rFonts w:cs="Times New Roman"/>
          <w:color w:val="000000" w:themeColor="text1"/>
          <w:szCs w:val="26"/>
        </w:rPr>
        <w:t xml:space="preserve">ublic </w:t>
      </w:r>
      <w:r w:rsidR="003E31CC">
        <w:rPr>
          <w:rFonts w:cs="Times New Roman"/>
          <w:color w:val="000000" w:themeColor="text1"/>
          <w:szCs w:val="26"/>
        </w:rPr>
        <w:t>p</w:t>
      </w:r>
      <w:r w:rsidR="0060382C">
        <w:rPr>
          <w:rFonts w:cs="Times New Roman"/>
          <w:color w:val="000000" w:themeColor="text1"/>
          <w:szCs w:val="26"/>
        </w:rPr>
        <w:t xml:space="preserve">urpose </w:t>
      </w:r>
      <w:r w:rsidR="003E31CC">
        <w:rPr>
          <w:rFonts w:cs="Times New Roman"/>
          <w:color w:val="000000" w:themeColor="text1"/>
          <w:szCs w:val="26"/>
        </w:rPr>
        <w:t>p</w:t>
      </w:r>
      <w:r w:rsidR="0060382C">
        <w:rPr>
          <w:rFonts w:cs="Times New Roman"/>
          <w:color w:val="000000" w:themeColor="text1"/>
          <w:szCs w:val="26"/>
        </w:rPr>
        <w:t>rograms surcharges</w:t>
      </w:r>
      <w:r w:rsidR="0077361E">
        <w:rPr>
          <w:rFonts w:cs="Times New Roman"/>
          <w:color w:val="000000" w:themeColor="text1"/>
          <w:szCs w:val="26"/>
        </w:rPr>
        <w:t xml:space="preserve"> </w:t>
      </w:r>
      <w:r>
        <w:rPr>
          <w:rFonts w:cs="Times New Roman"/>
          <w:color w:val="000000" w:themeColor="text1"/>
          <w:szCs w:val="26"/>
        </w:rPr>
        <w:t>obligations</w:t>
      </w:r>
      <w:r w:rsidRPr="00D10C46">
        <w:rPr>
          <w:rFonts w:cs="Times New Roman"/>
          <w:color w:val="000000" w:themeColor="text1"/>
          <w:szCs w:val="26"/>
        </w:rPr>
        <w:t>.</w:t>
      </w:r>
    </w:p>
    <w:p w:rsidR="00A96B31" w:rsidP="00670FA8" w:rsidRDefault="00670FA8" w14:paraId="4F966FB6" w14:textId="61E0299E">
      <w:pPr>
        <w:pStyle w:val="Standard"/>
        <w:rPr>
          <w:rFonts w:cs="Times New Roman"/>
          <w:color w:val="000000" w:themeColor="text1"/>
          <w:szCs w:val="26"/>
        </w:rPr>
      </w:pPr>
      <w:r w:rsidRPr="00D10C46">
        <w:rPr>
          <w:rFonts w:cs="Times New Roman"/>
          <w:color w:val="000000" w:themeColor="text1"/>
          <w:szCs w:val="26"/>
        </w:rPr>
        <w:lastRenderedPageBreak/>
        <w:t>C</w:t>
      </w:r>
      <w:r w:rsidR="00E76F1D">
        <w:rPr>
          <w:rFonts w:cs="Times New Roman"/>
          <w:color w:val="000000" w:themeColor="text1"/>
          <w:szCs w:val="26"/>
        </w:rPr>
        <w:t>ommunications Division staff</w:t>
      </w:r>
      <w:r w:rsidRPr="00D10C46">
        <w:rPr>
          <w:rFonts w:cs="Times New Roman"/>
          <w:color w:val="000000" w:themeColor="text1"/>
          <w:szCs w:val="26"/>
        </w:rPr>
        <w:t xml:space="preserve"> will review and approve all requests contingent on surcharge reporting status.</w:t>
      </w:r>
      <w:r>
        <w:rPr>
          <w:rStyle w:val="FootnoteReference"/>
          <w:rFonts w:cs="Times New Roman"/>
          <w:color w:val="000000" w:themeColor="text1"/>
          <w:szCs w:val="26"/>
        </w:rPr>
        <w:footnoteReference w:id="147"/>
      </w:r>
      <w:r w:rsidRPr="00D10C46">
        <w:rPr>
          <w:rFonts w:cs="Times New Roman"/>
          <w:color w:val="000000" w:themeColor="text1"/>
          <w:szCs w:val="26"/>
        </w:rPr>
        <w:t xml:space="preserve"> </w:t>
      </w:r>
      <w:r w:rsidR="00A25BE2">
        <w:rPr>
          <w:rFonts w:cs="Times New Roman"/>
          <w:color w:val="000000" w:themeColor="text1"/>
          <w:szCs w:val="26"/>
        </w:rPr>
        <w:t>Upon approval, t</w:t>
      </w:r>
      <w:r w:rsidRPr="00D10C46">
        <w:rPr>
          <w:rFonts w:cs="Times New Roman"/>
          <w:color w:val="000000" w:themeColor="text1"/>
          <w:szCs w:val="26"/>
        </w:rPr>
        <w:t xml:space="preserve">he </w:t>
      </w:r>
      <w:r w:rsidR="00E76F1D">
        <w:rPr>
          <w:rFonts w:cs="Times New Roman"/>
          <w:color w:val="000000" w:themeColor="text1"/>
          <w:szCs w:val="26"/>
        </w:rPr>
        <w:t xml:space="preserve">service </w:t>
      </w:r>
      <w:r>
        <w:rPr>
          <w:rFonts w:cs="Times New Roman"/>
          <w:color w:val="000000" w:themeColor="text1"/>
          <w:szCs w:val="26"/>
        </w:rPr>
        <w:t>provider</w:t>
      </w:r>
      <w:r w:rsidR="00893D67">
        <w:rPr>
          <w:rFonts w:cs="Times New Roman"/>
          <w:color w:val="000000" w:themeColor="text1"/>
          <w:szCs w:val="26"/>
        </w:rPr>
        <w:t>’</w:t>
      </w:r>
      <w:r>
        <w:rPr>
          <w:rFonts w:cs="Times New Roman"/>
          <w:color w:val="000000" w:themeColor="text1"/>
          <w:szCs w:val="26"/>
        </w:rPr>
        <w:t>s</w:t>
      </w:r>
      <w:r w:rsidRPr="00D10C46">
        <w:rPr>
          <w:rFonts w:cs="Times New Roman"/>
          <w:color w:val="000000" w:themeColor="text1"/>
          <w:szCs w:val="26"/>
        </w:rPr>
        <w:t xml:space="preserve"> </w:t>
      </w:r>
      <w:r w:rsidR="00F93F90">
        <w:rPr>
          <w:rFonts w:cs="Times New Roman"/>
          <w:color w:val="000000" w:themeColor="text1"/>
          <w:szCs w:val="26"/>
        </w:rPr>
        <w:t>Utility ID Number</w:t>
      </w:r>
      <w:r w:rsidRPr="00D10C46">
        <w:rPr>
          <w:rFonts w:cs="Times New Roman"/>
          <w:color w:val="000000" w:themeColor="text1"/>
          <w:szCs w:val="26"/>
        </w:rPr>
        <w:t xml:space="preserve"> will be deactivated from the </w:t>
      </w:r>
      <w:r>
        <w:rPr>
          <w:rFonts w:cs="Times New Roman"/>
          <w:color w:val="000000" w:themeColor="text1"/>
          <w:szCs w:val="26"/>
        </w:rPr>
        <w:t xml:space="preserve">Commission </w:t>
      </w:r>
      <w:r w:rsidRPr="00D10C46">
        <w:rPr>
          <w:rFonts w:cs="Times New Roman"/>
          <w:color w:val="000000" w:themeColor="text1"/>
          <w:szCs w:val="26"/>
        </w:rPr>
        <w:t>system</w:t>
      </w:r>
      <w:r>
        <w:rPr>
          <w:rFonts w:cs="Times New Roman"/>
          <w:color w:val="000000" w:themeColor="text1"/>
          <w:szCs w:val="26"/>
        </w:rPr>
        <w:t>s</w:t>
      </w:r>
      <w:r w:rsidRPr="00D10C46">
        <w:rPr>
          <w:rFonts w:cs="Times New Roman"/>
          <w:color w:val="000000" w:themeColor="text1"/>
          <w:szCs w:val="26"/>
        </w:rPr>
        <w:t>.</w:t>
      </w:r>
    </w:p>
    <w:p w:rsidR="007C374B" w:rsidP="000A2CD0" w:rsidRDefault="00670FA8" w14:paraId="47ABBDDC" w14:textId="3DE68559">
      <w:pPr>
        <w:pStyle w:val="Heading3"/>
      </w:pPr>
      <w:bookmarkStart w:name="_Toc176770954" w:id="119"/>
      <w:bookmarkStart w:name="_Toc177021152" w:id="120"/>
      <w:bookmarkStart w:name="_Toc181692901" w:id="121"/>
      <w:r>
        <w:t xml:space="preserve">Providers Changing Status After Conclusion of </w:t>
      </w:r>
      <w:r w:rsidR="00EB6CCA">
        <w:t xml:space="preserve">Migration </w:t>
      </w:r>
      <w:r>
        <w:t>Process</w:t>
      </w:r>
      <w:bookmarkEnd w:id="119"/>
      <w:bookmarkEnd w:id="120"/>
      <w:bookmarkEnd w:id="121"/>
    </w:p>
    <w:p w:rsidR="003D56E5" w:rsidP="00670FA8" w:rsidRDefault="00670FA8" w14:paraId="61D89BFD" w14:textId="2106A7D4">
      <w:pPr>
        <w:pStyle w:val="Standard"/>
        <w:rPr>
          <w:rFonts w:cs="Times New Roman"/>
          <w:color w:val="000000" w:themeColor="text1"/>
          <w:szCs w:val="26"/>
        </w:rPr>
      </w:pPr>
      <w:r w:rsidRPr="00D10C46">
        <w:rPr>
          <w:rFonts w:cs="Times New Roman"/>
          <w:color w:val="000000" w:themeColor="text1"/>
          <w:szCs w:val="26"/>
        </w:rPr>
        <w:t xml:space="preserve">Once the </w:t>
      </w:r>
      <w:r w:rsidR="008E2858">
        <w:rPr>
          <w:rFonts w:cs="Times New Roman"/>
          <w:color w:val="000000" w:themeColor="text1"/>
          <w:szCs w:val="26"/>
        </w:rPr>
        <w:t>migration</w:t>
      </w:r>
      <w:r w:rsidR="00335076">
        <w:rPr>
          <w:rFonts w:cs="Times New Roman"/>
          <w:color w:val="000000" w:themeColor="text1"/>
          <w:szCs w:val="26"/>
        </w:rPr>
        <w:t xml:space="preserve"> period </w:t>
      </w:r>
      <w:r>
        <w:rPr>
          <w:rFonts w:cs="Times New Roman"/>
          <w:color w:val="000000" w:themeColor="text1"/>
          <w:szCs w:val="26"/>
        </w:rPr>
        <w:t xml:space="preserve">concludes, </w:t>
      </w:r>
      <w:r w:rsidR="00E85F33">
        <w:rPr>
          <w:rFonts w:cs="Times New Roman"/>
          <w:color w:val="000000" w:themeColor="text1"/>
          <w:szCs w:val="26"/>
        </w:rPr>
        <w:t xml:space="preserve">interconnected VoIP </w:t>
      </w:r>
      <w:r w:rsidR="0084515C">
        <w:rPr>
          <w:rFonts w:cs="Times New Roman"/>
          <w:color w:val="000000" w:themeColor="text1"/>
          <w:szCs w:val="26"/>
        </w:rPr>
        <w:t>service</w:t>
      </w:r>
      <w:r>
        <w:rPr>
          <w:rFonts w:cs="Times New Roman"/>
          <w:color w:val="000000" w:themeColor="text1"/>
          <w:szCs w:val="26"/>
        </w:rPr>
        <w:t xml:space="preserve"> providers ceasing operations must adhere to the process outlined in </w:t>
      </w:r>
      <w:r w:rsidR="00263840">
        <w:rPr>
          <w:rFonts w:cs="Times New Roman"/>
          <w:color w:val="000000" w:themeColor="text1"/>
          <w:szCs w:val="26"/>
        </w:rPr>
        <w:t>Res. </w:t>
      </w:r>
      <w:r w:rsidRPr="00D10C46">
        <w:rPr>
          <w:rFonts w:cs="Times New Roman"/>
          <w:color w:val="000000" w:themeColor="text1"/>
          <w:szCs w:val="26"/>
        </w:rPr>
        <w:t>T</w:t>
      </w:r>
      <w:r w:rsidR="006951D5">
        <w:rPr>
          <w:rFonts w:cs="Times New Roman"/>
          <w:color w:val="000000" w:themeColor="text1"/>
          <w:szCs w:val="26"/>
        </w:rPr>
        <w:noBreakHyphen/>
      </w:r>
      <w:r w:rsidRPr="00D10C46">
        <w:rPr>
          <w:rFonts w:cs="Times New Roman"/>
          <w:color w:val="000000" w:themeColor="text1"/>
          <w:szCs w:val="26"/>
        </w:rPr>
        <w:t>17723 if they no longer wish to operate in California.</w:t>
      </w:r>
    </w:p>
    <w:p w:rsidRPr="00670FA8" w:rsidR="00DE795F" w:rsidP="00DE795F" w:rsidRDefault="00DE795F" w14:paraId="5AC90F38" w14:textId="4DC9793F">
      <w:pPr>
        <w:pStyle w:val="Standard"/>
      </w:pPr>
      <w:r w:rsidRPr="00D10C46">
        <w:rPr>
          <w:rFonts w:cs="Times New Roman"/>
          <w:color w:val="000000" w:themeColor="text1"/>
          <w:szCs w:val="26"/>
        </w:rPr>
        <w:t xml:space="preserve">Any </w:t>
      </w:r>
      <w:r w:rsidR="0033191D">
        <w:rPr>
          <w:rFonts w:cs="Times New Roman"/>
          <w:color w:val="000000" w:themeColor="text1"/>
          <w:szCs w:val="26"/>
        </w:rPr>
        <w:t>Section </w:t>
      </w:r>
      <w:r w:rsidRPr="00D10C46">
        <w:rPr>
          <w:rFonts w:cs="Times New Roman"/>
          <w:color w:val="000000" w:themeColor="text1"/>
          <w:szCs w:val="26"/>
        </w:rPr>
        <w:t xml:space="preserve">285 </w:t>
      </w:r>
      <w:r w:rsidR="002A3766">
        <w:rPr>
          <w:rFonts w:cs="Times New Roman"/>
          <w:color w:val="000000" w:themeColor="text1"/>
          <w:szCs w:val="26"/>
        </w:rPr>
        <w:t>service</w:t>
      </w:r>
      <w:r w:rsidRPr="00D10C46">
        <w:rPr>
          <w:rFonts w:cs="Times New Roman"/>
          <w:color w:val="000000" w:themeColor="text1"/>
          <w:szCs w:val="26"/>
        </w:rPr>
        <w:t xml:space="preserve"> </w:t>
      </w:r>
      <w:r>
        <w:rPr>
          <w:rFonts w:cs="Times New Roman"/>
          <w:color w:val="000000" w:themeColor="text1"/>
          <w:szCs w:val="26"/>
        </w:rPr>
        <w:t>provider</w:t>
      </w:r>
      <w:r w:rsidRPr="00D10C46">
        <w:rPr>
          <w:rFonts w:cs="Times New Roman"/>
          <w:color w:val="000000" w:themeColor="text1"/>
          <w:szCs w:val="26"/>
        </w:rPr>
        <w:t xml:space="preserve"> that </w:t>
      </w:r>
      <w:r>
        <w:rPr>
          <w:rFonts w:cs="Times New Roman"/>
          <w:color w:val="000000" w:themeColor="text1"/>
          <w:szCs w:val="26"/>
        </w:rPr>
        <w:t xml:space="preserve">is approved to </w:t>
      </w:r>
      <w:r w:rsidRPr="00D10C46">
        <w:rPr>
          <w:rFonts w:cs="Times New Roman"/>
          <w:color w:val="000000" w:themeColor="text1"/>
          <w:szCs w:val="26"/>
        </w:rPr>
        <w:t xml:space="preserve">voluntarily surrender and </w:t>
      </w:r>
      <w:r>
        <w:rPr>
          <w:rFonts w:cs="Times New Roman"/>
          <w:color w:val="000000" w:themeColor="text1"/>
          <w:szCs w:val="26"/>
        </w:rPr>
        <w:t xml:space="preserve">subsequently </w:t>
      </w:r>
      <w:r w:rsidRPr="00D10C46">
        <w:rPr>
          <w:rFonts w:cs="Times New Roman"/>
          <w:color w:val="000000" w:themeColor="text1"/>
          <w:szCs w:val="26"/>
        </w:rPr>
        <w:t>seeks to operat</w:t>
      </w:r>
      <w:r>
        <w:rPr>
          <w:rFonts w:cs="Times New Roman"/>
          <w:color w:val="000000" w:themeColor="text1"/>
          <w:szCs w:val="26"/>
        </w:rPr>
        <w:t>e</w:t>
      </w:r>
      <w:r w:rsidRPr="00D10C46">
        <w:rPr>
          <w:rFonts w:cs="Times New Roman"/>
          <w:color w:val="000000" w:themeColor="text1"/>
          <w:szCs w:val="26"/>
        </w:rPr>
        <w:t xml:space="preserve"> in California must </w:t>
      </w:r>
      <w:r>
        <w:rPr>
          <w:rFonts w:cs="Times New Roman"/>
          <w:color w:val="000000" w:themeColor="text1"/>
          <w:szCs w:val="26"/>
        </w:rPr>
        <w:t>apply for</w:t>
      </w:r>
      <w:r w:rsidRPr="00D10C46">
        <w:rPr>
          <w:rFonts w:cs="Times New Roman"/>
          <w:color w:val="000000" w:themeColor="text1"/>
          <w:szCs w:val="26"/>
        </w:rPr>
        <w:t xml:space="preserve"> and comply with the </w:t>
      </w:r>
      <w:r>
        <w:rPr>
          <w:rFonts w:cs="Times New Roman"/>
          <w:color w:val="000000" w:themeColor="text1"/>
          <w:szCs w:val="26"/>
        </w:rPr>
        <w:t>new</w:t>
      </w:r>
      <w:r w:rsidRPr="00D10C46">
        <w:rPr>
          <w:rFonts w:cs="Times New Roman"/>
          <w:color w:val="000000" w:themeColor="text1"/>
          <w:szCs w:val="26"/>
        </w:rPr>
        <w:t xml:space="preserve"> licensing or registration </w:t>
      </w:r>
      <w:r>
        <w:rPr>
          <w:rFonts w:cs="Times New Roman"/>
          <w:color w:val="000000" w:themeColor="text1"/>
          <w:szCs w:val="26"/>
        </w:rPr>
        <w:t xml:space="preserve">framework </w:t>
      </w:r>
      <w:r w:rsidR="007527D3">
        <w:rPr>
          <w:rFonts w:cs="Times New Roman"/>
          <w:color w:val="000000" w:themeColor="text1"/>
          <w:szCs w:val="26"/>
        </w:rPr>
        <w:t xml:space="preserve">set forth in </w:t>
      </w:r>
      <w:r>
        <w:rPr>
          <w:rFonts w:cs="Times New Roman"/>
          <w:color w:val="000000" w:themeColor="text1"/>
          <w:szCs w:val="26"/>
        </w:rPr>
        <w:t>this decision</w:t>
      </w:r>
      <w:r w:rsidRPr="00D10C46">
        <w:rPr>
          <w:rFonts w:cs="Times New Roman"/>
          <w:color w:val="000000" w:themeColor="text1"/>
          <w:szCs w:val="26"/>
        </w:rPr>
        <w:t xml:space="preserve">. Any </w:t>
      </w:r>
      <w:r w:rsidR="0033191D">
        <w:rPr>
          <w:rFonts w:cs="Times New Roman"/>
          <w:color w:val="000000" w:themeColor="text1"/>
          <w:szCs w:val="26"/>
        </w:rPr>
        <w:t>Section </w:t>
      </w:r>
      <w:r w:rsidRPr="00D10C46">
        <w:rPr>
          <w:rFonts w:cs="Times New Roman"/>
          <w:color w:val="000000" w:themeColor="text1"/>
          <w:szCs w:val="26"/>
        </w:rPr>
        <w:t xml:space="preserve">285 </w:t>
      </w:r>
      <w:r w:rsidR="00801214">
        <w:rPr>
          <w:rFonts w:cs="Times New Roman"/>
          <w:color w:val="000000" w:themeColor="text1"/>
          <w:szCs w:val="26"/>
        </w:rPr>
        <w:t>service</w:t>
      </w:r>
      <w:r w:rsidRPr="00D10C46">
        <w:rPr>
          <w:rFonts w:cs="Times New Roman"/>
          <w:color w:val="000000" w:themeColor="text1"/>
          <w:szCs w:val="26"/>
        </w:rPr>
        <w:t xml:space="preserve"> </w:t>
      </w:r>
      <w:r>
        <w:rPr>
          <w:rFonts w:cs="Times New Roman"/>
          <w:color w:val="000000" w:themeColor="text1"/>
          <w:szCs w:val="26"/>
        </w:rPr>
        <w:t>provider</w:t>
      </w:r>
      <w:r w:rsidRPr="00D10C46">
        <w:rPr>
          <w:rFonts w:cs="Times New Roman"/>
          <w:color w:val="000000" w:themeColor="text1"/>
          <w:szCs w:val="26"/>
        </w:rPr>
        <w:t xml:space="preserve"> that continue</w:t>
      </w:r>
      <w:r>
        <w:rPr>
          <w:rFonts w:cs="Times New Roman"/>
          <w:color w:val="000000" w:themeColor="text1"/>
          <w:szCs w:val="26"/>
        </w:rPr>
        <w:t>s</w:t>
      </w:r>
      <w:r w:rsidRPr="00D10C46">
        <w:rPr>
          <w:rFonts w:cs="Times New Roman"/>
          <w:color w:val="000000" w:themeColor="text1"/>
          <w:szCs w:val="26"/>
        </w:rPr>
        <w:t xml:space="preserve"> to operate </w:t>
      </w:r>
      <w:r>
        <w:rPr>
          <w:rFonts w:cs="Times New Roman"/>
          <w:color w:val="000000" w:themeColor="text1"/>
          <w:szCs w:val="26"/>
        </w:rPr>
        <w:t>after</w:t>
      </w:r>
      <w:r w:rsidRPr="00D10C46">
        <w:rPr>
          <w:rFonts w:cs="Times New Roman"/>
          <w:color w:val="000000" w:themeColor="text1"/>
          <w:szCs w:val="26"/>
        </w:rPr>
        <w:t xml:space="preserve"> voluntar</w:t>
      </w:r>
      <w:r>
        <w:rPr>
          <w:rFonts w:cs="Times New Roman"/>
          <w:color w:val="000000" w:themeColor="text1"/>
          <w:szCs w:val="26"/>
        </w:rPr>
        <w:t>il</w:t>
      </w:r>
      <w:r w:rsidRPr="00D10C46">
        <w:rPr>
          <w:rFonts w:cs="Times New Roman"/>
          <w:color w:val="000000" w:themeColor="text1"/>
          <w:szCs w:val="26"/>
        </w:rPr>
        <w:t>y surrender</w:t>
      </w:r>
      <w:r>
        <w:rPr>
          <w:rFonts w:cs="Times New Roman"/>
          <w:color w:val="000000" w:themeColor="text1"/>
          <w:szCs w:val="26"/>
        </w:rPr>
        <w:t>ing</w:t>
      </w:r>
      <w:r w:rsidRPr="00D10C46">
        <w:rPr>
          <w:rFonts w:cs="Times New Roman"/>
          <w:color w:val="000000" w:themeColor="text1"/>
          <w:szCs w:val="26"/>
        </w:rPr>
        <w:t xml:space="preserve"> its </w:t>
      </w:r>
      <w:r w:rsidR="0033191D">
        <w:rPr>
          <w:rFonts w:cs="Times New Roman"/>
          <w:color w:val="000000" w:themeColor="text1"/>
          <w:szCs w:val="26"/>
        </w:rPr>
        <w:t>Section </w:t>
      </w:r>
      <w:r w:rsidR="00B85BF2">
        <w:rPr>
          <w:rFonts w:cs="Times New Roman"/>
          <w:color w:val="000000" w:themeColor="text1"/>
          <w:szCs w:val="26"/>
        </w:rPr>
        <w:t>2</w:t>
      </w:r>
      <w:r w:rsidR="00615C39">
        <w:rPr>
          <w:rFonts w:cs="Times New Roman"/>
          <w:color w:val="000000" w:themeColor="text1"/>
          <w:szCs w:val="26"/>
        </w:rPr>
        <w:t>85</w:t>
      </w:r>
      <w:r w:rsidRPr="00D10C46">
        <w:rPr>
          <w:rFonts w:cs="Times New Roman"/>
          <w:color w:val="000000" w:themeColor="text1"/>
          <w:szCs w:val="26"/>
        </w:rPr>
        <w:t xml:space="preserve"> registration</w:t>
      </w:r>
      <w:r>
        <w:rPr>
          <w:rFonts w:cs="Times New Roman"/>
          <w:color w:val="000000" w:themeColor="text1"/>
          <w:szCs w:val="26"/>
        </w:rPr>
        <w:t xml:space="preserve"> is</w:t>
      </w:r>
      <w:r w:rsidRPr="00D10C46">
        <w:rPr>
          <w:rFonts w:cs="Times New Roman"/>
          <w:color w:val="000000" w:themeColor="text1"/>
          <w:szCs w:val="26"/>
        </w:rPr>
        <w:t xml:space="preserve"> subject to enforcement action by the Commission, including possible fines or other sanctions.</w:t>
      </w:r>
    </w:p>
    <w:p w:rsidR="000D27AB" w:rsidP="000A2CD0" w:rsidRDefault="00045378" w14:paraId="670DE1A8" w14:textId="013BB0D1">
      <w:pPr>
        <w:pStyle w:val="Heading3"/>
      </w:pPr>
      <w:bookmarkStart w:name="_Toc176770955" w:id="122"/>
      <w:bookmarkStart w:name="_Toc177021153" w:id="123"/>
      <w:bookmarkStart w:name="_Toc181692902" w:id="124"/>
      <w:r w:rsidRPr="00045378">
        <w:t>Options for Interconnected VoIP Service Providers Holding Operating Authority</w:t>
      </w:r>
      <w:bookmarkEnd w:id="122"/>
      <w:bookmarkEnd w:id="123"/>
      <w:bookmarkEnd w:id="124"/>
    </w:p>
    <w:p w:rsidR="00A96B31" w:rsidP="00436111" w:rsidRDefault="00E61C45" w14:paraId="4E1B13E5" w14:textId="264A1189">
      <w:pPr>
        <w:pStyle w:val="Standard"/>
      </w:pPr>
      <w:r>
        <w:t xml:space="preserve">Some existing </w:t>
      </w:r>
      <w:r>
        <w:rPr>
          <w:rFonts w:cs="Arial"/>
          <w:color w:val="000000" w:themeColor="text1"/>
        </w:rPr>
        <w:t xml:space="preserve">interconnected VoIP </w:t>
      </w:r>
      <w:r w:rsidR="00BA3871">
        <w:rPr>
          <w:rFonts w:cs="Arial"/>
          <w:color w:val="000000" w:themeColor="text1"/>
        </w:rPr>
        <w:t xml:space="preserve">service </w:t>
      </w:r>
      <w:r>
        <w:rPr>
          <w:rFonts w:cs="Arial"/>
          <w:color w:val="000000" w:themeColor="text1"/>
        </w:rPr>
        <w:t xml:space="preserve">providers </w:t>
      </w:r>
      <w:r w:rsidRPr="005E4EA4" w:rsidR="005E4EA4">
        <w:rPr>
          <w:rFonts w:cs="Arial"/>
          <w:color w:val="000000" w:themeColor="text1"/>
        </w:rPr>
        <w:t xml:space="preserve">sought and were granted operating authority, and additionally </w:t>
      </w:r>
      <w:r>
        <w:rPr>
          <w:rFonts w:cs="Arial"/>
          <w:color w:val="000000" w:themeColor="text1"/>
        </w:rPr>
        <w:t xml:space="preserve">registered through the prior </w:t>
      </w:r>
      <w:r w:rsidR="0033191D">
        <w:t>Section </w:t>
      </w:r>
      <w:r>
        <w:t>285 process</w:t>
      </w:r>
      <w:r w:rsidR="00436111">
        <w:t xml:space="preserve">. </w:t>
      </w:r>
      <w:r w:rsidRPr="0057661E" w:rsidR="0057661E">
        <w:t xml:space="preserve">Unique Utility ID Numbers were issued to service providers registered through the prior Section 285 process even if they already held operating authority under a separate utility ID Number. </w:t>
      </w:r>
      <w:r w:rsidR="00D32880">
        <w:t xml:space="preserve">Unless these providers take action to </w:t>
      </w:r>
      <w:r w:rsidR="00273CA8">
        <w:t xml:space="preserve">deactivate </w:t>
      </w:r>
      <w:r w:rsidR="00D32880">
        <w:t xml:space="preserve">one of the </w:t>
      </w:r>
      <w:r w:rsidR="005B3ADF">
        <w:t>Utility ID Number</w:t>
      </w:r>
      <w:r w:rsidR="00D32880">
        <w:t xml:space="preserve">s, they will remain in possession of more than one </w:t>
      </w:r>
      <w:r w:rsidR="00F93F90">
        <w:t>Utility ID Number</w:t>
      </w:r>
      <w:r w:rsidR="00D32880">
        <w:t xml:space="preserve">; the </w:t>
      </w:r>
      <w:r w:rsidR="00F93F90">
        <w:t>Utility ID Number</w:t>
      </w:r>
      <w:r w:rsidR="00D32880">
        <w:t xml:space="preserve"> associated with the prior grant of operating authority, and the </w:t>
      </w:r>
      <w:r w:rsidR="00F93F90">
        <w:t>Utility ID Number</w:t>
      </w:r>
      <w:r w:rsidR="00D32880">
        <w:t xml:space="preserve"> associated with the prior </w:t>
      </w:r>
      <w:r w:rsidR="0033191D">
        <w:t>Section </w:t>
      </w:r>
      <w:r w:rsidR="00D32880">
        <w:t>285 process.</w:t>
      </w:r>
    </w:p>
    <w:p w:rsidR="00436111" w:rsidP="00436111" w:rsidRDefault="004B01BE" w14:paraId="4320D28A" w14:textId="5326247B">
      <w:pPr>
        <w:pStyle w:val="Standard"/>
      </w:pPr>
      <w:r>
        <w:lastRenderedPageBreak/>
        <w:t xml:space="preserve">To ease administrative burdens, make the </w:t>
      </w:r>
      <w:r w:rsidR="005152DA">
        <w:t xml:space="preserve">migration </w:t>
      </w:r>
      <w:r>
        <w:t>as seamless as possible, and accommodate providers</w:t>
      </w:r>
      <w:r w:rsidR="00893D67">
        <w:t>’</w:t>
      </w:r>
      <w:r>
        <w:t xml:space="preserve"> business models, providers subject to the </w:t>
      </w:r>
      <w:r w:rsidR="00FF4B3F">
        <w:t xml:space="preserve">migration </w:t>
      </w:r>
      <w:r>
        <w:t xml:space="preserve">process may elect to </w:t>
      </w:r>
      <w:r w:rsidR="00436111">
        <w:t xml:space="preserve">consolidate their </w:t>
      </w:r>
      <w:r w:rsidR="00275397">
        <w:t>Utility ID Number</w:t>
      </w:r>
      <w:r w:rsidR="00180F58">
        <w:t>s</w:t>
      </w:r>
      <w:r w:rsidR="00436111">
        <w:t xml:space="preserve"> into </w:t>
      </w:r>
      <w:r>
        <w:t>the</w:t>
      </w:r>
      <w:r w:rsidR="00436111">
        <w:t xml:space="preserve"> existing wireline authority or maintain separate </w:t>
      </w:r>
      <w:r w:rsidR="00275397">
        <w:t>Utility ID Number</w:t>
      </w:r>
      <w:r w:rsidR="00436111">
        <w:t>s</w:t>
      </w:r>
      <w:r>
        <w:t xml:space="preserve"> each with unique </w:t>
      </w:r>
      <w:r w:rsidR="00C06A13">
        <w:t xml:space="preserve">utility </w:t>
      </w:r>
      <w:r>
        <w:t>type designation</w:t>
      </w:r>
      <w:r w:rsidR="00436111">
        <w:t xml:space="preserve">. </w:t>
      </w:r>
      <w:r>
        <w:t xml:space="preserve">Providers </w:t>
      </w:r>
      <w:r w:rsidR="004E40E5">
        <w:t>must</w:t>
      </w:r>
      <w:r w:rsidR="00436111">
        <w:t xml:space="preserve"> comply with all reporting obligations associated with each </w:t>
      </w:r>
      <w:r w:rsidR="0057661E">
        <w:t>U</w:t>
      </w:r>
      <w:r w:rsidR="00436111">
        <w:t xml:space="preserve">tility </w:t>
      </w:r>
      <w:r w:rsidR="00416716">
        <w:t>ID Number</w:t>
      </w:r>
      <w:r w:rsidR="00436111">
        <w:t>.</w:t>
      </w:r>
    </w:p>
    <w:p w:rsidRPr="00436111" w:rsidR="00436111" w:rsidP="00436111" w:rsidRDefault="00436111" w14:paraId="16DD4EB2" w14:textId="1FD6133A">
      <w:pPr>
        <w:pStyle w:val="Standard"/>
      </w:pPr>
      <w:r w:rsidRPr="00D10C46">
        <w:rPr>
          <w:rFonts w:cs="Times New Roman"/>
          <w:szCs w:val="26"/>
        </w:rPr>
        <w:t>After the</w:t>
      </w:r>
      <w:r>
        <w:rPr>
          <w:rFonts w:cs="Times New Roman"/>
          <w:szCs w:val="26"/>
        </w:rPr>
        <w:t xml:space="preserve"> completion of the</w:t>
      </w:r>
      <w:r w:rsidRPr="00D10C46" w:rsidDel="00780A6B">
        <w:rPr>
          <w:rFonts w:cs="Times New Roman"/>
          <w:szCs w:val="26"/>
        </w:rPr>
        <w:t xml:space="preserve"> </w:t>
      </w:r>
      <w:r w:rsidR="00780A6B">
        <w:rPr>
          <w:rFonts w:cs="Times New Roman"/>
          <w:szCs w:val="26"/>
        </w:rPr>
        <w:t>migration</w:t>
      </w:r>
      <w:r w:rsidRPr="00D10C46">
        <w:rPr>
          <w:rFonts w:cs="Times New Roman"/>
          <w:szCs w:val="26"/>
        </w:rPr>
        <w:t xml:space="preserve"> process, </w:t>
      </w:r>
      <w:r w:rsidR="00D32880">
        <w:rPr>
          <w:rFonts w:cs="Times New Roman"/>
          <w:szCs w:val="26"/>
        </w:rPr>
        <w:t>providers with a DVF utility type</w:t>
      </w:r>
      <w:r>
        <w:rPr>
          <w:rFonts w:cs="Times New Roman"/>
          <w:szCs w:val="26"/>
        </w:rPr>
        <w:t xml:space="preserve"> </w:t>
      </w:r>
      <w:r w:rsidR="00D32880">
        <w:rPr>
          <w:rFonts w:cs="Times New Roman"/>
          <w:szCs w:val="26"/>
        </w:rPr>
        <w:t xml:space="preserve">may request approval to discard the </w:t>
      </w:r>
      <w:r w:rsidR="00275397">
        <w:rPr>
          <w:rFonts w:cs="Times New Roman"/>
          <w:szCs w:val="26"/>
        </w:rPr>
        <w:t>Utility ID Number</w:t>
      </w:r>
      <w:r w:rsidR="00D32880">
        <w:rPr>
          <w:rFonts w:cs="Times New Roman"/>
          <w:szCs w:val="26"/>
        </w:rPr>
        <w:t xml:space="preserve"> associated with the DVF </w:t>
      </w:r>
      <w:r w:rsidR="000252D9">
        <w:rPr>
          <w:rFonts w:cs="Times New Roman"/>
          <w:szCs w:val="26"/>
        </w:rPr>
        <w:t xml:space="preserve">utility </w:t>
      </w:r>
      <w:r w:rsidR="00D32880">
        <w:rPr>
          <w:rFonts w:cs="Times New Roman"/>
          <w:szCs w:val="26"/>
        </w:rPr>
        <w:t>type designation</w:t>
      </w:r>
      <w:r w:rsidRPr="00D10C46">
        <w:rPr>
          <w:rFonts w:cs="Times New Roman"/>
          <w:szCs w:val="26"/>
        </w:rPr>
        <w:t xml:space="preserve"> </w:t>
      </w:r>
      <w:r w:rsidR="00E222E9">
        <w:rPr>
          <w:rFonts w:cs="Times New Roman"/>
          <w:szCs w:val="26"/>
        </w:rPr>
        <w:t>by filing a</w:t>
      </w:r>
      <w:r w:rsidRPr="00D10C46">
        <w:rPr>
          <w:rFonts w:cs="Times New Roman"/>
          <w:szCs w:val="26"/>
        </w:rPr>
        <w:t xml:space="preserve"> </w:t>
      </w:r>
      <w:r w:rsidR="005F2D22">
        <w:rPr>
          <w:rFonts w:cs="Times New Roman"/>
          <w:szCs w:val="26"/>
        </w:rPr>
        <w:t>Tier 2</w:t>
      </w:r>
      <w:r w:rsidRPr="00D10C46">
        <w:rPr>
          <w:rFonts w:cs="Times New Roman"/>
          <w:szCs w:val="26"/>
        </w:rPr>
        <w:t xml:space="preserve"> advice </w:t>
      </w:r>
      <w:r w:rsidRPr="00476E84">
        <w:rPr>
          <w:color w:val="000000" w:themeColor="text1"/>
        </w:rPr>
        <w:t>letter</w:t>
      </w:r>
      <w:r w:rsidRPr="00D10C46">
        <w:rPr>
          <w:rFonts w:cs="Times New Roman"/>
          <w:szCs w:val="26"/>
        </w:rPr>
        <w:t>.</w:t>
      </w:r>
      <w:r w:rsidR="00E222E9">
        <w:rPr>
          <w:rStyle w:val="FootnoteReference"/>
          <w:rFonts w:cs="Times New Roman"/>
          <w:szCs w:val="26"/>
        </w:rPr>
        <w:footnoteReference w:id="148"/>
      </w:r>
      <w:r w:rsidRPr="00D10C46">
        <w:rPr>
          <w:rFonts w:cs="Times New Roman"/>
          <w:szCs w:val="26"/>
        </w:rPr>
        <w:t xml:space="preserve"> Upon approval, </w:t>
      </w:r>
      <w:r w:rsidR="003F605B">
        <w:rPr>
          <w:rFonts w:cs="Times New Roman"/>
          <w:szCs w:val="26"/>
        </w:rPr>
        <w:t>Communications Division</w:t>
      </w:r>
      <w:r w:rsidR="00EF07BE">
        <w:rPr>
          <w:rFonts w:cs="Times New Roman"/>
          <w:szCs w:val="26"/>
        </w:rPr>
        <w:t xml:space="preserve"> </w:t>
      </w:r>
      <w:r w:rsidR="00820DE7">
        <w:rPr>
          <w:rFonts w:cs="Times New Roman"/>
          <w:szCs w:val="26"/>
        </w:rPr>
        <w:t>s</w:t>
      </w:r>
      <w:r w:rsidR="00EF07BE">
        <w:rPr>
          <w:rFonts w:cs="Times New Roman"/>
          <w:szCs w:val="26"/>
        </w:rPr>
        <w:t>taff</w:t>
      </w:r>
      <w:r w:rsidRPr="00D10C46">
        <w:rPr>
          <w:rFonts w:cs="Times New Roman"/>
          <w:szCs w:val="26"/>
        </w:rPr>
        <w:t xml:space="preserve"> will update Commission records to reflect the change, including deactivating the </w:t>
      </w:r>
      <w:r>
        <w:rPr>
          <w:rFonts w:cs="Times New Roman"/>
          <w:szCs w:val="26"/>
        </w:rPr>
        <w:t>provider</w:t>
      </w:r>
      <w:r w:rsidR="00893D67">
        <w:rPr>
          <w:rFonts w:cs="Times New Roman"/>
          <w:szCs w:val="26"/>
        </w:rPr>
        <w:t>’</w:t>
      </w:r>
      <w:r>
        <w:rPr>
          <w:rFonts w:cs="Times New Roman"/>
          <w:szCs w:val="26"/>
        </w:rPr>
        <w:t>s</w:t>
      </w:r>
      <w:r w:rsidRPr="00D10C46">
        <w:rPr>
          <w:rFonts w:cs="Times New Roman"/>
          <w:szCs w:val="26"/>
        </w:rPr>
        <w:t xml:space="preserve"> </w:t>
      </w:r>
      <w:r w:rsidR="00275397">
        <w:rPr>
          <w:rFonts w:cs="Times New Roman"/>
          <w:szCs w:val="26"/>
        </w:rPr>
        <w:t>Utility ID Number</w:t>
      </w:r>
      <w:r w:rsidRPr="00D10C46">
        <w:rPr>
          <w:rFonts w:cs="Times New Roman"/>
          <w:szCs w:val="26"/>
        </w:rPr>
        <w:t xml:space="preserve"> (</w:t>
      </w:r>
      <w:r w:rsidRPr="004A120D" w:rsidR="004A120D">
        <w:rPr>
          <w:rFonts w:cs="Times New Roman"/>
          <w:i/>
          <w:iCs/>
          <w:szCs w:val="26"/>
        </w:rPr>
        <w:t>i.e.</w:t>
      </w:r>
      <w:r w:rsidRPr="00D10C46">
        <w:rPr>
          <w:rFonts w:cs="Times New Roman"/>
          <w:szCs w:val="26"/>
        </w:rPr>
        <w:t xml:space="preserve">, the one originally issued through the </w:t>
      </w:r>
      <w:r w:rsidR="0033191D">
        <w:rPr>
          <w:rFonts w:cs="Times New Roman"/>
          <w:szCs w:val="26"/>
        </w:rPr>
        <w:t>Section </w:t>
      </w:r>
      <w:r w:rsidR="00107038">
        <w:rPr>
          <w:rFonts w:cs="Times New Roman"/>
          <w:szCs w:val="26"/>
        </w:rPr>
        <w:t>285</w:t>
      </w:r>
      <w:r w:rsidRPr="00D10C46" w:rsidR="00107038">
        <w:rPr>
          <w:rFonts w:cs="Times New Roman"/>
          <w:szCs w:val="26"/>
        </w:rPr>
        <w:t xml:space="preserve"> </w:t>
      </w:r>
      <w:r w:rsidRPr="00D10C46">
        <w:rPr>
          <w:rFonts w:cs="Times New Roman"/>
          <w:szCs w:val="26"/>
        </w:rPr>
        <w:t xml:space="preserve">registration process that underwent the </w:t>
      </w:r>
      <w:r w:rsidR="00B13AA9">
        <w:rPr>
          <w:rFonts w:cs="Times New Roman"/>
          <w:szCs w:val="26"/>
        </w:rPr>
        <w:t>migration</w:t>
      </w:r>
      <w:r w:rsidRPr="00D10C46">
        <w:rPr>
          <w:rFonts w:cs="Times New Roman"/>
          <w:szCs w:val="26"/>
        </w:rPr>
        <w:t xml:space="preserve">) and adding the DVF utility type into the wireline </w:t>
      </w:r>
      <w:r w:rsidR="00F93F90">
        <w:rPr>
          <w:rFonts w:cs="Times New Roman"/>
          <w:szCs w:val="26"/>
        </w:rPr>
        <w:t>Utility ID Number</w:t>
      </w:r>
      <w:r w:rsidRPr="00D10C46">
        <w:rPr>
          <w:rFonts w:cs="Times New Roman"/>
          <w:szCs w:val="26"/>
        </w:rPr>
        <w:t xml:space="preserve">. After the consolidation, the </w:t>
      </w:r>
      <w:r>
        <w:rPr>
          <w:rFonts w:cs="Times New Roman"/>
          <w:szCs w:val="26"/>
        </w:rPr>
        <w:t>provider</w:t>
      </w:r>
      <w:r w:rsidRPr="00D10C46">
        <w:rPr>
          <w:rFonts w:cs="Times New Roman"/>
          <w:szCs w:val="26"/>
        </w:rPr>
        <w:t xml:space="preserve"> will continue to operate under the remaining </w:t>
      </w:r>
      <w:r w:rsidR="00275397">
        <w:rPr>
          <w:rFonts w:cs="Times New Roman"/>
          <w:szCs w:val="26"/>
        </w:rPr>
        <w:t>Utility ID Number</w:t>
      </w:r>
      <w:r w:rsidRPr="00D10C46">
        <w:rPr>
          <w:rFonts w:cs="Times New Roman"/>
          <w:szCs w:val="26"/>
        </w:rPr>
        <w:t xml:space="preserve"> and </w:t>
      </w:r>
      <w:r w:rsidR="00130FF5">
        <w:rPr>
          <w:rFonts w:cs="Times New Roman"/>
          <w:szCs w:val="26"/>
        </w:rPr>
        <w:t>attendant obligations</w:t>
      </w:r>
      <w:r w:rsidRPr="00D10C46">
        <w:rPr>
          <w:rFonts w:cs="Times New Roman"/>
          <w:szCs w:val="26"/>
        </w:rPr>
        <w:t>.</w:t>
      </w:r>
    </w:p>
    <w:p w:rsidR="00A96B31" w:rsidP="000A2CD0" w:rsidRDefault="00AC3146" w14:paraId="7B4872A4" w14:textId="79525A33">
      <w:pPr>
        <w:pStyle w:val="Heading2"/>
      </w:pPr>
      <w:bookmarkStart w:name="_Toc176770956" w:id="125"/>
      <w:bookmarkStart w:name="_Toc177021154" w:id="126"/>
      <w:bookmarkStart w:name="_Toc181692903" w:id="127"/>
      <w:r>
        <w:t xml:space="preserve">Existing Interconnected </w:t>
      </w:r>
      <w:r w:rsidRPr="19E6B670" w:rsidR="009D389C">
        <w:t>Voice Over</w:t>
      </w:r>
      <w:r w:rsidR="00CE2BA0">
        <w:br/>
      </w:r>
      <w:r w:rsidRPr="19E6B670" w:rsidR="009D389C">
        <w:t>Internet Protocol</w:t>
      </w:r>
      <w:r>
        <w:t xml:space="preserve"> Service </w:t>
      </w:r>
      <w:r w:rsidR="005A35C8">
        <w:t>P</w:t>
      </w:r>
      <w:r>
        <w:t>roviders</w:t>
      </w:r>
      <w:r w:rsidR="00CE2BA0">
        <w:br/>
      </w:r>
      <w:r w:rsidR="008B16FE">
        <w:t>Granted</w:t>
      </w:r>
      <w:r w:rsidR="00192E92">
        <w:t xml:space="preserve"> </w:t>
      </w:r>
      <w:r w:rsidR="0033191D">
        <w:t>Section </w:t>
      </w:r>
      <w:r w:rsidR="00192E92">
        <w:t xml:space="preserve">1001 or </w:t>
      </w:r>
      <w:r w:rsidR="0033191D">
        <w:t>Section </w:t>
      </w:r>
      <w:r w:rsidR="00192E92">
        <w:t>1013</w:t>
      </w:r>
      <w:r w:rsidR="00CE2BA0">
        <w:br/>
      </w:r>
      <w:r w:rsidR="00BF7198">
        <w:t>Operating Authority</w:t>
      </w:r>
      <w:bookmarkEnd w:id="125"/>
      <w:bookmarkEnd w:id="126"/>
      <w:r w:rsidR="007900BE">
        <w:t xml:space="preserve"> Since August 2022</w:t>
      </w:r>
      <w:bookmarkEnd w:id="127"/>
    </w:p>
    <w:p w:rsidR="00A96B31" w:rsidP="00ED1999" w:rsidRDefault="00ED36AE" w14:paraId="6078415E" w14:textId="70FDD4F4">
      <w:pPr>
        <w:pStyle w:val="Standard"/>
      </w:pPr>
      <w:r>
        <w:t>During the pendency of this proceeding, some</w:t>
      </w:r>
      <w:r w:rsidRPr="00234CE1" w:rsidR="00ED1999">
        <w:t xml:space="preserve"> interconnected VoIP </w:t>
      </w:r>
      <w:r w:rsidR="00ED1999">
        <w:t>service</w:t>
      </w:r>
      <w:r w:rsidRPr="00234CE1" w:rsidR="00ED1999">
        <w:t xml:space="preserve"> providers</w:t>
      </w:r>
      <w:r w:rsidR="00ED1999">
        <w:t xml:space="preserve"> </w:t>
      </w:r>
      <w:r w:rsidR="00224CED">
        <w:t>obtained</w:t>
      </w:r>
      <w:r w:rsidRPr="00234CE1" w:rsidR="00ED1999">
        <w:t xml:space="preserve"> operating authority as interexchange </w:t>
      </w:r>
      <w:r w:rsidR="00973251">
        <w:t>reseller</w:t>
      </w:r>
      <w:r w:rsidR="00E047B0">
        <w:t>s</w:t>
      </w:r>
      <w:r w:rsidRPr="00234CE1" w:rsidR="00ED1999">
        <w:t xml:space="preserve"> </w:t>
      </w:r>
      <w:r w:rsidR="00715A73">
        <w:t>(IER)</w:t>
      </w:r>
      <w:r w:rsidRPr="00234CE1" w:rsidR="00ED1999">
        <w:t xml:space="preserve"> pursuant to </w:t>
      </w:r>
      <w:r w:rsidR="0033191D">
        <w:t>Section 1001 and Section 1013</w:t>
      </w:r>
      <w:r w:rsidRPr="00234CE1" w:rsidR="00ED1999">
        <w:t xml:space="preserve">. This decision adopts a streamlined </w:t>
      </w:r>
      <w:r w:rsidR="00ED1999">
        <w:t>migration</w:t>
      </w:r>
      <w:r w:rsidRPr="00234CE1" w:rsidR="00ED1999">
        <w:t xml:space="preserve"> of existing interconnected VoIP </w:t>
      </w:r>
      <w:r w:rsidR="00BA3871">
        <w:t xml:space="preserve">service </w:t>
      </w:r>
      <w:r w:rsidRPr="00234CE1" w:rsidR="00ED1999">
        <w:t xml:space="preserve">providers that were granted operating authority solely as resold interexchange </w:t>
      </w:r>
      <w:r w:rsidR="00365577">
        <w:t xml:space="preserve">service </w:t>
      </w:r>
      <w:r w:rsidR="00ED1999">
        <w:t>provider</w:t>
      </w:r>
      <w:r w:rsidR="13AF42D2">
        <w:t>s</w:t>
      </w:r>
      <w:r w:rsidRPr="00234CE1" w:rsidR="00ED1999">
        <w:t xml:space="preserve"> to the new regulatory framework adopted in this decision.</w:t>
      </w:r>
    </w:p>
    <w:p w:rsidR="00DA715F" w:rsidP="000A2CD0" w:rsidRDefault="00D7386D" w14:paraId="2FA43E5E" w14:textId="2981E1E4">
      <w:pPr>
        <w:pStyle w:val="Heading3"/>
      </w:pPr>
      <w:bookmarkStart w:name="_Toc176770957" w:id="128"/>
      <w:bookmarkStart w:name="_Toc177021155" w:id="129"/>
      <w:bookmarkStart w:name="_Toc181692904" w:id="130"/>
      <w:r>
        <w:lastRenderedPageBreak/>
        <w:t xml:space="preserve">Automatic </w:t>
      </w:r>
      <w:r w:rsidR="000A31E6">
        <w:t xml:space="preserve">Migration </w:t>
      </w:r>
      <w:r w:rsidR="00FE0B4C">
        <w:t>from</w:t>
      </w:r>
      <w:r w:rsidR="00AF38EE">
        <w:br/>
      </w:r>
      <w:r w:rsidRPr="00A9206A" w:rsidR="00A9206A">
        <w:t>Interexchange Reseller</w:t>
      </w:r>
      <w:r w:rsidR="00FE0B4C">
        <w:t xml:space="preserve"> Status</w:t>
      </w:r>
      <w:r w:rsidR="00AF38EE">
        <w:br/>
      </w:r>
      <w:r w:rsidR="00FE0B4C">
        <w:t xml:space="preserve">to </w:t>
      </w:r>
      <w:r w:rsidRPr="00A9206A" w:rsidR="00A9206A">
        <w:t>Digital Voice Fixed</w:t>
      </w:r>
      <w:r w:rsidR="00FE0B4C">
        <w:t xml:space="preserve"> Status</w:t>
      </w:r>
      <w:bookmarkEnd w:id="128"/>
      <w:bookmarkEnd w:id="129"/>
      <w:bookmarkEnd w:id="130"/>
    </w:p>
    <w:p w:rsidR="00A96B31" w:rsidP="00892058" w:rsidRDefault="00892058" w14:paraId="7D4D047F" w14:textId="54BB6C40">
      <w:pPr>
        <w:pStyle w:val="Standard"/>
        <w:rPr>
          <w:color w:val="000000" w:themeColor="text1"/>
        </w:rPr>
      </w:pPr>
      <w:r w:rsidRPr="00892058">
        <w:rPr>
          <w:color w:val="000000" w:themeColor="text1"/>
        </w:rPr>
        <w:t xml:space="preserve">All Interconnected VoIP </w:t>
      </w:r>
      <w:r w:rsidR="00BB0A9D">
        <w:rPr>
          <w:color w:val="000000" w:themeColor="text1"/>
        </w:rPr>
        <w:t>service providers</w:t>
      </w:r>
      <w:r w:rsidRPr="00892058">
        <w:rPr>
          <w:color w:val="000000" w:themeColor="text1"/>
        </w:rPr>
        <w:t xml:space="preserve"> </w:t>
      </w:r>
      <w:r w:rsidR="00973251">
        <w:rPr>
          <w:color w:val="000000" w:themeColor="text1"/>
        </w:rPr>
        <w:t xml:space="preserve">granted operating authority </w:t>
      </w:r>
      <w:r w:rsidR="00F17634">
        <w:rPr>
          <w:color w:val="000000" w:themeColor="text1"/>
        </w:rPr>
        <w:t>with IER status</w:t>
      </w:r>
      <w:r w:rsidRPr="00892058">
        <w:rPr>
          <w:color w:val="000000" w:themeColor="text1"/>
        </w:rPr>
        <w:t xml:space="preserve"> </w:t>
      </w:r>
      <w:r w:rsidR="00B755F7">
        <w:rPr>
          <w:color w:val="000000" w:themeColor="text1"/>
        </w:rPr>
        <w:t>from August 2022 to the present</w:t>
      </w:r>
      <w:r w:rsidRPr="00892058">
        <w:rPr>
          <w:color w:val="000000" w:themeColor="text1"/>
        </w:rPr>
        <w:t xml:space="preserve"> </w:t>
      </w:r>
      <w:r w:rsidRPr="005A7584" w:rsidR="005A7584">
        <w:rPr>
          <w:color w:val="000000" w:themeColor="text1"/>
        </w:rPr>
        <w:t xml:space="preserve">(and listed in Appendix E) </w:t>
      </w:r>
      <w:r w:rsidR="002227CB">
        <w:rPr>
          <w:color w:val="000000" w:themeColor="text1"/>
        </w:rPr>
        <w:t xml:space="preserve">will </w:t>
      </w:r>
      <w:r w:rsidRPr="00892058">
        <w:rPr>
          <w:color w:val="000000" w:themeColor="text1"/>
        </w:rPr>
        <w:t xml:space="preserve">be automatically migrated </w:t>
      </w:r>
      <w:r w:rsidR="00F17634">
        <w:rPr>
          <w:color w:val="000000" w:themeColor="text1"/>
        </w:rPr>
        <w:t xml:space="preserve">to DVF status. </w:t>
      </w:r>
      <w:r w:rsidR="002227CB">
        <w:rPr>
          <w:color w:val="000000" w:themeColor="text1"/>
        </w:rPr>
        <w:t>T</w:t>
      </w:r>
      <w:r w:rsidRPr="00892058">
        <w:rPr>
          <w:color w:val="000000" w:themeColor="text1"/>
        </w:rPr>
        <w:t>he provider must continue to comply with the obligations and requirements set forth in this decision.</w:t>
      </w:r>
    </w:p>
    <w:p w:rsidR="00A96B31" w:rsidP="00E21B1D" w:rsidRDefault="00892058" w14:paraId="6DCC702C" w14:textId="1CF2E133">
      <w:pPr>
        <w:pStyle w:val="Standard"/>
        <w:rPr>
          <w:color w:val="000000" w:themeColor="text1"/>
        </w:rPr>
      </w:pPr>
      <w:r w:rsidRPr="008E5370">
        <w:rPr>
          <w:color w:val="000000" w:themeColor="text1"/>
        </w:rPr>
        <w:t xml:space="preserve">Each migrated service provider will maintain its existing </w:t>
      </w:r>
      <w:r w:rsidR="00F93F90">
        <w:rPr>
          <w:color w:val="000000" w:themeColor="text1"/>
        </w:rPr>
        <w:t>Utility ID Number</w:t>
      </w:r>
      <w:r w:rsidRPr="008E5370">
        <w:rPr>
          <w:color w:val="000000" w:themeColor="text1"/>
        </w:rPr>
        <w:t xml:space="preserve"> and its assigned utility type will change from IER to DVF. After the expiration of the 45</w:t>
      </w:r>
      <w:r w:rsidR="00844EAF">
        <w:rPr>
          <w:color w:val="000000" w:themeColor="text1"/>
        </w:rPr>
        <w:noBreakHyphen/>
      </w:r>
      <w:r w:rsidRPr="008E5370">
        <w:rPr>
          <w:color w:val="000000" w:themeColor="text1"/>
        </w:rPr>
        <w:t>calendar day opt</w:t>
      </w:r>
      <w:r w:rsidR="006951D5">
        <w:rPr>
          <w:color w:val="000000" w:themeColor="text1"/>
        </w:rPr>
        <w:noBreakHyphen/>
      </w:r>
      <w:r w:rsidRPr="008E5370">
        <w:rPr>
          <w:color w:val="000000" w:themeColor="text1"/>
        </w:rPr>
        <w:t xml:space="preserve">out period, </w:t>
      </w:r>
      <w:r w:rsidR="00AA1504">
        <w:rPr>
          <w:color w:val="000000" w:themeColor="text1"/>
        </w:rPr>
        <w:t>Communications Division staff</w:t>
      </w:r>
      <w:r w:rsidRPr="008E5370">
        <w:rPr>
          <w:color w:val="000000" w:themeColor="text1"/>
        </w:rPr>
        <w:t xml:space="preserve"> will update Commission records. This will complete the migration process.</w:t>
      </w:r>
      <w:r w:rsidR="00CD0E2A">
        <w:rPr>
          <w:color w:val="000000" w:themeColor="text1"/>
        </w:rPr>
        <w:t xml:space="preserve"> </w:t>
      </w:r>
      <w:r w:rsidR="00C04D12">
        <w:rPr>
          <w:color w:val="000000" w:themeColor="text1"/>
        </w:rPr>
        <w:t>Appendix </w:t>
      </w:r>
      <w:r w:rsidRPr="008E5370">
        <w:rPr>
          <w:color w:val="000000" w:themeColor="text1"/>
        </w:rPr>
        <w:t>E contains a list of providers included in this automatic migration process. No additional information will be requested from these providers except if they opt out as described below.</w:t>
      </w:r>
    </w:p>
    <w:p w:rsidR="008147B6" w:rsidP="000A2CD0" w:rsidRDefault="00925F84" w14:paraId="3B41F8F3" w14:textId="24CE622C">
      <w:pPr>
        <w:pStyle w:val="Heading3"/>
      </w:pPr>
      <w:bookmarkStart w:name="_Toc176770958" w:id="131"/>
      <w:bookmarkStart w:name="_Toc177021156" w:id="132"/>
      <w:bookmarkStart w:name="_Toc181692905" w:id="133"/>
      <w:r>
        <w:t>Opt</w:t>
      </w:r>
      <w:r w:rsidR="006951D5">
        <w:noBreakHyphen/>
      </w:r>
      <w:r>
        <w:t xml:space="preserve">Out </w:t>
      </w:r>
      <w:r w:rsidR="00323898">
        <w:t xml:space="preserve">of Migration </w:t>
      </w:r>
      <w:r w:rsidR="00A62F87">
        <w:t>From</w:t>
      </w:r>
      <w:r w:rsidR="00A62F87">
        <w:br/>
      </w:r>
      <w:r w:rsidRPr="00A9206A" w:rsidR="00A9206A">
        <w:t>Interexchange Reseller</w:t>
      </w:r>
      <w:r w:rsidR="00013C99">
        <w:t xml:space="preserve"> </w:t>
      </w:r>
      <w:r w:rsidR="0009763F">
        <w:t>Status</w:t>
      </w:r>
      <w:r w:rsidR="00A62F87">
        <w:br/>
      </w:r>
      <w:r w:rsidR="0009763F">
        <w:t xml:space="preserve">to </w:t>
      </w:r>
      <w:r w:rsidRPr="00A9206A" w:rsidR="00A9206A">
        <w:t>Digital Voice Fixed</w:t>
      </w:r>
      <w:r w:rsidR="0009763F">
        <w:t xml:space="preserve"> Status</w:t>
      </w:r>
      <w:bookmarkEnd w:id="131"/>
      <w:bookmarkEnd w:id="132"/>
      <w:bookmarkEnd w:id="133"/>
    </w:p>
    <w:p w:rsidR="00A96B31" w:rsidP="009544D6" w:rsidRDefault="001B4F9E" w14:paraId="0A333670" w14:textId="4D774D26">
      <w:pPr>
        <w:pStyle w:val="Standard"/>
      </w:pPr>
      <w:r>
        <w:t>N</w:t>
      </w:r>
      <w:r w:rsidR="00601D0F">
        <w:t>omadic</w:t>
      </w:r>
      <w:r w:rsidR="006951D5">
        <w:noBreakHyphen/>
      </w:r>
      <w:r w:rsidR="00601D0F">
        <w:t xml:space="preserve">only </w:t>
      </w:r>
      <w:r w:rsidR="00B80861">
        <w:t>intercon</w:t>
      </w:r>
      <w:r w:rsidR="008B0D8F">
        <w:t xml:space="preserve">nected </w:t>
      </w:r>
      <w:r w:rsidR="00D637F4">
        <w:t xml:space="preserve">VoIP </w:t>
      </w:r>
      <w:r w:rsidR="00B4535C">
        <w:t>service providers</w:t>
      </w:r>
      <w:r w:rsidR="00EB69D7">
        <w:t xml:space="preserve"> holding</w:t>
      </w:r>
      <w:r w:rsidR="004F7ECE">
        <w:t xml:space="preserve"> </w:t>
      </w:r>
      <w:r>
        <w:t>an operating authority must</w:t>
      </w:r>
      <w:r w:rsidR="004F7ECE">
        <w:t xml:space="preserve"> opt out with</w:t>
      </w:r>
      <w:r>
        <w:t xml:space="preserve">in </w:t>
      </w:r>
      <w:r w:rsidR="004F7ECE">
        <w:t>45 calendar days of th</w:t>
      </w:r>
      <w:r w:rsidR="005A0856">
        <w:t>is</w:t>
      </w:r>
      <w:r>
        <w:t xml:space="preserve"> decision</w:t>
      </w:r>
      <w:r w:rsidR="00893D67">
        <w:t>’</w:t>
      </w:r>
      <w:r>
        <w:t xml:space="preserve">s </w:t>
      </w:r>
      <w:r w:rsidR="0080733C">
        <w:t>issuance</w:t>
      </w:r>
      <w:r>
        <w:t xml:space="preserve"> date</w:t>
      </w:r>
      <w:r w:rsidR="00180204">
        <w:t xml:space="preserve"> following the process described in </w:t>
      </w:r>
      <w:r w:rsidR="002F6F34">
        <w:t>Section </w:t>
      </w:r>
      <w:r w:rsidR="00180204">
        <w:t>7.</w:t>
      </w:r>
      <w:r w:rsidR="00F23783">
        <w:t>1.2.1</w:t>
      </w:r>
      <w:r w:rsidR="00C2381B">
        <w:t>.</w:t>
      </w:r>
      <w:r w:rsidR="00CD0E2A">
        <w:t xml:space="preserve"> </w:t>
      </w:r>
      <w:r w:rsidR="00A55A84">
        <w:t>The</w:t>
      </w:r>
      <w:r w:rsidR="00B859A1">
        <w:t xml:space="preserve"> utility type </w:t>
      </w:r>
      <w:r w:rsidR="00A55A84">
        <w:t xml:space="preserve">will change </w:t>
      </w:r>
      <w:r w:rsidR="00B859A1">
        <w:t>from IER to DV</w:t>
      </w:r>
      <w:r w:rsidR="00F34087">
        <w:t>N</w:t>
      </w:r>
      <w:r w:rsidR="00461955">
        <w:t xml:space="preserve">. </w:t>
      </w:r>
      <w:r w:rsidDel="00CC09E9" w:rsidR="00B859A1">
        <w:t>In addition, th</w:t>
      </w:r>
      <w:r w:rsidDel="00CC09E9" w:rsidR="00F61E0D">
        <w:t xml:space="preserve">is decision </w:t>
      </w:r>
      <w:r w:rsidDel="00CC09E9" w:rsidR="00381C4C">
        <w:t>effectively</w:t>
      </w:r>
      <w:r w:rsidDel="00CC09E9" w:rsidR="00B859A1">
        <w:t xml:space="preserve"> revokes the </w:t>
      </w:r>
      <w:r w:rsidDel="00CC09E9" w:rsidR="00AE1DF0">
        <w:t>operating authority previously granted.</w:t>
      </w:r>
    </w:p>
    <w:p w:rsidR="000E6908" w:rsidP="000E6908" w:rsidRDefault="000E6908" w14:paraId="295E3501" w14:textId="3D0274E9">
      <w:pPr>
        <w:pStyle w:val="Heading2"/>
      </w:pPr>
      <w:bookmarkStart w:name="_Toc176770959" w:id="134"/>
      <w:bookmarkStart w:name="_Toc177021157" w:id="135"/>
      <w:bookmarkStart w:name="_Toc181692906" w:id="136"/>
      <w:r>
        <w:t>Existing</w:t>
      </w:r>
      <w:r w:rsidRPr="000E6908">
        <w:t xml:space="preserve"> </w:t>
      </w:r>
      <w:r>
        <w:t xml:space="preserve">Interconnected </w:t>
      </w:r>
      <w:r w:rsidRPr="19E6B670">
        <w:t>Voice Over Internet Protocol</w:t>
      </w:r>
      <w:r>
        <w:t xml:space="preserve"> Service Providers Granted Section 1001 or Section 1013 Operating Authority Prior to August 2022</w:t>
      </w:r>
      <w:bookmarkEnd w:id="136"/>
    </w:p>
    <w:p w:rsidRPr="000E6908" w:rsidR="000E6908" w:rsidP="00645D56" w:rsidRDefault="000E6908" w14:paraId="721487A9" w14:textId="2C869C8E">
      <w:pPr>
        <w:pStyle w:val="Standard"/>
      </w:pPr>
      <w:r w:rsidRPr="000E6908">
        <w:t xml:space="preserve">Several parties raise concerns that the proposed decision did not explicitly address voice providers granted operating authority pursuant to Section 1001 or </w:t>
      </w:r>
      <w:r w:rsidRPr="000E6908">
        <w:lastRenderedPageBreak/>
        <w:t>Section 1013 prior to August 2022.</w:t>
      </w:r>
      <w:r w:rsidRPr="000E6908">
        <w:rPr>
          <w:vertAlign w:val="superscript"/>
        </w:rPr>
        <w:footnoteReference w:id="149"/>
      </w:r>
      <w:r w:rsidRPr="000E6908">
        <w:t xml:space="preserve"> This section clarifies that  the regulatory obligations of voice providers, including interconnected VoIP service providers, already in possession of operating authority pursuant to Section 1001 or Section 1013 are not impacted by this decision other than one new exemption granted to all facilities-based CLECs</w:t>
      </w:r>
      <w:r w:rsidRPr="000E6908">
        <w:rPr>
          <w:vertAlign w:val="superscript"/>
        </w:rPr>
        <w:footnoteReference w:id="150"/>
      </w:r>
      <w:r w:rsidRPr="000E6908">
        <w:t xml:space="preserve"> discussed in this decision in section 8.2.9 </w:t>
      </w:r>
      <w:r w:rsidRPr="000E6908">
        <w:rPr>
          <w:i/>
          <w:iCs/>
        </w:rPr>
        <w:t>Exemption From Transfers of Assets for Purposes of Securing Debt, and Issuance of Stocks and Securities Under Sections 816830 and Section 851.</w:t>
      </w:r>
    </w:p>
    <w:p w:rsidR="00A96B31" w:rsidP="000A2CD0" w:rsidRDefault="00C175DA" w14:paraId="701F309C" w14:textId="568437D1">
      <w:pPr>
        <w:pStyle w:val="Heading1"/>
      </w:pPr>
      <w:bookmarkStart w:name="_Toc181692907" w:id="137"/>
      <w:r>
        <w:t xml:space="preserve">Regulatory Obligations </w:t>
      </w:r>
      <w:r w:rsidR="005D1BF5">
        <w:t xml:space="preserve">for </w:t>
      </w:r>
      <w:r w:rsidR="00A62F87">
        <w:t xml:space="preserve">All </w:t>
      </w:r>
      <w:r>
        <w:t xml:space="preserve">Interconnected </w:t>
      </w:r>
      <w:r w:rsidRPr="19E6B670" w:rsidR="009D389C">
        <w:t>Voice Over Internet Protocol</w:t>
      </w:r>
      <w:r w:rsidR="00B53F80">
        <w:t xml:space="preserve"> Service</w:t>
      </w:r>
      <w:r>
        <w:t xml:space="preserve"> Providers</w:t>
      </w:r>
      <w:bookmarkEnd w:id="134"/>
      <w:bookmarkEnd w:id="135"/>
      <w:bookmarkEnd w:id="137"/>
    </w:p>
    <w:p w:rsidR="005705FF" w:rsidP="000A2CD0" w:rsidRDefault="00FB28D3" w14:paraId="0F7C153A" w14:textId="69BC1930">
      <w:pPr>
        <w:pStyle w:val="Heading2"/>
      </w:pPr>
      <w:bookmarkStart w:name="_Toc176770960" w:id="138"/>
      <w:bookmarkStart w:name="_Toc177021158" w:id="139"/>
      <w:bookmarkStart w:name="_Toc181692908" w:id="140"/>
      <w:r>
        <w:t>Existing</w:t>
      </w:r>
      <w:r w:rsidR="00CC3A7D">
        <w:t xml:space="preserve"> Obligations Ongoing and</w:t>
      </w:r>
      <w:r w:rsidR="004A45B6">
        <w:t xml:space="preserve"> Unchanged </w:t>
      </w:r>
      <w:r w:rsidR="00556EB8">
        <w:t>b</w:t>
      </w:r>
      <w:r w:rsidR="004A45B6">
        <w:t>y This Decision</w:t>
      </w:r>
      <w:bookmarkEnd w:id="138"/>
      <w:bookmarkEnd w:id="139"/>
      <w:bookmarkEnd w:id="140"/>
    </w:p>
    <w:p w:rsidR="005705FF" w:rsidP="00F1705F" w:rsidRDefault="00111097" w14:paraId="0E6D9044" w14:textId="68DAC666">
      <w:pPr>
        <w:pStyle w:val="Standard"/>
      </w:pPr>
      <w:r w:rsidRPr="00111097">
        <w:t>This decision does not change existing obligations</w:t>
      </w:r>
      <w:r>
        <w:t xml:space="preserve"> applicable</w:t>
      </w:r>
      <w:r w:rsidRPr="00C926FE" w:rsidR="00C926FE">
        <w:t xml:space="preserve"> </w:t>
      </w:r>
      <w:r w:rsidR="008A0A54">
        <w:t xml:space="preserve">to </w:t>
      </w:r>
      <w:r>
        <w:t>interconnected VoIP service providers</w:t>
      </w:r>
      <w:r w:rsidRPr="00111097">
        <w:t>.</w:t>
      </w:r>
      <w:r w:rsidR="00CD0E2A">
        <w:t xml:space="preserve"> </w:t>
      </w:r>
      <w:r w:rsidR="002B5D6D">
        <w:t>Those continuing o</w:t>
      </w:r>
      <w:r w:rsidRPr="00C926FE" w:rsidR="00C926FE">
        <w:t>bligations</w:t>
      </w:r>
      <w:r w:rsidR="002B5D6D">
        <w:t xml:space="preserve"> include</w:t>
      </w:r>
      <w:r w:rsidR="004B3205">
        <w:t xml:space="preserve"> but are not limited to</w:t>
      </w:r>
      <w:r w:rsidR="004E3961">
        <w:t xml:space="preserve"> </w:t>
      </w:r>
      <w:r w:rsidR="008A0A54">
        <w:t>collect</w:t>
      </w:r>
      <w:r w:rsidR="002B5D6D">
        <w:t>ing</w:t>
      </w:r>
      <w:r w:rsidR="004057AE">
        <w:t>, reporting</w:t>
      </w:r>
      <w:r w:rsidR="008A0A54">
        <w:t xml:space="preserve"> and remit</w:t>
      </w:r>
      <w:r w:rsidR="002B5D6D">
        <w:t>ting</w:t>
      </w:r>
      <w:r w:rsidR="008A0A54">
        <w:t xml:space="preserve"> </w:t>
      </w:r>
      <w:r w:rsidR="009A2499">
        <w:t>p</w:t>
      </w:r>
      <w:r w:rsidR="002B5D6D">
        <w:t xml:space="preserve">ublic </w:t>
      </w:r>
      <w:r w:rsidR="00C52284">
        <w:t>p</w:t>
      </w:r>
      <w:r w:rsidR="002B5D6D">
        <w:t xml:space="preserve">urpose </w:t>
      </w:r>
      <w:r w:rsidR="00C52284">
        <w:t>p</w:t>
      </w:r>
      <w:r w:rsidR="002B5D6D">
        <w:t>rograms</w:t>
      </w:r>
      <w:r w:rsidR="001341D5">
        <w:t xml:space="preserve"> </w:t>
      </w:r>
      <w:r w:rsidR="008A0A54">
        <w:t>surcharges, preserv</w:t>
      </w:r>
      <w:r w:rsidR="00523768">
        <w:t>ing</w:t>
      </w:r>
      <w:r w:rsidR="008A0A54">
        <w:t xml:space="preserve"> emergency calling access, report</w:t>
      </w:r>
      <w:r w:rsidR="00523768">
        <w:t>ing</w:t>
      </w:r>
      <w:r w:rsidR="008A0A54">
        <w:t xml:space="preserve"> responses in emergenc</w:t>
      </w:r>
      <w:r w:rsidR="00556EB8">
        <w:t>ies</w:t>
      </w:r>
      <w:r w:rsidR="008A0A54">
        <w:t xml:space="preserve"> and disasters,</w:t>
      </w:r>
      <w:r w:rsidRPr="00893D67" w:rsidR="00FB2974">
        <w:rPr>
          <w:rStyle w:val="FootnoteReference"/>
        </w:rPr>
        <w:footnoteReference w:id="151"/>
      </w:r>
      <w:r w:rsidR="008A0A54">
        <w:t xml:space="preserve"> property tax reporting,</w:t>
      </w:r>
      <w:r w:rsidR="00FB2974">
        <w:rPr>
          <w:rStyle w:val="FootnoteReference"/>
        </w:rPr>
        <w:footnoteReference w:id="152"/>
      </w:r>
      <w:r w:rsidR="008A0A54">
        <w:t xml:space="preserve"> </w:t>
      </w:r>
      <w:r w:rsidR="00257703">
        <w:t xml:space="preserve">reporting </w:t>
      </w:r>
      <w:r w:rsidRPr="00BB11BD" w:rsidR="00257703">
        <w:t>retail pricing data of essential communications services to support the Commission</w:t>
      </w:r>
      <w:r w:rsidR="00893D67">
        <w:t>’</w:t>
      </w:r>
      <w:r w:rsidRPr="00BB11BD" w:rsidR="00257703">
        <w:t>s production of the Annual Affordability Report</w:t>
      </w:r>
      <w:r w:rsidR="00257703">
        <w:t>,</w:t>
      </w:r>
      <w:r w:rsidRPr="009E2D15" w:rsidR="00257703">
        <w:rPr>
          <w:rStyle w:val="FootnoteReference"/>
        </w:rPr>
        <w:footnoteReference w:id="153"/>
      </w:r>
      <w:r w:rsidR="002748CF">
        <w:t xml:space="preserve"> </w:t>
      </w:r>
      <w:r w:rsidR="008A0A54">
        <w:t>and c</w:t>
      </w:r>
      <w:r w:rsidR="00523768">
        <w:t>onsumer</w:t>
      </w:r>
      <w:r w:rsidR="008A0A54">
        <w:t xml:space="preserve"> protection.</w:t>
      </w:r>
    </w:p>
    <w:p w:rsidRPr="00F4367B" w:rsidR="009C35DA" w:rsidP="000A2CD0" w:rsidRDefault="009C35DA" w14:paraId="6275BFC5" w14:textId="77777777">
      <w:pPr>
        <w:pStyle w:val="Heading3"/>
      </w:pPr>
      <w:bookmarkStart w:name="_Toc176770961" w:id="141"/>
      <w:bookmarkStart w:name="_Toc177021159" w:id="142"/>
      <w:bookmarkStart w:name="_Toc181692909" w:id="143"/>
      <w:r>
        <w:lastRenderedPageBreak/>
        <w:t>Universal Service Surcharge Obligations</w:t>
      </w:r>
      <w:bookmarkEnd w:id="141"/>
      <w:bookmarkEnd w:id="142"/>
      <w:bookmarkEnd w:id="143"/>
    </w:p>
    <w:p w:rsidR="009C35DA" w:rsidP="009C35DA" w:rsidRDefault="00AF4D5A" w14:paraId="584F4A76" w14:textId="2ADB0936">
      <w:pPr>
        <w:pStyle w:val="Standard"/>
      </w:pPr>
      <w:r>
        <w:t xml:space="preserve">This decision clarifies that </w:t>
      </w:r>
      <w:r>
        <w:rPr>
          <w:rFonts w:eastAsia="Times New Roman" w:cstheme="minorHAnsi"/>
          <w:szCs w:val="26"/>
        </w:rPr>
        <w:t>all</w:t>
      </w:r>
      <w:r w:rsidRPr="00E82AB5">
        <w:rPr>
          <w:rFonts w:eastAsia="Times New Roman" w:cstheme="minorHAnsi"/>
          <w:szCs w:val="26"/>
        </w:rPr>
        <w:t xml:space="preserve"> interconnected VoIP </w:t>
      </w:r>
      <w:r>
        <w:rPr>
          <w:rFonts w:eastAsia="Times New Roman" w:cstheme="minorHAnsi"/>
          <w:szCs w:val="26"/>
        </w:rPr>
        <w:t>service providers</w:t>
      </w:r>
      <w:r w:rsidRPr="00E82AB5">
        <w:rPr>
          <w:rFonts w:eastAsia="Times New Roman" w:cstheme="minorHAnsi"/>
          <w:szCs w:val="26"/>
        </w:rPr>
        <w:t xml:space="preserve"> </w:t>
      </w:r>
      <w:r w:rsidR="00381688">
        <w:rPr>
          <w:rFonts w:eastAsia="Times New Roman" w:cstheme="minorHAnsi"/>
          <w:szCs w:val="26"/>
        </w:rPr>
        <w:t xml:space="preserve">must continue to </w:t>
      </w:r>
      <w:r w:rsidRPr="00E82AB5">
        <w:rPr>
          <w:rFonts w:eastAsia="Times New Roman" w:cstheme="minorHAnsi"/>
          <w:szCs w:val="26"/>
        </w:rPr>
        <w:t>collect</w:t>
      </w:r>
      <w:r w:rsidR="0053084A">
        <w:rPr>
          <w:rFonts w:eastAsia="Times New Roman" w:cstheme="minorHAnsi"/>
          <w:szCs w:val="26"/>
        </w:rPr>
        <w:t>, report</w:t>
      </w:r>
      <w:r w:rsidRPr="00E82AB5">
        <w:rPr>
          <w:rFonts w:eastAsia="Times New Roman" w:cstheme="minorHAnsi"/>
          <w:szCs w:val="26"/>
        </w:rPr>
        <w:t xml:space="preserve"> and remit </w:t>
      </w:r>
      <w:r w:rsidR="00381688">
        <w:rPr>
          <w:rFonts w:eastAsia="Times New Roman" w:cstheme="minorHAnsi"/>
          <w:szCs w:val="26"/>
        </w:rPr>
        <w:t xml:space="preserve">universal service </w:t>
      </w:r>
      <w:r w:rsidRPr="00E82AB5">
        <w:rPr>
          <w:rFonts w:eastAsia="Times New Roman" w:cstheme="minorHAnsi"/>
          <w:szCs w:val="26"/>
        </w:rPr>
        <w:t>surcharges</w:t>
      </w:r>
      <w:r w:rsidR="001C0284">
        <w:rPr>
          <w:rFonts w:eastAsia="Times New Roman" w:cstheme="minorHAnsi"/>
          <w:szCs w:val="26"/>
        </w:rPr>
        <w:t xml:space="preserve"> pursuant to</w:t>
      </w:r>
      <w:r w:rsidR="00152094">
        <w:rPr>
          <w:rFonts w:eastAsia="Times New Roman" w:cstheme="minorHAnsi"/>
          <w:szCs w:val="26"/>
        </w:rPr>
        <w:t xml:space="preserve"> </w:t>
      </w:r>
      <w:r w:rsidR="002F6F34">
        <w:t>Section </w:t>
      </w:r>
      <w:r w:rsidRPr="0B10B0AF" w:rsidR="009C35DA">
        <w:t>285</w:t>
      </w:r>
      <w:r w:rsidR="00857024">
        <w:t xml:space="preserve"> and D.22</w:t>
      </w:r>
      <w:r w:rsidR="006951D5">
        <w:noBreakHyphen/>
      </w:r>
      <w:r w:rsidR="00857024">
        <w:t>10</w:t>
      </w:r>
      <w:r w:rsidR="006951D5">
        <w:noBreakHyphen/>
      </w:r>
      <w:r w:rsidR="00857024">
        <w:t>021</w:t>
      </w:r>
      <w:r w:rsidR="00110896">
        <w:t>.</w:t>
      </w:r>
      <w:r w:rsidR="00F60569">
        <w:rPr>
          <w:rStyle w:val="FootnoteReference"/>
        </w:rPr>
        <w:footnoteReference w:id="154"/>
      </w:r>
      <w:r w:rsidR="00CD0E2A">
        <w:t xml:space="preserve"> </w:t>
      </w:r>
      <w:r w:rsidRPr="0B10B0AF" w:rsidR="009C35DA">
        <w:t xml:space="preserve">Most parties acknowledge </w:t>
      </w:r>
      <w:r w:rsidR="002F6F34">
        <w:t>Section </w:t>
      </w:r>
      <w:r w:rsidRPr="0B10B0AF" w:rsidR="009C35DA">
        <w:t>285 obligates the Commission to collect universal service surcharges from all interconnected VoIP</w:t>
      </w:r>
      <w:r w:rsidR="00965A8D">
        <w:t xml:space="preserve"> service providers</w:t>
      </w:r>
      <w:r w:rsidRPr="0B10B0AF" w:rsidR="009C35DA">
        <w:t xml:space="preserve">, including </w:t>
      </w:r>
      <w:r w:rsidRPr="0B10B0AF" w:rsidR="133E877D">
        <w:t>nomadic</w:t>
      </w:r>
      <w:r w:rsidR="006951D5">
        <w:noBreakHyphen/>
      </w:r>
      <w:r w:rsidR="00131089">
        <w:t>only</w:t>
      </w:r>
      <w:r w:rsidRPr="0B10B0AF" w:rsidR="009C35DA">
        <w:t xml:space="preserve">. A few erroneously argue that contributions of </w:t>
      </w:r>
      <w:r w:rsidR="009524FF">
        <w:t xml:space="preserve">interconnected </w:t>
      </w:r>
      <w:r w:rsidRPr="0B10B0AF" w:rsidR="009C35DA">
        <w:t xml:space="preserve">VoIP </w:t>
      </w:r>
      <w:r w:rsidR="00BA3871">
        <w:t xml:space="preserve">service </w:t>
      </w:r>
      <w:r w:rsidRPr="0B10B0AF" w:rsidR="009C35DA">
        <w:t xml:space="preserve">providers pursuant to </w:t>
      </w:r>
      <w:r w:rsidR="002F6F34">
        <w:t>Section </w:t>
      </w:r>
      <w:r w:rsidRPr="0B10B0AF" w:rsidR="009C35DA">
        <w:t>285 are not required or unnecessary.</w:t>
      </w:r>
      <w:r w:rsidRPr="0B10B0AF" w:rsidR="009C35DA">
        <w:rPr>
          <w:rStyle w:val="FootnoteReference"/>
        </w:rPr>
        <w:footnoteReference w:id="155"/>
      </w:r>
    </w:p>
    <w:p w:rsidRPr="007B434C" w:rsidR="009C35DA" w:rsidP="00B5407C" w:rsidRDefault="00E57182" w14:paraId="5A4AD30A" w14:textId="63E8EB4D">
      <w:pPr>
        <w:pStyle w:val="Standard"/>
        <w:keepNext/>
      </w:pPr>
      <w:r>
        <w:rPr>
          <w:w w:val="105"/>
        </w:rPr>
        <w:t>Today, California</w:t>
      </w:r>
      <w:r w:rsidR="00893D67">
        <w:rPr>
          <w:w w:val="105"/>
        </w:rPr>
        <w:t>’</w:t>
      </w:r>
      <w:r>
        <w:rPr>
          <w:w w:val="105"/>
        </w:rPr>
        <w:t>s public purpose programs include</w:t>
      </w:r>
      <w:r w:rsidRPr="007B434C" w:rsidR="009C35DA">
        <w:rPr>
          <w:w w:val="105"/>
        </w:rPr>
        <w:t>:</w:t>
      </w:r>
    </w:p>
    <w:p w:rsidRPr="00A954A4" w:rsidR="009C35DA" w:rsidRDefault="009C35DA" w14:paraId="038F04BF" w14:textId="6CA5AC94">
      <w:pPr>
        <w:pStyle w:val="BlockQuoteBullet1"/>
        <w:numPr>
          <w:ilvl w:val="0"/>
          <w:numId w:val="12"/>
        </w:numPr>
        <w:ind w:left="1080"/>
        <w:rPr>
          <w:szCs w:val="26"/>
        </w:rPr>
      </w:pPr>
      <w:r w:rsidRPr="00A954A4">
        <w:rPr>
          <w:w w:val="105"/>
          <w:szCs w:val="26"/>
        </w:rPr>
        <w:t xml:space="preserve">California </w:t>
      </w:r>
      <w:r w:rsidRPr="001B53D0">
        <w:t>High</w:t>
      </w:r>
      <w:r w:rsidR="006951D5">
        <w:rPr>
          <w:w w:val="105"/>
          <w:szCs w:val="26"/>
        </w:rPr>
        <w:noBreakHyphen/>
      </w:r>
      <w:r w:rsidRPr="00A954A4">
        <w:rPr>
          <w:w w:val="105"/>
          <w:szCs w:val="26"/>
        </w:rPr>
        <w:t>Cost</w:t>
      </w:r>
      <w:r w:rsidRPr="00A954A4">
        <w:rPr>
          <w:spacing w:val="-1"/>
          <w:w w:val="105"/>
          <w:szCs w:val="26"/>
        </w:rPr>
        <w:t xml:space="preserve"> </w:t>
      </w:r>
      <w:r w:rsidRPr="00A954A4">
        <w:rPr>
          <w:w w:val="105"/>
          <w:szCs w:val="26"/>
        </w:rPr>
        <w:t>Fund</w:t>
      </w:r>
      <w:r w:rsidR="006951D5">
        <w:rPr>
          <w:w w:val="105"/>
          <w:szCs w:val="26"/>
        </w:rPr>
        <w:noBreakHyphen/>
      </w:r>
      <w:r w:rsidRPr="00A954A4">
        <w:rPr>
          <w:w w:val="105"/>
          <w:szCs w:val="26"/>
        </w:rPr>
        <w:t>A</w:t>
      </w:r>
      <w:r w:rsidRPr="00A954A4">
        <w:rPr>
          <w:spacing w:val="-7"/>
          <w:w w:val="105"/>
          <w:szCs w:val="26"/>
        </w:rPr>
        <w:t xml:space="preserve"> </w:t>
      </w:r>
      <w:r w:rsidRPr="00A954A4">
        <w:rPr>
          <w:w w:val="105"/>
          <w:szCs w:val="26"/>
        </w:rPr>
        <w:t>Administrative</w:t>
      </w:r>
      <w:r w:rsidRPr="00A954A4">
        <w:rPr>
          <w:spacing w:val="-16"/>
          <w:w w:val="105"/>
          <w:szCs w:val="26"/>
        </w:rPr>
        <w:t xml:space="preserve"> </w:t>
      </w:r>
      <w:r w:rsidRPr="00A954A4">
        <w:rPr>
          <w:w w:val="105"/>
          <w:szCs w:val="26"/>
        </w:rPr>
        <w:t>Committee Fund</w:t>
      </w:r>
      <w:r w:rsidRPr="00A954A4">
        <w:rPr>
          <w:spacing w:val="-3"/>
          <w:w w:val="105"/>
          <w:szCs w:val="26"/>
        </w:rPr>
        <w:t xml:space="preserve"> </w:t>
      </w:r>
      <w:r w:rsidRPr="00A954A4">
        <w:rPr>
          <w:w w:val="105"/>
          <w:szCs w:val="26"/>
        </w:rPr>
        <w:t>under</w:t>
      </w:r>
      <w:r w:rsidRPr="00A954A4">
        <w:rPr>
          <w:spacing w:val="-13"/>
          <w:w w:val="105"/>
          <w:szCs w:val="26"/>
        </w:rPr>
        <w:t xml:space="preserve"> </w:t>
      </w:r>
      <w:r w:rsidR="00C04D12">
        <w:rPr>
          <w:spacing w:val="-13"/>
          <w:w w:val="105"/>
          <w:szCs w:val="26"/>
        </w:rPr>
        <w:t>Pub. Util.</w:t>
      </w:r>
      <w:r w:rsidRPr="00A954A4">
        <w:rPr>
          <w:spacing w:val="-13"/>
          <w:w w:val="105"/>
          <w:szCs w:val="26"/>
        </w:rPr>
        <w:t xml:space="preserve"> Code </w:t>
      </w:r>
      <w:r w:rsidR="002F6F34">
        <w:rPr>
          <w:iCs/>
          <w:szCs w:val="26"/>
        </w:rPr>
        <w:t>Section </w:t>
      </w:r>
      <w:r w:rsidRPr="00A954A4">
        <w:rPr>
          <w:w w:val="105"/>
          <w:szCs w:val="26"/>
        </w:rPr>
        <w:t>275.</w:t>
      </w:r>
    </w:p>
    <w:p w:rsidRPr="00A954A4" w:rsidR="009C35DA" w:rsidRDefault="009C35DA" w14:paraId="20B5CC42" w14:textId="1E8CC550">
      <w:pPr>
        <w:pStyle w:val="BlockQuoteBullet1"/>
        <w:numPr>
          <w:ilvl w:val="0"/>
          <w:numId w:val="12"/>
        </w:numPr>
        <w:ind w:left="1080"/>
        <w:rPr>
          <w:szCs w:val="26"/>
        </w:rPr>
      </w:pPr>
      <w:r w:rsidRPr="00A954A4">
        <w:rPr>
          <w:w w:val="105"/>
          <w:szCs w:val="26"/>
        </w:rPr>
        <w:t>California</w:t>
      </w:r>
      <w:r w:rsidRPr="00A954A4">
        <w:rPr>
          <w:spacing w:val="-16"/>
          <w:w w:val="105"/>
          <w:szCs w:val="26"/>
        </w:rPr>
        <w:t xml:space="preserve"> </w:t>
      </w:r>
      <w:r w:rsidRPr="00A954A4">
        <w:rPr>
          <w:w w:val="105"/>
          <w:szCs w:val="26"/>
        </w:rPr>
        <w:t>High</w:t>
      </w:r>
      <w:r w:rsidR="006951D5">
        <w:rPr>
          <w:w w:val="105"/>
          <w:szCs w:val="26"/>
        </w:rPr>
        <w:noBreakHyphen/>
      </w:r>
      <w:r w:rsidRPr="00A954A4">
        <w:rPr>
          <w:w w:val="105"/>
          <w:szCs w:val="26"/>
        </w:rPr>
        <w:t>Cost</w:t>
      </w:r>
      <w:r w:rsidRPr="00A954A4">
        <w:rPr>
          <w:spacing w:val="-13"/>
          <w:w w:val="105"/>
          <w:szCs w:val="26"/>
        </w:rPr>
        <w:t xml:space="preserve"> </w:t>
      </w:r>
      <w:r w:rsidRPr="00A954A4">
        <w:rPr>
          <w:w w:val="105"/>
          <w:szCs w:val="26"/>
        </w:rPr>
        <w:t>Fund</w:t>
      </w:r>
      <w:r w:rsidR="006951D5">
        <w:rPr>
          <w:w w:val="105"/>
          <w:szCs w:val="26"/>
        </w:rPr>
        <w:noBreakHyphen/>
      </w:r>
      <w:r w:rsidRPr="00A954A4">
        <w:rPr>
          <w:w w:val="105"/>
          <w:szCs w:val="26"/>
        </w:rPr>
        <w:t>B</w:t>
      </w:r>
      <w:r w:rsidRPr="00A954A4">
        <w:rPr>
          <w:spacing w:val="-7"/>
          <w:w w:val="105"/>
          <w:szCs w:val="26"/>
        </w:rPr>
        <w:t xml:space="preserve"> </w:t>
      </w:r>
      <w:r w:rsidRPr="00A954A4">
        <w:rPr>
          <w:w w:val="105"/>
          <w:szCs w:val="26"/>
        </w:rPr>
        <w:t>Administrative</w:t>
      </w:r>
      <w:r w:rsidRPr="00A954A4">
        <w:rPr>
          <w:spacing w:val="-16"/>
          <w:w w:val="105"/>
          <w:szCs w:val="26"/>
        </w:rPr>
        <w:t xml:space="preserve"> </w:t>
      </w:r>
      <w:r w:rsidRPr="00A954A4">
        <w:rPr>
          <w:w w:val="105"/>
          <w:szCs w:val="26"/>
        </w:rPr>
        <w:t>Committee</w:t>
      </w:r>
      <w:r w:rsidRPr="00A954A4">
        <w:rPr>
          <w:spacing w:val="-6"/>
          <w:w w:val="105"/>
          <w:szCs w:val="26"/>
        </w:rPr>
        <w:t xml:space="preserve"> </w:t>
      </w:r>
      <w:r w:rsidRPr="00A954A4">
        <w:rPr>
          <w:w w:val="105"/>
          <w:szCs w:val="26"/>
        </w:rPr>
        <w:t>Fund</w:t>
      </w:r>
      <w:r w:rsidRPr="00A954A4">
        <w:rPr>
          <w:spacing w:val="-11"/>
          <w:w w:val="105"/>
          <w:szCs w:val="26"/>
        </w:rPr>
        <w:t xml:space="preserve"> </w:t>
      </w:r>
      <w:r w:rsidRPr="00A954A4">
        <w:rPr>
          <w:w w:val="105"/>
          <w:szCs w:val="26"/>
        </w:rPr>
        <w:t>under</w:t>
      </w:r>
      <w:r w:rsidRPr="00A954A4">
        <w:rPr>
          <w:spacing w:val="-15"/>
          <w:w w:val="105"/>
          <w:szCs w:val="26"/>
        </w:rPr>
        <w:t xml:space="preserve"> </w:t>
      </w:r>
      <w:r w:rsidR="00C04D12">
        <w:rPr>
          <w:spacing w:val="-13"/>
          <w:w w:val="105"/>
          <w:szCs w:val="26"/>
        </w:rPr>
        <w:t>Pub. Util.</w:t>
      </w:r>
      <w:r w:rsidRPr="00A954A4">
        <w:rPr>
          <w:spacing w:val="-13"/>
          <w:w w:val="105"/>
          <w:szCs w:val="26"/>
        </w:rPr>
        <w:t xml:space="preserve"> Code </w:t>
      </w:r>
      <w:r w:rsidR="002F6F34">
        <w:rPr>
          <w:iCs/>
          <w:szCs w:val="26"/>
        </w:rPr>
        <w:t>Section </w:t>
      </w:r>
      <w:r w:rsidRPr="00A954A4">
        <w:rPr>
          <w:spacing w:val="-4"/>
          <w:w w:val="105"/>
          <w:szCs w:val="26"/>
        </w:rPr>
        <w:t>276.</w:t>
      </w:r>
    </w:p>
    <w:p w:rsidRPr="00A954A4" w:rsidR="009C35DA" w:rsidRDefault="009C35DA" w14:paraId="7969D4A4" w14:textId="04DA5E29">
      <w:pPr>
        <w:pStyle w:val="BlockQuoteBullet1"/>
        <w:numPr>
          <w:ilvl w:val="0"/>
          <w:numId w:val="12"/>
        </w:numPr>
        <w:ind w:left="1080"/>
        <w:rPr>
          <w:szCs w:val="26"/>
        </w:rPr>
      </w:pPr>
      <w:r w:rsidRPr="00A954A4">
        <w:rPr>
          <w:w w:val="105"/>
          <w:szCs w:val="26"/>
        </w:rPr>
        <w:t>Universal</w:t>
      </w:r>
      <w:r w:rsidRPr="00A954A4">
        <w:rPr>
          <w:spacing w:val="-9"/>
          <w:w w:val="105"/>
          <w:szCs w:val="26"/>
        </w:rPr>
        <w:t xml:space="preserve"> </w:t>
      </w:r>
      <w:r w:rsidRPr="00A954A4">
        <w:rPr>
          <w:w w:val="105"/>
          <w:szCs w:val="26"/>
        </w:rPr>
        <w:t>Lifeline</w:t>
      </w:r>
      <w:r w:rsidRPr="00A954A4">
        <w:rPr>
          <w:spacing w:val="-14"/>
          <w:w w:val="105"/>
          <w:szCs w:val="26"/>
        </w:rPr>
        <w:t xml:space="preserve"> </w:t>
      </w:r>
      <w:r w:rsidRPr="00A954A4">
        <w:rPr>
          <w:w w:val="105"/>
          <w:szCs w:val="26"/>
        </w:rPr>
        <w:t>Telephone</w:t>
      </w:r>
      <w:r w:rsidRPr="00A954A4">
        <w:rPr>
          <w:spacing w:val="-2"/>
          <w:w w:val="105"/>
          <w:szCs w:val="26"/>
        </w:rPr>
        <w:t xml:space="preserve"> </w:t>
      </w:r>
      <w:r w:rsidRPr="00A954A4">
        <w:rPr>
          <w:w w:val="105"/>
          <w:szCs w:val="26"/>
        </w:rPr>
        <w:t>Service</w:t>
      </w:r>
      <w:r w:rsidRPr="00A954A4">
        <w:rPr>
          <w:spacing w:val="-9"/>
          <w:w w:val="105"/>
          <w:szCs w:val="26"/>
        </w:rPr>
        <w:t xml:space="preserve"> </w:t>
      </w:r>
      <w:r w:rsidRPr="00A954A4">
        <w:rPr>
          <w:w w:val="105"/>
          <w:szCs w:val="26"/>
        </w:rPr>
        <w:t>Trust</w:t>
      </w:r>
      <w:r w:rsidRPr="00A954A4">
        <w:rPr>
          <w:spacing w:val="-13"/>
          <w:w w:val="105"/>
          <w:szCs w:val="26"/>
        </w:rPr>
        <w:t xml:space="preserve"> </w:t>
      </w:r>
      <w:r w:rsidRPr="00A954A4">
        <w:rPr>
          <w:w w:val="105"/>
          <w:szCs w:val="26"/>
        </w:rPr>
        <w:t>Administrative</w:t>
      </w:r>
      <w:r w:rsidRPr="00A954A4">
        <w:rPr>
          <w:spacing w:val="-16"/>
          <w:w w:val="105"/>
          <w:szCs w:val="26"/>
        </w:rPr>
        <w:t xml:space="preserve"> </w:t>
      </w:r>
      <w:r w:rsidRPr="00A954A4">
        <w:rPr>
          <w:w w:val="105"/>
          <w:szCs w:val="26"/>
        </w:rPr>
        <w:t xml:space="preserve">Committee </w:t>
      </w:r>
      <w:r w:rsidRPr="001B53D0">
        <w:t>Fund</w:t>
      </w:r>
      <w:r w:rsidRPr="00A954A4">
        <w:rPr>
          <w:spacing w:val="-3"/>
          <w:w w:val="105"/>
          <w:szCs w:val="26"/>
        </w:rPr>
        <w:t xml:space="preserve"> </w:t>
      </w:r>
      <w:r w:rsidRPr="00A954A4">
        <w:rPr>
          <w:w w:val="105"/>
          <w:szCs w:val="26"/>
        </w:rPr>
        <w:t xml:space="preserve">under </w:t>
      </w:r>
      <w:r w:rsidR="00C04D12">
        <w:rPr>
          <w:spacing w:val="-13"/>
          <w:w w:val="105"/>
          <w:szCs w:val="26"/>
        </w:rPr>
        <w:t>Pub. Util.</w:t>
      </w:r>
      <w:r w:rsidRPr="00A954A4">
        <w:rPr>
          <w:spacing w:val="-13"/>
          <w:w w:val="105"/>
          <w:szCs w:val="26"/>
        </w:rPr>
        <w:t xml:space="preserve"> Code </w:t>
      </w:r>
      <w:r w:rsidR="002F6F34">
        <w:rPr>
          <w:spacing w:val="-13"/>
          <w:w w:val="105"/>
          <w:szCs w:val="26"/>
        </w:rPr>
        <w:t>Section </w:t>
      </w:r>
      <w:r w:rsidRPr="00A954A4">
        <w:rPr>
          <w:w w:val="105"/>
          <w:szCs w:val="26"/>
        </w:rPr>
        <w:t>277.</w:t>
      </w:r>
    </w:p>
    <w:p w:rsidRPr="00A954A4" w:rsidR="009C35DA" w:rsidRDefault="009C35DA" w14:paraId="6C0FA185" w14:textId="63289359">
      <w:pPr>
        <w:pStyle w:val="BlockQuoteBullet1"/>
        <w:numPr>
          <w:ilvl w:val="0"/>
          <w:numId w:val="12"/>
        </w:numPr>
        <w:ind w:left="1080"/>
        <w:rPr>
          <w:szCs w:val="26"/>
        </w:rPr>
      </w:pPr>
      <w:r w:rsidRPr="00A954A4">
        <w:rPr>
          <w:w w:val="105"/>
          <w:szCs w:val="26"/>
        </w:rPr>
        <w:t>Deaf</w:t>
      </w:r>
      <w:r w:rsidRPr="00A954A4">
        <w:rPr>
          <w:spacing w:val="-16"/>
          <w:w w:val="105"/>
          <w:szCs w:val="26"/>
        </w:rPr>
        <w:t xml:space="preserve"> </w:t>
      </w:r>
      <w:r w:rsidRPr="00A954A4">
        <w:rPr>
          <w:w w:val="105"/>
          <w:szCs w:val="26"/>
        </w:rPr>
        <w:t>and</w:t>
      </w:r>
      <w:r w:rsidRPr="00A954A4">
        <w:rPr>
          <w:spacing w:val="-15"/>
          <w:w w:val="105"/>
          <w:szCs w:val="26"/>
        </w:rPr>
        <w:t xml:space="preserve"> </w:t>
      </w:r>
      <w:r w:rsidRPr="001B53D0">
        <w:t>Disabled</w:t>
      </w:r>
      <w:r w:rsidRPr="00A954A4">
        <w:rPr>
          <w:spacing w:val="-8"/>
          <w:w w:val="105"/>
          <w:szCs w:val="26"/>
        </w:rPr>
        <w:t xml:space="preserve"> </w:t>
      </w:r>
      <w:r w:rsidRPr="00A954A4">
        <w:rPr>
          <w:w w:val="105"/>
          <w:szCs w:val="26"/>
        </w:rPr>
        <w:t>Telecommunications</w:t>
      </w:r>
      <w:r w:rsidRPr="00A954A4">
        <w:rPr>
          <w:spacing w:val="-12"/>
          <w:w w:val="105"/>
          <w:szCs w:val="26"/>
        </w:rPr>
        <w:t xml:space="preserve"> </w:t>
      </w:r>
      <w:r w:rsidRPr="00A954A4">
        <w:rPr>
          <w:w w:val="105"/>
          <w:szCs w:val="26"/>
        </w:rPr>
        <w:t>Program Administrative</w:t>
      </w:r>
      <w:r w:rsidRPr="00A954A4">
        <w:rPr>
          <w:spacing w:val="-16"/>
          <w:w w:val="105"/>
          <w:szCs w:val="26"/>
        </w:rPr>
        <w:t xml:space="preserve"> </w:t>
      </w:r>
      <w:r w:rsidRPr="00A954A4">
        <w:rPr>
          <w:w w:val="105"/>
          <w:szCs w:val="26"/>
        </w:rPr>
        <w:t>Committee</w:t>
      </w:r>
      <w:r w:rsidRPr="00A954A4">
        <w:rPr>
          <w:spacing w:val="-4"/>
          <w:w w:val="105"/>
          <w:szCs w:val="26"/>
        </w:rPr>
        <w:t xml:space="preserve"> </w:t>
      </w:r>
      <w:r w:rsidRPr="00A954A4">
        <w:rPr>
          <w:w w:val="105"/>
          <w:szCs w:val="26"/>
        </w:rPr>
        <w:t>Fund</w:t>
      </w:r>
      <w:r w:rsidRPr="00A954A4">
        <w:rPr>
          <w:spacing w:val="-7"/>
          <w:w w:val="105"/>
          <w:szCs w:val="26"/>
        </w:rPr>
        <w:t xml:space="preserve"> </w:t>
      </w:r>
      <w:r w:rsidRPr="00A954A4">
        <w:rPr>
          <w:w w:val="105"/>
          <w:szCs w:val="26"/>
        </w:rPr>
        <w:t xml:space="preserve">under </w:t>
      </w:r>
      <w:r w:rsidR="00C04D12">
        <w:rPr>
          <w:spacing w:val="-13"/>
          <w:w w:val="105"/>
          <w:szCs w:val="26"/>
        </w:rPr>
        <w:t>Pub. Util.</w:t>
      </w:r>
      <w:r w:rsidRPr="00A954A4">
        <w:rPr>
          <w:spacing w:val="-13"/>
          <w:w w:val="105"/>
          <w:szCs w:val="26"/>
        </w:rPr>
        <w:t xml:space="preserve"> Code </w:t>
      </w:r>
      <w:r w:rsidR="002F6F34">
        <w:rPr>
          <w:iCs/>
          <w:szCs w:val="26"/>
        </w:rPr>
        <w:t>Section </w:t>
      </w:r>
      <w:r w:rsidRPr="00A954A4">
        <w:rPr>
          <w:w w:val="105"/>
          <w:szCs w:val="26"/>
        </w:rPr>
        <w:t>278.</w:t>
      </w:r>
    </w:p>
    <w:p w:rsidRPr="00A954A4" w:rsidR="009C35DA" w:rsidRDefault="009C35DA" w14:paraId="2EB45498" w14:textId="5823EA96">
      <w:pPr>
        <w:pStyle w:val="BlockQuoteBullet1"/>
        <w:numPr>
          <w:ilvl w:val="0"/>
          <w:numId w:val="12"/>
        </w:numPr>
        <w:ind w:left="1080"/>
        <w:rPr>
          <w:szCs w:val="26"/>
        </w:rPr>
      </w:pPr>
      <w:r w:rsidRPr="00A954A4">
        <w:rPr>
          <w:w w:val="105"/>
          <w:szCs w:val="26"/>
        </w:rPr>
        <w:t>California</w:t>
      </w:r>
      <w:r w:rsidRPr="00A954A4">
        <w:rPr>
          <w:spacing w:val="-14"/>
          <w:w w:val="105"/>
          <w:szCs w:val="26"/>
        </w:rPr>
        <w:t xml:space="preserve"> </w:t>
      </w:r>
      <w:proofErr w:type="spellStart"/>
      <w:r w:rsidRPr="001B53D0">
        <w:t>Teleconnect</w:t>
      </w:r>
      <w:proofErr w:type="spellEnd"/>
      <w:r w:rsidRPr="00A954A4">
        <w:rPr>
          <w:spacing w:val="-3"/>
          <w:w w:val="105"/>
          <w:szCs w:val="26"/>
        </w:rPr>
        <w:t xml:space="preserve"> </w:t>
      </w:r>
      <w:r w:rsidRPr="00A954A4">
        <w:rPr>
          <w:w w:val="105"/>
          <w:szCs w:val="26"/>
        </w:rPr>
        <w:t>Fund</w:t>
      </w:r>
      <w:r w:rsidRPr="00A954A4">
        <w:rPr>
          <w:spacing w:val="-11"/>
          <w:w w:val="105"/>
          <w:szCs w:val="26"/>
        </w:rPr>
        <w:t xml:space="preserve"> </w:t>
      </w:r>
      <w:r w:rsidRPr="00A954A4">
        <w:rPr>
          <w:w w:val="105"/>
          <w:szCs w:val="26"/>
        </w:rPr>
        <w:t>Administrative</w:t>
      </w:r>
      <w:r w:rsidRPr="00A954A4">
        <w:rPr>
          <w:spacing w:val="-15"/>
          <w:w w:val="105"/>
          <w:szCs w:val="26"/>
        </w:rPr>
        <w:t xml:space="preserve"> </w:t>
      </w:r>
      <w:r w:rsidRPr="00A954A4">
        <w:rPr>
          <w:w w:val="105"/>
          <w:szCs w:val="26"/>
        </w:rPr>
        <w:t>Committee</w:t>
      </w:r>
      <w:r w:rsidRPr="00A954A4">
        <w:rPr>
          <w:spacing w:val="-11"/>
          <w:w w:val="105"/>
          <w:szCs w:val="26"/>
        </w:rPr>
        <w:t xml:space="preserve"> </w:t>
      </w:r>
      <w:r w:rsidRPr="00A954A4">
        <w:rPr>
          <w:w w:val="105"/>
          <w:szCs w:val="26"/>
        </w:rPr>
        <w:t>Fund</w:t>
      </w:r>
      <w:r w:rsidRPr="00A954A4">
        <w:rPr>
          <w:spacing w:val="-4"/>
          <w:w w:val="105"/>
          <w:szCs w:val="26"/>
        </w:rPr>
        <w:t xml:space="preserve"> </w:t>
      </w:r>
      <w:r w:rsidRPr="00A954A4">
        <w:rPr>
          <w:w w:val="105"/>
          <w:szCs w:val="26"/>
        </w:rPr>
        <w:t>under</w:t>
      </w:r>
      <w:r w:rsidRPr="00A954A4">
        <w:rPr>
          <w:spacing w:val="-15"/>
          <w:w w:val="105"/>
          <w:szCs w:val="26"/>
        </w:rPr>
        <w:t xml:space="preserve"> </w:t>
      </w:r>
      <w:r w:rsidR="00C04D12">
        <w:rPr>
          <w:spacing w:val="-13"/>
          <w:w w:val="105"/>
          <w:szCs w:val="26"/>
        </w:rPr>
        <w:t>Pub. Util.</w:t>
      </w:r>
      <w:r w:rsidRPr="00A954A4">
        <w:rPr>
          <w:spacing w:val="-13"/>
          <w:w w:val="105"/>
          <w:szCs w:val="26"/>
        </w:rPr>
        <w:t xml:space="preserve"> Code </w:t>
      </w:r>
      <w:r w:rsidR="002F6F34">
        <w:rPr>
          <w:iCs/>
          <w:szCs w:val="26"/>
        </w:rPr>
        <w:t>Section </w:t>
      </w:r>
      <w:r w:rsidRPr="00A954A4">
        <w:rPr>
          <w:spacing w:val="-4"/>
          <w:w w:val="105"/>
          <w:szCs w:val="26"/>
        </w:rPr>
        <w:t>280.</w:t>
      </w:r>
    </w:p>
    <w:p w:rsidRPr="00A954A4" w:rsidR="009C35DA" w:rsidRDefault="009C35DA" w14:paraId="571E06A3" w14:textId="07B43A81">
      <w:pPr>
        <w:pStyle w:val="BlockQuoteBullet1"/>
        <w:numPr>
          <w:ilvl w:val="0"/>
          <w:numId w:val="12"/>
        </w:numPr>
        <w:ind w:left="1080"/>
        <w:rPr>
          <w:w w:val="105"/>
          <w:szCs w:val="26"/>
        </w:rPr>
      </w:pPr>
      <w:r w:rsidRPr="00A954A4">
        <w:rPr>
          <w:w w:val="105"/>
          <w:szCs w:val="26"/>
        </w:rPr>
        <w:t>California</w:t>
      </w:r>
      <w:r w:rsidRPr="00A954A4">
        <w:rPr>
          <w:spacing w:val="-10"/>
          <w:w w:val="105"/>
          <w:szCs w:val="26"/>
        </w:rPr>
        <w:t xml:space="preserve"> </w:t>
      </w:r>
      <w:r w:rsidRPr="001B53D0">
        <w:t>Advanced</w:t>
      </w:r>
      <w:r w:rsidRPr="00A954A4">
        <w:rPr>
          <w:spacing w:val="-3"/>
          <w:w w:val="105"/>
          <w:szCs w:val="26"/>
        </w:rPr>
        <w:t xml:space="preserve"> </w:t>
      </w:r>
      <w:r w:rsidRPr="00A954A4">
        <w:rPr>
          <w:w w:val="105"/>
          <w:szCs w:val="26"/>
        </w:rPr>
        <w:t>Services</w:t>
      </w:r>
      <w:r w:rsidRPr="00A954A4">
        <w:rPr>
          <w:spacing w:val="-15"/>
          <w:w w:val="105"/>
          <w:szCs w:val="26"/>
        </w:rPr>
        <w:t xml:space="preserve"> </w:t>
      </w:r>
      <w:r w:rsidRPr="00A954A4">
        <w:rPr>
          <w:w w:val="105"/>
          <w:szCs w:val="26"/>
        </w:rPr>
        <w:t>Fund</w:t>
      </w:r>
      <w:r w:rsidRPr="00A954A4">
        <w:rPr>
          <w:spacing w:val="-7"/>
          <w:w w:val="105"/>
          <w:szCs w:val="26"/>
        </w:rPr>
        <w:t xml:space="preserve"> </w:t>
      </w:r>
      <w:r w:rsidRPr="00A954A4">
        <w:rPr>
          <w:w w:val="105"/>
          <w:szCs w:val="26"/>
        </w:rPr>
        <w:t>under</w:t>
      </w:r>
      <w:r w:rsidRPr="00A954A4">
        <w:rPr>
          <w:spacing w:val="-13"/>
          <w:w w:val="105"/>
          <w:szCs w:val="26"/>
        </w:rPr>
        <w:t xml:space="preserve"> </w:t>
      </w:r>
      <w:r w:rsidR="00C04D12">
        <w:rPr>
          <w:spacing w:val="-13"/>
          <w:w w:val="105"/>
          <w:szCs w:val="26"/>
        </w:rPr>
        <w:t>Pub. Util.</w:t>
      </w:r>
      <w:r w:rsidRPr="00A954A4">
        <w:rPr>
          <w:spacing w:val="-13"/>
          <w:w w:val="105"/>
          <w:szCs w:val="26"/>
        </w:rPr>
        <w:t xml:space="preserve"> Code </w:t>
      </w:r>
      <w:r w:rsidR="002F6F34">
        <w:rPr>
          <w:iCs/>
          <w:szCs w:val="26"/>
        </w:rPr>
        <w:t>Section </w:t>
      </w:r>
      <w:r w:rsidRPr="00A954A4">
        <w:rPr>
          <w:w w:val="105"/>
          <w:szCs w:val="26"/>
        </w:rPr>
        <w:t>281.</w:t>
      </w:r>
      <w:r w:rsidRPr="0B10B0AF">
        <w:rPr>
          <w:rStyle w:val="FootnoteReference"/>
          <w:rFonts w:eastAsiaTheme="majorEastAsia"/>
          <w:w w:val="105"/>
          <w:szCs w:val="26"/>
        </w:rPr>
        <w:footnoteReference w:id="156"/>
      </w:r>
    </w:p>
    <w:p w:rsidR="009C35DA" w:rsidP="009C35DA" w:rsidRDefault="00642413" w14:paraId="35F176A1" w14:textId="22C335A6">
      <w:pPr>
        <w:pStyle w:val="Standard"/>
        <w:rPr>
          <w:w w:val="105"/>
        </w:rPr>
      </w:pPr>
      <w:bookmarkStart w:name="_Hlk176511747" w:id="145"/>
      <w:r>
        <w:rPr>
          <w:w w:val="105"/>
        </w:rPr>
        <w:t xml:space="preserve">Since </w:t>
      </w:r>
      <w:r w:rsidR="00400BB6">
        <w:rPr>
          <w:w w:val="105"/>
        </w:rPr>
        <w:t>April </w:t>
      </w:r>
      <w:r w:rsidR="009C35DA">
        <w:rPr>
          <w:w w:val="105"/>
        </w:rPr>
        <w:t>1, 2023</w:t>
      </w:r>
      <w:r w:rsidRPr="007B434C" w:rsidR="009C35DA">
        <w:rPr>
          <w:w w:val="105"/>
        </w:rPr>
        <w:t>, a</w:t>
      </w:r>
      <w:r w:rsidRPr="007B434C" w:rsidR="009C35DA">
        <w:t xml:space="preserve">ll telephone corporations, including </w:t>
      </w:r>
      <w:r>
        <w:t xml:space="preserve">interconnected </w:t>
      </w:r>
      <w:r w:rsidRPr="007B434C" w:rsidR="009C35DA">
        <w:t xml:space="preserve">VoIP </w:t>
      </w:r>
      <w:r w:rsidR="00171277">
        <w:t xml:space="preserve">service </w:t>
      </w:r>
      <w:r w:rsidRPr="007B434C" w:rsidR="009C35DA">
        <w:t>providers operating in California</w:t>
      </w:r>
      <w:r>
        <w:t>, have been</w:t>
      </w:r>
      <w:r w:rsidR="009C35DA">
        <w:t xml:space="preserve"> required to</w:t>
      </w:r>
      <w:r w:rsidRPr="007B434C" w:rsidR="009C35DA">
        <w:t xml:space="preserve"> assess, </w:t>
      </w:r>
      <w:r w:rsidRPr="007B434C" w:rsidR="009C35DA">
        <w:lastRenderedPageBreak/>
        <w:t xml:space="preserve">collect, </w:t>
      </w:r>
      <w:r w:rsidR="001B6E2E">
        <w:t xml:space="preserve">report </w:t>
      </w:r>
      <w:r w:rsidRPr="007B434C" w:rsidR="009C35DA">
        <w:t>and remit California</w:t>
      </w:r>
      <w:r w:rsidR="00893D67">
        <w:t>’</w:t>
      </w:r>
      <w:r w:rsidRPr="007B434C" w:rsidR="009C35DA">
        <w:t>s Public Purpose Program surcharges pursuant to the access line flat rate surcharge mechanism adopted in D</w:t>
      </w:r>
      <w:r w:rsidR="009C35DA">
        <w:t>.</w:t>
      </w:r>
      <w:r w:rsidRPr="007B434C" w:rsidR="009C35DA">
        <w:t>22</w:t>
      </w:r>
      <w:r w:rsidR="006951D5">
        <w:noBreakHyphen/>
      </w:r>
      <w:r w:rsidRPr="007B434C" w:rsidR="009C35DA">
        <w:t>10</w:t>
      </w:r>
      <w:r w:rsidR="006951D5">
        <w:noBreakHyphen/>
      </w:r>
      <w:r w:rsidRPr="007B434C" w:rsidR="009C35DA">
        <w:t>021.</w:t>
      </w:r>
      <w:r w:rsidR="004E70B1">
        <w:rPr>
          <w:rStyle w:val="FootnoteReference"/>
        </w:rPr>
        <w:footnoteReference w:id="157"/>
      </w:r>
      <w:r w:rsidR="009C35DA">
        <w:t xml:space="preserve"> </w:t>
      </w:r>
      <w:r w:rsidRPr="007B434C" w:rsidR="00B84EA9">
        <w:t xml:space="preserve">Public Purpose Program surcharges </w:t>
      </w:r>
      <w:r w:rsidR="00B84EA9">
        <w:t xml:space="preserve">are applied </w:t>
      </w:r>
      <w:r w:rsidRPr="007B434C" w:rsidR="009C35DA">
        <w:rPr>
          <w:w w:val="105"/>
        </w:rPr>
        <w:t xml:space="preserve">only </w:t>
      </w:r>
      <w:r w:rsidR="00B84EA9">
        <w:rPr>
          <w:w w:val="105"/>
        </w:rPr>
        <w:t>when</w:t>
      </w:r>
      <w:r w:rsidRPr="007B434C" w:rsidR="009C35DA">
        <w:rPr>
          <w:spacing w:val="-11"/>
          <w:w w:val="105"/>
        </w:rPr>
        <w:t xml:space="preserve"> </w:t>
      </w:r>
      <w:r w:rsidRPr="007B434C" w:rsidR="009C35DA">
        <w:rPr>
          <w:w w:val="105"/>
        </w:rPr>
        <w:t>an</w:t>
      </w:r>
      <w:r w:rsidRPr="007B434C" w:rsidR="009C35DA">
        <w:rPr>
          <w:spacing w:val="-10"/>
          <w:w w:val="105"/>
        </w:rPr>
        <w:t xml:space="preserve"> </w:t>
      </w:r>
      <w:r w:rsidRPr="007B434C" w:rsidR="009C35DA">
        <w:rPr>
          <w:w w:val="105"/>
        </w:rPr>
        <w:t>end</w:t>
      </w:r>
      <w:r w:rsidR="006951D5">
        <w:rPr>
          <w:w w:val="105"/>
        </w:rPr>
        <w:noBreakHyphen/>
      </w:r>
      <w:r w:rsidRPr="007B434C" w:rsidR="009C35DA">
        <w:rPr>
          <w:w w:val="105"/>
        </w:rPr>
        <w:t>use custo</w:t>
      </w:r>
      <w:r w:rsidR="009C35DA">
        <w:rPr>
          <w:w w:val="105"/>
        </w:rPr>
        <w:t>m</w:t>
      </w:r>
      <w:r w:rsidRPr="007B434C" w:rsidR="009C35DA">
        <w:rPr>
          <w:w w:val="105"/>
        </w:rPr>
        <w:t>er</w:t>
      </w:r>
      <w:r w:rsidR="00893D67">
        <w:rPr>
          <w:w w:val="105"/>
        </w:rPr>
        <w:t>’</w:t>
      </w:r>
      <w:r w:rsidRPr="007B434C" w:rsidR="009C35DA">
        <w:rPr>
          <w:w w:val="105"/>
        </w:rPr>
        <w:t>s</w:t>
      </w:r>
      <w:r w:rsidRPr="007B434C" w:rsidR="009C35DA">
        <w:rPr>
          <w:spacing w:val="-10"/>
          <w:w w:val="105"/>
        </w:rPr>
        <w:t xml:space="preserve"> </w:t>
      </w:r>
      <w:r w:rsidR="00893D67">
        <w:rPr>
          <w:w w:val="105"/>
        </w:rPr>
        <w:t>“</w:t>
      </w:r>
      <w:r w:rsidRPr="007B434C" w:rsidR="009C35DA">
        <w:rPr>
          <w:w w:val="105"/>
        </w:rPr>
        <w:t>place</w:t>
      </w:r>
      <w:r w:rsidRPr="007B434C" w:rsidR="009C35DA">
        <w:rPr>
          <w:spacing w:val="-3"/>
          <w:w w:val="105"/>
        </w:rPr>
        <w:t xml:space="preserve"> </w:t>
      </w:r>
      <w:r w:rsidRPr="007B434C" w:rsidR="009C35DA">
        <w:rPr>
          <w:w w:val="105"/>
        </w:rPr>
        <w:t xml:space="preserve">of primary </w:t>
      </w:r>
      <w:r w:rsidR="009C35DA">
        <w:rPr>
          <w:w w:val="105"/>
        </w:rPr>
        <w:t>u</w:t>
      </w:r>
      <w:r w:rsidRPr="007B434C" w:rsidR="009C35DA">
        <w:rPr>
          <w:w w:val="105"/>
        </w:rPr>
        <w:t>se</w:t>
      </w:r>
      <w:r w:rsidR="00893D67">
        <w:rPr>
          <w:w w:val="105"/>
        </w:rPr>
        <w:t>”</w:t>
      </w:r>
      <w:r w:rsidRPr="007B434C" w:rsidR="009C35DA">
        <w:rPr>
          <w:spacing w:val="-15"/>
          <w:w w:val="105"/>
        </w:rPr>
        <w:t xml:space="preserve"> </w:t>
      </w:r>
      <w:r w:rsidRPr="007B434C" w:rsidR="009C35DA">
        <w:rPr>
          <w:w w:val="105"/>
        </w:rPr>
        <w:t>is</w:t>
      </w:r>
      <w:r w:rsidRPr="007B434C" w:rsidR="009C35DA">
        <w:rPr>
          <w:spacing w:val="-1"/>
          <w:w w:val="105"/>
        </w:rPr>
        <w:t xml:space="preserve"> </w:t>
      </w:r>
      <w:r w:rsidRPr="007B434C" w:rsidR="009C35DA">
        <w:rPr>
          <w:w w:val="105"/>
        </w:rPr>
        <w:t>located within</w:t>
      </w:r>
      <w:r w:rsidRPr="007B434C" w:rsidR="009C35DA">
        <w:rPr>
          <w:spacing w:val="-4"/>
          <w:w w:val="105"/>
        </w:rPr>
        <w:t xml:space="preserve"> </w:t>
      </w:r>
      <w:r w:rsidRPr="007B434C" w:rsidR="009C35DA">
        <w:rPr>
          <w:w w:val="105"/>
        </w:rPr>
        <w:t>California.</w:t>
      </w:r>
      <w:r w:rsidRPr="0B10B0AF" w:rsidR="009C35DA">
        <w:rPr>
          <w:rStyle w:val="FootnoteReference"/>
          <w:rFonts w:eastAsiaTheme="majorEastAsia"/>
          <w:w w:val="105"/>
        </w:rPr>
        <w:footnoteReference w:id="158"/>
      </w:r>
    </w:p>
    <w:bookmarkEnd w:id="145"/>
    <w:p w:rsidR="00A96B31" w:rsidP="009C35DA" w:rsidRDefault="009C35DA" w14:paraId="29147FFA" w14:textId="1F0824B9">
      <w:pPr>
        <w:pStyle w:val="Standard"/>
      </w:pPr>
      <w:r>
        <w:t>The Commission</w:t>
      </w:r>
      <w:r w:rsidR="00893D67">
        <w:t>’</w:t>
      </w:r>
      <w:r>
        <w:t>s longstanding requirement is to assess</w:t>
      </w:r>
      <w:r w:rsidR="0028366F">
        <w:t xml:space="preserve"> interest equal to an annual interest rate of 10</w:t>
      </w:r>
      <w:r w:rsidR="00263840">
        <w:t> percent</w:t>
      </w:r>
      <w:r>
        <w:t xml:space="preserve"> for late </w:t>
      </w:r>
      <w:r w:rsidR="009C649F">
        <w:t xml:space="preserve">reporting and </w:t>
      </w:r>
      <w:r>
        <w:t>remittance of public purpose program surcharges owed to the Commission.</w:t>
      </w:r>
      <w:r>
        <w:rPr>
          <w:rStyle w:val="FootnoteReference"/>
        </w:rPr>
        <w:footnoteReference w:id="159"/>
      </w:r>
    </w:p>
    <w:p w:rsidR="00C003C6" w:rsidP="000A2CD0" w:rsidRDefault="00C003C6" w14:paraId="197EE9D1" w14:textId="06699178">
      <w:pPr>
        <w:pStyle w:val="Heading4"/>
      </w:pPr>
      <w:bookmarkStart w:name="_Toc176770962" w:id="147"/>
      <w:bookmarkStart w:name="_Toc177021160" w:id="148"/>
      <w:bookmarkStart w:name="_Toc181692910" w:id="149"/>
      <w:r>
        <w:t xml:space="preserve">Failure to Comply </w:t>
      </w:r>
      <w:r w:rsidR="002E0FB3">
        <w:t>w</w:t>
      </w:r>
      <w:r>
        <w:t>ith</w:t>
      </w:r>
      <w:r w:rsidR="009B348E">
        <w:br/>
      </w:r>
      <w:r>
        <w:t>Surcharge Obligation</w:t>
      </w:r>
      <w:bookmarkEnd w:id="147"/>
      <w:bookmarkEnd w:id="148"/>
      <w:bookmarkEnd w:id="149"/>
    </w:p>
    <w:p w:rsidRPr="00C636B5" w:rsidR="009C35DA" w:rsidP="009C35DA" w:rsidRDefault="009C35DA" w14:paraId="372748F1" w14:textId="236D1275">
      <w:pPr>
        <w:pStyle w:val="Standard"/>
      </w:pPr>
      <w:r w:rsidRPr="00C636B5">
        <w:t xml:space="preserve">This proceeding considered the appropriate action and treatment for </w:t>
      </w:r>
      <w:r w:rsidR="002E0FB3">
        <w:t xml:space="preserve">interconnected VoIP </w:t>
      </w:r>
      <w:r w:rsidR="003006E3">
        <w:t xml:space="preserve">service </w:t>
      </w:r>
      <w:r w:rsidR="00AA107C">
        <w:t>providers</w:t>
      </w:r>
      <w:r w:rsidRPr="00C636B5">
        <w:t xml:space="preserve"> that have not complied with</w:t>
      </w:r>
      <w:r>
        <w:t xml:space="preserve"> surcharge obligations</w:t>
      </w:r>
      <w:r w:rsidRPr="00C636B5">
        <w:t xml:space="preserve"> to</w:t>
      </w:r>
      <w:r>
        <w:t xml:space="preserve"> </w:t>
      </w:r>
      <w:r w:rsidRPr="00C636B5">
        <w:t>date.</w:t>
      </w:r>
      <w:r>
        <w:rPr>
          <w:rStyle w:val="FootnoteReference"/>
        </w:rPr>
        <w:footnoteReference w:id="160"/>
      </w:r>
      <w:r>
        <w:t xml:space="preserve"> </w:t>
      </w:r>
      <w:r w:rsidRPr="00C636B5">
        <w:t xml:space="preserve">The </w:t>
      </w:r>
      <w:r w:rsidR="00AC79E4">
        <w:t>licens</w:t>
      </w:r>
      <w:r w:rsidR="001449C3">
        <w:t>ing</w:t>
      </w:r>
      <w:r w:rsidR="00AC79E4">
        <w:t xml:space="preserve"> </w:t>
      </w:r>
      <w:r w:rsidR="00415FD4">
        <w:t xml:space="preserve">and registration </w:t>
      </w:r>
      <w:r w:rsidRPr="00C636B5">
        <w:t xml:space="preserve">procedures adopted by this decision require </w:t>
      </w:r>
      <w:r w:rsidR="00C03E7A">
        <w:t xml:space="preserve">telephone </w:t>
      </w:r>
      <w:r w:rsidRPr="00C636B5">
        <w:t xml:space="preserve">corporations to affirm </w:t>
      </w:r>
      <w:r w:rsidRPr="00C636B5" w:rsidR="4731A3B3">
        <w:t xml:space="preserve">that </w:t>
      </w:r>
      <w:r w:rsidRPr="00C636B5">
        <w:t>they have been in good standing with this requirement, or to come into compliance with the requirement.</w:t>
      </w:r>
    </w:p>
    <w:p w:rsidRPr="00C636B5" w:rsidR="009C35DA" w:rsidP="009C35DA" w:rsidRDefault="009C35DA" w14:paraId="79260BFB" w14:textId="4E31125E">
      <w:pPr>
        <w:pStyle w:val="Standard"/>
      </w:pPr>
      <w:r w:rsidRPr="00C636B5">
        <w:t>The OIR asked for party comment on whether penalties should be imposed for non</w:t>
      </w:r>
      <w:r w:rsidR="006951D5">
        <w:noBreakHyphen/>
      </w:r>
      <w:r w:rsidRPr="00C636B5">
        <w:t>compliance, and whether a 10</w:t>
      </w:r>
      <w:r w:rsidR="00263840">
        <w:t> percent</w:t>
      </w:r>
      <w:r w:rsidR="00A02402">
        <w:t xml:space="preserve"> annual interest rate</w:t>
      </w:r>
      <w:r w:rsidR="00CD0E2A">
        <w:t xml:space="preserve"> </w:t>
      </w:r>
      <w:r w:rsidR="00A02402">
        <w:lastRenderedPageBreak/>
        <w:t xml:space="preserve">assessed on </w:t>
      </w:r>
      <w:r w:rsidRPr="00C636B5">
        <w:t xml:space="preserve">late </w:t>
      </w:r>
      <w:r w:rsidR="000A3DF8">
        <w:t xml:space="preserve">surcharge </w:t>
      </w:r>
      <w:r w:rsidR="00A47BAD">
        <w:t xml:space="preserve">remittances </w:t>
      </w:r>
      <w:r w:rsidRPr="00C636B5">
        <w:t xml:space="preserve">and </w:t>
      </w:r>
      <w:r w:rsidR="001E3706">
        <w:t xml:space="preserve">a </w:t>
      </w:r>
      <w:r w:rsidRPr="00C636B5">
        <w:t>penalty in the range of $1</w:t>
      </w:r>
      <w:r>
        <w:t>,</w:t>
      </w:r>
      <w:r w:rsidRPr="00C636B5">
        <w:t>000</w:t>
      </w:r>
      <w:r w:rsidR="006951D5">
        <w:noBreakHyphen/>
      </w:r>
      <w:r w:rsidRPr="00C636B5">
        <w:t>$3</w:t>
      </w:r>
      <w:r>
        <w:t>,</w:t>
      </w:r>
      <w:r w:rsidRPr="00C636B5">
        <w:t>000 per year would be appropriate for non</w:t>
      </w:r>
      <w:r w:rsidR="006951D5">
        <w:noBreakHyphen/>
      </w:r>
      <w:r w:rsidRPr="00C636B5">
        <w:t>compliance in most situations.</w:t>
      </w:r>
    </w:p>
    <w:p w:rsidRPr="00C636B5" w:rsidR="009C35DA" w:rsidP="009C35DA" w:rsidRDefault="009C35DA" w14:paraId="43A6927F" w14:textId="437371D8">
      <w:pPr>
        <w:pStyle w:val="Standard"/>
      </w:pPr>
      <w:r w:rsidRPr="00C636B5">
        <w:t>C</w:t>
      </w:r>
      <w:r w:rsidR="00C5566F">
        <w:t>al Broadband</w:t>
      </w:r>
      <w:r w:rsidRPr="00C636B5">
        <w:t xml:space="preserve"> believes that </w:t>
      </w:r>
      <w:r w:rsidR="00893D67">
        <w:t>“</w:t>
      </w:r>
      <w:r w:rsidR="00C34A15">
        <w:t>[t]</w:t>
      </w:r>
      <w:r w:rsidRPr="00C636B5">
        <w:t>he Commission</w:t>
      </w:r>
      <w:r w:rsidR="00893D67">
        <w:t>’</w:t>
      </w:r>
      <w:r w:rsidRPr="00C636B5">
        <w:t>s focus should be on ensuring that the PPP surcharges have been appropriately paid. VoIP providers that have remitted surcharges</w:t>
      </w:r>
      <w:r w:rsidR="00045963">
        <w:t xml:space="preserve"> — </w:t>
      </w:r>
      <w:r w:rsidRPr="00C636B5">
        <w:t xml:space="preserve">whether through a registered </w:t>
      </w:r>
      <w:r w:rsidR="002F6F34">
        <w:t>Section </w:t>
      </w:r>
      <w:r w:rsidRPr="00C636B5">
        <w:t>285 Provider or an affiliated, certificated carrier</w:t>
      </w:r>
      <w:r w:rsidR="00045963">
        <w:t xml:space="preserve"> — </w:t>
      </w:r>
      <w:r w:rsidRPr="00C636B5">
        <w:t>should not be penalized by the Commission, nor be limited from participating in the new VoIP licensing framework.</w:t>
      </w:r>
      <w:r w:rsidR="00893D67">
        <w:t>”</w:t>
      </w:r>
      <w:r w:rsidRPr="00C636B5">
        <w:rPr>
          <w:vertAlign w:val="superscript"/>
        </w:rPr>
        <w:footnoteReference w:id="161"/>
      </w:r>
    </w:p>
    <w:p w:rsidRPr="00C636B5" w:rsidR="009C35DA" w:rsidP="009C35DA" w:rsidRDefault="009C35DA" w14:paraId="684EE4C8" w14:textId="12AAB366">
      <w:pPr>
        <w:pStyle w:val="Standard"/>
      </w:pPr>
      <w:r w:rsidRPr="00C636B5">
        <w:t xml:space="preserve">AT&amp;T </w:t>
      </w:r>
      <w:r w:rsidRPr="00C636B5" w:rsidR="00291145">
        <w:t>states,</w:t>
      </w:r>
      <w:r w:rsidRPr="00C636B5">
        <w:t xml:space="preserve"> </w:t>
      </w:r>
      <w:r w:rsidR="00893D67">
        <w:t>“</w:t>
      </w:r>
      <w:r w:rsidR="00C34A15">
        <w:t>[t]</w:t>
      </w:r>
      <w:r w:rsidRPr="00C636B5">
        <w:t xml:space="preserve">he Commission already imposes </w:t>
      </w:r>
      <w:r w:rsidR="00893D67">
        <w:t>“</w:t>
      </w:r>
      <w:r w:rsidRPr="00C636B5">
        <w:t>penalty interest</w:t>
      </w:r>
      <w:r w:rsidR="00893D67">
        <w:t>”</w:t>
      </w:r>
      <w:r w:rsidRPr="00C636B5">
        <w:t xml:space="preserve"> at an annual </w:t>
      </w:r>
      <w:r w:rsidR="00DA6F62">
        <w:t>10</w:t>
      </w:r>
      <w:r w:rsidR="00263840">
        <w:t> percent</w:t>
      </w:r>
      <w:r w:rsidRPr="00C636B5">
        <w:t xml:space="preserve"> rate on late and unremitted Public Purpose Program surcharges...</w:t>
      </w:r>
      <w:r w:rsidR="00893D67">
        <w:t>”</w:t>
      </w:r>
      <w:r w:rsidRPr="00C636B5">
        <w:t xml:space="preserve"> Consolidated and Frontier states that a 25</w:t>
      </w:r>
      <w:r w:rsidR="00263840">
        <w:t> percent</w:t>
      </w:r>
      <w:r w:rsidRPr="00C636B5">
        <w:t xml:space="preserve"> late fee on top of the 10</w:t>
      </w:r>
      <w:r w:rsidR="00263840">
        <w:t> percent</w:t>
      </w:r>
      <w:r w:rsidRPr="00C636B5">
        <w:t xml:space="preserve"> late fee is excessive and should not be adopted.</w:t>
      </w:r>
      <w:r w:rsidR="00CD0E2A">
        <w:t xml:space="preserve"> </w:t>
      </w:r>
      <w:r w:rsidRPr="00C636B5">
        <w:t>In addition, AT&amp;T also states</w:t>
      </w:r>
      <w:r w:rsidR="004E3961">
        <w:t xml:space="preserve">:  </w:t>
      </w:r>
      <w:r w:rsidR="00893D67">
        <w:t>“</w:t>
      </w:r>
      <w:r w:rsidRPr="00C636B5">
        <w:t>Regarding potential penalties for the non</w:t>
      </w:r>
      <w:r w:rsidR="006951D5">
        <w:noBreakHyphen/>
      </w:r>
      <w:r w:rsidRPr="00C636B5">
        <w:t>payment of the user fee, there is no authorizing statute that permits the Commission to collect the user fee from VoIP providers. Thus, any penalty related to non</w:t>
      </w:r>
      <w:r w:rsidR="006951D5">
        <w:noBreakHyphen/>
      </w:r>
      <w:r w:rsidRPr="00C636B5">
        <w:t>payment of the user fee would not be allowed.</w:t>
      </w:r>
      <w:r w:rsidR="00893D67">
        <w:t>”</w:t>
      </w:r>
      <w:r w:rsidRPr="00C636B5">
        <w:rPr>
          <w:vertAlign w:val="superscript"/>
        </w:rPr>
        <w:footnoteReference w:id="162"/>
      </w:r>
      <w:r w:rsidR="00C420ED">
        <w:t xml:space="preserve"> </w:t>
      </w:r>
      <w:r w:rsidRPr="00C420ED" w:rsidR="00C420ED">
        <w:t>AT&amp;T is wrong.  As explained, interconnected VoIP service providers are public utility telephone corporations and Section 431 expressly mandates that all telephone corporations remit user fees to the Commission.</w:t>
      </w:r>
    </w:p>
    <w:p w:rsidRPr="00F069EA" w:rsidR="00A96B31" w:rsidP="009C35DA" w:rsidRDefault="009C35DA" w14:paraId="14F1D10E" w14:textId="2C53938F">
      <w:pPr>
        <w:pStyle w:val="Standard"/>
      </w:pPr>
      <w:r w:rsidRPr="00C636B5">
        <w:t>C</w:t>
      </w:r>
      <w:r w:rsidR="00300F83">
        <w:t>loud</w:t>
      </w:r>
      <w:r w:rsidRPr="00C636B5">
        <w:t xml:space="preserve"> recommends </w:t>
      </w:r>
      <w:r w:rsidR="00893D67">
        <w:t>“</w:t>
      </w:r>
      <w:r w:rsidR="00C34A15">
        <w:t>[t]</w:t>
      </w:r>
      <w:r w:rsidRPr="00C636B5">
        <w:t xml:space="preserve">he Commission should consider a limited window in which providers can fix any reporting and remitting failures to ensure </w:t>
      </w:r>
      <w:r w:rsidRPr="00C636B5">
        <w:lastRenderedPageBreak/>
        <w:t>compliance as the proposed new licensing and registration process develops. C</w:t>
      </w:r>
      <w:r w:rsidR="00300F83">
        <w:t>loud</w:t>
      </w:r>
      <w:r w:rsidRPr="00C636B5">
        <w:t xml:space="preserve"> disagrees with Staff that penalties and fees should be applied…</w:t>
      </w:r>
      <w:r w:rsidR="00893D67">
        <w:t>”</w:t>
      </w:r>
      <w:r w:rsidRPr="00C636B5">
        <w:rPr>
          <w:vertAlign w:val="superscript"/>
        </w:rPr>
        <w:footnoteReference w:id="163"/>
      </w:r>
    </w:p>
    <w:p w:rsidR="00A96B31" w:rsidP="009C35DA" w:rsidRDefault="00A439A9" w14:paraId="0E0AEBEA" w14:textId="0F5ED4EF">
      <w:pPr>
        <w:pStyle w:val="Standard"/>
      </w:pPr>
      <w:r>
        <w:t>Small Business</w:t>
      </w:r>
      <w:r w:rsidRPr="00C636B5" w:rsidR="009C35DA">
        <w:t>, US Telecom, Small LECs, Joint Consumers, VON, CTIA, CCIA</w:t>
      </w:r>
      <w:r w:rsidR="00D27697">
        <w:t>,</w:t>
      </w:r>
      <w:r w:rsidRPr="00C636B5" w:rsidR="009C35DA">
        <w:t xml:space="preserve"> and Sangoma were neutral on this proposal.</w:t>
      </w:r>
    </w:p>
    <w:p w:rsidR="00A96B31" w:rsidP="009C35DA" w:rsidRDefault="00C36C20" w14:paraId="7CFC6537" w14:textId="088BF166">
      <w:pPr>
        <w:pStyle w:val="Standard"/>
      </w:pPr>
      <w:r>
        <w:t>Upon consideration, the Commission finds that a</w:t>
      </w:r>
      <w:r w:rsidR="009C35DA">
        <w:t>ny currently operating telephone corporation will be required to remit any past</w:t>
      </w:r>
      <w:r w:rsidR="006951D5">
        <w:noBreakHyphen/>
      </w:r>
      <w:r w:rsidR="009C35DA">
        <w:t xml:space="preserve">due public purpose program surcharges owed for its prior operation and to pay </w:t>
      </w:r>
      <w:r w:rsidR="00B44B17">
        <w:t xml:space="preserve">the </w:t>
      </w:r>
      <w:r w:rsidR="00C60CA6">
        <w:t xml:space="preserve">annual interest rate of </w:t>
      </w:r>
      <w:r w:rsidR="00B44B17">
        <w:t>10</w:t>
      </w:r>
      <w:r w:rsidR="00263840">
        <w:t> percent</w:t>
      </w:r>
      <w:r w:rsidR="00A773F3">
        <w:t xml:space="preserve"> </w:t>
      </w:r>
      <w:r w:rsidR="009C35DA">
        <w:t xml:space="preserve">on past due surcharges. However, in the interest of bringing all currently operating telephone corporations into compliance with </w:t>
      </w:r>
      <w:r w:rsidR="003D38B4">
        <w:t>surcharge obligations</w:t>
      </w:r>
      <w:r w:rsidR="009C35DA">
        <w:t xml:space="preserve"> as expeditiously as possible, </w:t>
      </w:r>
      <w:r w:rsidR="00681B34">
        <w:t xml:space="preserve">interconnected VoIP </w:t>
      </w:r>
      <w:r w:rsidR="007F13C6">
        <w:t xml:space="preserve">service </w:t>
      </w:r>
      <w:r w:rsidR="009C35DA">
        <w:t xml:space="preserve">providers </w:t>
      </w:r>
      <w:r w:rsidR="004809AE">
        <w:t xml:space="preserve">who come forward within 180 </w:t>
      </w:r>
      <w:r w:rsidR="00110E0D">
        <w:t xml:space="preserve">calendar </w:t>
      </w:r>
      <w:r w:rsidR="004809AE">
        <w:t xml:space="preserve">days of the issuance date of this decision </w:t>
      </w:r>
      <w:r w:rsidR="009C35DA">
        <w:t xml:space="preserve">shall </w:t>
      </w:r>
      <w:r w:rsidR="00494671">
        <w:t xml:space="preserve">only </w:t>
      </w:r>
      <w:r w:rsidR="009C35DA">
        <w:t xml:space="preserve">be assessed the </w:t>
      </w:r>
      <w:r w:rsidR="00C60CA6">
        <w:t>annual interest rate of</w:t>
      </w:r>
      <w:r w:rsidR="00E0476A">
        <w:t xml:space="preserve"> </w:t>
      </w:r>
      <w:r w:rsidR="009C35DA">
        <w:t>10</w:t>
      </w:r>
      <w:r w:rsidR="00263840">
        <w:t> percent</w:t>
      </w:r>
      <w:r w:rsidR="009C35DA">
        <w:t xml:space="preserve"> o</w:t>
      </w:r>
      <w:r w:rsidR="1949B9F9">
        <w:t>n</w:t>
      </w:r>
      <w:r w:rsidR="009C35DA">
        <w:t xml:space="preserve"> past</w:t>
      </w:r>
      <w:r w:rsidR="006951D5">
        <w:noBreakHyphen/>
      </w:r>
      <w:r w:rsidR="009C35DA">
        <w:t xml:space="preserve">due surcharges </w:t>
      </w:r>
      <w:r w:rsidR="0028447E">
        <w:t xml:space="preserve">from the time </w:t>
      </w:r>
      <w:r w:rsidR="0FA0BDBF">
        <w:t xml:space="preserve">they </w:t>
      </w:r>
      <w:r w:rsidR="0028447E">
        <w:t xml:space="preserve">started operations up </w:t>
      </w:r>
      <w:r w:rsidR="00234BFB">
        <w:t>until</w:t>
      </w:r>
      <w:r w:rsidR="0028447E">
        <w:t xml:space="preserve"> the date </w:t>
      </w:r>
      <w:r w:rsidR="42D04E50">
        <w:t xml:space="preserve">they </w:t>
      </w:r>
      <w:r w:rsidR="0028447E">
        <w:t>filed an application or regis</w:t>
      </w:r>
      <w:r w:rsidR="6CF4170A">
        <w:t>tered</w:t>
      </w:r>
      <w:r w:rsidR="0028447E">
        <w:t>.</w:t>
      </w:r>
    </w:p>
    <w:p w:rsidR="00A96B31" w:rsidP="009C35DA" w:rsidRDefault="00E02CB1" w14:paraId="6DFDA156" w14:textId="2C04F8C9">
      <w:pPr>
        <w:pStyle w:val="Standard"/>
      </w:pPr>
      <w:r>
        <w:t>After the 180</w:t>
      </w:r>
      <w:r w:rsidR="006951D5">
        <w:noBreakHyphen/>
      </w:r>
      <w:r>
        <w:t xml:space="preserve">day grace </w:t>
      </w:r>
      <w:r w:rsidRPr="00547C63" w:rsidR="003731F3">
        <w:t>period, the 10</w:t>
      </w:r>
      <w:r w:rsidR="00844EAF">
        <w:t> </w:t>
      </w:r>
      <w:r w:rsidR="006C00A2">
        <w:t>percent</w:t>
      </w:r>
      <w:r w:rsidRPr="00547C63" w:rsidR="003731F3">
        <w:t xml:space="preserve"> annual interest rate</w:t>
      </w:r>
      <w:r w:rsidR="00CE4A2B">
        <w:t xml:space="preserve"> </w:t>
      </w:r>
      <w:r w:rsidRPr="00547C63" w:rsidR="003731F3">
        <w:t>on late surcharge remittances will be applied, and interconnected VoIP service providers are subject to penalties in the range of $1,000</w:t>
      </w:r>
      <w:r w:rsidR="006951D5">
        <w:noBreakHyphen/>
      </w:r>
      <w:r w:rsidRPr="00547C63" w:rsidR="003731F3">
        <w:t xml:space="preserve">$3,000 </w:t>
      </w:r>
      <w:r>
        <w:t xml:space="preserve">consistent with </w:t>
      </w:r>
      <w:r w:rsidR="00263840">
        <w:t>Res. </w:t>
      </w:r>
      <w:r>
        <w:t>T</w:t>
      </w:r>
      <w:r w:rsidR="006951D5">
        <w:noBreakHyphen/>
      </w:r>
      <w:r>
        <w:t>17601</w:t>
      </w:r>
      <w:r w:rsidR="00845976">
        <w:t>.</w:t>
      </w:r>
      <w:r>
        <w:rPr>
          <w:rStyle w:val="FootnoteReference"/>
        </w:rPr>
        <w:footnoteReference w:id="164"/>
      </w:r>
    </w:p>
    <w:p w:rsidR="00A96B31" w:rsidP="000A2CD0" w:rsidRDefault="00ED3001" w14:paraId="01470012" w14:textId="77777777">
      <w:pPr>
        <w:pStyle w:val="Heading4"/>
      </w:pPr>
      <w:bookmarkStart w:name="_Toc176770963" w:id="150"/>
      <w:bookmarkStart w:name="_Toc177021161" w:id="151"/>
      <w:bookmarkStart w:name="_Toc181692911" w:id="152"/>
      <w:r>
        <w:t xml:space="preserve">Collection of </w:t>
      </w:r>
      <w:r w:rsidR="00451336">
        <w:t>Past Surcharges Owed</w:t>
      </w:r>
      <w:bookmarkEnd w:id="150"/>
      <w:bookmarkEnd w:id="151"/>
      <w:bookmarkEnd w:id="152"/>
    </w:p>
    <w:p w:rsidRPr="00F26EE5" w:rsidR="009C35DA" w:rsidP="009C35DA" w:rsidRDefault="00230DCB" w14:paraId="27D02E77" w14:textId="2418C329">
      <w:pPr>
        <w:pStyle w:val="Standard"/>
      </w:pPr>
      <w:r>
        <w:t xml:space="preserve"> </w:t>
      </w:r>
      <w:r w:rsidR="00451336">
        <w:t>Once the application or registration</w:t>
      </w:r>
      <w:r w:rsidR="00C5662D">
        <w:t xml:space="preserve"> of a</w:t>
      </w:r>
      <w:r w:rsidR="00AA7E7D">
        <w:t>n interconnected VoIP</w:t>
      </w:r>
      <w:r w:rsidR="00C5662D">
        <w:t xml:space="preserve"> service provider who has past </w:t>
      </w:r>
      <w:r w:rsidR="00A37037">
        <w:t>surcharges owed is</w:t>
      </w:r>
      <w:r w:rsidR="00451336">
        <w:t xml:space="preserve"> </w:t>
      </w:r>
      <w:r w:rsidR="00844770">
        <w:t xml:space="preserve">approved, </w:t>
      </w:r>
      <w:r w:rsidR="00A37037">
        <w:t>Communications Division</w:t>
      </w:r>
      <w:r w:rsidR="009C35DA">
        <w:t xml:space="preserve"> staff is authorized to calculate the past due surcharges and </w:t>
      </w:r>
      <w:r w:rsidR="000D317A">
        <w:t>10</w:t>
      </w:r>
      <w:r w:rsidR="00263840">
        <w:t> percent</w:t>
      </w:r>
      <w:r w:rsidR="000D317A">
        <w:t xml:space="preserve"> interest for late filed surcharges</w:t>
      </w:r>
      <w:r w:rsidR="009C35DA">
        <w:t xml:space="preserve"> owed by each telephone corporation. The telephone </w:t>
      </w:r>
      <w:r w:rsidR="009C35DA">
        <w:lastRenderedPageBreak/>
        <w:t xml:space="preserve">corporation </w:t>
      </w:r>
      <w:r w:rsidR="00F53AFC">
        <w:t>must</w:t>
      </w:r>
      <w:r w:rsidR="00B1655E">
        <w:t>,</w:t>
      </w:r>
      <w:r w:rsidR="009C35DA">
        <w:t xml:space="preserve"> within 30 days of its receipt of </w:t>
      </w:r>
      <w:r w:rsidR="00004A39">
        <w:t>Communications Division</w:t>
      </w:r>
      <w:r w:rsidR="00893D67">
        <w:t>’</w:t>
      </w:r>
      <w:r w:rsidR="00FF087A">
        <w:t xml:space="preserve">s notice stating </w:t>
      </w:r>
      <w:r w:rsidR="009C35DA">
        <w:t>the total amount owed for public purpose program surcharges and interest, submit one cashier</w:t>
      </w:r>
      <w:r w:rsidR="00893D67">
        <w:t>’</w:t>
      </w:r>
      <w:r w:rsidR="009C35DA">
        <w:t xml:space="preserve">s check or money order payable to the California </w:t>
      </w:r>
      <w:r w:rsidR="007E4707">
        <w:t>Public Utilities</w:t>
      </w:r>
      <w:r w:rsidR="009C35DA">
        <w:t xml:space="preserve"> Commission for payment of the total amount owed either by mail or in</w:t>
      </w:r>
      <w:r w:rsidR="006951D5">
        <w:noBreakHyphen/>
      </w:r>
      <w:r w:rsidR="009C35DA">
        <w:t>person delivery to</w:t>
      </w:r>
      <w:r w:rsidR="004E3961">
        <w:t xml:space="preserve">:  </w:t>
      </w:r>
      <w:r w:rsidR="000E2076">
        <w:t xml:space="preserve">California </w:t>
      </w:r>
      <w:r w:rsidR="007E4707">
        <w:t>Public Utilities</w:t>
      </w:r>
      <w:r w:rsidR="000E2076">
        <w:t xml:space="preserve"> Commission, </w:t>
      </w:r>
      <w:r w:rsidR="009C35DA">
        <w:t xml:space="preserve">Fiscal Office, </w:t>
      </w:r>
      <w:r w:rsidR="008123A1">
        <w:t>Room </w:t>
      </w:r>
      <w:r w:rsidR="009C35DA">
        <w:t xml:space="preserve">3000, </w:t>
      </w:r>
      <w:r w:rsidR="008123A1">
        <w:t>505 Van Ness</w:t>
      </w:r>
      <w:r w:rsidR="009C35DA">
        <w:t xml:space="preserve"> Avenue, </w:t>
      </w:r>
      <w:r w:rsidR="008123A1">
        <w:t>San </w:t>
      </w:r>
      <w:r w:rsidR="009C35DA">
        <w:t>Francisco, CA 94102. Providers coming into compliance with the surcharge obligations must include a written identification stating the decision number and the proceeding number, such as the following</w:t>
      </w:r>
      <w:r w:rsidR="004E3961">
        <w:t xml:space="preserve">:  </w:t>
      </w:r>
      <w:r w:rsidR="00893D67">
        <w:t>“</w:t>
      </w:r>
      <w:r w:rsidR="009C35DA">
        <w:t>Per Decision</w:t>
      </w:r>
      <w:r w:rsidR="00D64FD1">
        <w:t xml:space="preserve"> [</w:t>
      </w:r>
      <w:r w:rsidRPr="004D6528" w:rsidR="00A53DB4">
        <w:rPr>
          <w:i/>
          <w:iCs/>
        </w:rPr>
        <w:t xml:space="preserve">insert </w:t>
      </w:r>
      <w:r w:rsidRPr="004D6528" w:rsidR="00D64FD1">
        <w:rPr>
          <w:i/>
          <w:iCs/>
        </w:rPr>
        <w:t>number of this decision</w:t>
      </w:r>
      <w:r w:rsidR="00D64FD1">
        <w:t>]</w:t>
      </w:r>
      <w:r w:rsidR="009C35DA">
        <w:t xml:space="preserve"> of R.22</w:t>
      </w:r>
      <w:r w:rsidR="006951D5">
        <w:noBreakHyphen/>
      </w:r>
      <w:r w:rsidR="009C35DA">
        <w:t>08</w:t>
      </w:r>
      <w:r w:rsidR="006951D5">
        <w:noBreakHyphen/>
      </w:r>
      <w:r w:rsidR="009C35DA">
        <w:t>008.</w:t>
      </w:r>
      <w:r w:rsidR="00893D67">
        <w:t>”</w:t>
      </w:r>
      <w:r w:rsidR="009C35DA">
        <w:t xml:space="preserve"> Failure to remit past</w:t>
      </w:r>
      <w:r w:rsidR="006951D5">
        <w:noBreakHyphen/>
      </w:r>
      <w:r w:rsidR="009C35DA">
        <w:t xml:space="preserve">due surcharges and interest owed within 90 days of the payment deadline will result in additional collections or enforcement action against the </w:t>
      </w:r>
      <w:r w:rsidR="00A43960">
        <w:t>service provider</w:t>
      </w:r>
      <w:r w:rsidR="009C35DA">
        <w:t>.</w:t>
      </w:r>
    </w:p>
    <w:p w:rsidR="00E17D68" w:rsidP="000A2CD0" w:rsidRDefault="007E5875" w14:paraId="0604BAD6" w14:textId="220CB93F">
      <w:pPr>
        <w:pStyle w:val="Heading3"/>
      </w:pPr>
      <w:bookmarkStart w:name="_Toc176770964" w:id="153"/>
      <w:bookmarkStart w:name="_Toc177021162" w:id="154"/>
      <w:bookmarkStart w:name="_Toc181692912" w:id="155"/>
      <w:r>
        <w:t>Public Safety</w:t>
      </w:r>
      <w:bookmarkEnd w:id="153"/>
      <w:bookmarkEnd w:id="154"/>
      <w:bookmarkEnd w:id="155"/>
    </w:p>
    <w:p w:rsidRPr="00A53638" w:rsidR="00661E61" w:rsidP="00661E61" w:rsidRDefault="00661E61" w14:paraId="73E33329" w14:textId="7913D441">
      <w:pPr>
        <w:pStyle w:val="Standard"/>
      </w:pPr>
      <w:r>
        <w:rPr>
          <w:bCs/>
        </w:rPr>
        <w:t xml:space="preserve">Since 2005, </w:t>
      </w:r>
      <w:r w:rsidRPr="00A53638">
        <w:t xml:space="preserve">interconnected VoIP </w:t>
      </w:r>
      <w:r w:rsidR="0067692A">
        <w:t xml:space="preserve">service </w:t>
      </w:r>
      <w:r w:rsidRPr="00A53638">
        <w:t>providers have been subject to the FCC</w:t>
      </w:r>
      <w:r w:rsidR="00893D67">
        <w:t>’</w:t>
      </w:r>
      <w:r w:rsidRPr="00A53638">
        <w:t>s E911 obligations.</w:t>
      </w:r>
      <w:r w:rsidRPr="00BA1261">
        <w:rPr>
          <w:rStyle w:val="FootnoteReference"/>
          <w:rFonts w:cs="Times New Roman"/>
          <w:szCs w:val="23"/>
        </w:rPr>
        <w:footnoteReference w:id="165"/>
      </w:r>
    </w:p>
    <w:p w:rsidR="00055CBB" w:rsidP="00661E61" w:rsidRDefault="00661E61" w14:paraId="61B87070" w14:textId="55C912CE">
      <w:pPr>
        <w:pStyle w:val="Standard"/>
        <w:rPr>
          <w:bCs/>
        </w:rPr>
      </w:pPr>
      <w:r>
        <w:rPr>
          <w:bCs/>
        </w:rPr>
        <w:t xml:space="preserve">On </w:t>
      </w:r>
      <w:r w:rsidR="00400BB6">
        <w:rPr>
          <w:bCs/>
        </w:rPr>
        <w:t>June </w:t>
      </w:r>
      <w:r>
        <w:rPr>
          <w:bCs/>
        </w:rPr>
        <w:t xml:space="preserve">3, 2005, in the </w:t>
      </w:r>
      <w:r>
        <w:rPr>
          <w:bCs/>
          <w:i/>
        </w:rPr>
        <w:t>IP</w:t>
      </w:r>
      <w:r w:rsidR="006951D5">
        <w:rPr>
          <w:bCs/>
          <w:i/>
        </w:rPr>
        <w:noBreakHyphen/>
      </w:r>
      <w:r>
        <w:rPr>
          <w:bCs/>
          <w:i/>
        </w:rPr>
        <w:t>Enabled Services Proceeding</w:t>
      </w:r>
      <w:r>
        <w:rPr>
          <w:bCs/>
        </w:rPr>
        <w:t>,</w:t>
      </w:r>
      <w:r>
        <w:rPr>
          <w:bCs/>
          <w:i/>
        </w:rPr>
        <w:t xml:space="preserve"> </w:t>
      </w:r>
      <w:r>
        <w:rPr>
          <w:bCs/>
        </w:rPr>
        <w:t xml:space="preserve">the FCC adopted rules requiring providers of interconnected VoIP service to supply enhanced </w:t>
      </w:r>
      <w:r w:rsidR="00693075">
        <w:rPr>
          <w:bCs/>
        </w:rPr>
        <w:t>9</w:t>
      </w:r>
      <w:r w:rsidR="006951D5">
        <w:rPr>
          <w:bCs/>
        </w:rPr>
        <w:noBreakHyphen/>
      </w:r>
      <w:r w:rsidR="00693075">
        <w:rPr>
          <w:bCs/>
        </w:rPr>
        <w:t>1</w:t>
      </w:r>
      <w:r w:rsidR="006951D5">
        <w:rPr>
          <w:bCs/>
        </w:rPr>
        <w:noBreakHyphen/>
      </w:r>
      <w:r w:rsidR="00693075">
        <w:rPr>
          <w:bCs/>
        </w:rPr>
        <w:t>1</w:t>
      </w:r>
      <w:r>
        <w:rPr>
          <w:bCs/>
        </w:rPr>
        <w:t xml:space="preserve"> (E911) capabilities to their customers.</w:t>
      </w:r>
      <w:r>
        <w:rPr>
          <w:rStyle w:val="FootnoteReference"/>
          <w:bCs/>
        </w:rPr>
        <w:t xml:space="preserve"> </w:t>
      </w:r>
      <w:r>
        <w:rPr>
          <w:rStyle w:val="FootnoteReference"/>
          <w:bCs/>
        </w:rPr>
        <w:footnoteReference w:id="166"/>
      </w:r>
      <w:r w:rsidR="00C36C20">
        <w:rPr>
          <w:rStyle w:val="FootnoteReference"/>
          <w:bCs/>
        </w:rPr>
        <w:t>,</w:t>
      </w:r>
      <w:r w:rsidR="00C36C20">
        <w:rPr>
          <w:rStyle w:val="FootnoteReference"/>
          <w:bCs/>
        </w:rPr>
        <w:footnoteReference w:id="167"/>
      </w:r>
      <w:r w:rsidR="00CD0E2A">
        <w:rPr>
          <w:bCs/>
        </w:rPr>
        <w:t xml:space="preserve"> </w:t>
      </w:r>
      <w:r w:rsidR="00893D67">
        <w:rPr>
          <w:bCs/>
        </w:rPr>
        <w:t>“</w:t>
      </w:r>
      <w:r>
        <w:rPr>
          <w:bCs/>
        </w:rPr>
        <w:t>Interconnected</w:t>
      </w:r>
      <w:r w:rsidR="00893D67">
        <w:rPr>
          <w:bCs/>
        </w:rPr>
        <w:t>”</w:t>
      </w:r>
      <w:r>
        <w:rPr>
          <w:bCs/>
        </w:rPr>
        <w:t xml:space="preserve"> VoIP service is </w:t>
      </w:r>
      <w:r>
        <w:rPr>
          <w:bCs/>
        </w:rPr>
        <w:lastRenderedPageBreak/>
        <w:t>defined as follows</w:t>
      </w:r>
      <w:r w:rsidR="004E3961">
        <w:rPr>
          <w:bCs/>
        </w:rPr>
        <w:t xml:space="preserve">:  </w:t>
      </w:r>
      <w:bookmarkStart w:name="_Toc167874902" w:id="156"/>
      <w:r w:rsidR="000A242D">
        <w:rPr>
          <w:bCs/>
        </w:rPr>
        <w:t>(</w:t>
      </w:r>
      <w:r>
        <w:rPr>
          <w:bCs/>
        </w:rPr>
        <w:t>1</w:t>
      </w:r>
      <w:r w:rsidR="003A30D3">
        <w:rPr>
          <w:bCs/>
        </w:rPr>
        <w:t>) </w:t>
      </w:r>
      <w:r>
        <w:rPr>
          <w:bCs/>
        </w:rPr>
        <w:t>the service enables real</w:t>
      </w:r>
      <w:r w:rsidR="006951D5">
        <w:rPr>
          <w:bCs/>
        </w:rPr>
        <w:noBreakHyphen/>
      </w:r>
      <w:r>
        <w:rPr>
          <w:bCs/>
        </w:rPr>
        <w:t>time, two</w:t>
      </w:r>
      <w:r w:rsidR="006951D5">
        <w:rPr>
          <w:bCs/>
        </w:rPr>
        <w:noBreakHyphen/>
      </w:r>
      <w:r>
        <w:rPr>
          <w:bCs/>
        </w:rPr>
        <w:t>way voice communications; (2</w:t>
      </w:r>
      <w:r w:rsidR="003A30D3">
        <w:rPr>
          <w:bCs/>
        </w:rPr>
        <w:t>) </w:t>
      </w:r>
      <w:r>
        <w:rPr>
          <w:bCs/>
        </w:rPr>
        <w:t>the service requires a broadband connection from the user</w:t>
      </w:r>
      <w:r w:rsidR="00893D67">
        <w:rPr>
          <w:bCs/>
        </w:rPr>
        <w:t>’</w:t>
      </w:r>
      <w:r>
        <w:rPr>
          <w:bCs/>
        </w:rPr>
        <w:t>s location; (3</w:t>
      </w:r>
      <w:r w:rsidR="003A30D3">
        <w:rPr>
          <w:bCs/>
        </w:rPr>
        <w:t>) </w:t>
      </w:r>
      <w:r>
        <w:rPr>
          <w:bCs/>
        </w:rPr>
        <w:t>the service requires IP</w:t>
      </w:r>
      <w:r w:rsidR="006951D5">
        <w:rPr>
          <w:bCs/>
        </w:rPr>
        <w:noBreakHyphen/>
      </w:r>
      <w:r>
        <w:rPr>
          <w:bCs/>
        </w:rPr>
        <w:t>compatible customer premises equipment (CPE); and (4</w:t>
      </w:r>
      <w:r w:rsidR="003A30D3">
        <w:rPr>
          <w:bCs/>
        </w:rPr>
        <w:t>) </w:t>
      </w:r>
      <w:r>
        <w:rPr>
          <w:bCs/>
        </w:rPr>
        <w:t>the service offering permits users generally to receive calls that originate on the PSTN and to terminate calls to the PSTN.</w:t>
      </w:r>
      <w:r w:rsidR="00C36C20">
        <w:rPr>
          <w:rStyle w:val="FootnoteReference"/>
          <w:bCs/>
        </w:rPr>
        <w:footnoteReference w:id="168"/>
      </w:r>
    </w:p>
    <w:p w:rsidR="00661E61" w:rsidP="00661E61" w:rsidRDefault="00661E61" w14:paraId="0EF1D3D1" w14:textId="7C8BECC2">
      <w:pPr>
        <w:pStyle w:val="Standard"/>
        <w:rPr>
          <w:bCs/>
        </w:rPr>
      </w:pPr>
      <w:r>
        <w:rPr>
          <w:bCs/>
        </w:rPr>
        <w:t>The FCC stated that it had not decided whether interconnected VoIP services are telecommunications or information services.</w:t>
      </w:r>
      <w:r w:rsidR="00CD0E2A">
        <w:rPr>
          <w:bCs/>
        </w:rPr>
        <w:t xml:space="preserve"> </w:t>
      </w:r>
      <w:r>
        <w:rPr>
          <w:bCs/>
        </w:rPr>
        <w:t xml:space="preserve">Thus, the FCC analyzed the issues under its </w:t>
      </w:r>
      <w:r w:rsidR="00B47779">
        <w:rPr>
          <w:bCs/>
        </w:rPr>
        <w:t>Title </w:t>
      </w:r>
      <w:r>
        <w:rPr>
          <w:bCs/>
        </w:rPr>
        <w:t>I ancillary jurisdiction</w:t>
      </w:r>
      <w:r>
        <w:t xml:space="preserve"> </w:t>
      </w:r>
      <w:r>
        <w:rPr>
          <w:bCs/>
        </w:rPr>
        <w:t>to encompass both types of services.</w:t>
      </w:r>
      <w:r w:rsidR="00C36C20">
        <w:rPr>
          <w:rStyle w:val="FootnoteReference"/>
          <w:bCs/>
        </w:rPr>
        <w:footnoteReference w:id="169"/>
      </w:r>
      <w:r w:rsidRPr="004D6528" w:rsidR="00C36C20">
        <w:rPr>
          <w:bCs/>
          <w:vertAlign w:val="superscript"/>
        </w:rPr>
        <w:t>,</w:t>
      </w:r>
      <w:r>
        <w:rPr>
          <w:rStyle w:val="FootnoteReference"/>
          <w:bCs/>
        </w:rPr>
        <w:footnoteReference w:id="170"/>
      </w:r>
      <w:r w:rsidR="00CD0E2A">
        <w:rPr>
          <w:bCs/>
        </w:rPr>
        <w:t xml:space="preserve"> </w:t>
      </w:r>
      <w:r>
        <w:t>The FCC concluded it had authority to impose E911 requirements on interconnected VoIP</w:t>
      </w:r>
      <w:r w:rsidR="0067692A">
        <w:t xml:space="preserve"> service</w:t>
      </w:r>
      <w:r>
        <w:t xml:space="preserve"> providers under the broad regulatory authority conferred by </w:t>
      </w:r>
      <w:r w:rsidR="00B47779">
        <w:t>Title </w:t>
      </w:r>
      <w:r>
        <w:t xml:space="preserve">I of the 1934 Communications Act </w:t>
      </w:r>
      <w:r>
        <w:rPr>
          <w:bCs/>
        </w:rPr>
        <w:t>(</w:t>
      </w:r>
      <w:r>
        <w:t>47</w:t>
      </w:r>
      <w:r w:rsidR="00877D37">
        <w:t> U.S.</w:t>
      </w:r>
      <w:r w:rsidR="00E57178">
        <w:t>C.</w:t>
      </w:r>
      <w:r>
        <w:t xml:space="preserve"> </w:t>
      </w:r>
      <w:r w:rsidR="00646044">
        <w:t>§ </w:t>
      </w:r>
      <w:r>
        <w:t xml:space="preserve">152(a)), which applies to </w:t>
      </w:r>
      <w:r w:rsidR="00893D67">
        <w:t>“</w:t>
      </w:r>
      <w:r>
        <w:t>all interstate and foreign communications by wire or radio</w:t>
      </w:r>
      <w:r w:rsidR="00B1668A">
        <w:t> </w:t>
      </w:r>
      <w:r>
        <w:t>.</w:t>
      </w:r>
      <w:r w:rsidR="00B1668A">
        <w:t> </w:t>
      </w:r>
      <w:r>
        <w:t>.</w:t>
      </w:r>
      <w:r w:rsidR="00B1668A">
        <w:t> </w:t>
      </w:r>
      <w:r>
        <w:t>.</w:t>
      </w:r>
      <w:r w:rsidR="00B1668A">
        <w:t> </w:t>
      </w:r>
      <w:r>
        <w:t>.</w:t>
      </w:r>
      <w:r w:rsidR="00893D67">
        <w:t>”</w:t>
      </w:r>
      <w:r w:rsidR="00C36C20">
        <w:rPr>
          <w:rStyle w:val="FootnoteReference"/>
          <w:bCs/>
        </w:rPr>
        <w:footnoteReference w:id="171"/>
      </w:r>
      <w:r w:rsidR="00C36C20">
        <w:rPr>
          <w:bCs/>
          <w:vertAlign w:val="superscript"/>
        </w:rPr>
        <w:t>,</w:t>
      </w:r>
      <w:r>
        <w:rPr>
          <w:rStyle w:val="FootnoteReference"/>
          <w:bCs/>
        </w:rPr>
        <w:footnoteReference w:id="172"/>
      </w:r>
    </w:p>
    <w:p w:rsidR="00661E61" w:rsidP="00661E61" w:rsidRDefault="00661E61" w14:paraId="6E57AB5A" w14:textId="6668E259">
      <w:pPr>
        <w:pStyle w:val="Standard"/>
        <w:rPr>
          <w:bCs/>
        </w:rPr>
      </w:pPr>
      <w:r>
        <w:rPr>
          <w:bCs/>
        </w:rPr>
        <w:t xml:space="preserve">The </w:t>
      </w:r>
      <w:r>
        <w:rPr>
          <w:bCs/>
          <w:i/>
        </w:rPr>
        <w:t>911 Order</w:t>
      </w:r>
      <w:r>
        <w:rPr>
          <w:bCs/>
        </w:rPr>
        <w:t xml:space="preserve"> applies to all interconnected VoIP</w:t>
      </w:r>
      <w:r w:rsidR="0067692A">
        <w:rPr>
          <w:bCs/>
        </w:rPr>
        <w:t xml:space="preserve"> service </w:t>
      </w:r>
      <w:r>
        <w:rPr>
          <w:bCs/>
        </w:rPr>
        <w:t xml:space="preserve">providers, both </w:t>
      </w:r>
      <w:r w:rsidR="00893D67">
        <w:rPr>
          <w:bCs/>
        </w:rPr>
        <w:t>“</w:t>
      </w:r>
      <w:r>
        <w:rPr>
          <w:bCs/>
        </w:rPr>
        <w:t>nomadic</w:t>
      </w:r>
      <w:r w:rsidR="00893D67">
        <w:rPr>
          <w:bCs/>
        </w:rPr>
        <w:t>”</w:t>
      </w:r>
      <w:r>
        <w:rPr>
          <w:bCs/>
        </w:rPr>
        <w:t xml:space="preserve"> and </w:t>
      </w:r>
      <w:r w:rsidR="00893D67">
        <w:rPr>
          <w:bCs/>
        </w:rPr>
        <w:t>“</w:t>
      </w:r>
      <w:r>
        <w:rPr>
          <w:bCs/>
        </w:rPr>
        <w:t>fixed.</w:t>
      </w:r>
      <w:r w:rsidR="00893D67">
        <w:rPr>
          <w:bCs/>
        </w:rPr>
        <w:t>”</w:t>
      </w:r>
      <w:r w:rsidR="00CD0E2A">
        <w:rPr>
          <w:bCs/>
        </w:rPr>
        <w:t xml:space="preserve"> </w:t>
      </w:r>
      <w:r>
        <w:rPr>
          <w:bCs/>
        </w:rPr>
        <w:t xml:space="preserve">The FCC noted that the implementation challenges faced by </w:t>
      </w:r>
      <w:r w:rsidR="00893D67">
        <w:rPr>
          <w:bCs/>
        </w:rPr>
        <w:t>“</w:t>
      </w:r>
      <w:r>
        <w:rPr>
          <w:bCs/>
        </w:rPr>
        <w:t>nomadic</w:t>
      </w:r>
      <w:r w:rsidR="00893D67">
        <w:rPr>
          <w:bCs/>
        </w:rPr>
        <w:t>”</w:t>
      </w:r>
      <w:r>
        <w:rPr>
          <w:bCs/>
        </w:rPr>
        <w:t xml:space="preserve"> or </w:t>
      </w:r>
      <w:r w:rsidR="00893D67">
        <w:rPr>
          <w:bCs/>
        </w:rPr>
        <w:t>“</w:t>
      </w:r>
      <w:r>
        <w:rPr>
          <w:bCs/>
        </w:rPr>
        <w:t>portable</w:t>
      </w:r>
      <w:r w:rsidR="00893D67">
        <w:rPr>
          <w:bCs/>
        </w:rPr>
        <w:t>”</w:t>
      </w:r>
      <w:r>
        <w:rPr>
          <w:bCs/>
        </w:rPr>
        <w:t xml:space="preserve"> </w:t>
      </w:r>
      <w:r w:rsidR="00836E38">
        <w:rPr>
          <w:bCs/>
        </w:rPr>
        <w:t>interconnected VoIP</w:t>
      </w:r>
      <w:r>
        <w:rPr>
          <w:bCs/>
        </w:rPr>
        <w:t xml:space="preserve"> service providers were similar </w:t>
      </w:r>
      <w:r>
        <w:rPr>
          <w:bCs/>
        </w:rPr>
        <w:lastRenderedPageBreak/>
        <w:t xml:space="preserve">to obstacles faced by wireless </w:t>
      </w:r>
      <w:r w:rsidR="00A43960">
        <w:rPr>
          <w:bCs/>
        </w:rPr>
        <w:t>service provider</w:t>
      </w:r>
      <w:r>
        <w:rPr>
          <w:bCs/>
        </w:rPr>
        <w:t>s in implementing E911.</w:t>
      </w:r>
      <w:r w:rsidR="00C36C20">
        <w:rPr>
          <w:rStyle w:val="FootnoteReference"/>
          <w:bCs/>
        </w:rPr>
        <w:footnoteReference w:id="173"/>
      </w:r>
      <w:r w:rsidR="00325C3A">
        <w:rPr>
          <w:bCs/>
        </w:rPr>
        <w:t xml:space="preserve"> </w:t>
      </w:r>
      <w:r>
        <w:rPr>
          <w:bCs/>
        </w:rPr>
        <w:t>Recognizing that, currently, it is not always technologically possible to automatically determine the location of end users without end users</w:t>
      </w:r>
      <w:r w:rsidR="00893D67">
        <w:rPr>
          <w:bCs/>
        </w:rPr>
        <w:t>”</w:t>
      </w:r>
      <w:r>
        <w:rPr>
          <w:bCs/>
        </w:rPr>
        <w:t xml:space="preserve"> active cooperation, the FCC required providers of interconnected VoIP services to obtain location information from their customers.</w:t>
      </w:r>
      <w:r w:rsidR="00CD0E2A">
        <w:rPr>
          <w:bCs/>
        </w:rPr>
        <w:t xml:space="preserve"> </w:t>
      </w:r>
      <w:r>
        <w:rPr>
          <w:bCs/>
        </w:rPr>
        <w:t xml:space="preserve">Furthermore, where services can be used from more than one physical location, </w:t>
      </w:r>
      <w:r w:rsidR="00836E38">
        <w:rPr>
          <w:bCs/>
        </w:rPr>
        <w:t>interconnected VoIP</w:t>
      </w:r>
      <w:r>
        <w:rPr>
          <w:bCs/>
        </w:rPr>
        <w:t xml:space="preserve"> providers must provide their end users </w:t>
      </w:r>
      <w:r w:rsidR="001D3327">
        <w:rPr>
          <w:bCs/>
        </w:rPr>
        <w:t xml:space="preserve">with </w:t>
      </w:r>
      <w:r>
        <w:rPr>
          <w:bCs/>
        </w:rPr>
        <w:t>one or more methods of updating information regarding the user</w:t>
      </w:r>
      <w:r w:rsidR="00893D67">
        <w:rPr>
          <w:bCs/>
        </w:rPr>
        <w:t>’</w:t>
      </w:r>
      <w:r>
        <w:rPr>
          <w:bCs/>
        </w:rPr>
        <w:t>s physical location.</w:t>
      </w:r>
      <w:r w:rsidR="00CD0E2A">
        <w:rPr>
          <w:bCs/>
        </w:rPr>
        <w:t xml:space="preserve"> </w:t>
      </w:r>
      <w:r>
        <w:rPr>
          <w:bCs/>
        </w:rPr>
        <w:t xml:space="preserve">The most recent location provided by a customer is the </w:t>
      </w:r>
      <w:r w:rsidR="00893D67">
        <w:rPr>
          <w:bCs/>
        </w:rPr>
        <w:t>“</w:t>
      </w:r>
      <w:r>
        <w:rPr>
          <w:bCs/>
        </w:rPr>
        <w:t>Registered Location.</w:t>
      </w:r>
      <w:r w:rsidR="00893D67">
        <w:rPr>
          <w:bCs/>
        </w:rPr>
        <w:t>”</w:t>
      </w:r>
      <w:r w:rsidR="00C36C20">
        <w:rPr>
          <w:rStyle w:val="FootnoteReference"/>
          <w:bCs/>
        </w:rPr>
        <w:footnoteReference w:id="174"/>
      </w:r>
      <w:r w:rsidRPr="00E52317" w:rsidR="00C36C20">
        <w:rPr>
          <w:bCs/>
          <w:vertAlign w:val="superscript"/>
        </w:rPr>
        <w:t>,</w:t>
      </w:r>
      <w:r>
        <w:rPr>
          <w:rStyle w:val="FootnoteReference"/>
          <w:bCs/>
        </w:rPr>
        <w:footnoteReference w:id="175"/>
      </w:r>
    </w:p>
    <w:p w:rsidR="00A96B31" w:rsidP="00661E61" w:rsidRDefault="00661E61" w14:paraId="2149BE81" w14:textId="3CBB7E60">
      <w:pPr>
        <w:pStyle w:val="Standard"/>
      </w:pPr>
      <w:r>
        <w:t>The FCC expanded 9</w:t>
      </w:r>
      <w:r w:rsidR="006951D5">
        <w:noBreakHyphen/>
      </w:r>
      <w:r>
        <w:t>1</w:t>
      </w:r>
      <w:r w:rsidR="006951D5">
        <w:noBreakHyphen/>
      </w:r>
      <w:r>
        <w:t>1 rules in 2019 to update 9</w:t>
      </w:r>
      <w:r w:rsidR="006951D5">
        <w:noBreakHyphen/>
      </w:r>
      <w:r>
        <w:t>1</w:t>
      </w:r>
      <w:r w:rsidR="006951D5">
        <w:noBreakHyphen/>
      </w:r>
      <w:r>
        <w:t>1 dispatchable location requirements for communications providers.</w:t>
      </w:r>
      <w:r>
        <w:rPr>
          <w:rStyle w:val="FootnoteReference"/>
        </w:rPr>
        <w:footnoteReference w:id="176"/>
      </w:r>
      <w:r>
        <w:t xml:space="preserve"> Dispatchable location means the 9</w:t>
      </w:r>
      <w:r w:rsidR="006951D5">
        <w:noBreakHyphen/>
      </w:r>
      <w:r>
        <w:t>1</w:t>
      </w:r>
      <w:r w:rsidR="006951D5">
        <w:noBreakHyphen/>
      </w:r>
      <w:r>
        <w:t>1 operator automatically receives from the telephone service provider the location of the 9</w:t>
      </w:r>
      <w:r w:rsidR="006951D5">
        <w:noBreakHyphen/>
      </w:r>
      <w:r>
        <w:t>1</w:t>
      </w:r>
      <w:r w:rsidR="006951D5">
        <w:noBreakHyphen/>
      </w:r>
      <w:r>
        <w:t>1 caller</w:t>
      </w:r>
      <w:r w:rsidR="3A596791">
        <w:t xml:space="preserve"> from the telephone service provider</w:t>
      </w:r>
      <w:r>
        <w:t>, even when the underlying technology permits mobility</w:t>
      </w:r>
      <w:r w:rsidRPr="0B10B0AF">
        <w:rPr>
          <w:i/>
          <w:iCs/>
        </w:rPr>
        <w:t>,</w:t>
      </w:r>
      <w:r>
        <w:t xml:space="preserve"> </w:t>
      </w:r>
      <w:r w:rsidRPr="0B10B0AF">
        <w:rPr>
          <w:i/>
          <w:iCs/>
        </w:rPr>
        <w:t>e.g.</w:t>
      </w:r>
      <w:r w:rsidRPr="004A120D" w:rsidR="004A120D">
        <w:t>,</w:t>
      </w:r>
      <w:r w:rsidRPr="0B10B0AF">
        <w:rPr>
          <w:i/>
          <w:iCs/>
        </w:rPr>
        <w:t xml:space="preserve"> </w:t>
      </w:r>
      <w:r>
        <w:t>interconnected VoIP or wireless service.</w:t>
      </w:r>
    </w:p>
    <w:p w:rsidR="00661E61" w:rsidP="00661E61" w:rsidRDefault="00661E61" w14:paraId="4EF22A46" w14:textId="244738E6">
      <w:pPr>
        <w:pStyle w:val="Standard"/>
      </w:pPr>
      <w:r>
        <w:t>The Communications Assistance for Law Enforcement Act (CALEA)</w:t>
      </w:r>
      <w:r>
        <w:rPr>
          <w:i/>
        </w:rPr>
        <w:t xml:space="preserve">, </w:t>
      </w:r>
      <w:r>
        <w:t xml:space="preserve">released </w:t>
      </w:r>
      <w:r w:rsidR="00400BB6">
        <w:t>August </w:t>
      </w:r>
      <w:r>
        <w:t>5, 2005, requires telecommunications equipment, facilities, and services to have necessary surveillance capabilities in order to preserve the ability of law enforcement agencies to conduct electronic surveillance.</w:t>
      </w:r>
      <w:r>
        <w:rPr>
          <w:rStyle w:val="FootnoteReference"/>
        </w:rPr>
        <w:footnoteReference w:id="177"/>
      </w:r>
    </w:p>
    <w:p w:rsidR="00661E61" w:rsidP="00661E61" w:rsidRDefault="00661E61" w14:paraId="3B4CAEC6" w14:textId="1D75C98A">
      <w:pPr>
        <w:pStyle w:val="Standard"/>
      </w:pPr>
      <w:r>
        <w:lastRenderedPageBreak/>
        <w:t xml:space="preserve">In the </w:t>
      </w:r>
      <w:r>
        <w:rPr>
          <w:i/>
        </w:rPr>
        <w:t>CALEA Order</w:t>
      </w:r>
      <w:r>
        <w:t xml:space="preserve">, the FCC explained that the term </w:t>
      </w:r>
      <w:r w:rsidR="00893D67">
        <w:t>“</w:t>
      </w:r>
      <w:r>
        <w:t>telecommunications carrier</w:t>
      </w:r>
      <w:r w:rsidR="00893D67">
        <w:t>”</w:t>
      </w:r>
      <w:r>
        <w:t xml:space="preserve"> under CALEA is broader and more inclusive than the similar definition of </w:t>
      </w:r>
      <w:r w:rsidR="00893D67">
        <w:t>“</w:t>
      </w:r>
      <w:r>
        <w:t>telecommunications carrier</w:t>
      </w:r>
      <w:r w:rsidR="00893D67">
        <w:t>”</w:t>
      </w:r>
      <w:r>
        <w:t xml:space="preserve"> in the 1934 Communications Act.</w:t>
      </w:r>
      <w:r>
        <w:rPr>
          <w:rStyle w:val="FootnoteReference"/>
        </w:rPr>
        <w:footnoteReference w:id="178"/>
      </w:r>
      <w:r>
        <w:t xml:space="preserve"> The FCC ruled that both facilities</w:t>
      </w:r>
      <w:r w:rsidR="006951D5">
        <w:noBreakHyphen/>
      </w:r>
      <w:r>
        <w:t xml:space="preserve">based broadband Internet access </w:t>
      </w:r>
      <w:r w:rsidR="002E7F4D">
        <w:t xml:space="preserve">service </w:t>
      </w:r>
      <w:r>
        <w:t xml:space="preserve">providers and providers of interconnected VoIP services are </w:t>
      </w:r>
      <w:r w:rsidR="00893D67">
        <w:t>“</w:t>
      </w:r>
      <w:r>
        <w:t>telecommunications carriers</w:t>
      </w:r>
      <w:r w:rsidR="00893D67">
        <w:t>”</w:t>
      </w:r>
      <w:r>
        <w:t xml:space="preserve"> under CALEA.</w:t>
      </w:r>
    </w:p>
    <w:p w:rsidR="00661E61" w:rsidP="000A2CD0" w:rsidRDefault="00661E61" w14:paraId="07D9B8A0" w14:textId="03267CB1">
      <w:pPr>
        <w:pStyle w:val="Heading3"/>
      </w:pPr>
      <w:bookmarkStart w:name="_Toc167874897" w:id="157"/>
      <w:bookmarkStart w:name="_Toc176770965" w:id="158"/>
      <w:bookmarkStart w:name="_Toc177021163" w:id="159"/>
      <w:bookmarkStart w:name="_Toc181692913" w:id="160"/>
      <w:r>
        <w:t>State Law</w:t>
      </w:r>
      <w:bookmarkEnd w:id="157"/>
      <w:bookmarkEnd w:id="158"/>
      <w:bookmarkEnd w:id="159"/>
      <w:bookmarkEnd w:id="160"/>
    </w:p>
    <w:p w:rsidR="00661E61" w:rsidP="00661E61" w:rsidRDefault="00661E61" w14:paraId="468C8BAB" w14:textId="758D3515">
      <w:pPr>
        <w:pStyle w:val="Standard"/>
      </w:pPr>
      <w:r>
        <w:t>The</w:t>
      </w:r>
      <w:r w:rsidRPr="007F2D11">
        <w:t xml:space="preserve"> Commission requires that providers that own, operate, or are </w:t>
      </w:r>
      <w:r w:rsidR="00893D67">
        <w:t>“</w:t>
      </w:r>
      <w:r w:rsidRPr="007F2D11">
        <w:t>otherwise responsible for</w:t>
      </w:r>
      <w:r w:rsidR="00893D67">
        <w:t>”</w:t>
      </w:r>
      <w:r w:rsidRPr="007F2D11">
        <w:t xml:space="preserve"> infrastructure in </w:t>
      </w:r>
      <w:r w:rsidR="005F2D22">
        <w:t>Tier 2</w:t>
      </w:r>
      <w:r w:rsidRPr="007F2D11">
        <w:t xml:space="preserve"> and </w:t>
      </w:r>
      <w:r w:rsidR="007C66F1">
        <w:t>Tier </w:t>
      </w:r>
      <w:r w:rsidRPr="007F2D11">
        <w:t>3 high</w:t>
      </w:r>
      <w:r w:rsidR="006951D5">
        <w:noBreakHyphen/>
      </w:r>
      <w:r w:rsidRPr="007F2D11">
        <w:t>fire threat districts that support the transport of voice services, including interconnected VoIP, comply with the Commission</w:t>
      </w:r>
      <w:r w:rsidR="00893D67">
        <w:t>’</w:t>
      </w:r>
      <w:r w:rsidRPr="007F2D11">
        <w:t>s 72</w:t>
      </w:r>
      <w:r w:rsidR="006951D5">
        <w:noBreakHyphen/>
      </w:r>
      <w:r w:rsidRPr="007F2D11">
        <w:t>hour backup power requirement for network facilities and the corresponding annual reporting requirements.</w:t>
      </w:r>
      <w:r>
        <w:t xml:space="preserve"> Providers must maintain </w:t>
      </w:r>
      <w:r w:rsidR="00715960">
        <w:t>sufficient</w:t>
      </w:r>
      <w:r w:rsidR="00197F60">
        <w:t xml:space="preserve"> </w:t>
      </w:r>
      <w:r>
        <w:t>backup power to</w:t>
      </w:r>
      <w:r w:rsidRPr="00E373AA">
        <w:t xml:space="preserve"> </w:t>
      </w:r>
      <w:r>
        <w:t xml:space="preserve">maintain </w:t>
      </w:r>
      <w:r w:rsidRPr="00E373AA">
        <w:t xml:space="preserve">access </w:t>
      </w:r>
      <w:r w:rsidR="008A763C">
        <w:t xml:space="preserve">for all customers </w:t>
      </w:r>
      <w:r w:rsidRPr="00E373AA">
        <w:t>to minimum service levels and coverage including 9</w:t>
      </w:r>
      <w:r w:rsidR="006951D5">
        <w:noBreakHyphen/>
      </w:r>
      <w:r w:rsidRPr="00E373AA">
        <w:t>1</w:t>
      </w:r>
      <w:r w:rsidR="006951D5">
        <w:noBreakHyphen/>
      </w:r>
      <w:r w:rsidRPr="00E373AA">
        <w:t>1 service, 2</w:t>
      </w:r>
      <w:r w:rsidR="006951D5">
        <w:noBreakHyphen/>
      </w:r>
      <w:r w:rsidRPr="00E373AA">
        <w:t>1</w:t>
      </w:r>
      <w:r w:rsidR="006951D5">
        <w:noBreakHyphen/>
      </w:r>
      <w:r w:rsidRPr="00E373AA">
        <w:t>1, ability to receive alerts and notifications, and basic internet browsing during a disaster or commercial power outage</w:t>
      </w:r>
      <w:r>
        <w:t xml:space="preserve"> and</w:t>
      </w:r>
      <w:r w:rsidRPr="00E373AA">
        <w:t xml:space="preserve"> </w:t>
      </w:r>
      <w:r w:rsidR="00F9213D">
        <w:t>the provider</w:t>
      </w:r>
      <w:r w:rsidR="00893D67">
        <w:t>’</w:t>
      </w:r>
      <w:r w:rsidR="00F9213D">
        <w:t>s</w:t>
      </w:r>
      <w:r>
        <w:t xml:space="preserve"> </w:t>
      </w:r>
      <w:r w:rsidRPr="00E373AA">
        <w:t>long</w:t>
      </w:r>
      <w:r w:rsidR="006951D5">
        <w:noBreakHyphen/>
      </w:r>
      <w:r w:rsidRPr="00E373AA">
        <w:t xml:space="preserve">term investment plan </w:t>
      </w:r>
      <w:r w:rsidR="009B3150">
        <w:t xml:space="preserve">to comply with </w:t>
      </w:r>
      <w:r w:rsidR="000965BE">
        <w:t>the 72</w:t>
      </w:r>
      <w:r w:rsidR="006951D5">
        <w:noBreakHyphen/>
      </w:r>
      <w:r w:rsidR="000965BE">
        <w:t xml:space="preserve">hour </w:t>
      </w:r>
      <w:r w:rsidR="004777E1">
        <w:t xml:space="preserve">back up power requirement maintaining </w:t>
      </w:r>
      <w:r>
        <w:t xml:space="preserve">the Network Resiliency </w:t>
      </w:r>
      <w:r w:rsidR="004777E1">
        <w:t>Strategies</w:t>
      </w:r>
      <w:r>
        <w:t>.</w:t>
      </w:r>
      <w:r w:rsidRPr="00BA1261">
        <w:rPr>
          <w:rStyle w:val="FootnoteReference"/>
          <w:rFonts w:cs="Times New Roman"/>
          <w:color w:val="000000"/>
          <w:szCs w:val="23"/>
        </w:rPr>
        <w:footnoteReference w:id="179"/>
      </w:r>
      <w:r>
        <w:t xml:space="preserve"> The Commission requires </w:t>
      </w:r>
      <w:r w:rsidR="00E60236">
        <w:t>providers to file</w:t>
      </w:r>
      <w:r w:rsidR="00FE7C73">
        <w:t xml:space="preserve"> </w:t>
      </w:r>
      <w:r>
        <w:t xml:space="preserve">annual compliance reporting </w:t>
      </w:r>
      <w:r w:rsidR="00FB30B5">
        <w:t xml:space="preserve">of Communications </w:t>
      </w:r>
      <w:r w:rsidR="00DA1C03">
        <w:t>Resiliency</w:t>
      </w:r>
      <w:r w:rsidR="00FB30B5">
        <w:t xml:space="preserve"> Plans pursuant to </w:t>
      </w:r>
      <w:r w:rsidR="002F6F34">
        <w:t>Section </w:t>
      </w:r>
      <w:r w:rsidR="00FB30B5">
        <w:t>5.6.2 of D.</w:t>
      </w:r>
      <w:r w:rsidR="006A654B">
        <w:t>21</w:t>
      </w:r>
      <w:r w:rsidR="006951D5">
        <w:noBreakHyphen/>
      </w:r>
      <w:r w:rsidR="006A654B">
        <w:t>02</w:t>
      </w:r>
      <w:r w:rsidR="006951D5">
        <w:noBreakHyphen/>
      </w:r>
      <w:r w:rsidR="006A654B">
        <w:t xml:space="preserve">029 </w:t>
      </w:r>
      <w:r>
        <w:t xml:space="preserve">detailing </w:t>
      </w:r>
      <w:r w:rsidRPr="00813ABC">
        <w:t>the network</w:t>
      </w:r>
      <w:r w:rsidR="00893D67">
        <w:t>’</w:t>
      </w:r>
      <w:r w:rsidRPr="00813ABC">
        <w:t>s ability to maintain service in a disaster or an electric grid outage.</w:t>
      </w:r>
      <w:r w:rsidRPr="00813ABC">
        <w:rPr>
          <w:vertAlign w:val="superscript"/>
        </w:rPr>
        <w:footnoteReference w:id="180"/>
      </w:r>
    </w:p>
    <w:p w:rsidR="00A96B31" w:rsidP="00661E61" w:rsidRDefault="00661E61" w14:paraId="0F030B3B" w14:textId="647B81D8">
      <w:pPr>
        <w:pStyle w:val="Standard"/>
      </w:pPr>
      <w:r>
        <w:lastRenderedPageBreak/>
        <w:t>F</w:t>
      </w:r>
      <w:r w:rsidRPr="00B872F9">
        <w:t>acilities</w:t>
      </w:r>
      <w:r w:rsidR="006951D5">
        <w:noBreakHyphen/>
      </w:r>
      <w:r w:rsidRPr="00B872F9">
        <w:t>based providers of telephony services, including those providing interconnected VoIP service, must follow the Commission</w:t>
      </w:r>
      <w:r w:rsidR="00893D67">
        <w:t>’</w:t>
      </w:r>
      <w:r w:rsidRPr="00B872F9">
        <w:t xml:space="preserve">s mandate pursuant to </w:t>
      </w:r>
      <w:r w:rsidR="00284AAF">
        <w:t>AB </w:t>
      </w:r>
      <w:r w:rsidRPr="00B872F9">
        <w:t>2393 (</w:t>
      </w:r>
      <w:r w:rsidR="00C541D5">
        <w:t>Ch. </w:t>
      </w:r>
      <w:r w:rsidRPr="00B872F9">
        <w:t xml:space="preserve">776, </w:t>
      </w:r>
      <w:r w:rsidR="00C541D5">
        <w:t>Stats. </w:t>
      </w:r>
      <w:r w:rsidRPr="00B872F9">
        <w:t>2006) and D.10</w:t>
      </w:r>
      <w:r w:rsidR="006951D5">
        <w:noBreakHyphen/>
      </w:r>
      <w:r w:rsidRPr="00B872F9">
        <w:t>01</w:t>
      </w:r>
      <w:r w:rsidR="006951D5">
        <w:noBreakHyphen/>
      </w:r>
      <w:r w:rsidRPr="00B872F9">
        <w:t>026 to educate their customers regarding backup power batteries associated with equipment facilitating telephony service at the customer</w:t>
      </w:r>
      <w:r w:rsidR="00893D67">
        <w:t>’</w:t>
      </w:r>
      <w:r w:rsidRPr="00B872F9">
        <w:t xml:space="preserve">s premises. Interconnected VoIP </w:t>
      </w:r>
      <w:r w:rsidR="0067692A">
        <w:t xml:space="preserve">service </w:t>
      </w:r>
      <w:r w:rsidRPr="00B872F9">
        <w:t>providers also report community isolation outages to the Governor</w:t>
      </w:r>
      <w:r w:rsidR="00893D67">
        <w:t>’</w:t>
      </w:r>
      <w:r w:rsidRPr="00B872F9">
        <w:t>s Office of Emergency Services, in compliance with Government Code</w:t>
      </w:r>
      <w:r w:rsidR="00184719">
        <w:t xml:space="preserve"> (Gov. Code)</w:t>
      </w:r>
      <w:r w:rsidRPr="00B872F9">
        <w:t xml:space="preserve"> </w:t>
      </w:r>
      <w:r w:rsidR="00D10EB2">
        <w:t>Section </w:t>
      </w:r>
      <w:r w:rsidRPr="00B872F9">
        <w:t xml:space="preserve">2480.2 and </w:t>
      </w:r>
      <w:r w:rsidR="00D10EB2">
        <w:t>Section </w:t>
      </w:r>
      <w:r w:rsidRPr="00B872F9">
        <w:t>2480.3, and concurrently file FCC Network Outage Reporting System (NORS) reports with the Commission, in compliance with GO</w:t>
      </w:r>
      <w:r w:rsidR="00115926">
        <w:t> </w:t>
      </w:r>
      <w:r w:rsidRPr="00B872F9">
        <w:t>133</w:t>
      </w:r>
      <w:r w:rsidR="006951D5">
        <w:noBreakHyphen/>
      </w:r>
      <w:r w:rsidRPr="00B872F9">
        <w:t xml:space="preserve">D. </w:t>
      </w:r>
      <w:r>
        <w:t>Network outage reporting to emergency responders, impacted customers and the general public at the onset of, and throughout a disaster or Public Safety Power Shutoff.</w:t>
      </w:r>
      <w:r>
        <w:rPr>
          <w:rStyle w:val="FootnoteReference"/>
        </w:rPr>
        <w:footnoteReference w:id="181"/>
      </w:r>
    </w:p>
    <w:p w:rsidR="009C35DA" w:rsidP="000A2CD0" w:rsidRDefault="009C35DA" w14:paraId="78935661" w14:textId="251E1B1E">
      <w:pPr>
        <w:pStyle w:val="Heading3"/>
      </w:pPr>
      <w:bookmarkStart w:name="_Toc176770966" w:id="161"/>
      <w:bookmarkStart w:name="_Toc177021164" w:id="162"/>
      <w:bookmarkStart w:name="_Toc181692914" w:id="163"/>
      <w:r>
        <w:t>Consumer Protection</w:t>
      </w:r>
      <w:bookmarkEnd w:id="156"/>
      <w:bookmarkEnd w:id="161"/>
      <w:bookmarkEnd w:id="162"/>
      <w:bookmarkEnd w:id="163"/>
    </w:p>
    <w:p w:rsidRPr="00F069EA" w:rsidR="003D56E5" w:rsidP="009C35DA" w:rsidRDefault="001F5361" w14:paraId="6871BCE5" w14:textId="17A8EE26">
      <w:pPr>
        <w:pStyle w:val="Standard"/>
      </w:pPr>
      <w:r>
        <w:t>All t</w:t>
      </w:r>
      <w:r w:rsidR="007A4F61">
        <w:t>elephone corporations</w:t>
      </w:r>
      <w:r w:rsidR="004461EA">
        <w:t>, regardless of the CPUC</w:t>
      </w:r>
      <w:r w:rsidR="006F53B6">
        <w:t xml:space="preserve"> </w:t>
      </w:r>
      <w:r w:rsidR="002C7A4C">
        <w:t>regulatory framework</w:t>
      </w:r>
      <w:r w:rsidR="004461EA">
        <w:t xml:space="preserve"> </w:t>
      </w:r>
      <w:r w:rsidR="003D4790">
        <w:t xml:space="preserve">applicable to the services they provide, </w:t>
      </w:r>
      <w:r w:rsidR="002C7A4C">
        <w:t>are required by federal and state law</w:t>
      </w:r>
      <w:r w:rsidR="00452B14">
        <w:t>s</w:t>
      </w:r>
      <w:r w:rsidR="002C7A4C">
        <w:t xml:space="preserve"> to ensure prices, taxes, charges and fees are made clear to customers before, during </w:t>
      </w:r>
      <w:r w:rsidR="002C7A4C">
        <w:lastRenderedPageBreak/>
        <w:t>and after the customer buys the service.</w:t>
      </w:r>
      <w:r w:rsidR="002C7A4C">
        <w:rPr>
          <w:rStyle w:val="FootnoteReference"/>
        </w:rPr>
        <w:footnoteReference w:id="182"/>
      </w:r>
      <w:r w:rsidR="002C7A4C">
        <w:t xml:space="preserve"> </w:t>
      </w:r>
      <w:r w:rsidRPr="00190760" w:rsidR="009C35DA">
        <w:t>A</w:t>
      </w:r>
      <w:r w:rsidR="009C35DA">
        <w:t>s Cal Broadband</w:t>
      </w:r>
      <w:r w:rsidR="001F0F2E">
        <w:t xml:space="preserve"> notes</w:t>
      </w:r>
      <w:r w:rsidR="009C35DA">
        <w:t>,</w:t>
      </w:r>
      <w:r w:rsidR="009C35DA">
        <w:rPr>
          <w:rStyle w:val="FootnoteReference"/>
        </w:rPr>
        <w:footnoteReference w:id="183"/>
      </w:r>
      <w:r w:rsidR="009C35DA">
        <w:t xml:space="preserve"> a</w:t>
      </w:r>
      <w:r w:rsidRPr="00190760" w:rsidR="009C35DA">
        <w:t xml:space="preserve">ll interconnected VoIP </w:t>
      </w:r>
      <w:r w:rsidR="0067692A">
        <w:t xml:space="preserve">service </w:t>
      </w:r>
      <w:r w:rsidRPr="00190760" w:rsidR="009C35DA">
        <w:t xml:space="preserve">providers are </w:t>
      </w:r>
      <w:r w:rsidR="002C7A4C">
        <w:t xml:space="preserve">also </w:t>
      </w:r>
      <w:r w:rsidRPr="00190760" w:rsidR="009C35DA">
        <w:t>subject to laws of general applicability such as laws</w:t>
      </w:r>
      <w:r w:rsidR="004E3961">
        <w:t xml:space="preserve">:  </w:t>
      </w:r>
      <w:r w:rsidR="009C35DA">
        <w:t>(</w:t>
      </w:r>
      <w:r w:rsidRPr="00190760" w:rsidR="009C35DA">
        <w:t>1</w:t>
      </w:r>
      <w:r w:rsidR="00533164">
        <w:t>) </w:t>
      </w:r>
      <w:r w:rsidRPr="00190760" w:rsidR="009C35DA">
        <w:t>prohibiting unfair or deceptive acts or practices in or affecting commerce;</w:t>
      </w:r>
      <w:r w:rsidRPr="00190760" w:rsidR="009C35DA">
        <w:rPr>
          <w:rStyle w:val="FootnoteReference"/>
        </w:rPr>
        <w:footnoteReference w:id="184"/>
      </w:r>
      <w:r w:rsidRPr="00CE3946" w:rsidR="009C35DA">
        <w:t xml:space="preserve"> (</w:t>
      </w:r>
      <w:r w:rsidRPr="00190760" w:rsidR="009C35DA">
        <w:t>2</w:t>
      </w:r>
      <w:r w:rsidR="00533164">
        <w:t>) </w:t>
      </w:r>
      <w:r w:rsidRPr="00190760" w:rsidR="009C35DA">
        <w:t>prohibiting untrue, misleading, and fraudulent statements in advertising;</w:t>
      </w:r>
      <w:r w:rsidRPr="00190760" w:rsidR="009C35DA">
        <w:rPr>
          <w:rStyle w:val="FootnoteReference"/>
        </w:rPr>
        <w:footnoteReference w:id="185"/>
      </w:r>
      <w:r w:rsidRPr="00190760" w:rsidR="009C35DA">
        <w:t xml:space="preserve"> </w:t>
      </w:r>
      <w:r w:rsidR="009C35DA">
        <w:t>(</w:t>
      </w:r>
      <w:r w:rsidRPr="00190760" w:rsidR="009C35DA">
        <w:t>3</w:t>
      </w:r>
      <w:r w:rsidR="00533164">
        <w:t>) </w:t>
      </w:r>
      <w:r w:rsidRPr="00190760" w:rsidR="009C35DA">
        <w:t>requiring disclosure of solicitation at initial point of contact;</w:t>
      </w:r>
      <w:r w:rsidRPr="00190760" w:rsidR="009C35DA">
        <w:rPr>
          <w:rStyle w:val="FootnoteReference"/>
        </w:rPr>
        <w:footnoteReference w:id="186"/>
      </w:r>
      <w:r w:rsidRPr="00190760" w:rsidR="009C35DA">
        <w:t xml:space="preserve"> </w:t>
      </w:r>
      <w:r w:rsidR="009C35DA">
        <w:t>(</w:t>
      </w:r>
      <w:r w:rsidRPr="00190760" w:rsidR="009C35DA">
        <w:t>4</w:t>
      </w:r>
      <w:r w:rsidR="00533164">
        <w:t>) </w:t>
      </w:r>
      <w:r w:rsidRPr="00190760" w:rsidR="009C35DA">
        <w:t>establishing legal obligations stemming from breaches in data security.</w:t>
      </w:r>
      <w:r w:rsidRPr="00190760" w:rsidR="009C35DA">
        <w:rPr>
          <w:rStyle w:val="FootnoteReference"/>
        </w:rPr>
        <w:footnoteReference w:id="187"/>
      </w:r>
    </w:p>
    <w:p w:rsidR="00A96B31" w:rsidP="006E57EF" w:rsidRDefault="00DC4E77" w14:paraId="62FFE5DF" w14:textId="368E094E">
      <w:pPr>
        <w:pStyle w:val="Standard"/>
      </w:pPr>
      <w:r>
        <w:t xml:space="preserve">As part of its general oversight of telecommunications in California, the </w:t>
      </w:r>
      <w:r w:rsidR="007044C4">
        <w:t xml:space="preserve">Commission </w:t>
      </w:r>
      <w:r w:rsidR="00316772">
        <w:t>offers several programs</w:t>
      </w:r>
      <w:r>
        <w:t xml:space="preserve"> to</w:t>
      </w:r>
      <w:r w:rsidR="00316772">
        <w:t xml:space="preserve"> assist</w:t>
      </w:r>
      <w:r>
        <w:t xml:space="preserve"> consumers </w:t>
      </w:r>
      <w:r w:rsidR="00316772">
        <w:t xml:space="preserve">resolve individual </w:t>
      </w:r>
      <w:r w:rsidR="007846B4">
        <w:t xml:space="preserve">issues with communications </w:t>
      </w:r>
      <w:r w:rsidR="00E337DD">
        <w:t xml:space="preserve">service </w:t>
      </w:r>
      <w:r w:rsidR="007846B4">
        <w:t>providers.</w:t>
      </w:r>
      <w:r w:rsidR="00ED72BF">
        <w:rPr>
          <w:rStyle w:val="FootnoteReference"/>
        </w:rPr>
        <w:footnoteReference w:id="188"/>
      </w:r>
      <w:r w:rsidR="006E57EF">
        <w:t xml:space="preserve"> </w:t>
      </w:r>
      <w:r w:rsidR="00C36C20">
        <w:t>In addition, a</w:t>
      </w:r>
      <w:r w:rsidR="006E57EF">
        <w:t xml:space="preserve">ll </w:t>
      </w:r>
      <w:r w:rsidR="000B5B5A">
        <w:t>CPUC</w:t>
      </w:r>
      <w:r w:rsidR="006E57EF">
        <w:t xml:space="preserve"> regulatory frameworks, including </w:t>
      </w:r>
      <w:r w:rsidR="00BC67EB">
        <w:t xml:space="preserve">those for </w:t>
      </w:r>
      <w:r w:rsidR="006E57EF">
        <w:t>wireless and nomadic</w:t>
      </w:r>
      <w:r w:rsidR="006951D5">
        <w:noBreakHyphen/>
      </w:r>
      <w:r w:rsidR="00D85252">
        <w:t>only</w:t>
      </w:r>
      <w:r w:rsidR="006E57EF">
        <w:t xml:space="preserve"> </w:t>
      </w:r>
      <w:r w:rsidR="00BC67EB">
        <w:lastRenderedPageBreak/>
        <w:t>interconnected VoIP services,</w:t>
      </w:r>
      <w:r w:rsidR="006E57EF">
        <w:t xml:space="preserve"> require the provider to keep current the </w:t>
      </w:r>
      <w:r w:rsidR="00C267DC">
        <w:t>company</w:t>
      </w:r>
      <w:r w:rsidR="00893D67">
        <w:t>’</w:t>
      </w:r>
      <w:r w:rsidR="00C267DC">
        <w:t xml:space="preserve">s </w:t>
      </w:r>
      <w:r w:rsidR="000F77D1">
        <w:t xml:space="preserve">regulatory </w:t>
      </w:r>
      <w:r w:rsidR="006E57EF">
        <w:t xml:space="preserve">contact </w:t>
      </w:r>
      <w:r w:rsidR="000F77D1">
        <w:t>information</w:t>
      </w:r>
      <w:r w:rsidR="006E57EF">
        <w:t>.</w:t>
      </w:r>
    </w:p>
    <w:p w:rsidR="0030559F" w:rsidP="000A2CD0" w:rsidRDefault="009A7F25" w14:paraId="626CE109" w14:textId="55C2BD83">
      <w:pPr>
        <w:pStyle w:val="Heading2"/>
      </w:pPr>
      <w:bookmarkStart w:name="_Toc176770967" w:id="164"/>
      <w:bookmarkStart w:name="_Toc177021165" w:id="165"/>
      <w:bookmarkStart w:name="_Toc181692915" w:id="166"/>
      <w:r>
        <w:t xml:space="preserve">New </w:t>
      </w:r>
      <w:r w:rsidR="0030559F">
        <w:t>Obligations</w:t>
      </w:r>
      <w:r w:rsidR="00B347E9">
        <w:t xml:space="preserve"> and Exemptions </w:t>
      </w:r>
      <w:r w:rsidR="00DE3C88">
        <w:t>Applicable to</w:t>
      </w:r>
      <w:r w:rsidR="00B347E9">
        <w:t xml:space="preserve"> All </w:t>
      </w:r>
      <w:r w:rsidR="00282BD6">
        <w:t>I</w:t>
      </w:r>
      <w:r w:rsidR="00B347E9">
        <w:t xml:space="preserve">nterconnected </w:t>
      </w:r>
      <w:r w:rsidRPr="19E6B670" w:rsidR="009D389C">
        <w:t>Voice Over Internet Protocol</w:t>
      </w:r>
      <w:r w:rsidR="00DE3C88">
        <w:t xml:space="preserve"> </w:t>
      </w:r>
      <w:r w:rsidR="0067692A">
        <w:t xml:space="preserve">Service </w:t>
      </w:r>
      <w:r w:rsidR="00DE3C88">
        <w:t>Providers</w:t>
      </w:r>
      <w:bookmarkEnd w:id="164"/>
      <w:bookmarkEnd w:id="165"/>
      <w:bookmarkEnd w:id="166"/>
    </w:p>
    <w:p w:rsidRPr="002B44EB" w:rsidR="002B44EB" w:rsidP="00645D56" w:rsidRDefault="002B44EB" w14:paraId="67FC813C" w14:textId="03021872">
      <w:pPr>
        <w:pStyle w:val="Standard"/>
      </w:pPr>
      <w:r>
        <w:t xml:space="preserve">In </w:t>
      </w:r>
      <w:r w:rsidRPr="002B44EB">
        <w:t xml:space="preserve">comments on the proposed decision, some parties expressed concern about the requiring interconnected VoIP </w:t>
      </w:r>
      <w:r>
        <w:t xml:space="preserve">service </w:t>
      </w:r>
      <w:r w:rsidRPr="002B44EB">
        <w:t>providers to comply with all laws applicable to telephone corporations.</w:t>
      </w:r>
      <w:r w:rsidRPr="002B44EB">
        <w:rPr>
          <w:vertAlign w:val="superscript"/>
        </w:rPr>
        <w:footnoteReference w:id="189"/>
      </w:r>
      <w:r w:rsidRPr="002B44EB">
        <w:t xml:space="preserve"> This section reviews laws applicable to public utility telephone corporations classified as NDIECs, CLCs, and wireless providers. As stated in this decision in </w:t>
      </w:r>
      <w:r w:rsidR="003E581E">
        <w:t>S</w:t>
      </w:r>
      <w:r w:rsidRPr="002B44EB">
        <w:t>ection 5, the simplified registration process originally developed for NDIECs, and subsequently made available to reselling CLCs, reflects the deregulated market under which those telephone corporations possessing Section 1013 operating authority in California operate.</w:t>
      </w:r>
    </w:p>
    <w:p w:rsidR="005D1BF5" w:rsidP="000A2CD0" w:rsidRDefault="005D1BF5" w14:paraId="25CAA26D" w14:textId="2B4B67FA">
      <w:pPr>
        <w:pStyle w:val="Heading3"/>
      </w:pPr>
      <w:bookmarkStart w:name="_Toc167874892" w:id="167"/>
      <w:bookmarkStart w:name="_Toc176770968" w:id="168"/>
      <w:bookmarkStart w:name="_Toc177021166" w:id="169"/>
      <w:bookmarkStart w:name="_Toc181692916" w:id="170"/>
      <w:r>
        <w:t>Initial and Annual Performance Bond</w:t>
      </w:r>
      <w:bookmarkEnd w:id="167"/>
      <w:bookmarkEnd w:id="168"/>
      <w:bookmarkEnd w:id="169"/>
      <w:bookmarkEnd w:id="170"/>
    </w:p>
    <w:p w:rsidRPr="00FF0326" w:rsidR="007820AB" w:rsidP="007820AB" w:rsidRDefault="005D1BF5" w14:paraId="5E9DEAE9" w14:textId="05B8913A">
      <w:pPr>
        <w:pStyle w:val="Standard"/>
      </w:pPr>
      <w:r w:rsidRPr="7B61D22D">
        <w:t xml:space="preserve">The </w:t>
      </w:r>
      <w:r w:rsidR="003857E1">
        <w:t>Staff Proposal 2</w:t>
      </w:r>
      <w:r w:rsidR="00FB25DA">
        <w:t>.a</w:t>
      </w:r>
      <w:r w:rsidRPr="7B61D22D">
        <w:t>. r</w:t>
      </w:r>
      <w:r>
        <w:t>ecommended all interconnected VoIP</w:t>
      </w:r>
      <w:r w:rsidR="0067692A">
        <w:t xml:space="preserve"> service</w:t>
      </w:r>
      <w:r>
        <w:t xml:space="preserve"> providers be subject to performance bond requirements.</w:t>
      </w:r>
      <w:r w:rsidR="007820AB">
        <w:t xml:space="preserve"> </w:t>
      </w:r>
      <w:r w:rsidRPr="002B44EB" w:rsidR="002B44EB">
        <w:t>Pursuant to Section</w:t>
      </w:r>
      <w:r w:rsidR="003E581E">
        <w:t> </w:t>
      </w:r>
      <w:r w:rsidRPr="002B44EB" w:rsidR="002B44EB">
        <w:t>1013(e), t</w:t>
      </w:r>
      <w:r w:rsidR="007820AB">
        <w:t>he Commission has established, and this decision affirms, requiring a performance bond</w:t>
      </w:r>
      <w:r w:rsidR="00F23579">
        <w:t xml:space="preserve"> except for</w:t>
      </w:r>
      <w:r w:rsidR="003813AA">
        <w:t xml:space="preserve"> service providers who are exempt from this requirement</w:t>
      </w:r>
      <w:r w:rsidR="007820AB">
        <w:t>.</w:t>
      </w:r>
      <w:r w:rsidR="007820AB">
        <w:rPr>
          <w:rStyle w:val="FootnoteReference"/>
        </w:rPr>
        <w:footnoteReference w:id="190"/>
      </w:r>
    </w:p>
    <w:p w:rsidR="002A4E03" w:rsidP="00F66B62" w:rsidRDefault="0060744F" w14:paraId="5FB12738" w14:textId="1105E18D">
      <w:pPr>
        <w:pStyle w:val="Standard"/>
      </w:pPr>
      <w:r>
        <w:t>I</w:t>
      </w:r>
      <w:r w:rsidR="00DA03CB">
        <w:t>n the interest of competitive neutrality and consumer protection</w:t>
      </w:r>
      <w:r w:rsidR="007820AB">
        <w:rPr>
          <w:rFonts w:cstheme="minorHAnsi"/>
          <w:szCs w:val="26"/>
        </w:rPr>
        <w:t xml:space="preserve">, </w:t>
      </w:r>
      <w:r w:rsidR="007820AB">
        <w:t xml:space="preserve">all interconnected VoIP </w:t>
      </w:r>
      <w:r w:rsidR="0067692A">
        <w:t xml:space="preserve">service </w:t>
      </w:r>
      <w:r w:rsidR="007820AB">
        <w:t xml:space="preserve">providers </w:t>
      </w:r>
      <w:r w:rsidR="003E4296">
        <w:t xml:space="preserve">are required to </w:t>
      </w:r>
      <w:r w:rsidR="004C3EE3">
        <w:t>provide proof of the required performance bond</w:t>
      </w:r>
      <w:r w:rsidR="00D52164">
        <w:t xml:space="preserve">. Therefore, </w:t>
      </w:r>
      <w:r w:rsidR="004C3EE3">
        <w:t xml:space="preserve">all interconnected VoIP </w:t>
      </w:r>
      <w:r w:rsidR="008B13BE">
        <w:t>service</w:t>
      </w:r>
      <w:r w:rsidR="004C3EE3">
        <w:t xml:space="preserve"> providers granted operating authority by this decision must </w:t>
      </w:r>
      <w:r w:rsidR="007820AB">
        <w:t>submit</w:t>
      </w:r>
      <w:r w:rsidRPr="00D10C46" w:rsidR="007820AB">
        <w:t xml:space="preserve"> </w:t>
      </w:r>
      <w:r w:rsidR="007820AB">
        <w:t xml:space="preserve">an initial performance </w:t>
      </w:r>
      <w:r w:rsidR="007820AB">
        <w:lastRenderedPageBreak/>
        <w:t xml:space="preserve">bond </w:t>
      </w:r>
      <w:r w:rsidRPr="00D10C46" w:rsidR="007820AB">
        <w:t xml:space="preserve">via </w:t>
      </w:r>
      <w:r w:rsidR="005F2D22">
        <w:t>Tier 1</w:t>
      </w:r>
      <w:r w:rsidR="00FC18C5">
        <w:t xml:space="preserve"> </w:t>
      </w:r>
      <w:r w:rsidRPr="00D10C46" w:rsidR="007820AB">
        <w:t>advice lett</w:t>
      </w:r>
      <w:r w:rsidR="00732ADC">
        <w:t xml:space="preserve">er between </w:t>
      </w:r>
      <w:r w:rsidR="00424385">
        <w:t>March</w:t>
      </w:r>
      <w:r w:rsidR="00844EAF">
        <w:t> </w:t>
      </w:r>
      <w:r w:rsidR="00732ADC">
        <w:t xml:space="preserve">1 and </w:t>
      </w:r>
      <w:r w:rsidR="00424385">
        <w:t>May</w:t>
      </w:r>
      <w:r w:rsidR="00844EAF">
        <w:t> </w:t>
      </w:r>
      <w:r w:rsidR="00732ADC">
        <w:t>31, 2025</w:t>
      </w:r>
      <w:r w:rsidR="00676052">
        <w:t>.</w:t>
      </w:r>
      <w:r w:rsidR="00D85252">
        <w:rPr>
          <w:rStyle w:val="FootnoteReference"/>
        </w:rPr>
        <w:footnoteReference w:id="191"/>
      </w:r>
      <w:r w:rsidR="000C1C7F">
        <w:t xml:space="preserve"> </w:t>
      </w:r>
      <w:r w:rsidR="00534AFD">
        <w:t>The performance bond requirements established in D.13</w:t>
      </w:r>
      <w:r w:rsidR="006951D5">
        <w:noBreakHyphen/>
      </w:r>
      <w:r w:rsidR="00534AFD">
        <w:t>05</w:t>
      </w:r>
      <w:r w:rsidR="006951D5">
        <w:noBreakHyphen/>
      </w:r>
      <w:r w:rsidR="00534AFD">
        <w:t xml:space="preserve">035 </w:t>
      </w:r>
      <w:r w:rsidR="0020745D">
        <w:t>are</w:t>
      </w:r>
      <w:r w:rsidR="00534AFD">
        <w:t xml:space="preserve"> adopted for all interconnected VoIP service providers to </w:t>
      </w:r>
      <w:r w:rsidRPr="001167AA" w:rsidR="00673BC3">
        <w:t>facilitate the collection of fines penalties, taxes, surcharges, fees, and restitution to customers</w:t>
      </w:r>
      <w:r w:rsidR="00673BC3">
        <w:t xml:space="preserve">. </w:t>
      </w:r>
      <w:r w:rsidRPr="002B44EB" w:rsidR="002B44EB">
        <w:t xml:space="preserve">An initial performance bond must be submitted via Tier 1 Advice Letter within 30 days of being granted an operating authority or registration. </w:t>
      </w:r>
      <w:r w:rsidRPr="00371D54" w:rsidR="00673BC3">
        <w:t>The performance bond must be a continuous bond (</w:t>
      </w:r>
      <w:r w:rsidRPr="004A120D" w:rsidR="004A120D">
        <w:rPr>
          <w:i/>
          <w:iCs/>
        </w:rPr>
        <w:t>i.e.</w:t>
      </w:r>
      <w:r w:rsidRPr="00371D54" w:rsidR="00673BC3">
        <w:t xml:space="preserve">, there is no termination date on the bond) issued by a corporate surety company authorized to transact surety business in California, and the Commission must be listed as the </w:t>
      </w:r>
      <w:proofErr w:type="spellStart"/>
      <w:r w:rsidRPr="00371D54" w:rsidR="00673BC3">
        <w:t>obligee</w:t>
      </w:r>
      <w:proofErr w:type="spellEnd"/>
      <w:r w:rsidRPr="00371D54" w:rsidR="00673BC3">
        <w:t xml:space="preserve"> on the bond.</w:t>
      </w:r>
    </w:p>
    <w:p w:rsidR="007820AB" w:rsidP="00F66B62" w:rsidRDefault="00A16C07" w14:paraId="4BC1A99C" w14:textId="4DBD0483">
      <w:pPr>
        <w:pStyle w:val="Standard"/>
      </w:pPr>
      <w:r>
        <w:t>An</w:t>
      </w:r>
      <w:r w:rsidR="007820AB">
        <w:rPr>
          <w:rFonts w:cstheme="minorHAnsi"/>
          <w:szCs w:val="26"/>
        </w:rPr>
        <w:t xml:space="preserve"> original hard copy of the performance bond </w:t>
      </w:r>
      <w:r w:rsidR="00704F4B">
        <w:rPr>
          <w:rFonts w:cstheme="minorHAnsi"/>
          <w:szCs w:val="26"/>
        </w:rPr>
        <w:t xml:space="preserve">must be submitted </w:t>
      </w:r>
      <w:r w:rsidR="007820AB">
        <w:rPr>
          <w:rFonts w:cstheme="minorHAnsi"/>
          <w:szCs w:val="26"/>
        </w:rPr>
        <w:t>to the Commission</w:t>
      </w:r>
      <w:r w:rsidR="00893D67">
        <w:rPr>
          <w:rFonts w:cstheme="minorHAnsi"/>
          <w:szCs w:val="26"/>
        </w:rPr>
        <w:t>’</w:t>
      </w:r>
      <w:r w:rsidR="007820AB">
        <w:rPr>
          <w:rFonts w:cstheme="minorHAnsi"/>
          <w:szCs w:val="26"/>
        </w:rPr>
        <w:t>s Communications Division</w:t>
      </w:r>
      <w:r w:rsidR="006951D5">
        <w:rPr>
          <w:rFonts w:cstheme="minorHAnsi"/>
          <w:szCs w:val="26"/>
        </w:rPr>
        <w:noBreakHyphen/>
      </w:r>
      <w:r w:rsidR="00556291">
        <w:rPr>
          <w:rFonts w:cstheme="minorHAnsi"/>
          <w:szCs w:val="26"/>
        </w:rPr>
        <w:t>Telco Licensing</w:t>
      </w:r>
      <w:r w:rsidR="0023677C">
        <w:rPr>
          <w:rFonts w:cstheme="minorHAnsi"/>
          <w:szCs w:val="26"/>
        </w:rPr>
        <w:t xml:space="preserve"> Registration Oversight Section</w:t>
      </w:r>
      <w:r w:rsidR="007820AB">
        <w:rPr>
          <w:rFonts w:cstheme="minorHAnsi"/>
          <w:szCs w:val="26"/>
        </w:rPr>
        <w:t xml:space="preserve"> (or its successor) for record keeping. </w:t>
      </w:r>
      <w:r w:rsidR="001C405E">
        <w:t xml:space="preserve">However, </w:t>
      </w:r>
      <w:r w:rsidR="001C405E">
        <w:rPr>
          <w:rFonts w:cstheme="minorHAnsi"/>
          <w:szCs w:val="26"/>
        </w:rPr>
        <w:t>if no hard copy exists</w:t>
      </w:r>
      <w:r w:rsidRPr="0B10B0AF" w:rsidR="001C405E">
        <w:t xml:space="preserve"> </w:t>
      </w:r>
      <w:r w:rsidR="001C405E">
        <w:t xml:space="preserve">(the </w:t>
      </w:r>
      <w:r w:rsidRPr="0B10B0AF" w:rsidR="001C405E">
        <w:t>performance bond</w:t>
      </w:r>
      <w:r w:rsidR="001C405E">
        <w:t xml:space="preserve"> is only in electronic version)</w:t>
      </w:r>
      <w:r w:rsidRPr="0B10B0AF" w:rsidR="001C405E">
        <w:t xml:space="preserve">, the </w:t>
      </w:r>
      <w:r w:rsidR="001C405E">
        <w:t>interconnected VoIP service provider</w:t>
      </w:r>
      <w:r w:rsidRPr="0B10B0AF" w:rsidR="001C405E">
        <w:t xml:space="preserve"> must submit an attestation with its </w:t>
      </w:r>
      <w:r w:rsidR="001C405E">
        <w:t xml:space="preserve">initial performance bond </w:t>
      </w:r>
      <w:r w:rsidRPr="0B10B0AF" w:rsidR="001C405E">
        <w:t xml:space="preserve">advice letter filing that there is no original hard copy provided by the surety company and that the electronic bond is the same legal instrument as a paper bond. </w:t>
      </w:r>
      <w:r w:rsidR="007820AB">
        <w:rPr>
          <w:rFonts w:cstheme="minorHAnsi"/>
          <w:szCs w:val="26"/>
        </w:rPr>
        <w:t>The hard copy document must be sent to the following</w:t>
      </w:r>
      <w:r w:rsidR="00836E38">
        <w:rPr>
          <w:rFonts w:cstheme="minorHAnsi"/>
          <w:szCs w:val="26"/>
        </w:rPr>
        <w:t xml:space="preserve"> address</w:t>
      </w:r>
      <w:r w:rsidR="007820AB">
        <w:rPr>
          <w:rFonts w:cstheme="minorHAnsi"/>
          <w:szCs w:val="26"/>
        </w:rPr>
        <w:t>:</w:t>
      </w:r>
    </w:p>
    <w:p w:rsidR="007820AB" w:rsidP="00836E38" w:rsidRDefault="007820AB" w14:paraId="5F949817" w14:textId="50E8B425">
      <w:pPr>
        <w:pStyle w:val="NoSpacing"/>
        <w:keepNext/>
        <w:jc w:val="center"/>
        <w:rPr>
          <w:rFonts w:cstheme="minorHAnsi"/>
          <w:szCs w:val="26"/>
        </w:rPr>
      </w:pPr>
      <w:r>
        <w:rPr>
          <w:rFonts w:cstheme="minorHAnsi"/>
          <w:szCs w:val="26"/>
        </w:rPr>
        <w:t xml:space="preserve">California </w:t>
      </w:r>
      <w:r w:rsidR="007E4707">
        <w:rPr>
          <w:rFonts w:cstheme="minorHAnsi"/>
          <w:szCs w:val="26"/>
        </w:rPr>
        <w:t>Public Utilities</w:t>
      </w:r>
      <w:r>
        <w:rPr>
          <w:rFonts w:cstheme="minorHAnsi"/>
          <w:szCs w:val="26"/>
        </w:rPr>
        <w:t xml:space="preserve"> Commission</w:t>
      </w:r>
    </w:p>
    <w:p w:rsidR="00A96B31" w:rsidP="00E0476A" w:rsidRDefault="007820AB" w14:paraId="5AF4C60F" w14:textId="3E36D081">
      <w:pPr>
        <w:pStyle w:val="NoSpacing"/>
        <w:keepNext/>
        <w:jc w:val="center"/>
      </w:pPr>
      <w:r w:rsidRPr="7CA8E2B7">
        <w:t>ATTN: Communications Division</w:t>
      </w:r>
      <w:r w:rsidR="00E0476A">
        <w:t xml:space="preserve"> – Performance Bond</w:t>
      </w:r>
    </w:p>
    <w:p w:rsidR="007820AB" w:rsidP="00836E38" w:rsidRDefault="008123A1" w14:paraId="07CB8E8F" w14:textId="30D8E708">
      <w:pPr>
        <w:pStyle w:val="NoSpacing"/>
        <w:keepNext/>
        <w:jc w:val="center"/>
        <w:rPr>
          <w:rFonts w:cstheme="minorHAnsi"/>
          <w:szCs w:val="26"/>
        </w:rPr>
      </w:pPr>
      <w:r>
        <w:rPr>
          <w:rFonts w:cstheme="minorHAnsi"/>
          <w:szCs w:val="26"/>
        </w:rPr>
        <w:t>505 Van Ness</w:t>
      </w:r>
      <w:r w:rsidR="007820AB">
        <w:rPr>
          <w:rFonts w:cstheme="minorHAnsi"/>
          <w:szCs w:val="26"/>
        </w:rPr>
        <w:t xml:space="preserve"> Avenue, Third Floor</w:t>
      </w:r>
    </w:p>
    <w:p w:rsidR="007820AB" w:rsidP="007820AB" w:rsidRDefault="008123A1" w14:paraId="2728AD16" w14:textId="568101B2">
      <w:pPr>
        <w:pStyle w:val="NoSpacing"/>
        <w:jc w:val="center"/>
        <w:rPr>
          <w:rFonts w:cstheme="minorHAnsi"/>
          <w:szCs w:val="26"/>
        </w:rPr>
      </w:pPr>
      <w:r>
        <w:rPr>
          <w:rFonts w:cstheme="minorHAnsi"/>
          <w:szCs w:val="26"/>
        </w:rPr>
        <w:t>San </w:t>
      </w:r>
      <w:r w:rsidR="007820AB">
        <w:rPr>
          <w:rFonts w:cstheme="minorHAnsi"/>
          <w:szCs w:val="26"/>
        </w:rPr>
        <w:t>Francisco, California 94102</w:t>
      </w:r>
    </w:p>
    <w:p w:rsidR="00A96B31" w:rsidP="00F66B62" w:rsidRDefault="000C1C7F" w14:paraId="0B92A66C" w14:textId="33BC9C07">
      <w:pPr>
        <w:pStyle w:val="Standard"/>
      </w:pPr>
      <w:r>
        <w:t xml:space="preserve">All interconnected VoIP </w:t>
      </w:r>
      <w:r w:rsidR="00F81872">
        <w:t xml:space="preserve">service </w:t>
      </w:r>
      <w:r>
        <w:t xml:space="preserve">providers </w:t>
      </w:r>
      <w:r w:rsidRPr="00D10C46">
        <w:t xml:space="preserve">must </w:t>
      </w:r>
      <w:r>
        <w:t xml:space="preserve">also comply </w:t>
      </w:r>
      <w:r w:rsidR="00C90345">
        <w:t>with</w:t>
      </w:r>
      <w:r>
        <w:t xml:space="preserve"> the annual performance bond requirements</w:t>
      </w:r>
      <w:r w:rsidR="00C62321">
        <w:t xml:space="preserve"> as established in D.13</w:t>
      </w:r>
      <w:r w:rsidR="006951D5">
        <w:noBreakHyphen/>
      </w:r>
      <w:r w:rsidR="00C62321">
        <w:t>03</w:t>
      </w:r>
      <w:r w:rsidR="006951D5">
        <w:noBreakHyphen/>
      </w:r>
      <w:r w:rsidR="00C62321">
        <w:t>035</w:t>
      </w:r>
      <w:r>
        <w:t xml:space="preserve">. </w:t>
      </w:r>
      <w:r w:rsidRPr="00D10C46">
        <w:t xml:space="preserve">Due to the timing and filing schedule associated with initial performance bonds, </w:t>
      </w:r>
      <w:r w:rsidR="00A768FD">
        <w:t xml:space="preserve">interconnected VoIP </w:t>
      </w:r>
      <w:r w:rsidR="0039403C">
        <w:t xml:space="preserve">service </w:t>
      </w:r>
      <w:r w:rsidR="00A768FD">
        <w:t xml:space="preserve">providers that file initial performance bonds </w:t>
      </w:r>
      <w:r w:rsidR="00A768FD">
        <w:lastRenderedPageBreak/>
        <w:t>pursuant to this decision</w:t>
      </w:r>
      <w:r w:rsidRPr="00D10C46">
        <w:t xml:space="preserve"> will </w:t>
      </w:r>
      <w:r w:rsidR="00A768FD">
        <w:t>have their first</w:t>
      </w:r>
      <w:r w:rsidRPr="00D10C46">
        <w:t xml:space="preserve"> annual performance bond </w:t>
      </w:r>
      <w:r w:rsidR="00A768FD">
        <w:t>filing due</w:t>
      </w:r>
      <w:r w:rsidRPr="00D10C46">
        <w:t xml:space="preserve"> </w:t>
      </w:r>
      <w:r w:rsidR="0068287E">
        <w:t xml:space="preserve">on </w:t>
      </w:r>
      <w:r w:rsidR="00424385">
        <w:t>March </w:t>
      </w:r>
      <w:r w:rsidRPr="00D10C46">
        <w:t>31, 2026, and continue annually thereafter.</w:t>
      </w:r>
    </w:p>
    <w:p w:rsidR="00A96B31" w:rsidP="000A2CD0" w:rsidRDefault="007B4938" w14:paraId="75C466AE" w14:textId="676A8B5E">
      <w:pPr>
        <w:pStyle w:val="Heading4"/>
      </w:pPr>
      <w:bookmarkStart w:name="_Toc176770969" w:id="171"/>
      <w:bookmarkStart w:name="_Toc177021167" w:id="172"/>
      <w:bookmarkStart w:name="_Toc181692917" w:id="173"/>
      <w:r>
        <w:t>Performance Bond</w:t>
      </w:r>
      <w:r w:rsidR="00364EEA">
        <w:br/>
      </w:r>
      <w:r>
        <w:t>Requirements Updates</w:t>
      </w:r>
      <w:bookmarkEnd w:id="171"/>
      <w:bookmarkEnd w:id="172"/>
      <w:bookmarkEnd w:id="173"/>
    </w:p>
    <w:p w:rsidR="00EC146D" w:rsidP="007B4938" w:rsidRDefault="007B4938" w14:paraId="4FCB0887" w14:textId="32737214">
      <w:pPr>
        <w:pStyle w:val="Standard"/>
      </w:pPr>
      <w:r>
        <w:t>Prior to today</w:t>
      </w:r>
      <w:r w:rsidR="00893D67">
        <w:t>’</w:t>
      </w:r>
      <w:r>
        <w:t xml:space="preserve">s decision, the performance bond amount </w:t>
      </w:r>
      <w:r w:rsidRPr="009941DF">
        <w:t>for existing applicants for operating authority had to be equal to or greater than 10</w:t>
      </w:r>
      <w:r w:rsidR="006C00A2">
        <w:t> percent</w:t>
      </w:r>
      <w:r w:rsidRPr="009941DF">
        <w:t xml:space="preserve"> of intrastate revenues reported to the Commission during the preceding calendar year or $25,000, whichever is greater.</w:t>
      </w:r>
      <w:r w:rsidR="00CD0E2A">
        <w:t xml:space="preserve"> </w:t>
      </w:r>
      <w:r w:rsidRPr="009941DF">
        <w:t>One standard amount</w:t>
      </w:r>
      <w:r>
        <w:t xml:space="preserve"> is more administratively efficient. </w:t>
      </w:r>
      <w:r w:rsidRPr="0039744C">
        <w:t>Today</w:t>
      </w:r>
      <w:r w:rsidR="00893D67">
        <w:t>’</w:t>
      </w:r>
      <w:r w:rsidRPr="0039744C">
        <w:t>s decision establishes a minimum bond requirement of $25,000 for existing and new registrants alike.</w:t>
      </w:r>
      <w:r w:rsidR="00CD0E2A">
        <w:t xml:space="preserve"> </w:t>
      </w:r>
      <w:r w:rsidRPr="0001460C">
        <w:t xml:space="preserve">Existing </w:t>
      </w:r>
      <w:r w:rsidR="00A43960">
        <w:t>service provider</w:t>
      </w:r>
      <w:r w:rsidRPr="0001460C">
        <w:t xml:space="preserve">s who currently have a bond in the amount of </w:t>
      </w:r>
      <w:r>
        <w:t>10</w:t>
      </w:r>
      <w:r w:rsidR="006C00A2">
        <w:t> percent</w:t>
      </w:r>
      <w:r w:rsidRPr="0001460C">
        <w:t xml:space="preserve"> of intrastate revenue may either continue to maintain a bond in that amount or may obtain a new bond for $25,000. </w:t>
      </w:r>
      <w:r>
        <w:t xml:space="preserve">If a performance bond is modified or replaced by a new bond, the </w:t>
      </w:r>
      <w:r w:rsidR="00A43960">
        <w:t>service provider</w:t>
      </w:r>
      <w:r>
        <w:t xml:space="preserve"> must file the updated or new bond as a </w:t>
      </w:r>
      <w:r w:rsidR="005F2D22">
        <w:t>Tier 1</w:t>
      </w:r>
      <w:r w:rsidR="00E21830">
        <w:t xml:space="preserve"> advice letter</w:t>
      </w:r>
      <w:r>
        <w:t>.</w:t>
      </w:r>
      <w:r w:rsidR="00CD0E2A">
        <w:t xml:space="preserve"> </w:t>
      </w:r>
      <w:r>
        <w:t xml:space="preserve">Additionally, some telephone corporations were required to maintain two performance bonds to comply with separate requirements established under its CPCN and NDIEC authorities. This is no longer necessary, and all telephone corporations are only required to maintain one performance bond per </w:t>
      </w:r>
      <w:r w:rsidR="00275397">
        <w:t>Utility ID Number</w:t>
      </w:r>
      <w:r>
        <w:t xml:space="preserve"> with a minimum amount of $25,000.</w:t>
      </w:r>
      <w:r w:rsidR="00EC146D">
        <w:rPr>
          <w:rStyle w:val="FootnoteReference"/>
        </w:rPr>
        <w:footnoteReference w:id="192"/>
      </w:r>
      <w:r w:rsidR="00CD0E2A">
        <w:t xml:space="preserve"> </w:t>
      </w:r>
    </w:p>
    <w:p w:rsidR="00A96B31" w:rsidP="007B4938" w:rsidRDefault="00C62321" w14:paraId="52B19323" w14:textId="383B236E">
      <w:pPr>
        <w:pStyle w:val="Standard"/>
      </w:pPr>
      <w:r>
        <w:t>Moving</w:t>
      </w:r>
      <w:r w:rsidR="007B4938">
        <w:t xml:space="preserve"> forward, the new bond template must be used by new and existing </w:t>
      </w:r>
      <w:r>
        <w:t>telephone corporations</w:t>
      </w:r>
      <w:r w:rsidR="007B4938">
        <w:t xml:space="preserve"> who obtain a new performance bond. </w:t>
      </w:r>
      <w:r>
        <w:t>Telephone corporations</w:t>
      </w:r>
      <w:r w:rsidR="007B4938">
        <w:t xml:space="preserve"> who have a bond in place using the old performance bond template </w:t>
      </w:r>
      <w:r w:rsidR="007B4938">
        <w:lastRenderedPageBreak/>
        <w:t>are not required to update their performance bond to the new template unless they elect to obtain a new performance bond.</w:t>
      </w:r>
    </w:p>
    <w:p w:rsidR="007B4938" w:rsidP="00F66B62" w:rsidRDefault="007B4938" w14:paraId="3465F0CE" w14:textId="62AB91B2">
      <w:pPr>
        <w:pStyle w:val="Standard"/>
      </w:pPr>
      <w:r>
        <w:t xml:space="preserve">The </w:t>
      </w:r>
      <w:r w:rsidRPr="7B61D22D">
        <w:t>Staff Proposal</w:t>
      </w:r>
      <w:r w:rsidR="003857E1">
        <w:t> </w:t>
      </w:r>
      <w:r w:rsidRPr="7B61D22D">
        <w:t>4.b.</w:t>
      </w:r>
      <w:r w:rsidR="003857E1">
        <w:t xml:space="preserve"> </w:t>
      </w:r>
      <w:r w:rsidRPr="1D8316E0">
        <w:t xml:space="preserve">recommended making the performance bond advice letter filing consistent between CPCN holders and </w:t>
      </w:r>
      <w:r w:rsidR="002F6F34">
        <w:t>Section </w:t>
      </w:r>
      <w:r w:rsidRPr="1D8316E0">
        <w:t>1013 registration holder</w:t>
      </w:r>
      <w:r w:rsidR="00C36C20">
        <w:t>s</w:t>
      </w:r>
      <w:r w:rsidRPr="1D8316E0">
        <w:t xml:space="preserve"> by requiring the filing via a </w:t>
      </w:r>
      <w:r w:rsidR="005F2D22">
        <w:t>Tier 1</w:t>
      </w:r>
      <w:r w:rsidRPr="1D8316E0">
        <w:t xml:space="preserve"> advice letter instead of an information</w:t>
      </w:r>
      <w:r w:rsidR="006951D5">
        <w:noBreakHyphen/>
      </w:r>
      <w:r w:rsidRPr="1D8316E0">
        <w:t xml:space="preserve">only </w:t>
      </w:r>
      <w:r w:rsidR="00C36C20">
        <w:t>submittal</w:t>
      </w:r>
      <w:r w:rsidRPr="1D8316E0">
        <w:t>. In addition, t</w:t>
      </w:r>
      <w:r>
        <w:t>he Staff Proposal recommended</w:t>
      </w:r>
      <w:r w:rsidRPr="0B10B0AF">
        <w:t xml:space="preserve"> that </w:t>
      </w:r>
      <w:r w:rsidR="002F7226">
        <w:t>telephone corporations</w:t>
      </w:r>
      <w:r w:rsidRPr="0B10B0AF">
        <w:t xml:space="preserve"> submit additional supporting documentation with </w:t>
      </w:r>
      <w:r w:rsidR="6FE8534B">
        <w:t>their</w:t>
      </w:r>
      <w:r w:rsidRPr="0B10B0AF">
        <w:t xml:space="preserve"> annual performance bond advice letter including, but not limited to, a continuation certificate, payment invoice, or other documentation that shows the performance bond is still in full force and effect to facilitate staff review and confirm the bond is still in effect.</w:t>
      </w:r>
      <w:r>
        <w:rPr>
          <w:rStyle w:val="FootnoteReference"/>
          <w:rFonts w:cstheme="minorHAnsi"/>
          <w:szCs w:val="26"/>
        </w:rPr>
        <w:footnoteReference w:id="193"/>
      </w:r>
    </w:p>
    <w:p w:rsidRPr="00F069EA" w:rsidR="00A96B31" w:rsidP="007B4938" w:rsidRDefault="007B4938" w14:paraId="5607076F" w14:textId="619B2A29">
      <w:pPr>
        <w:pStyle w:val="Standard"/>
      </w:pPr>
      <w:r>
        <w:t>Joint Consumers supported the changes to performance bond requirements in the Staff Proposal.</w:t>
      </w:r>
      <w:r w:rsidRPr="00B52CD6">
        <w:rPr>
          <w:rStyle w:val="FootnoteReference"/>
        </w:rPr>
        <w:footnoteReference w:id="194"/>
      </w:r>
      <w:r>
        <w:t xml:space="preserve"> Consolidated, Frontier and Small LECs disagreed and recommended keeping the existing practice of relying on information</w:t>
      </w:r>
      <w:r w:rsidR="00844EAF">
        <w:noBreakHyphen/>
      </w:r>
      <w:r>
        <w:t xml:space="preserve">only </w:t>
      </w:r>
      <w:r w:rsidR="00B41999">
        <w:t>submittals</w:t>
      </w:r>
      <w:r>
        <w:t xml:space="preserve"> to confirm performance bond requirements for </w:t>
      </w:r>
      <w:r w:rsidR="00893D67">
        <w:t>“</w:t>
      </w:r>
      <w:r>
        <w:t>registration license holders.</w:t>
      </w:r>
      <w:r w:rsidR="00893D67">
        <w:t>”</w:t>
      </w:r>
      <w:r w:rsidRPr="00B52CD6">
        <w:rPr>
          <w:rStyle w:val="FootnoteReference"/>
        </w:rPr>
        <w:footnoteReference w:id="195"/>
      </w:r>
      <w:r>
        <w:t xml:space="preserve"> </w:t>
      </w:r>
      <w:r w:rsidR="00893D67">
        <w:t>“</w:t>
      </w:r>
      <w:r>
        <w:t>C</w:t>
      </w:r>
      <w:r w:rsidR="00BA1BE4">
        <w:t>al Broadband</w:t>
      </w:r>
      <w:r>
        <w:t xml:space="preserve"> submits that, because performance bond filings are simple and straightforward, license holders should be permitted to file performance bonds via an information</w:t>
      </w:r>
      <w:r w:rsidR="006951D5">
        <w:noBreakHyphen/>
      </w:r>
      <w:r>
        <w:t xml:space="preserve">only </w:t>
      </w:r>
      <w:r w:rsidR="00B05EC4">
        <w:t>submittal</w:t>
      </w:r>
      <w:r>
        <w:t>, as NDIECs do today.</w:t>
      </w:r>
      <w:r w:rsidR="00893D67">
        <w:t>”</w:t>
      </w:r>
      <w:r w:rsidRPr="00B52CD6">
        <w:rPr>
          <w:rStyle w:val="FootnoteReference"/>
        </w:rPr>
        <w:footnoteReference w:id="196"/>
      </w:r>
      <w:r w:rsidRPr="00F069EA" w:rsidR="00CD0E2A">
        <w:t xml:space="preserve"> </w:t>
      </w:r>
      <w:r>
        <w:t xml:space="preserve">AT&amp;T agrees with the majority of commenters who say performance bonds should remain </w:t>
      </w:r>
      <w:r w:rsidR="00C36C20">
        <w:t xml:space="preserve">an </w:t>
      </w:r>
      <w:r>
        <w:t>information</w:t>
      </w:r>
      <w:r w:rsidR="006951D5">
        <w:noBreakHyphen/>
      </w:r>
      <w:r>
        <w:t xml:space="preserve">only </w:t>
      </w:r>
      <w:r w:rsidR="00C36C20">
        <w:t>submittal</w:t>
      </w:r>
      <w:r>
        <w:t>.</w:t>
      </w:r>
      <w:r w:rsidRPr="00487E30">
        <w:rPr>
          <w:vertAlign w:val="superscript"/>
        </w:rPr>
        <w:footnoteReference w:id="197"/>
      </w:r>
      <w:r>
        <w:t xml:space="preserve"> C</w:t>
      </w:r>
      <w:r w:rsidR="00BA1BE4">
        <w:t>loud</w:t>
      </w:r>
      <w:r>
        <w:t xml:space="preserve"> </w:t>
      </w:r>
      <w:r>
        <w:lastRenderedPageBreak/>
        <w:t>believes that business</w:t>
      </w:r>
      <w:r w:rsidR="006951D5">
        <w:noBreakHyphen/>
      </w:r>
      <w:r>
        <w:t xml:space="preserve">only </w:t>
      </w:r>
      <w:r w:rsidR="001829E6">
        <w:t>interconnected VoIP</w:t>
      </w:r>
      <w:r>
        <w:t xml:space="preserve"> providers should not be required to file performance bonds.</w:t>
      </w:r>
      <w:r w:rsidRPr="00B52CD6">
        <w:rPr>
          <w:rStyle w:val="FootnoteReference"/>
        </w:rPr>
        <w:footnoteReference w:id="198"/>
      </w:r>
    </w:p>
    <w:p w:rsidRPr="00256315" w:rsidR="007B4938" w:rsidP="00F66B62" w:rsidRDefault="007B4938" w14:paraId="6A1CAE5A" w14:textId="3E0C636C">
      <w:pPr>
        <w:pStyle w:val="Standard"/>
      </w:pPr>
      <w:r>
        <w:rPr>
          <w:rFonts w:cstheme="minorHAnsi"/>
          <w:szCs w:val="26"/>
        </w:rPr>
        <w:t>For administrative ease and consistency, this decision adopts the Staff Proposal</w:t>
      </w:r>
      <w:r w:rsidR="00893D67">
        <w:rPr>
          <w:rFonts w:cstheme="minorHAnsi"/>
          <w:szCs w:val="26"/>
        </w:rPr>
        <w:t>’</w:t>
      </w:r>
      <w:r>
        <w:rPr>
          <w:rFonts w:cstheme="minorHAnsi"/>
          <w:szCs w:val="26"/>
        </w:rPr>
        <w:t>s recommendations to the initial and annual performance bond requirements for all telephone corporations including interconnected VoIP service providers. Particularly, we adopt the following</w:t>
      </w:r>
      <w:r w:rsidR="004E3961">
        <w:rPr>
          <w:rFonts w:cstheme="minorHAnsi"/>
          <w:szCs w:val="26"/>
        </w:rPr>
        <w:t xml:space="preserve">:  </w:t>
      </w:r>
      <w:bookmarkStart w:name="_Toc167874887" w:id="174"/>
      <w:bookmarkStart w:name="_Toc8123720" w:id="175"/>
      <w:r>
        <w:rPr>
          <w:rFonts w:cstheme="minorHAnsi"/>
          <w:szCs w:val="26"/>
        </w:rPr>
        <w:t>(1</w:t>
      </w:r>
      <w:r w:rsidR="00F55191">
        <w:rPr>
          <w:rFonts w:cstheme="minorHAnsi"/>
          <w:szCs w:val="26"/>
        </w:rPr>
        <w:t>) </w:t>
      </w:r>
      <w:r>
        <w:rPr>
          <w:rFonts w:cstheme="minorHAnsi"/>
          <w:szCs w:val="26"/>
        </w:rPr>
        <w:t xml:space="preserve">all telephone corporations are only required to maintain one performance bond per </w:t>
      </w:r>
      <w:r w:rsidR="00275397">
        <w:rPr>
          <w:rFonts w:cstheme="minorHAnsi"/>
          <w:szCs w:val="26"/>
        </w:rPr>
        <w:t>Utility ID Number</w:t>
      </w:r>
      <w:r>
        <w:rPr>
          <w:rFonts w:cstheme="minorHAnsi"/>
          <w:szCs w:val="26"/>
        </w:rPr>
        <w:t xml:space="preserve"> with a minimum amount of $25,000, (2</w:t>
      </w:r>
      <w:r w:rsidR="00F55191">
        <w:rPr>
          <w:rFonts w:cstheme="minorHAnsi"/>
          <w:szCs w:val="26"/>
        </w:rPr>
        <w:t>) </w:t>
      </w:r>
      <w:r>
        <w:rPr>
          <w:rFonts w:cstheme="minorHAnsi"/>
          <w:szCs w:val="26"/>
        </w:rPr>
        <w:t xml:space="preserve">all advice letters related to performance bonds are submitted using the </w:t>
      </w:r>
      <w:r w:rsidR="005F2D22">
        <w:rPr>
          <w:rFonts w:cstheme="minorHAnsi"/>
          <w:szCs w:val="26"/>
        </w:rPr>
        <w:t>Tier 1</w:t>
      </w:r>
      <w:r w:rsidR="00E21830">
        <w:rPr>
          <w:rFonts w:cstheme="minorHAnsi"/>
          <w:szCs w:val="26"/>
        </w:rPr>
        <w:t xml:space="preserve"> advice letter</w:t>
      </w:r>
      <w:r>
        <w:rPr>
          <w:rFonts w:cstheme="minorHAnsi"/>
          <w:szCs w:val="26"/>
        </w:rPr>
        <w:t xml:space="preserve"> process, and (3</w:t>
      </w:r>
      <w:r w:rsidR="00F55191">
        <w:rPr>
          <w:rFonts w:cstheme="minorHAnsi"/>
          <w:szCs w:val="26"/>
        </w:rPr>
        <w:t>) </w:t>
      </w:r>
      <w:r>
        <w:rPr>
          <w:rFonts w:cstheme="minorHAnsi"/>
          <w:szCs w:val="26"/>
        </w:rPr>
        <w:t xml:space="preserve">annual performance bond filings must include supporting </w:t>
      </w:r>
      <w:r w:rsidRPr="0B10B0AF">
        <w:t xml:space="preserve">documentation that </w:t>
      </w:r>
      <w:r>
        <w:t xml:space="preserve">demonstrates that </w:t>
      </w:r>
      <w:r w:rsidRPr="0B10B0AF">
        <w:t xml:space="preserve">the performance bond is still in full force and </w:t>
      </w:r>
      <w:r>
        <w:t>continuous for the duration of the telephone corporation</w:t>
      </w:r>
      <w:r w:rsidR="00893D67">
        <w:t>’</w:t>
      </w:r>
      <w:r>
        <w:t xml:space="preserve">s active license </w:t>
      </w:r>
      <w:r w:rsidR="009D0EBA">
        <w:t xml:space="preserve">or registration </w:t>
      </w:r>
      <w:r>
        <w:t>with the Commission</w:t>
      </w:r>
      <w:r w:rsidRPr="0B10B0AF">
        <w:t>.</w:t>
      </w:r>
      <w:r w:rsidR="00B8215F">
        <w:rPr>
          <w:rStyle w:val="FootnoteReference"/>
        </w:rPr>
        <w:footnoteReference w:id="199"/>
      </w:r>
    </w:p>
    <w:p w:rsidRPr="00564B0C" w:rsidR="005D1BF5" w:rsidP="000A2CD0" w:rsidRDefault="00F83C93" w14:paraId="05CFBB99" w14:textId="1DE3563C">
      <w:pPr>
        <w:pStyle w:val="Heading3"/>
      </w:pPr>
      <w:bookmarkStart w:name="_Toc167874893" w:id="176"/>
      <w:bookmarkStart w:name="_Toc176770970" w:id="177"/>
      <w:bookmarkStart w:name="_Toc177021168" w:id="178"/>
      <w:bookmarkStart w:name="_Toc181692918" w:id="179"/>
      <w:r>
        <w:t xml:space="preserve">California </w:t>
      </w:r>
      <w:r w:rsidR="007E4707">
        <w:t>Public Utilities</w:t>
      </w:r>
      <w:r w:rsidR="00A66D54">
        <w:br/>
      </w:r>
      <w:r>
        <w:t>Commission</w:t>
      </w:r>
      <w:r w:rsidR="00A66D54">
        <w:t xml:space="preserve"> </w:t>
      </w:r>
      <w:r w:rsidR="005D1BF5">
        <w:t>User Fees</w:t>
      </w:r>
      <w:bookmarkEnd w:id="176"/>
      <w:bookmarkEnd w:id="177"/>
      <w:bookmarkEnd w:id="178"/>
      <w:bookmarkEnd w:id="179"/>
    </w:p>
    <w:p w:rsidR="00A96B31" w:rsidP="00F66B62" w:rsidRDefault="005D1BF5" w14:paraId="4DDD257C" w14:textId="61AEFBDE">
      <w:pPr>
        <w:pStyle w:val="Standard"/>
      </w:pPr>
      <w:r>
        <w:t xml:space="preserve">Staff recommended all interconnected VoIP </w:t>
      </w:r>
      <w:r w:rsidR="0067692A">
        <w:t xml:space="preserve">service </w:t>
      </w:r>
      <w:r>
        <w:t xml:space="preserve">providers be required to pay the </w:t>
      </w:r>
      <w:r w:rsidR="0088475A">
        <w:t xml:space="preserve">CPUC </w:t>
      </w:r>
      <w:r>
        <w:t>User Fee</w:t>
      </w:r>
      <w:r w:rsidR="008864FD">
        <w:t xml:space="preserve">, a fee collected from all public </w:t>
      </w:r>
      <w:r w:rsidR="00917975">
        <w:t>utilities</w:t>
      </w:r>
      <w:r w:rsidR="008864FD">
        <w:t xml:space="preserve"> to finance the Commission</w:t>
      </w:r>
      <w:r w:rsidR="00893D67">
        <w:t>’</w:t>
      </w:r>
      <w:r w:rsidR="008864FD">
        <w:t>s annual operating budget.</w:t>
      </w:r>
      <w:r>
        <w:rPr>
          <w:rStyle w:val="FootnoteReference"/>
          <w:bCs/>
          <w:szCs w:val="26"/>
        </w:rPr>
        <w:footnoteReference w:id="200"/>
      </w:r>
      <w:r>
        <w:t xml:space="preserve"> Cal Broadband, TURN and CforAT, and </w:t>
      </w:r>
      <w:r w:rsidR="00A439A9">
        <w:t>Small Business</w:t>
      </w:r>
      <w:r>
        <w:t xml:space="preserve"> support this recommendation.</w:t>
      </w:r>
      <w:r>
        <w:rPr>
          <w:rStyle w:val="FootnoteReference"/>
          <w:bCs/>
          <w:szCs w:val="26"/>
        </w:rPr>
        <w:footnoteReference w:id="201"/>
      </w:r>
      <w:r w:rsidR="00CD0E2A">
        <w:t xml:space="preserve"> </w:t>
      </w:r>
      <w:r w:rsidR="00842E39">
        <w:t>We agree.</w:t>
      </w:r>
    </w:p>
    <w:p w:rsidR="00A96B31" w:rsidP="00BC76E0" w:rsidRDefault="00C04D12" w14:paraId="1FD5B0AD" w14:textId="1AA7719B">
      <w:pPr>
        <w:pStyle w:val="Standard"/>
        <w:rPr>
          <w:rFonts w:eastAsiaTheme="minorEastAsia"/>
        </w:rPr>
      </w:pPr>
      <w:r>
        <w:rPr>
          <w:rFonts w:eastAsiaTheme="minorEastAsia"/>
        </w:rPr>
        <w:lastRenderedPageBreak/>
        <w:t>Pub. Util.</w:t>
      </w:r>
      <w:r w:rsidR="0021374D">
        <w:rPr>
          <w:rFonts w:eastAsiaTheme="minorEastAsia"/>
        </w:rPr>
        <w:t xml:space="preserve"> Code </w:t>
      </w:r>
      <w:r w:rsidR="002F6F34">
        <w:rPr>
          <w:rFonts w:eastAsiaTheme="minorEastAsia"/>
        </w:rPr>
        <w:t>Section </w:t>
      </w:r>
      <w:r w:rsidR="0021374D">
        <w:rPr>
          <w:rFonts w:eastAsiaTheme="minorEastAsia"/>
        </w:rPr>
        <w:t>431 requires that the Commission annually determine a fee to be paid by every</w:t>
      </w:r>
      <w:r w:rsidR="006D77AB">
        <w:rPr>
          <w:rFonts w:eastAsiaTheme="minorEastAsia"/>
        </w:rPr>
        <w:t xml:space="preserve"> te</w:t>
      </w:r>
      <w:r w:rsidR="00193C5C">
        <w:rPr>
          <w:rFonts w:eastAsiaTheme="minorEastAsia"/>
        </w:rPr>
        <w:t>lephone</w:t>
      </w:r>
      <w:r w:rsidR="006D77AB">
        <w:rPr>
          <w:rFonts w:eastAsiaTheme="minorEastAsia"/>
        </w:rPr>
        <w:t xml:space="preserve"> corporation</w:t>
      </w:r>
      <w:r w:rsidR="00DE34EE">
        <w:rPr>
          <w:rFonts w:eastAsiaTheme="minorEastAsia"/>
        </w:rPr>
        <w:t>.</w:t>
      </w:r>
      <w:r w:rsidR="00C62950">
        <w:rPr>
          <w:rStyle w:val="FootnoteReference"/>
          <w:rFonts w:eastAsiaTheme="minorEastAsia"/>
        </w:rPr>
        <w:footnoteReference w:id="202"/>
      </w:r>
      <w:r w:rsidR="00CD0E2A">
        <w:rPr>
          <w:rFonts w:eastAsiaTheme="minorEastAsia"/>
        </w:rPr>
        <w:t xml:space="preserve"> </w:t>
      </w:r>
      <w:r w:rsidR="00F45827">
        <w:rPr>
          <w:rFonts w:eastAsiaTheme="minorEastAsia"/>
        </w:rPr>
        <w:t xml:space="preserve">As telephone corporations, the </w:t>
      </w:r>
      <w:r w:rsidR="007E5A82">
        <w:rPr>
          <w:rFonts w:eastAsiaTheme="minorEastAsia"/>
        </w:rPr>
        <w:t xml:space="preserve">CPUC </w:t>
      </w:r>
      <w:r w:rsidR="00330083">
        <w:rPr>
          <w:rFonts w:eastAsiaTheme="minorEastAsia"/>
        </w:rPr>
        <w:t xml:space="preserve">User Fee should apply to </w:t>
      </w:r>
      <w:r w:rsidR="00D45ED7">
        <w:rPr>
          <w:rFonts w:eastAsiaTheme="minorEastAsia"/>
        </w:rPr>
        <w:t>all interconnected VoIP service providers</w:t>
      </w:r>
      <w:r w:rsidR="006D7B49">
        <w:rPr>
          <w:rFonts w:eastAsiaTheme="minorEastAsia"/>
        </w:rPr>
        <w:t>.</w:t>
      </w:r>
      <w:r w:rsidR="00CD0E2A">
        <w:rPr>
          <w:rFonts w:eastAsiaTheme="minorEastAsia"/>
        </w:rPr>
        <w:t xml:space="preserve"> </w:t>
      </w:r>
      <w:r w:rsidR="006D7B49">
        <w:rPr>
          <w:rFonts w:eastAsiaTheme="minorEastAsia"/>
        </w:rPr>
        <w:t>T</w:t>
      </w:r>
      <w:r w:rsidR="00F45827">
        <w:rPr>
          <w:rFonts w:eastAsiaTheme="minorEastAsia"/>
        </w:rPr>
        <w:t>he Commission</w:t>
      </w:r>
      <w:r w:rsidR="00BF4482">
        <w:rPr>
          <w:rFonts w:eastAsiaTheme="minorEastAsia"/>
        </w:rPr>
        <w:t xml:space="preserve"> has jurisdiction and regulatory oversight over them.</w:t>
      </w:r>
      <w:r w:rsidR="00CD0E2A">
        <w:rPr>
          <w:rFonts w:eastAsiaTheme="minorEastAsia"/>
        </w:rPr>
        <w:t xml:space="preserve"> </w:t>
      </w:r>
      <w:r w:rsidR="00663602">
        <w:rPr>
          <w:rFonts w:eastAsiaTheme="minorEastAsia"/>
        </w:rPr>
        <w:t xml:space="preserve">We see no basis for exempting these telephone corporations from the same </w:t>
      </w:r>
      <w:r w:rsidR="0001024B">
        <w:rPr>
          <w:rFonts w:eastAsiaTheme="minorEastAsia"/>
        </w:rPr>
        <w:t>CPUC U</w:t>
      </w:r>
      <w:r w:rsidR="00557034">
        <w:rPr>
          <w:rFonts w:eastAsiaTheme="minorEastAsia"/>
        </w:rPr>
        <w:t xml:space="preserve">ser </w:t>
      </w:r>
      <w:r w:rsidR="0001024B">
        <w:rPr>
          <w:rFonts w:eastAsiaTheme="minorEastAsia"/>
        </w:rPr>
        <w:t>F</w:t>
      </w:r>
      <w:r w:rsidR="00557034">
        <w:rPr>
          <w:rFonts w:eastAsiaTheme="minorEastAsia"/>
        </w:rPr>
        <w:t xml:space="preserve">ee </w:t>
      </w:r>
      <w:r w:rsidR="00663602">
        <w:rPr>
          <w:rFonts w:eastAsiaTheme="minorEastAsia"/>
        </w:rPr>
        <w:t>obligations</w:t>
      </w:r>
      <w:r w:rsidR="00557034">
        <w:rPr>
          <w:rFonts w:eastAsiaTheme="minorEastAsia"/>
        </w:rPr>
        <w:t xml:space="preserve"> as </w:t>
      </w:r>
      <w:r w:rsidR="00893466">
        <w:rPr>
          <w:rFonts w:eastAsiaTheme="minorEastAsia"/>
        </w:rPr>
        <w:t>other providers of telephone service in California.</w:t>
      </w:r>
    </w:p>
    <w:p w:rsidR="00A96B31" w:rsidP="00BC76E0" w:rsidRDefault="00DF1B9C" w14:paraId="48B1EE21" w14:textId="57FD2BBA">
      <w:pPr>
        <w:pStyle w:val="Standard"/>
      </w:pPr>
      <w:r>
        <w:t>Similarly, s</w:t>
      </w:r>
      <w:r w:rsidR="00BC76E0">
        <w:t xml:space="preserve">ince </w:t>
      </w:r>
      <w:r w:rsidR="00400BB6">
        <w:t>August </w:t>
      </w:r>
      <w:r w:rsidR="00BC76E0">
        <w:t>6, 2007, the FCC has concluded that interconnected VoIP</w:t>
      </w:r>
      <w:r w:rsidR="00304C99">
        <w:t xml:space="preserve"> service</w:t>
      </w:r>
      <w:r w:rsidR="00BC76E0">
        <w:t xml:space="preserve"> providers would be required to pay </w:t>
      </w:r>
      <w:r>
        <w:t>FCC</w:t>
      </w:r>
      <w:r w:rsidR="00CD0E2A">
        <w:t xml:space="preserve"> </w:t>
      </w:r>
      <w:r w:rsidR="00BC76E0">
        <w:t>regulatory fees.</w:t>
      </w:r>
      <w:r w:rsidR="00BC76E0">
        <w:rPr>
          <w:rStyle w:val="FootnoteReference"/>
        </w:rPr>
        <w:footnoteReference w:id="203"/>
      </w:r>
      <w:r w:rsidR="00BC76E0">
        <w:t xml:space="preserve"> The FCC noted that </w:t>
      </w:r>
      <w:r w:rsidR="00893D67">
        <w:t>“</w:t>
      </w:r>
      <w:r w:rsidR="00BC76E0">
        <w:t>interconnected VoIP providers offer a service that is almost indistinguishable, for the consumers</w:t>
      </w:r>
      <w:r w:rsidR="00893D67">
        <w:t>’</w:t>
      </w:r>
      <w:r w:rsidR="00BC76E0">
        <w:t xml:space="preserve"> point of view, from the services offered by interstate telecommunications service providers.</w:t>
      </w:r>
      <w:r w:rsidR="00BC76E0">
        <w:rPr>
          <w:rStyle w:val="FootnoteReference"/>
        </w:rPr>
        <w:footnoteReference w:id="204"/>
      </w:r>
      <w:r w:rsidR="00BC76E0">
        <w:t xml:space="preserve"> Furthermore, the FCC stated that </w:t>
      </w:r>
      <w:r w:rsidR="00893D67">
        <w:t>“</w:t>
      </w:r>
      <w:r w:rsidR="00BC76E0">
        <w:t>the explosive growth of the VoIP industry in recent years</w:t>
      </w:r>
      <w:r w:rsidR="00893D67">
        <w:t>”</w:t>
      </w:r>
      <w:r w:rsidR="00BC76E0">
        <w:t xml:space="preserve"> and the extent to which </w:t>
      </w:r>
      <w:r w:rsidR="001829E6">
        <w:t>interconnected VoIP</w:t>
      </w:r>
      <w:r w:rsidR="00BC76E0">
        <w:t xml:space="preserve"> service is used as a substitute for analog voice service have necessitated a number of FCC rulemaking proceedings pertaining to interconnected VoIP services.</w:t>
      </w:r>
      <w:r w:rsidR="00BC76E0">
        <w:rPr>
          <w:rStyle w:val="FootnoteReference"/>
        </w:rPr>
        <w:footnoteReference w:id="205"/>
      </w:r>
    </w:p>
    <w:p w:rsidR="00214ECE" w:rsidP="00214ECE" w:rsidRDefault="00937716" w14:paraId="073E75FC" w14:textId="274AC2B1">
      <w:pPr>
        <w:pStyle w:val="Standard"/>
      </w:pPr>
      <w:r>
        <w:t xml:space="preserve">The Commission annually updates the </w:t>
      </w:r>
      <w:r w:rsidR="00136966">
        <w:t xml:space="preserve">CPUC User Fee. As of </w:t>
      </w:r>
      <w:r w:rsidR="00400BB6">
        <w:t>January </w:t>
      </w:r>
      <w:r w:rsidR="00136966">
        <w:t>1, 20</w:t>
      </w:r>
      <w:r w:rsidR="00F95916">
        <w:t>2</w:t>
      </w:r>
      <w:r w:rsidR="00136966">
        <w:t xml:space="preserve">4, the </w:t>
      </w:r>
      <w:r w:rsidR="0001024B">
        <w:t>CPUC U</w:t>
      </w:r>
      <w:r w:rsidR="00136966">
        <w:t xml:space="preserve">ser </w:t>
      </w:r>
      <w:r w:rsidR="0001024B">
        <w:t>F</w:t>
      </w:r>
      <w:r w:rsidR="00136966">
        <w:t>ee rate for all telephone corporations is 1.2</w:t>
      </w:r>
      <w:r w:rsidR="00263840">
        <w:t> percent</w:t>
      </w:r>
      <w:r w:rsidR="00136966">
        <w:t xml:space="preserve"> of intrastate revenues as adopted by </w:t>
      </w:r>
      <w:r w:rsidR="00263840">
        <w:t>Res. </w:t>
      </w:r>
      <w:r w:rsidR="00136966">
        <w:t>M</w:t>
      </w:r>
      <w:r w:rsidR="006951D5">
        <w:noBreakHyphen/>
      </w:r>
      <w:r w:rsidR="00136966">
        <w:t>4870.</w:t>
      </w:r>
      <w:r w:rsidR="00226233">
        <w:rPr>
          <w:rStyle w:val="FootnoteReference"/>
        </w:rPr>
        <w:footnoteReference w:id="206"/>
      </w:r>
      <w:r w:rsidR="00136966">
        <w:t xml:space="preserve"> </w:t>
      </w:r>
      <w:r>
        <w:t>All</w:t>
      </w:r>
      <w:r w:rsidR="00214ECE">
        <w:t xml:space="preserve"> </w:t>
      </w:r>
      <w:r w:rsidR="002B0EEB">
        <w:t xml:space="preserve">telephone corporations </w:t>
      </w:r>
      <w:r w:rsidRPr="4860091D" w:rsidR="00214ECE">
        <w:t xml:space="preserve">with annual gross intrastate revenues </w:t>
      </w:r>
      <w:r w:rsidR="002B0EEB">
        <w:t>in excess of</w:t>
      </w:r>
      <w:r w:rsidRPr="4860091D" w:rsidR="00214ECE">
        <w:t xml:space="preserve"> $750,000 are required to remit </w:t>
      </w:r>
      <w:r w:rsidRPr="4860091D" w:rsidR="00214ECE">
        <w:lastRenderedPageBreak/>
        <w:t>this fee quarterly, by the 15th of April, July, October</w:t>
      </w:r>
      <w:r w:rsidRPr="4860091D" w:rsidDel="006F1D18" w:rsidR="00214ECE">
        <w:t>, and January</w:t>
      </w:r>
      <w:r w:rsidRPr="4860091D" w:rsidR="00214ECE">
        <w:t xml:space="preserve">. </w:t>
      </w:r>
      <w:r w:rsidR="00214ECE">
        <w:t>Those</w:t>
      </w:r>
      <w:r w:rsidRPr="4860091D" w:rsidR="00214ECE">
        <w:t xml:space="preserve"> with annual gross intrastate revenues of $750,000 or less are directed to remit the fee annually</w:t>
      </w:r>
      <w:r w:rsidRPr="4860091D" w:rsidDel="000F69FC" w:rsidR="00214ECE">
        <w:t xml:space="preserve"> </w:t>
      </w:r>
      <w:r w:rsidRPr="4860091D" w:rsidR="00214ECE">
        <w:t xml:space="preserve">on or before </w:t>
      </w:r>
      <w:r w:rsidR="00400BB6">
        <w:t>January </w:t>
      </w:r>
      <w:r w:rsidRPr="4860091D" w:rsidR="00214ECE">
        <w:t>15.</w:t>
      </w:r>
      <w:r w:rsidRPr="4860091D" w:rsidR="00214ECE">
        <w:rPr>
          <w:rStyle w:val="FootnoteReference"/>
          <w:rFonts w:eastAsiaTheme="minorEastAsia"/>
          <w:szCs w:val="26"/>
        </w:rPr>
        <w:footnoteReference w:id="207"/>
      </w:r>
      <w:r w:rsidR="00CD0E2A">
        <w:t xml:space="preserve"> </w:t>
      </w:r>
      <w:r w:rsidR="00F810A3">
        <w:t xml:space="preserve">All </w:t>
      </w:r>
      <w:r w:rsidR="00521263">
        <w:t xml:space="preserve">telephone corporations including interconnected </w:t>
      </w:r>
      <w:r w:rsidR="00C56061">
        <w:t>VoIP</w:t>
      </w:r>
      <w:r w:rsidR="001244FB">
        <w:t xml:space="preserve"> service providers</w:t>
      </w:r>
      <w:r w:rsidR="00C56061">
        <w:t xml:space="preserve"> are subject to t</w:t>
      </w:r>
      <w:r w:rsidRPr="00603C24" w:rsidR="00603C24">
        <w:t xml:space="preserve">he late payment penalty </w:t>
      </w:r>
      <w:r w:rsidR="00603C24">
        <w:t xml:space="preserve">for </w:t>
      </w:r>
      <w:r w:rsidR="0001024B">
        <w:t>CPUC U</w:t>
      </w:r>
      <w:r w:rsidR="00603C24">
        <w:t xml:space="preserve">ser </w:t>
      </w:r>
      <w:r w:rsidR="0001024B">
        <w:t>F</w:t>
      </w:r>
      <w:r w:rsidR="00603C24">
        <w:t xml:space="preserve">ees </w:t>
      </w:r>
      <w:r w:rsidR="00C56061">
        <w:t>a</w:t>
      </w:r>
      <w:r w:rsidRPr="00603C24" w:rsidR="00603C24">
        <w:t>s set forth in</w:t>
      </w:r>
      <w:r w:rsidR="002F6F34">
        <w:t xml:space="preserve"> </w:t>
      </w:r>
      <w:r w:rsidR="00C04D12">
        <w:t>Pub. Util.</w:t>
      </w:r>
      <w:r w:rsidRPr="000D2386" w:rsidR="00603C24">
        <w:t xml:space="preserve"> Code Section</w:t>
      </w:r>
      <w:r w:rsidRPr="000D2386" w:rsidR="002F6F34">
        <w:t> </w:t>
      </w:r>
      <w:r w:rsidRPr="000D2386" w:rsidR="00603C24">
        <w:t>405</w:t>
      </w:r>
      <w:r w:rsidRPr="00603C24" w:rsidR="00603C24">
        <w:t>.</w:t>
      </w:r>
    </w:p>
    <w:p w:rsidRPr="00853A12" w:rsidR="002B44EB" w:rsidP="00214ECE" w:rsidRDefault="002B44EB" w14:paraId="5E199849" w14:textId="40FE7270">
      <w:pPr>
        <w:pStyle w:val="Standard"/>
        <w:rPr>
          <w:b/>
          <w:bCs/>
        </w:rPr>
      </w:pPr>
      <w:r w:rsidRPr="002B44EB">
        <w:t>To allow for sufficient time for implementation, effective July 1, 2025, Interconnected VoIP service providers shall report gross intrastate revenue subject to user fees monthly and remit user fees quarterly (for those with intrastate revenues in excess of $750,000) or annually (for those with intrastate revenues of $750,000 or less)</w:t>
      </w:r>
      <w:r>
        <w:t>.</w:t>
      </w:r>
    </w:p>
    <w:p w:rsidR="0030559F" w:rsidP="000A2CD0" w:rsidRDefault="0030559F" w14:paraId="502CBDD1" w14:textId="3A155338">
      <w:pPr>
        <w:pStyle w:val="Heading3"/>
      </w:pPr>
      <w:bookmarkStart w:name="_Toc167874889" w:id="181"/>
      <w:bookmarkStart w:name="_Toc176770971" w:id="182"/>
      <w:bookmarkStart w:name="_Toc177021169" w:id="183"/>
      <w:bookmarkStart w:name="_Toc181692919" w:id="184"/>
      <w:r>
        <w:t>Annual Affiliate Transaction Report</w:t>
      </w:r>
      <w:bookmarkEnd w:id="181"/>
      <w:bookmarkEnd w:id="182"/>
      <w:bookmarkEnd w:id="183"/>
      <w:bookmarkEnd w:id="184"/>
    </w:p>
    <w:p w:rsidR="00A96B31" w:rsidP="00F66B62" w:rsidRDefault="0030559F" w14:paraId="19235D30" w14:textId="77777777">
      <w:pPr>
        <w:pStyle w:val="Standard"/>
      </w:pPr>
      <w:r w:rsidRPr="7CA8E2B7">
        <w:t>As telephone corporations, all interconnected VoIP</w:t>
      </w:r>
      <w:r w:rsidR="00774AFE">
        <w:t xml:space="preserve"> service</w:t>
      </w:r>
      <w:r w:rsidRPr="7CA8E2B7">
        <w:t xml:space="preserve"> providers shall be </w:t>
      </w:r>
      <w:r w:rsidR="0083128A">
        <w:t>required</w:t>
      </w:r>
      <w:r w:rsidRPr="7CA8E2B7">
        <w:t xml:space="preserve"> to file an Annual Affiliate Transaction Report. Cal Broadband asserts such requirements are unnecessary, costly and burdensome because the interconnected VoIP market is competitive, and no interconnected VoIP </w:t>
      </w:r>
      <w:r w:rsidR="00774AFE">
        <w:t xml:space="preserve">service </w:t>
      </w:r>
      <w:r w:rsidRPr="7CA8E2B7">
        <w:t>provider has substantial market power.</w:t>
      </w:r>
      <w:r>
        <w:rPr>
          <w:rStyle w:val="FootnoteReference"/>
          <w:bCs/>
          <w:szCs w:val="26"/>
        </w:rPr>
        <w:footnoteReference w:id="208"/>
      </w:r>
    </w:p>
    <w:p w:rsidR="00A96B31" w:rsidP="00F66B62" w:rsidRDefault="00853A12" w14:paraId="2263A806" w14:textId="46C5AB5E">
      <w:pPr>
        <w:pStyle w:val="Standard"/>
        <w:rPr>
          <w:bCs/>
          <w:szCs w:val="26"/>
        </w:rPr>
      </w:pPr>
      <w:r>
        <w:rPr>
          <w:bCs/>
          <w:szCs w:val="26"/>
        </w:rPr>
        <w:t>Section </w:t>
      </w:r>
      <w:r w:rsidR="0030559F">
        <w:rPr>
          <w:bCs/>
          <w:szCs w:val="26"/>
        </w:rPr>
        <w:t xml:space="preserve">587 and </w:t>
      </w:r>
      <w:r>
        <w:rPr>
          <w:bCs/>
          <w:szCs w:val="26"/>
        </w:rPr>
        <w:t>Section </w:t>
      </w:r>
      <w:r w:rsidR="0030559F">
        <w:rPr>
          <w:bCs/>
          <w:szCs w:val="26"/>
        </w:rPr>
        <w:t>797</w:t>
      </w:r>
      <w:r w:rsidR="0083128A">
        <w:rPr>
          <w:bCs/>
          <w:szCs w:val="26"/>
        </w:rPr>
        <w:t>, however,</w:t>
      </w:r>
      <w:r w:rsidR="0030559F">
        <w:rPr>
          <w:bCs/>
          <w:szCs w:val="26"/>
        </w:rPr>
        <w:t xml:space="preserve"> obligate the Commission to monitor and audit the transactions between telephone corporations and affiliates. Certain exemptions to regulatory obligations depend upon whether a telephone corporation is affiliated with an incumbent. For example, </w:t>
      </w:r>
      <w:r w:rsidR="00E53996">
        <w:rPr>
          <w:bCs/>
          <w:szCs w:val="26"/>
        </w:rPr>
        <w:t>D.04</w:t>
      </w:r>
      <w:r w:rsidR="006951D5">
        <w:rPr>
          <w:bCs/>
          <w:szCs w:val="26"/>
        </w:rPr>
        <w:noBreakHyphen/>
      </w:r>
      <w:r w:rsidR="00E53996">
        <w:rPr>
          <w:bCs/>
          <w:szCs w:val="26"/>
        </w:rPr>
        <w:t>10</w:t>
      </w:r>
      <w:r w:rsidR="006951D5">
        <w:rPr>
          <w:bCs/>
          <w:szCs w:val="26"/>
        </w:rPr>
        <w:noBreakHyphen/>
      </w:r>
      <w:r w:rsidR="00E53996">
        <w:rPr>
          <w:bCs/>
          <w:szCs w:val="26"/>
        </w:rPr>
        <w:t xml:space="preserve">038 exempts telephone corporations except those affiliated with an incumbent from formal application filings to transfer control or assets </w:t>
      </w:r>
      <w:r w:rsidR="00BB6C48">
        <w:rPr>
          <w:bCs/>
          <w:szCs w:val="26"/>
        </w:rPr>
        <w:t>pursuant to Section</w:t>
      </w:r>
      <w:r>
        <w:rPr>
          <w:bCs/>
          <w:szCs w:val="26"/>
        </w:rPr>
        <w:t>s </w:t>
      </w:r>
      <w:r w:rsidR="00BB6C48">
        <w:rPr>
          <w:bCs/>
          <w:szCs w:val="26"/>
        </w:rPr>
        <w:t>851</w:t>
      </w:r>
      <w:r w:rsidR="006951D5">
        <w:rPr>
          <w:bCs/>
          <w:szCs w:val="26"/>
        </w:rPr>
        <w:noBreakHyphen/>
      </w:r>
      <w:r w:rsidR="00BB6C48">
        <w:rPr>
          <w:bCs/>
          <w:szCs w:val="26"/>
        </w:rPr>
        <w:t xml:space="preserve">854. In another example, </w:t>
      </w:r>
      <w:r w:rsidR="0030559F">
        <w:rPr>
          <w:bCs/>
          <w:szCs w:val="26"/>
        </w:rPr>
        <w:t>D.99</w:t>
      </w:r>
      <w:r w:rsidR="006951D5">
        <w:rPr>
          <w:bCs/>
          <w:szCs w:val="26"/>
        </w:rPr>
        <w:noBreakHyphen/>
      </w:r>
      <w:r w:rsidR="0030559F">
        <w:rPr>
          <w:bCs/>
          <w:szCs w:val="26"/>
        </w:rPr>
        <w:t>02</w:t>
      </w:r>
      <w:r w:rsidR="006951D5">
        <w:rPr>
          <w:bCs/>
          <w:szCs w:val="26"/>
        </w:rPr>
        <w:noBreakHyphen/>
      </w:r>
      <w:r w:rsidR="0030559F">
        <w:rPr>
          <w:bCs/>
          <w:szCs w:val="26"/>
        </w:rPr>
        <w:t xml:space="preserve">038 exempts competitive local exchange providers </w:t>
      </w:r>
      <w:r w:rsidR="0030559F">
        <w:rPr>
          <w:bCs/>
          <w:szCs w:val="26"/>
        </w:rPr>
        <w:lastRenderedPageBreak/>
        <w:t>from the requirement to adhere to FCC accounting, unless the competitive provider is affiliated with an incumbent. With regard to a competitive market, affiliate relationships directly impact the degree of competition in the market. Maintaining a current status on affiliate relationships among corporations is fundamental to identifying how many independent services are available to consumers.</w:t>
      </w:r>
    </w:p>
    <w:p w:rsidR="00A96B31" w:rsidP="0030559F" w:rsidRDefault="0030559F" w14:paraId="62E4CFBB" w14:textId="13DF1F45">
      <w:pPr>
        <w:pStyle w:val="Standard"/>
      </w:pPr>
      <w:r w:rsidRPr="046C1DF7">
        <w:t xml:space="preserve">Therefore, all interconnected VoIP </w:t>
      </w:r>
      <w:r w:rsidR="00774AFE">
        <w:t xml:space="preserve">service </w:t>
      </w:r>
      <w:r w:rsidRPr="046C1DF7">
        <w:t>providers</w:t>
      </w:r>
      <w:r w:rsidR="00AD0455">
        <w:t>, regardless of whether they provide nomadic</w:t>
      </w:r>
      <w:r w:rsidR="006951D5">
        <w:noBreakHyphen/>
      </w:r>
      <w:r w:rsidR="00AD0455">
        <w:t xml:space="preserve">only service, will be </w:t>
      </w:r>
      <w:r w:rsidRPr="046C1DF7">
        <w:t>subject to the Affiliate Transaction Reporting Requirements established by D.93</w:t>
      </w:r>
      <w:r w:rsidR="006951D5">
        <w:noBreakHyphen/>
      </w:r>
      <w:r w:rsidRPr="046C1DF7">
        <w:t>02</w:t>
      </w:r>
      <w:r w:rsidR="006951D5">
        <w:noBreakHyphen/>
      </w:r>
      <w:r w:rsidRPr="046C1DF7">
        <w:t xml:space="preserve">019. </w:t>
      </w:r>
      <w:r w:rsidR="0006013F">
        <w:t xml:space="preserve">The </w:t>
      </w:r>
      <w:r w:rsidR="006437C4">
        <w:t xml:space="preserve">annual affiliate transaction </w:t>
      </w:r>
      <w:r w:rsidR="0006013F">
        <w:t>report</w:t>
      </w:r>
      <w:r w:rsidR="00DE5FA3">
        <w:t>,</w:t>
      </w:r>
      <w:r w:rsidR="0006013F">
        <w:t xml:space="preserve"> </w:t>
      </w:r>
      <w:r w:rsidR="006437C4">
        <w:t>using the Communications Division</w:t>
      </w:r>
      <w:r w:rsidR="00893D67">
        <w:t>’</w:t>
      </w:r>
      <w:r w:rsidR="006437C4">
        <w:t>s prescribe</w:t>
      </w:r>
      <w:r w:rsidR="00E22B0F">
        <w:t>d</w:t>
      </w:r>
      <w:r w:rsidR="006437C4">
        <w:t xml:space="preserve"> reporting template</w:t>
      </w:r>
      <w:r w:rsidR="00DE5FA3">
        <w:t>,</w:t>
      </w:r>
      <w:r w:rsidR="00DE5FA3">
        <w:rPr>
          <w:rStyle w:val="FootnoteReference"/>
          <w:bCs/>
          <w:szCs w:val="26"/>
        </w:rPr>
        <w:footnoteReference w:id="209"/>
      </w:r>
      <w:r w:rsidR="006437C4">
        <w:t xml:space="preserve"> </w:t>
      </w:r>
      <w:r w:rsidR="0006013F">
        <w:t>must be</w:t>
      </w:r>
      <w:r w:rsidR="00680B27">
        <w:t xml:space="preserve"> submit</w:t>
      </w:r>
      <w:r w:rsidR="0006013F">
        <w:t>ted</w:t>
      </w:r>
      <w:r w:rsidR="00680B27">
        <w:t xml:space="preserve"> to the Director</w:t>
      </w:r>
      <w:r w:rsidR="00EF09FD">
        <w:t xml:space="preserve"> of the Communications Division</w:t>
      </w:r>
      <w:r w:rsidR="00680B27">
        <w:t xml:space="preserve"> via</w:t>
      </w:r>
      <w:r w:rsidR="00EF09FD">
        <w:t xml:space="preserve"> email to </w:t>
      </w:r>
      <w:hyperlink w:history="1" r:id="rId18">
        <w:r w:rsidRPr="008E3AFE" w:rsidR="00EF09FD">
          <w:rPr>
            <w:rStyle w:val="Hyperlink"/>
          </w:rPr>
          <w:t>CDCompliance@cpuc.ca.gov</w:t>
        </w:r>
      </w:hyperlink>
      <w:r w:rsidR="00EF09FD">
        <w:t xml:space="preserve"> </w:t>
      </w:r>
      <w:r w:rsidR="00680B27">
        <w:t xml:space="preserve">no later than </w:t>
      </w:r>
      <w:r w:rsidR="00400BB6">
        <w:t>May </w:t>
      </w:r>
      <w:r w:rsidR="00680B27">
        <w:t>1</w:t>
      </w:r>
      <w:r w:rsidR="00EF09FD">
        <w:t xml:space="preserve"> </w:t>
      </w:r>
      <w:r w:rsidR="00680B27">
        <w:t>of the year following the calendar year for which the report is submitted.</w:t>
      </w:r>
      <w:r w:rsidR="00C9283F">
        <w:t xml:space="preserve"> Due to the timing</w:t>
      </w:r>
      <w:r w:rsidR="00171E23">
        <w:t xml:space="preserve"> and filing schedule </w:t>
      </w:r>
      <w:r w:rsidR="004E632D">
        <w:t xml:space="preserve">associated with the annual </w:t>
      </w:r>
      <w:r w:rsidR="008A44BF">
        <w:t xml:space="preserve">affiliate transaction </w:t>
      </w:r>
      <w:r w:rsidR="004E632D">
        <w:t xml:space="preserve">report, all </w:t>
      </w:r>
      <w:r w:rsidR="00226233">
        <w:t xml:space="preserve">migrated </w:t>
      </w:r>
      <w:r w:rsidR="004E632D">
        <w:t xml:space="preserve">interconnected VoIP </w:t>
      </w:r>
      <w:r w:rsidR="00774AFE">
        <w:t xml:space="preserve">service </w:t>
      </w:r>
      <w:r w:rsidR="004E632D">
        <w:t>providers</w:t>
      </w:r>
      <w:r w:rsidR="003F164A">
        <w:t xml:space="preserve"> </w:t>
      </w:r>
      <w:r w:rsidR="00350995">
        <w:t>must</w:t>
      </w:r>
      <w:r w:rsidR="003F164A">
        <w:t xml:space="preserve"> file </w:t>
      </w:r>
      <w:r w:rsidR="00175103">
        <w:t xml:space="preserve">their first annual affiliate transaction report </w:t>
      </w:r>
      <w:r w:rsidR="00E639CC">
        <w:t>on or before</w:t>
      </w:r>
      <w:r w:rsidR="00175103">
        <w:t xml:space="preserve"> </w:t>
      </w:r>
      <w:r w:rsidR="00400BB6">
        <w:t>May </w:t>
      </w:r>
      <w:r w:rsidR="00175103">
        <w:t>1, 2026</w:t>
      </w:r>
      <w:r w:rsidR="00AF6EBE">
        <w:t>,</w:t>
      </w:r>
      <w:r w:rsidR="00175103">
        <w:t xml:space="preserve"> and continue annually thereafter.</w:t>
      </w:r>
    </w:p>
    <w:p w:rsidR="00EC5671" w:rsidP="000A2CD0" w:rsidRDefault="00EC5671" w14:paraId="13D4889E" w14:textId="65E4F214">
      <w:pPr>
        <w:pStyle w:val="Heading3"/>
      </w:pPr>
      <w:bookmarkStart w:name="_Toc176770972" w:id="185"/>
      <w:bookmarkStart w:name="_Toc177021170" w:id="186"/>
      <w:bookmarkStart w:name="_Toc181692920" w:id="187"/>
      <w:r>
        <w:t>Annual Report on Operations</w:t>
      </w:r>
      <w:r w:rsidR="00FB1EBD">
        <w:br/>
      </w:r>
      <w:r>
        <w:t xml:space="preserve">and Financials </w:t>
      </w:r>
      <w:r w:rsidR="00855246">
        <w:t xml:space="preserve">Pursuant </w:t>
      </w:r>
      <w:r>
        <w:t>to</w:t>
      </w:r>
      <w:r w:rsidR="00FB1EBD">
        <w:br/>
      </w:r>
      <w:r w:rsidR="00962126">
        <w:t>General Order </w:t>
      </w:r>
      <w:r>
        <w:t>104</w:t>
      </w:r>
      <w:r w:rsidR="006951D5">
        <w:noBreakHyphen/>
      </w:r>
      <w:r>
        <w:t>A</w:t>
      </w:r>
      <w:bookmarkEnd w:id="185"/>
      <w:bookmarkEnd w:id="186"/>
      <w:bookmarkEnd w:id="187"/>
    </w:p>
    <w:p w:rsidR="00A96B31" w:rsidP="00175103" w:rsidRDefault="00EC5671" w14:paraId="104328D3" w14:textId="5641DA4F">
      <w:pPr>
        <w:pStyle w:val="Standard"/>
      </w:pPr>
      <w:r w:rsidRPr="00D10C46">
        <w:t xml:space="preserve">All </w:t>
      </w:r>
      <w:r>
        <w:t>interconnected VoIP service providers except nomadic</w:t>
      </w:r>
      <w:r w:rsidR="006951D5">
        <w:noBreakHyphen/>
      </w:r>
      <w:r w:rsidR="006E1EE8">
        <w:t>only</w:t>
      </w:r>
      <w:r>
        <w:t xml:space="preserve"> interconnected VoIP service providers are required to comply with the</w:t>
      </w:r>
      <w:r w:rsidRPr="00D10C46">
        <w:t xml:space="preserve"> </w:t>
      </w:r>
      <w:r>
        <w:t xml:space="preserve">same </w:t>
      </w:r>
      <w:r w:rsidRPr="00D10C46">
        <w:t xml:space="preserve">annual reporting requirements </w:t>
      </w:r>
      <w:r>
        <w:t xml:space="preserve">on operations and financials pursuant </w:t>
      </w:r>
      <w:r w:rsidRPr="00D10C46">
        <w:t xml:space="preserve">to </w:t>
      </w:r>
      <w:r w:rsidR="00EA24BE">
        <w:t>GO </w:t>
      </w:r>
      <w:r w:rsidRPr="00D10C46">
        <w:t>104</w:t>
      </w:r>
      <w:r w:rsidR="006951D5">
        <w:noBreakHyphen/>
      </w:r>
      <w:r w:rsidRPr="00D10C46">
        <w:t>A</w:t>
      </w:r>
      <w:r>
        <w:t xml:space="preserve"> applicable to all telephone corporations</w:t>
      </w:r>
      <w:r w:rsidRPr="00D10C46">
        <w:t xml:space="preserve">. </w:t>
      </w:r>
      <w:r>
        <w:t>Therefore, all interconnected VoIP</w:t>
      </w:r>
      <w:r w:rsidR="00774AFE">
        <w:t xml:space="preserve"> service</w:t>
      </w:r>
      <w:r>
        <w:t xml:space="preserve"> providers excluding nomadic</w:t>
      </w:r>
      <w:r w:rsidR="006951D5">
        <w:noBreakHyphen/>
      </w:r>
      <w:r w:rsidR="003E19DB">
        <w:t>only</w:t>
      </w:r>
      <w:r>
        <w:t xml:space="preserve"> interconnected VoIP service </w:t>
      </w:r>
      <w:r>
        <w:lastRenderedPageBreak/>
        <w:t xml:space="preserve">providers </w:t>
      </w:r>
      <w:r w:rsidR="003E19DB">
        <w:t>(</w:t>
      </w:r>
      <w:r w:rsidRPr="004A120D" w:rsidR="004A120D">
        <w:rPr>
          <w:i/>
          <w:iCs/>
        </w:rPr>
        <w:t>i.e.</w:t>
      </w:r>
      <w:r w:rsidR="003E19DB">
        <w:t>, DV</w:t>
      </w:r>
      <w:r w:rsidR="00F75475">
        <w:t>N</w:t>
      </w:r>
      <w:r w:rsidR="003E19DB">
        <w:t xml:space="preserve"> </w:t>
      </w:r>
      <w:r w:rsidR="00A43960">
        <w:t>s</w:t>
      </w:r>
      <w:r w:rsidR="00226233">
        <w:t>tatus</w:t>
      </w:r>
      <w:r w:rsidR="003E19DB">
        <w:t xml:space="preserve">) </w:t>
      </w:r>
      <w:r>
        <w:t>are subject to the A</w:t>
      </w:r>
      <w:r w:rsidRPr="00D10C46">
        <w:t xml:space="preserve">nnual </w:t>
      </w:r>
      <w:r>
        <w:t>Reports</w:t>
      </w:r>
      <w:r w:rsidRPr="00D10C46">
        <w:t xml:space="preserve"> </w:t>
      </w:r>
      <w:r>
        <w:t xml:space="preserve">on operations and financials pursuant </w:t>
      </w:r>
      <w:r w:rsidRPr="00D10C46">
        <w:t xml:space="preserve">to </w:t>
      </w:r>
      <w:r w:rsidR="00EA24BE">
        <w:t>GO </w:t>
      </w:r>
      <w:r w:rsidRPr="00D10C46">
        <w:t>104</w:t>
      </w:r>
      <w:r w:rsidR="006951D5">
        <w:noBreakHyphen/>
      </w:r>
      <w:r w:rsidRPr="00D10C46">
        <w:t>A</w:t>
      </w:r>
      <w:r>
        <w:t xml:space="preserve">. </w:t>
      </w:r>
      <w:r w:rsidR="00364765">
        <w:t xml:space="preserve">The annual report on Operations and Financials, using </w:t>
      </w:r>
      <w:r w:rsidR="00EF09FD">
        <w:t>the Communication Division</w:t>
      </w:r>
      <w:r w:rsidR="00893D67">
        <w:t>’</w:t>
      </w:r>
      <w:r w:rsidR="00E50414">
        <w:t>s</w:t>
      </w:r>
      <w:r w:rsidR="00364765">
        <w:t xml:space="preserve"> prescribe</w:t>
      </w:r>
      <w:r w:rsidR="00E50414">
        <w:t>d</w:t>
      </w:r>
      <w:r w:rsidR="00364765">
        <w:t xml:space="preserve"> reporting template,</w:t>
      </w:r>
      <w:r w:rsidR="00364765">
        <w:rPr>
          <w:rStyle w:val="FootnoteReference"/>
          <w:bCs/>
          <w:szCs w:val="26"/>
        </w:rPr>
        <w:footnoteReference w:id="210"/>
      </w:r>
      <w:r w:rsidR="00364765">
        <w:t xml:space="preserve"> must be submitted to the </w:t>
      </w:r>
      <w:r w:rsidR="00EF09FD">
        <w:t xml:space="preserve">Director of the Communications Division </w:t>
      </w:r>
      <w:r w:rsidR="00364765">
        <w:t xml:space="preserve">via </w:t>
      </w:r>
      <w:r w:rsidR="00EF09FD">
        <w:t xml:space="preserve">email to </w:t>
      </w:r>
      <w:hyperlink w:history="1" r:id="rId19">
        <w:r w:rsidRPr="008E3AFE" w:rsidR="00EF09FD">
          <w:rPr>
            <w:rStyle w:val="Hyperlink"/>
          </w:rPr>
          <w:t>CDCompliance@cpuc.ca.gov</w:t>
        </w:r>
      </w:hyperlink>
      <w:r w:rsidR="00EF09FD">
        <w:t xml:space="preserve"> </w:t>
      </w:r>
      <w:r w:rsidR="00364765">
        <w:t xml:space="preserve">no later than </w:t>
      </w:r>
      <w:r w:rsidR="00400BB6">
        <w:t>March </w:t>
      </w:r>
      <w:r w:rsidR="00A2639E">
        <w:t>3</w:t>
      </w:r>
      <w:r w:rsidR="00364765">
        <w:t>1</w:t>
      </w:r>
      <w:r w:rsidR="00EF09FD">
        <w:t xml:space="preserve"> </w:t>
      </w:r>
      <w:r w:rsidR="00364765">
        <w:t xml:space="preserve">of the year following the calendar year for which the report is submitted. </w:t>
      </w:r>
      <w:r w:rsidRPr="00D10C46">
        <w:t xml:space="preserve">Due to the timing and filing schedule associated with </w:t>
      </w:r>
      <w:r>
        <w:t>the annual report</w:t>
      </w:r>
      <w:r w:rsidRPr="00D10C46">
        <w:t xml:space="preserve">, </w:t>
      </w:r>
      <w:r>
        <w:t xml:space="preserve">all </w:t>
      </w:r>
      <w:r w:rsidR="00A91DB3">
        <w:t xml:space="preserve">migrated </w:t>
      </w:r>
      <w:r>
        <w:t>interconnected VoIP</w:t>
      </w:r>
      <w:r w:rsidR="00774AFE">
        <w:t xml:space="preserve"> service</w:t>
      </w:r>
      <w:r>
        <w:t xml:space="preserve"> providers</w:t>
      </w:r>
      <w:r w:rsidR="0079120C">
        <w:t xml:space="preserve">, except </w:t>
      </w:r>
      <w:r w:rsidR="004B1EF0">
        <w:t xml:space="preserve">those </w:t>
      </w:r>
      <w:r w:rsidR="0079120C">
        <w:t>DV</w:t>
      </w:r>
      <w:r w:rsidR="003E238E">
        <w:t>N</w:t>
      </w:r>
      <w:r w:rsidR="0079120C">
        <w:t xml:space="preserve"> </w:t>
      </w:r>
      <w:r w:rsidR="00A43960">
        <w:t>service provider</w:t>
      </w:r>
      <w:r w:rsidR="0079120C">
        <w:t>s,</w:t>
      </w:r>
      <w:r>
        <w:t xml:space="preserve"> </w:t>
      </w:r>
      <w:r w:rsidR="00095946">
        <w:t>must file their</w:t>
      </w:r>
      <w:r>
        <w:t xml:space="preserve"> first</w:t>
      </w:r>
      <w:r w:rsidRPr="00D10C46">
        <w:t xml:space="preserve"> annual </w:t>
      </w:r>
      <w:r>
        <w:t xml:space="preserve">report </w:t>
      </w:r>
      <w:r w:rsidR="00E639CC">
        <w:t>on operations and financials on or before</w:t>
      </w:r>
      <w:r w:rsidRPr="00D10C46">
        <w:t xml:space="preserve"> </w:t>
      </w:r>
      <w:r w:rsidR="00400BB6">
        <w:t>March </w:t>
      </w:r>
      <w:r>
        <w:t>31</w:t>
      </w:r>
      <w:r w:rsidRPr="00D10C46">
        <w:t>, 2026, and continue annually thereafter.</w:t>
      </w:r>
    </w:p>
    <w:p w:rsidR="000624B2" w:rsidP="000A2CD0" w:rsidRDefault="000624B2" w14:paraId="538F855B" w14:textId="1DE5D0DC">
      <w:pPr>
        <w:pStyle w:val="Heading3"/>
      </w:pPr>
      <w:bookmarkStart w:name="_Toc176770973" w:id="188"/>
      <w:bookmarkStart w:name="_Toc177021171" w:id="189"/>
      <w:bookmarkStart w:name="_Toc181692921" w:id="190"/>
      <w:r>
        <w:t>Maintenance of Books and</w:t>
      </w:r>
      <w:r w:rsidR="00DF0E72">
        <w:br/>
      </w:r>
      <w:r>
        <w:t>Records</w:t>
      </w:r>
      <w:r w:rsidR="00DF0E72">
        <w:t xml:space="preserve"> </w:t>
      </w:r>
      <w:r>
        <w:t>with Generally Accepted</w:t>
      </w:r>
      <w:r w:rsidR="00DF0E72">
        <w:br/>
      </w:r>
      <w:r>
        <w:t>Accounting Principles</w:t>
      </w:r>
      <w:bookmarkEnd w:id="174"/>
      <w:bookmarkEnd w:id="188"/>
      <w:bookmarkEnd w:id="189"/>
      <w:bookmarkEnd w:id="190"/>
    </w:p>
    <w:p w:rsidRPr="009D2924" w:rsidR="000624B2" w:rsidP="000624B2" w:rsidRDefault="000624B2" w14:paraId="43FBE187" w14:textId="1DA547C6">
      <w:pPr>
        <w:pStyle w:val="Standard"/>
      </w:pPr>
      <w:r>
        <w:t xml:space="preserve">Today, CLECs are exempt from the requirement to maintain books and records in accordance with the Uniform System of Accounts specified in </w:t>
      </w:r>
      <w:r w:rsidR="00B47779">
        <w:t>Title </w:t>
      </w:r>
      <w:r>
        <w:t xml:space="preserve">47 I.E. </w:t>
      </w:r>
      <w:r w:rsidR="00D8452D">
        <w:t>Part </w:t>
      </w:r>
      <w:r>
        <w:t>32, with the exception of CLCs affiliated with ILECs.</w:t>
      </w:r>
      <w:r w:rsidRPr="00476E84">
        <w:rPr>
          <w:vertAlign w:val="superscript"/>
        </w:rPr>
        <w:footnoteReference w:id="211"/>
      </w:r>
      <w:r w:rsidR="00CD0E2A">
        <w:t xml:space="preserve"> </w:t>
      </w:r>
      <w:r>
        <w:t xml:space="preserve">This decision finds </w:t>
      </w:r>
      <w:r w:rsidR="00DD0817">
        <w:t>it reasonable to extend this exemption to all i</w:t>
      </w:r>
      <w:r>
        <w:t xml:space="preserve">nterconnected VoIP </w:t>
      </w:r>
      <w:r w:rsidR="00774AFE">
        <w:t xml:space="preserve">service </w:t>
      </w:r>
      <w:r w:rsidR="00DD0817">
        <w:t xml:space="preserve">providers </w:t>
      </w:r>
      <w:r>
        <w:t>not affiliated with ILECs</w:t>
      </w:r>
      <w:r w:rsidR="00DD0817">
        <w:t xml:space="preserve"> as well.</w:t>
      </w:r>
    </w:p>
    <w:p w:rsidRPr="00E91C58" w:rsidR="000624B2" w:rsidP="000A2CD0" w:rsidRDefault="000624B2" w14:paraId="3107E058" w14:textId="1E12BA42">
      <w:pPr>
        <w:pStyle w:val="Heading3"/>
      </w:pPr>
      <w:bookmarkStart w:name="_Toc167874888" w:id="191"/>
      <w:bookmarkStart w:name="_Toc176770974" w:id="192"/>
      <w:bookmarkStart w:name="_Toc177021172" w:id="193"/>
      <w:bookmarkStart w:name="_Toc181692922" w:id="194"/>
      <w:r>
        <w:t>Rates of Service</w:t>
      </w:r>
      <w:bookmarkEnd w:id="191"/>
      <w:bookmarkEnd w:id="192"/>
      <w:bookmarkEnd w:id="193"/>
      <w:bookmarkEnd w:id="194"/>
    </w:p>
    <w:p w:rsidR="003D56E5" w:rsidP="000624B2" w:rsidRDefault="00195E89" w14:paraId="39FB9073" w14:textId="2B836CAA">
      <w:pPr>
        <w:pStyle w:val="Standard"/>
      </w:pPr>
      <w:r>
        <w:t>By 2006, t</w:t>
      </w:r>
      <w:r w:rsidR="005D7531">
        <w:t xml:space="preserve">he </w:t>
      </w:r>
      <w:r w:rsidR="003B3F8E">
        <w:t>Commission</w:t>
      </w:r>
      <w:r w:rsidR="005D7531">
        <w:t xml:space="preserve"> </w:t>
      </w:r>
      <w:r>
        <w:t xml:space="preserve">had </w:t>
      </w:r>
      <w:r w:rsidR="0072614B">
        <w:t>ceased</w:t>
      </w:r>
      <w:r w:rsidR="005D7531">
        <w:t xml:space="preserve"> regulati</w:t>
      </w:r>
      <w:r w:rsidR="0072614B">
        <w:t>ng rates</w:t>
      </w:r>
      <w:r w:rsidR="005D7531">
        <w:t xml:space="preserve"> of </w:t>
      </w:r>
      <w:r w:rsidR="0072614B">
        <w:t>telephone service</w:t>
      </w:r>
      <w:r w:rsidR="003B3F8E">
        <w:t xml:space="preserve"> in 2006</w:t>
      </w:r>
      <w:r w:rsidR="0072614B">
        <w:t xml:space="preserve"> f</w:t>
      </w:r>
      <w:r w:rsidR="003B3F8E">
        <w:t>or all providers with the exception of small rural incumbent providers.</w:t>
      </w:r>
      <w:r w:rsidR="00365A32">
        <w:rPr>
          <w:rStyle w:val="FootnoteReference"/>
        </w:rPr>
        <w:footnoteReference w:id="212"/>
      </w:r>
      <w:r w:rsidR="003B3F8E">
        <w:t xml:space="preserve"> </w:t>
      </w:r>
      <w:r w:rsidR="003B3F8E">
        <w:lastRenderedPageBreak/>
        <w:t>Today</w:t>
      </w:r>
      <w:r w:rsidR="000624B2">
        <w:t xml:space="preserve">, the Commission </w:t>
      </w:r>
      <w:r w:rsidR="00A55D0C">
        <w:t xml:space="preserve">only </w:t>
      </w:r>
      <w:r w:rsidR="000624B2">
        <w:t xml:space="preserve">regulates rates of </w:t>
      </w:r>
      <w:r w:rsidR="009B3663">
        <w:t xml:space="preserve">small </w:t>
      </w:r>
      <w:r w:rsidR="000624B2">
        <w:t xml:space="preserve">telecommunications providers </w:t>
      </w:r>
      <w:r w:rsidR="00A75ECD">
        <w:t xml:space="preserve">that are </w:t>
      </w:r>
      <w:r w:rsidR="000624B2">
        <w:t xml:space="preserve">ILECs serving small LEC territories. We find that interconnected VoIP </w:t>
      </w:r>
      <w:r w:rsidR="004944CE">
        <w:t xml:space="preserve">service providers </w:t>
      </w:r>
      <w:r w:rsidR="00DA5065">
        <w:t xml:space="preserve">are not and </w:t>
      </w:r>
      <w:r w:rsidR="004944CE">
        <w:t xml:space="preserve">should </w:t>
      </w:r>
      <w:r w:rsidR="000624B2">
        <w:t xml:space="preserve">not </w:t>
      </w:r>
      <w:r w:rsidR="004944CE">
        <w:t>be</w:t>
      </w:r>
      <w:r w:rsidR="000624B2">
        <w:t xml:space="preserve"> subject to rate regulation, which is consistent with our treatment of most </w:t>
      </w:r>
      <w:r w:rsidR="0024626A">
        <w:t>telephone corporations</w:t>
      </w:r>
      <w:r w:rsidR="000624B2">
        <w:t>.</w:t>
      </w:r>
    </w:p>
    <w:p w:rsidR="004C379D" w:rsidP="000A2CD0" w:rsidRDefault="00D03DA9" w14:paraId="34FFA074" w14:textId="528F06DB">
      <w:pPr>
        <w:pStyle w:val="Heading3"/>
      </w:pPr>
      <w:bookmarkStart w:name="_Toc176770975" w:id="195"/>
      <w:bookmarkStart w:name="_Toc177021173" w:id="196"/>
      <w:bookmarkStart w:name="_Toc181692923" w:id="197"/>
      <w:r>
        <w:t>Tariff</w:t>
      </w:r>
      <w:r w:rsidR="004D6528">
        <w:t xml:space="preserve"> Exemptions</w:t>
      </w:r>
      <w:bookmarkEnd w:id="195"/>
      <w:bookmarkEnd w:id="196"/>
      <w:bookmarkEnd w:id="197"/>
    </w:p>
    <w:p w:rsidR="00327AAF" w:rsidP="00327AAF" w:rsidRDefault="00327AAF" w14:paraId="4B82145F" w14:textId="41BAE833">
      <w:r>
        <w:t>Tariffs are a regulatory tool associated with rate regulation, traditionally serving as a reliable source of information about telephone rates and services, and a safeguard against anticompetitive behavior. Because the Commission deregulated all but what is known as “basic service” rates in 2006, tariffs are generally not applicable to the telephone services</w:t>
      </w:r>
      <w:r w:rsidR="006B740A">
        <w:t>, including interconnected VoIP service, that</w:t>
      </w:r>
      <w:r>
        <w:t xml:space="preserve"> customer</w:t>
      </w:r>
      <w:r w:rsidR="006B740A">
        <w:t>s</w:t>
      </w:r>
      <w:r>
        <w:t xml:space="preserve"> purchase today.</w:t>
      </w:r>
      <w:r w:rsidR="00071A9E">
        <w:rPr>
          <w:rStyle w:val="FootnoteReference"/>
        </w:rPr>
        <w:footnoteReference w:id="213"/>
      </w:r>
      <w:r>
        <w:t xml:space="preserve"> However, tariffs are statutorily required by </w:t>
      </w:r>
      <w:r w:rsidR="002043BE">
        <w:t>Section</w:t>
      </w:r>
      <w:r w:rsidR="00844EAF">
        <w:t> </w:t>
      </w:r>
      <w:r>
        <w:t xml:space="preserve">489, </w:t>
      </w:r>
      <w:r w:rsidR="002043BE">
        <w:t>Section</w:t>
      </w:r>
      <w:r w:rsidR="00844EAF">
        <w:t> </w:t>
      </w:r>
      <w:r>
        <w:t>491</w:t>
      </w:r>
      <w:r w:rsidR="002A351A">
        <w:t>,</w:t>
      </w:r>
      <w:r>
        <w:t xml:space="preserve"> and </w:t>
      </w:r>
      <w:r w:rsidR="002043BE">
        <w:t>Section</w:t>
      </w:r>
      <w:r w:rsidR="00844EAF">
        <w:t> </w:t>
      </w:r>
      <w:r>
        <w:t>495. In two major decisions, D.98</w:t>
      </w:r>
      <w:r w:rsidR="00844EAF">
        <w:noBreakHyphen/>
      </w:r>
      <w:r>
        <w:t>08</w:t>
      </w:r>
      <w:r w:rsidR="00844EAF">
        <w:noBreakHyphen/>
      </w:r>
      <w:r>
        <w:t>031 and D.07</w:t>
      </w:r>
      <w:r w:rsidR="00844EAF">
        <w:noBreakHyphen/>
      </w:r>
      <w:r>
        <w:t>09</w:t>
      </w:r>
      <w:r w:rsidR="00844EAF">
        <w:noBreakHyphen/>
      </w:r>
      <w:r>
        <w:t xml:space="preserve">081, the Commission found the voice market met the conditions required by </w:t>
      </w:r>
      <w:r w:rsidR="002043BE">
        <w:t>Section</w:t>
      </w:r>
      <w:r w:rsidR="00844EAF">
        <w:t> </w:t>
      </w:r>
      <w:r>
        <w:t>495.7 to grant exemptions from the tariff requirements.</w:t>
      </w:r>
      <w:r>
        <w:rPr>
          <w:rStyle w:val="FootnoteReference"/>
        </w:rPr>
        <w:footnoteReference w:id="214"/>
      </w:r>
      <w:r>
        <w:t xml:space="preserve"> The Commission’s licensing and registration processes allow new market entrants to request an exemption from tariff</w:t>
      </w:r>
      <w:r w:rsidR="002A351A">
        <w:t>ing</w:t>
      </w:r>
      <w:r>
        <w:t xml:space="preserve"> requirements on the condition they comply with D.98</w:t>
      </w:r>
      <w:r w:rsidR="00844EAF">
        <w:noBreakHyphen/>
      </w:r>
      <w:r>
        <w:t>10</w:t>
      </w:r>
      <w:r w:rsidR="00844EAF">
        <w:noBreakHyphen/>
      </w:r>
      <w:r>
        <w:t xml:space="preserve">031. </w:t>
      </w:r>
      <w:r>
        <w:rPr>
          <w:szCs w:val="26"/>
        </w:rPr>
        <w:t xml:space="preserve">The Commission also relies upon rules </w:t>
      </w:r>
      <w:r>
        <w:rPr>
          <w:szCs w:val="26"/>
        </w:rPr>
        <w:lastRenderedPageBreak/>
        <w:t xml:space="preserve">of general applicability protecting consumers as described in </w:t>
      </w:r>
      <w:r w:rsidR="002043BE">
        <w:rPr>
          <w:szCs w:val="26"/>
        </w:rPr>
        <w:t>Section</w:t>
      </w:r>
      <w:r w:rsidR="00844EAF">
        <w:rPr>
          <w:szCs w:val="26"/>
        </w:rPr>
        <w:t> </w:t>
      </w:r>
      <w:r>
        <w:rPr>
          <w:szCs w:val="26"/>
        </w:rPr>
        <w:t>8.</w:t>
      </w:r>
      <w:r w:rsidR="002A351A">
        <w:rPr>
          <w:szCs w:val="26"/>
        </w:rPr>
        <w:t>1.4</w:t>
      </w:r>
      <w:r>
        <w:rPr>
          <w:szCs w:val="26"/>
        </w:rPr>
        <w:t xml:space="preserve"> </w:t>
      </w:r>
      <w:r>
        <w:rPr>
          <w:i/>
          <w:iCs/>
          <w:szCs w:val="26"/>
        </w:rPr>
        <w:t>Consumer Protection</w:t>
      </w:r>
      <w:r>
        <w:rPr>
          <w:szCs w:val="26"/>
        </w:rPr>
        <w:t>.</w:t>
      </w:r>
    </w:p>
    <w:p w:rsidR="00327AAF" w:rsidP="00327AAF" w:rsidRDefault="00327AAF" w14:paraId="3A7F1950" w14:textId="356FF6C4">
      <w:r>
        <w:t>Parties argue regulatory oversight of clear and accessible price information and fair consumer treatment is more important than ever before for the voice service market.</w:t>
      </w:r>
      <w:r>
        <w:rPr>
          <w:rStyle w:val="FootnoteReference"/>
        </w:rPr>
        <w:footnoteReference w:id="215"/>
      </w:r>
      <w:r w:rsidR="00CE4A2B">
        <w:t xml:space="preserve"> </w:t>
      </w:r>
      <w:r>
        <w:t>No party disagrees with the importance of fair and transparent pricing and consumer protection. The only disagreement among parties is whether the federal oversight of interconnected VoIP providers is sufficient or if state oversight, as implemented by D.98</w:t>
      </w:r>
      <w:r w:rsidR="00844EAF">
        <w:noBreakHyphen/>
      </w:r>
      <w:r>
        <w:t>10</w:t>
      </w:r>
      <w:r w:rsidR="00844EAF">
        <w:noBreakHyphen/>
      </w:r>
      <w:r>
        <w:t>031 and D.07</w:t>
      </w:r>
      <w:r w:rsidR="00844EAF">
        <w:noBreakHyphen/>
      </w:r>
      <w:r>
        <w:t>09</w:t>
      </w:r>
      <w:r w:rsidR="00844EAF">
        <w:noBreakHyphen/>
      </w:r>
      <w:r>
        <w:t>018 is also necessary for interconnected VoIP service providers.</w:t>
      </w:r>
      <w:r>
        <w:rPr>
          <w:rStyle w:val="FootnoteReference"/>
        </w:rPr>
        <w:footnoteReference w:id="216"/>
      </w:r>
    </w:p>
    <w:p w:rsidR="00055CBB" w:rsidP="00327AAF" w:rsidRDefault="00327AAF" w14:paraId="28A6A617" w14:textId="651975E6">
      <w:pPr>
        <w:pStyle w:val="standard0"/>
      </w:pPr>
      <w:r>
        <w:t>In D.07</w:t>
      </w:r>
      <w:r w:rsidR="00844EAF">
        <w:noBreakHyphen/>
      </w:r>
      <w:r>
        <w:t>09</w:t>
      </w:r>
      <w:r w:rsidR="00844EAF">
        <w:noBreakHyphen/>
      </w:r>
      <w:r>
        <w:t xml:space="preserve">018, the Commission considered whether service providers should request exemptions from tariff requirements (called permissive </w:t>
      </w:r>
      <w:proofErr w:type="spellStart"/>
      <w:r>
        <w:t>detariffing</w:t>
      </w:r>
      <w:proofErr w:type="spellEnd"/>
      <w:r>
        <w:t>) or be granted a default exemption from tariff requirements</w:t>
      </w:r>
      <w:r w:rsidR="002465CF">
        <w:t xml:space="preserve"> without</w:t>
      </w:r>
      <w:r>
        <w:t xml:space="preserve"> making a request (called mandatory </w:t>
      </w:r>
      <w:proofErr w:type="spellStart"/>
      <w:r>
        <w:t>detariffing</w:t>
      </w:r>
      <w:proofErr w:type="spellEnd"/>
      <w:r>
        <w:t xml:space="preserve">). The Commission concluded that mandatory </w:t>
      </w:r>
      <w:proofErr w:type="spellStart"/>
      <w:r>
        <w:t>detariffing</w:t>
      </w:r>
      <w:proofErr w:type="spellEnd"/>
      <w:r>
        <w:t xml:space="preserve"> was statutorily prohibited and since that time, permissive </w:t>
      </w:r>
      <w:proofErr w:type="spellStart"/>
      <w:r>
        <w:t>detariffing</w:t>
      </w:r>
      <w:proofErr w:type="spellEnd"/>
      <w:r>
        <w:t xml:space="preserve"> is </w:t>
      </w:r>
      <w:r w:rsidR="002465CF">
        <w:t>allowed</w:t>
      </w:r>
      <w:r>
        <w:t>.</w:t>
      </w:r>
      <w:r>
        <w:rPr>
          <w:rStyle w:val="FootnoteReference"/>
        </w:rPr>
        <w:footnoteReference w:id="217"/>
      </w:r>
      <w:r>
        <w:t xml:space="preserve"> Therefore, permissive </w:t>
      </w:r>
      <w:proofErr w:type="spellStart"/>
      <w:r>
        <w:t>detariffing</w:t>
      </w:r>
      <w:proofErr w:type="spellEnd"/>
      <w:r>
        <w:t xml:space="preserve"> (</w:t>
      </w:r>
      <w:r>
        <w:rPr>
          <w:i/>
          <w:iCs/>
        </w:rPr>
        <w:t xml:space="preserve">i.e., </w:t>
      </w:r>
      <w:proofErr w:type="spellStart"/>
      <w:r>
        <w:t>detariffing</w:t>
      </w:r>
      <w:proofErr w:type="spellEnd"/>
      <w:r>
        <w:t xml:space="preserve"> by request) will continue to apply for the CPCN and </w:t>
      </w:r>
      <w:r w:rsidR="002043BE">
        <w:t>Section</w:t>
      </w:r>
      <w:r w:rsidR="00844EAF">
        <w:t> </w:t>
      </w:r>
      <w:r>
        <w:t>1013 processes</w:t>
      </w:r>
      <w:r w:rsidR="00A1397B">
        <w:t>. A</w:t>
      </w:r>
      <w:r w:rsidRPr="00D10C46">
        <w:t xml:space="preserve">ll </w:t>
      </w:r>
      <w:r>
        <w:t>interconnected VoIP service providers except nomadic</w:t>
      </w:r>
      <w:r w:rsidR="00844EAF">
        <w:noBreakHyphen/>
      </w:r>
      <w:r>
        <w:t xml:space="preserve">only interconnected VoIP service providers may request </w:t>
      </w:r>
      <w:proofErr w:type="spellStart"/>
      <w:r>
        <w:t>detariffing</w:t>
      </w:r>
      <w:proofErr w:type="spellEnd"/>
      <w:r>
        <w:t xml:space="preserve"> for their services </w:t>
      </w:r>
      <w:r w:rsidR="002465CF">
        <w:t>i</w:t>
      </w:r>
      <w:r>
        <w:t xml:space="preserve">n the </w:t>
      </w:r>
      <w:r w:rsidR="004D6528">
        <w:t xml:space="preserve">CPCN </w:t>
      </w:r>
      <w:r>
        <w:t xml:space="preserve">application or </w:t>
      </w:r>
      <w:r w:rsidR="002043BE">
        <w:t>Section</w:t>
      </w:r>
      <w:r w:rsidR="00844EAF">
        <w:t> </w:t>
      </w:r>
      <w:r w:rsidR="002465CF">
        <w:t xml:space="preserve">1013 </w:t>
      </w:r>
      <w:r>
        <w:t>registration form</w:t>
      </w:r>
      <w:r w:rsidRPr="00D10C46">
        <w:t>.</w:t>
      </w:r>
      <w:r w:rsidR="00CE4A2B">
        <w:t xml:space="preserve"> </w:t>
      </w:r>
      <w:r>
        <w:t xml:space="preserve">Because </w:t>
      </w:r>
      <w:r w:rsidR="00FF64C2">
        <w:t>existing</w:t>
      </w:r>
      <w:r>
        <w:t xml:space="preserve"> </w:t>
      </w:r>
      <w:r w:rsidR="002043BE">
        <w:t>Section</w:t>
      </w:r>
      <w:r w:rsidR="00844EAF">
        <w:t> </w:t>
      </w:r>
      <w:r>
        <w:t>285</w:t>
      </w:r>
      <w:r w:rsidR="00FF64C2">
        <w:t xml:space="preserve"> registrants</w:t>
      </w:r>
      <w:r>
        <w:t xml:space="preserve"> have been operating already without tariffs, it is reasonable to grant </w:t>
      </w:r>
      <w:proofErr w:type="spellStart"/>
      <w:r>
        <w:t>detariffed</w:t>
      </w:r>
      <w:proofErr w:type="spellEnd"/>
      <w:r>
        <w:t xml:space="preserve"> status to those </w:t>
      </w:r>
      <w:r w:rsidR="002043BE">
        <w:t>Section </w:t>
      </w:r>
      <w:r w:rsidR="00FF64C2">
        <w:t xml:space="preserve">285 registrants </w:t>
      </w:r>
      <w:r>
        <w:t xml:space="preserve">migrated to </w:t>
      </w:r>
      <w:r>
        <w:lastRenderedPageBreak/>
        <w:t xml:space="preserve">operating authority as described in </w:t>
      </w:r>
      <w:r w:rsidR="0074481C">
        <w:t>Section</w:t>
      </w:r>
      <w:r w:rsidR="00844EAF">
        <w:t> </w:t>
      </w:r>
      <w:r>
        <w:t>7.1.1 of this decision for</w:t>
      </w:r>
      <w:r w:rsidR="001E0C48">
        <w:t xml:space="preserve"> </w:t>
      </w:r>
      <w:r>
        <w:t xml:space="preserve">all their services. </w:t>
      </w:r>
      <w:r w:rsidR="001E0C48">
        <w:t xml:space="preserve">Providers granted CPCNs between August 2022 and the present, who will be </w:t>
      </w:r>
      <w:r>
        <w:t xml:space="preserve">migrated as described in </w:t>
      </w:r>
      <w:r w:rsidR="0074481C">
        <w:t>Section</w:t>
      </w:r>
      <w:r w:rsidR="00844EAF">
        <w:t> </w:t>
      </w:r>
      <w:r>
        <w:t xml:space="preserve">7.2.1 of this decision shall retain the tariff (or </w:t>
      </w:r>
      <w:proofErr w:type="spellStart"/>
      <w:r>
        <w:t>detariffed</w:t>
      </w:r>
      <w:proofErr w:type="spellEnd"/>
      <w:r>
        <w:t>) status for their services set forth in their decision granting operating authority.</w:t>
      </w:r>
    </w:p>
    <w:p w:rsidR="00327AAF" w:rsidP="00327AAF" w:rsidRDefault="00C166A0" w14:paraId="0A9DEC99" w14:textId="5F6779B2">
      <w:pPr>
        <w:pStyle w:val="standard0"/>
        <w:rPr>
          <w:i/>
          <w:iCs/>
        </w:rPr>
      </w:pPr>
      <w:r>
        <w:t>In D.07</w:t>
      </w:r>
      <w:r w:rsidR="00844EAF">
        <w:noBreakHyphen/>
      </w:r>
      <w:r>
        <w:t>09</w:t>
      </w:r>
      <w:r w:rsidR="00844EAF">
        <w:noBreakHyphen/>
      </w:r>
      <w:r>
        <w:t xml:space="preserve">018, the Commission concluded once a service was </w:t>
      </w:r>
      <w:proofErr w:type="spellStart"/>
      <w:r>
        <w:t>detariffed</w:t>
      </w:r>
      <w:proofErr w:type="spellEnd"/>
      <w:r>
        <w:t xml:space="preserve">, the provider of that service would not be required to file anything further with the Commission regarding the </w:t>
      </w:r>
      <w:proofErr w:type="spellStart"/>
      <w:r>
        <w:t>detariffed</w:t>
      </w:r>
      <w:proofErr w:type="spellEnd"/>
      <w:r>
        <w:t xml:space="preserve"> service.</w:t>
      </w:r>
      <w:r>
        <w:rPr>
          <w:rStyle w:val="FootnoteReference"/>
        </w:rPr>
        <w:footnoteReference w:id="218"/>
      </w:r>
      <w:r>
        <w:t xml:space="preserve"> This is a logical approach that should be implemented for </w:t>
      </w:r>
      <w:proofErr w:type="spellStart"/>
      <w:r>
        <w:t>detariffed</w:t>
      </w:r>
      <w:proofErr w:type="spellEnd"/>
      <w:r>
        <w:t xml:space="preserve"> services of all types of telephone corporations, including all interconnected VoIP service providers. The current compliance requirement for service providers without tariffed services to annually confirm to the Commission that this remains the case is a vestige of the time when </w:t>
      </w:r>
      <w:proofErr w:type="spellStart"/>
      <w:r>
        <w:t>detariffed</w:t>
      </w:r>
      <w:proofErr w:type="spellEnd"/>
      <w:r>
        <w:t xml:space="preserve"> status was more the exception than the rule. In determining to require interconnected VoIP service providers to possess operating authority, we have also determined to shed legacy compliance requirements. An annual certification for service providers without tariffed services should be among those legacy compliance requirements being shed. Therefore, a</w:t>
      </w:r>
      <w:r w:rsidRPr="00D10C46">
        <w:t xml:space="preserve">ll </w:t>
      </w:r>
      <w:r>
        <w:t xml:space="preserve">types of service providers without tariffed services are relieved of the obligation to annually certify that their services remain </w:t>
      </w:r>
      <w:proofErr w:type="spellStart"/>
      <w:r>
        <w:t>detariffed</w:t>
      </w:r>
      <w:proofErr w:type="spellEnd"/>
      <w:r>
        <w:t xml:space="preserve">. </w:t>
      </w:r>
      <w:r w:rsidR="00327AAF">
        <w:t>All</w:t>
      </w:r>
      <w:r w:rsidR="001E0C48">
        <w:t xml:space="preserve"> i</w:t>
      </w:r>
      <w:r w:rsidR="00327AAF">
        <w:t>nterconnected VoIP service provider</w:t>
      </w:r>
      <w:r w:rsidR="001E0C48">
        <w:t>s</w:t>
      </w:r>
      <w:r w:rsidR="00327AAF">
        <w:t xml:space="preserve"> granted </w:t>
      </w:r>
      <w:proofErr w:type="spellStart"/>
      <w:r w:rsidR="00327AAF">
        <w:t>detariffed</w:t>
      </w:r>
      <w:proofErr w:type="spellEnd"/>
      <w:r w:rsidR="00327AAF">
        <w:t xml:space="preserve"> status may elect to tariff their services. If an interconnected VoIP service provider granted </w:t>
      </w:r>
      <w:proofErr w:type="spellStart"/>
      <w:r w:rsidR="00327AAF">
        <w:t>detariffed</w:t>
      </w:r>
      <w:proofErr w:type="spellEnd"/>
      <w:r w:rsidR="00327AAF">
        <w:t xml:space="preserve"> status through the migration process subsequently </w:t>
      </w:r>
      <w:r w:rsidRPr="00476E84" w:rsidR="00327AAF">
        <w:t xml:space="preserve">decides to offer services that require a tariff or </w:t>
      </w:r>
      <w:r w:rsidRPr="00476E84" w:rsidR="00327AAF">
        <w:lastRenderedPageBreak/>
        <w:t xml:space="preserve">schedule, such as basic service, </w:t>
      </w:r>
      <w:r w:rsidR="00327AAF">
        <w:t xml:space="preserve">the interconnected VoIP service provider </w:t>
      </w:r>
      <w:r w:rsidRPr="00476E84" w:rsidR="00327AAF">
        <w:t xml:space="preserve">must submit </w:t>
      </w:r>
      <w:r w:rsidR="00327AAF">
        <w:t>its</w:t>
      </w:r>
      <w:r w:rsidRPr="00476E84" w:rsidR="00327AAF">
        <w:t xml:space="preserve"> proposed tariffs to the Commission’s Communications Division via </w:t>
      </w:r>
      <w:r w:rsidR="00327AAF">
        <w:t xml:space="preserve">a </w:t>
      </w:r>
      <w:r w:rsidRPr="00476E84" w:rsidR="00327AAF">
        <w:t xml:space="preserve">Tier 2 Advice Letter using the </w:t>
      </w:r>
      <w:r w:rsidR="00424385">
        <w:t>GO </w:t>
      </w:r>
      <w:r w:rsidRPr="00476E84" w:rsidR="00327AAF">
        <w:t>96</w:t>
      </w:r>
      <w:r w:rsidR="006951D5">
        <w:noBreakHyphen/>
      </w:r>
      <w:r w:rsidRPr="00476E84" w:rsidR="00327AAF">
        <w:t>B advice letter process at least 30 days before initiation of service.</w:t>
      </w:r>
      <w:r w:rsidR="00327AAF">
        <w:rPr>
          <w:rStyle w:val="FootnoteReference"/>
        </w:rPr>
        <w:footnoteReference w:id="219"/>
      </w:r>
      <w:r w:rsidR="00A1397B">
        <w:t xml:space="preserve"> Finally, this decision maintains that all tariffed telephone corporations including interconnected VoIP are required to comply with the tariff requirements pursuant to </w:t>
      </w:r>
      <w:r w:rsidR="00C04D12">
        <w:t>Pub.</w:t>
      </w:r>
      <w:r w:rsidR="00844EAF">
        <w:t> </w:t>
      </w:r>
      <w:r w:rsidR="00C04D12">
        <w:t>Util.</w:t>
      </w:r>
      <w:r w:rsidR="00A1397B">
        <w:t xml:space="preserve"> Code </w:t>
      </w:r>
      <w:r w:rsidR="0074481C">
        <w:t>Section</w:t>
      </w:r>
      <w:r w:rsidR="00844EAF">
        <w:t> </w:t>
      </w:r>
      <w:r w:rsidR="00A1397B">
        <w:t>489(a). To effectively implement this requirement, all telephone corporations, except nomadic</w:t>
      </w:r>
      <w:r w:rsidR="00844EAF">
        <w:noBreakHyphen/>
      </w:r>
      <w:r w:rsidR="00A1397B">
        <w:t>only interconnected VoIP and WIR service providers,</w:t>
      </w:r>
      <w:r w:rsidR="00CE4A2B">
        <w:t xml:space="preserve"> </w:t>
      </w:r>
      <w:r w:rsidR="00A1397B">
        <w:t>must submit to the commission its complete tariff in effect at the beginning of each year.</w:t>
      </w:r>
      <w:r w:rsidRPr="00044179" w:rsidR="00044179">
        <w:rPr>
          <w:vertAlign w:val="superscript"/>
        </w:rPr>
        <w:footnoteReference w:id="220"/>
      </w:r>
      <w:r w:rsidR="00A1397B">
        <w:t xml:space="preserve"> The annual tariff filing, using the Communications Division’s prescribed filing process, must be submitted to the Director of the Communications Division via email to </w:t>
      </w:r>
      <w:hyperlink w:history="1" r:id="rId20">
        <w:r w:rsidRPr="008E3AFE" w:rsidR="00A1397B">
          <w:rPr>
            <w:rStyle w:val="Hyperlink"/>
          </w:rPr>
          <w:t>CDCompliance@cpuc.ca.gov</w:t>
        </w:r>
      </w:hyperlink>
      <w:r w:rsidR="00A1397B">
        <w:rPr>
          <w:rStyle w:val="Hyperlink"/>
        </w:rPr>
        <w:t xml:space="preserve"> </w:t>
      </w:r>
      <w:r w:rsidR="00A1397B">
        <w:t xml:space="preserve">no later than </w:t>
      </w:r>
      <w:r w:rsidR="00424385">
        <w:t>February</w:t>
      </w:r>
      <w:r w:rsidR="00844EAF">
        <w:t> </w:t>
      </w:r>
      <w:r w:rsidR="00A1397B">
        <w:t>15 of each year.</w:t>
      </w:r>
    </w:p>
    <w:p w:rsidR="00A96B31" w:rsidP="000A2CD0" w:rsidRDefault="00BB6C48" w14:paraId="4FBCB1C8" w14:textId="5BFB18C4">
      <w:pPr>
        <w:pStyle w:val="Heading3"/>
      </w:pPr>
      <w:bookmarkStart w:name="_Toc176770976" w:id="198"/>
      <w:bookmarkStart w:name="_Toc177021174" w:id="199"/>
      <w:bookmarkStart w:name="_Toc181692924" w:id="200"/>
      <w:r>
        <w:t xml:space="preserve">Transfer </w:t>
      </w:r>
      <w:r w:rsidR="007A706C">
        <w:t xml:space="preserve">of </w:t>
      </w:r>
      <w:r>
        <w:t>Control or Assets</w:t>
      </w:r>
      <w:r w:rsidR="00905740">
        <w:br/>
      </w:r>
      <w:r>
        <w:t>Pursuant to Section</w:t>
      </w:r>
      <w:r w:rsidR="00853A12">
        <w:t>s </w:t>
      </w:r>
      <w:r>
        <w:t>851</w:t>
      </w:r>
      <w:r w:rsidR="006951D5">
        <w:noBreakHyphen/>
      </w:r>
      <w:r>
        <w:t>854</w:t>
      </w:r>
      <w:bookmarkEnd w:id="198"/>
      <w:bookmarkEnd w:id="199"/>
      <w:bookmarkEnd w:id="200"/>
    </w:p>
    <w:p w:rsidRPr="00BB6C48" w:rsidR="00BB6C48" w:rsidP="00BB6C48" w:rsidRDefault="00BB6C48" w14:paraId="309A7F43" w14:textId="4E58BA72">
      <w:pPr>
        <w:pStyle w:val="Standard"/>
      </w:pPr>
      <w:r>
        <w:t xml:space="preserve">Since 2004, the Commission has permitted all telephone corporations other than incumbents or affiliates of incumbents to seek authority for mergers or transfers of control or assets through a </w:t>
      </w:r>
      <w:r w:rsidR="005F2D22">
        <w:t>Tier 2</w:t>
      </w:r>
      <w:r>
        <w:t xml:space="preserve"> advice letter</w:t>
      </w:r>
      <w:r w:rsidR="001E0C48">
        <w:t xml:space="preserve"> with certain exceptions as outlined in </w:t>
      </w:r>
      <w:r w:rsidR="00C04D12">
        <w:t>Appendix</w:t>
      </w:r>
      <w:r w:rsidR="00844EAF">
        <w:t> </w:t>
      </w:r>
      <w:r w:rsidR="001E0C48">
        <w:t>G</w:t>
      </w:r>
      <w:r>
        <w:t xml:space="preserve">, unless the transactions are subject to the requirements of </w:t>
      </w:r>
      <w:r w:rsidR="00853A12">
        <w:t>Sections </w:t>
      </w:r>
      <w:r>
        <w:t>854(b)</w:t>
      </w:r>
      <w:r w:rsidR="006951D5">
        <w:noBreakHyphen/>
      </w:r>
      <w:r>
        <w:t xml:space="preserve">(c). </w:t>
      </w:r>
      <w:r w:rsidR="003C7306">
        <w:t xml:space="preserve">The </w:t>
      </w:r>
      <w:r w:rsidR="00453C57">
        <w:t>Commission</w:t>
      </w:r>
      <w:r w:rsidR="003C7306">
        <w:t xml:space="preserve"> has found</w:t>
      </w:r>
      <w:r w:rsidR="00453C57">
        <w:t xml:space="preserve"> </w:t>
      </w:r>
      <w:r w:rsidR="003C7306">
        <w:t>consumer interests in such transactions involving ILECs utilities require a higher level of scrutiny</w:t>
      </w:r>
      <w:r w:rsidR="003C7306">
        <w:rPr>
          <w:b/>
          <w:bCs/>
        </w:rPr>
        <w:t xml:space="preserve"> </w:t>
      </w:r>
      <w:r w:rsidR="003C7306">
        <w:t>than in transactions of non</w:t>
      </w:r>
      <w:r w:rsidR="006951D5">
        <w:noBreakHyphen/>
      </w:r>
      <w:r w:rsidR="003C7306">
        <w:t xml:space="preserve">incumbent utilities. </w:t>
      </w:r>
      <w:r>
        <w:t>The public interest in streamlined regulatory oversight relied upon by the Commission in D.04</w:t>
      </w:r>
      <w:r w:rsidR="006951D5">
        <w:noBreakHyphen/>
      </w:r>
      <w:r>
        <w:t>10</w:t>
      </w:r>
      <w:r w:rsidR="006951D5">
        <w:noBreakHyphen/>
      </w:r>
      <w:r>
        <w:t>038 is a compelling reason to grant the same advice letter a</w:t>
      </w:r>
      <w:r w:rsidR="00E047B0">
        <w:t>pproval</w:t>
      </w:r>
      <w:r w:rsidR="0059732A">
        <w:t xml:space="preserve"> process</w:t>
      </w:r>
      <w:r>
        <w:t xml:space="preserve"> to all </w:t>
      </w:r>
      <w:r>
        <w:lastRenderedPageBreak/>
        <w:t xml:space="preserve">interconnected VoIP </w:t>
      </w:r>
      <w:r w:rsidR="00D657D7">
        <w:t xml:space="preserve">service </w:t>
      </w:r>
      <w:r>
        <w:t xml:space="preserve">providers except those affiliated with incumbents. </w:t>
      </w:r>
      <w:r w:rsidR="009F7E72">
        <w:t xml:space="preserve">All interconnected VoIP </w:t>
      </w:r>
      <w:r w:rsidR="00D657D7">
        <w:t xml:space="preserve">service </w:t>
      </w:r>
      <w:r w:rsidR="009F7E72">
        <w:t xml:space="preserve">providers not affiliated with incumbents may utilize the advice letter process reprinted for convenience in this decision in </w:t>
      </w:r>
      <w:r w:rsidR="00C04D12">
        <w:t>Appendix </w:t>
      </w:r>
      <w:r w:rsidR="009F7E72">
        <w:t xml:space="preserve">G for prospective authority to transfer assets or control subject to </w:t>
      </w:r>
      <w:r w:rsidR="00045963">
        <w:t>Sections </w:t>
      </w:r>
      <w:r w:rsidR="009F7E72">
        <w:t>851</w:t>
      </w:r>
      <w:r w:rsidR="006951D5">
        <w:noBreakHyphen/>
      </w:r>
      <w:r w:rsidR="009F7E72">
        <w:t>854.</w:t>
      </w:r>
    </w:p>
    <w:p w:rsidR="00A96B31" w:rsidP="000A2CD0" w:rsidRDefault="00202E51" w14:paraId="511235C0" w14:textId="6EF9C2FB">
      <w:pPr>
        <w:pStyle w:val="Heading4"/>
      </w:pPr>
      <w:bookmarkStart w:name="_Toc176770977" w:id="201"/>
      <w:bookmarkStart w:name="_Toc177021175" w:id="202"/>
      <w:bookmarkStart w:name="_Toc181692925" w:id="203"/>
      <w:r>
        <w:t xml:space="preserve">Transfers </w:t>
      </w:r>
      <w:r w:rsidR="009D389C">
        <w:t xml:space="preserve">Involving </w:t>
      </w:r>
      <w:r>
        <w:t>Nomadic</w:t>
      </w:r>
      <w:r w:rsidR="006951D5">
        <w:noBreakHyphen/>
      </w:r>
      <w:r w:rsidR="00A8384D">
        <w:t>Only</w:t>
      </w:r>
      <w:r>
        <w:t xml:space="preserve"> Interconnected </w:t>
      </w:r>
      <w:r w:rsidRPr="19E6B670" w:rsidR="009D389C">
        <w:t>Voice Over Internet Protocol</w:t>
      </w:r>
      <w:r>
        <w:t xml:space="preserve"> </w:t>
      </w:r>
      <w:r w:rsidR="009D389C">
        <w:t>Service Providers</w:t>
      </w:r>
      <w:bookmarkEnd w:id="201"/>
      <w:bookmarkEnd w:id="202"/>
      <w:bookmarkEnd w:id="203"/>
    </w:p>
    <w:p w:rsidR="00A96B31" w:rsidP="000E3B3D" w:rsidRDefault="00202E51" w14:paraId="4D6DAE51" w14:textId="4F189386">
      <w:pPr>
        <w:pStyle w:val="Standard"/>
      </w:pPr>
      <w:r>
        <w:t>Consistent with current rules for transfers involving C</w:t>
      </w:r>
      <w:r w:rsidR="00966E77">
        <w:t>MRS</w:t>
      </w:r>
      <w:r>
        <w:t xml:space="preserve"> </w:t>
      </w:r>
      <w:r w:rsidR="00966E77">
        <w:t>p</w:t>
      </w:r>
      <w:r>
        <w:t>roviders,</w:t>
      </w:r>
      <w:r>
        <w:rPr>
          <w:rStyle w:val="FootnoteReference"/>
        </w:rPr>
        <w:footnoteReference w:id="221"/>
      </w:r>
      <w:r>
        <w:t xml:space="preserve"> all nomadic</w:t>
      </w:r>
      <w:r w:rsidR="006951D5">
        <w:noBreakHyphen/>
      </w:r>
      <w:r w:rsidR="002E7E11">
        <w:t>only</w:t>
      </w:r>
      <w:r>
        <w:t xml:space="preserve"> interconnected VoIP service providers </w:t>
      </w:r>
      <w:r w:rsidRPr="000E3478">
        <w:t>must submit an information</w:t>
      </w:r>
      <w:r w:rsidR="006951D5">
        <w:noBreakHyphen/>
      </w:r>
      <w:r w:rsidRPr="000E3478">
        <w:t xml:space="preserve">only </w:t>
      </w:r>
      <w:r w:rsidR="00966E77">
        <w:t>submittal</w:t>
      </w:r>
      <w:r w:rsidRPr="000E3478">
        <w:t xml:space="preserve"> setting forth changes in the provider</w:t>
      </w:r>
      <w:r w:rsidR="00893D67">
        <w:t>’</w:t>
      </w:r>
      <w:r w:rsidRPr="000E3478">
        <w:t>s registration information.</w:t>
      </w:r>
      <w:r>
        <w:t xml:space="preserve"> </w:t>
      </w:r>
      <w:r w:rsidRPr="00FA3AFE" w:rsidR="00FA3AFE">
        <w:t xml:space="preserve">For clarity, an information-only submittal is the term of art for the requirement to notify the Commission 30 days in advance of such a transfer.  While the Commission has jurisdictional authority to approve transfers of control involving wireless telephone corporations, the Commission also found it reasonable to implement the requirement in the least burdensome manner possible (information-only submittal) and to reserve the formal application for approval only in rare instances when </w:t>
      </w:r>
      <w:r w:rsidR="00ED6BE1">
        <w:t>the circumstances warrant further review</w:t>
      </w:r>
      <w:r w:rsidR="00FA3AFE">
        <w:t xml:space="preserve">. </w:t>
      </w:r>
      <w:r>
        <w:t xml:space="preserve"> </w:t>
      </w:r>
      <w:r w:rsidRPr="00FA3AFE" w:rsidR="00FA3AFE">
        <w:t xml:space="preserve">As an example of a rare circumstance in which a proposed transfer of control of a wireless telephone corporation merited formal review, the proposed merger between T-Mobile and Sprint was evaluated through A.18-07-011 </w:t>
      </w:r>
      <w:r w:rsidRPr="00FA3AFE" w:rsidR="00FA3AFE">
        <w:rPr>
          <w:i/>
          <w:iCs/>
        </w:rPr>
        <w:t>et. al</w:t>
      </w:r>
      <w:r w:rsidRPr="00FA3AFE" w:rsidR="00FA3AFE">
        <w:t>. In opening comments on the PD, VON Coalition questions whether the information-only submittal requirement is indeed “ministerial” as characterized in this decision.</w:t>
      </w:r>
      <w:r w:rsidRPr="00FA3AFE" w:rsidR="00FA3AFE">
        <w:rPr>
          <w:vertAlign w:val="superscript"/>
        </w:rPr>
        <w:footnoteReference w:id="222"/>
      </w:r>
      <w:r w:rsidRPr="00FA3AFE" w:rsidR="00FA3AFE">
        <w:t xml:space="preserve"> A benefit of applying existing processes to interconnected </w:t>
      </w:r>
      <w:r w:rsidRPr="00FA3AFE" w:rsidR="00FA3AFE">
        <w:lastRenderedPageBreak/>
        <w:t xml:space="preserve">VoIP service providers is that these processes have a long track record of implementation, and the number of information-only submittals processed by the Commission with no intervention provides support for the characterization of this requirement as ministerial. Therefore, it is reasonable and necessary to maintain basic oversight of voice providers by requiring interconnected VoIP providers to notify </w:t>
      </w:r>
      <w:r>
        <w:t xml:space="preserve">the Commission </w:t>
      </w:r>
      <w:r w:rsidRPr="00FA3AFE" w:rsidR="00FA3AFE">
        <w:t>30 days in advance of a change in corporate structure resulting from a transfer of control, and reserving the option to</w:t>
      </w:r>
      <w:r w:rsidR="00ED6BE1">
        <w:t xml:space="preserve"> require</w:t>
      </w:r>
      <w:r>
        <w:t xml:space="preserve"> the transaction </w:t>
      </w:r>
      <w:r w:rsidR="00ED6BE1">
        <w:t>to be</w:t>
      </w:r>
      <w:r>
        <w:t xml:space="preserve"> review</w:t>
      </w:r>
      <w:r w:rsidR="00ED6BE1">
        <w:t>ed</w:t>
      </w:r>
      <w:r>
        <w:t xml:space="preserve"> in an application or other formal proceeding</w:t>
      </w:r>
      <w:r w:rsidRPr="00FA3AFE" w:rsidR="00FA3AFE">
        <w:t xml:space="preserve"> should fact-specific circumstances warrant a higher level of review.</w:t>
      </w:r>
    </w:p>
    <w:p w:rsidR="00DA715F" w:rsidP="000A2CD0" w:rsidRDefault="00BB6C48" w14:paraId="3469165C" w14:textId="7A4DB3B2">
      <w:pPr>
        <w:pStyle w:val="Heading3"/>
      </w:pPr>
      <w:bookmarkStart w:name="_Toc176770978" w:id="204"/>
      <w:bookmarkStart w:name="_Toc177021176" w:id="205"/>
      <w:bookmarkStart w:name="_Toc181692926" w:id="206"/>
      <w:r>
        <w:t xml:space="preserve">Exemption </w:t>
      </w:r>
      <w:r w:rsidR="009D34CF">
        <w:t>for</w:t>
      </w:r>
      <w:r>
        <w:t xml:space="preserve"> </w:t>
      </w:r>
      <w:r w:rsidR="00E91FC1">
        <w:t xml:space="preserve">Transfers of </w:t>
      </w:r>
      <w:r w:rsidR="002570A0">
        <w:t>Assets</w:t>
      </w:r>
      <w:r w:rsidR="00715A17">
        <w:t xml:space="preserve"> </w:t>
      </w:r>
      <w:r w:rsidR="002570A0">
        <w:t xml:space="preserve">for Purposes of Securing Debt, and </w:t>
      </w:r>
      <w:r w:rsidR="006C3497">
        <w:t>Issuance of Stocks and Securities</w:t>
      </w:r>
      <w:r w:rsidR="00E91FC1">
        <w:t xml:space="preserve"> Under Sections</w:t>
      </w:r>
      <w:r w:rsidR="00883793">
        <w:t> </w:t>
      </w:r>
      <w:r w:rsidR="00E91FC1">
        <w:t>816</w:t>
      </w:r>
      <w:r w:rsidR="006951D5">
        <w:noBreakHyphen/>
      </w:r>
      <w:r w:rsidR="00E91FC1">
        <w:t xml:space="preserve">830 and </w:t>
      </w:r>
      <w:r w:rsidR="00883793">
        <w:t>Section </w:t>
      </w:r>
      <w:r w:rsidR="00E91FC1">
        <w:t>851</w:t>
      </w:r>
      <w:bookmarkEnd w:id="204"/>
      <w:bookmarkEnd w:id="205"/>
      <w:bookmarkEnd w:id="206"/>
    </w:p>
    <w:p w:rsidR="00055CBB" w:rsidP="00F66B62" w:rsidRDefault="00E91FC1" w14:paraId="11BCE856" w14:textId="393A0374">
      <w:pPr>
        <w:pStyle w:val="Standard"/>
      </w:pPr>
      <w:r>
        <w:t xml:space="preserve">The Commission exempted </w:t>
      </w:r>
      <w:r w:rsidRPr="0080384F">
        <w:t>NDIEC</w:t>
      </w:r>
      <w:r>
        <w:t xml:space="preserve">s </w:t>
      </w:r>
      <w:r w:rsidRPr="0080384F">
        <w:t xml:space="preserve">from the requirements of </w:t>
      </w:r>
      <w:r>
        <w:t>the obligations established in S</w:t>
      </w:r>
      <w:r w:rsidRPr="0080384F">
        <w:t>ections 816</w:t>
      </w:r>
      <w:r w:rsidR="006951D5">
        <w:noBreakHyphen/>
      </w:r>
      <w:r w:rsidRPr="0080384F">
        <w:t>830 concerning stocks and security</w:t>
      </w:r>
      <w:r>
        <w:t xml:space="preserve"> in </w:t>
      </w:r>
      <w:r w:rsidRPr="0080384F">
        <w:t>D.85</w:t>
      </w:r>
      <w:r w:rsidR="006951D5">
        <w:noBreakHyphen/>
      </w:r>
      <w:r w:rsidRPr="0080384F">
        <w:t>01</w:t>
      </w:r>
      <w:r w:rsidR="006951D5">
        <w:noBreakHyphen/>
      </w:r>
      <w:r w:rsidRPr="0080384F">
        <w:t>008, subsequently modified in D.85</w:t>
      </w:r>
      <w:r w:rsidR="006951D5">
        <w:noBreakHyphen/>
      </w:r>
      <w:r w:rsidRPr="0080384F">
        <w:t>07</w:t>
      </w:r>
      <w:r w:rsidR="006951D5">
        <w:noBreakHyphen/>
      </w:r>
      <w:r w:rsidRPr="0080384F">
        <w:t>081 and D.85</w:t>
      </w:r>
      <w:r w:rsidR="006951D5">
        <w:noBreakHyphen/>
      </w:r>
      <w:r w:rsidRPr="0080384F">
        <w:t>11</w:t>
      </w:r>
      <w:r w:rsidR="006951D5">
        <w:noBreakHyphen/>
      </w:r>
      <w:r w:rsidRPr="0080384F">
        <w:t xml:space="preserve">044. </w:t>
      </w:r>
      <w:r w:rsidR="002570A0">
        <w:t xml:space="preserve">The exemption applies also to </w:t>
      </w:r>
      <w:r w:rsidR="00853A12">
        <w:t>Section </w:t>
      </w:r>
      <w:r w:rsidR="002570A0">
        <w:t xml:space="preserve">851 transfers only when the transfer or encumbrance is for purposes of securing debt. </w:t>
      </w:r>
      <w:r>
        <w:t xml:space="preserve">The Commission </w:t>
      </w:r>
      <w:r w:rsidR="002570A0">
        <w:t>allowed the same exemptions for non</w:t>
      </w:r>
      <w:r w:rsidR="006951D5">
        <w:noBreakHyphen/>
      </w:r>
      <w:r w:rsidR="002570A0">
        <w:t>facilities</w:t>
      </w:r>
      <w:r w:rsidR="006951D5">
        <w:noBreakHyphen/>
      </w:r>
      <w:r w:rsidR="002570A0">
        <w:t>based CLECs in D.96</w:t>
      </w:r>
      <w:r w:rsidR="006951D5">
        <w:noBreakHyphen/>
      </w:r>
      <w:r w:rsidR="002570A0">
        <w:t>02</w:t>
      </w:r>
      <w:r w:rsidR="006951D5">
        <w:noBreakHyphen/>
      </w:r>
      <w:r w:rsidR="002570A0">
        <w:t>072</w:t>
      </w:r>
      <w:r w:rsidRPr="0080384F">
        <w:t xml:space="preserve"> and </w:t>
      </w:r>
      <w:r w:rsidR="002570A0">
        <w:t>D.97</w:t>
      </w:r>
      <w:r w:rsidR="006951D5">
        <w:noBreakHyphen/>
      </w:r>
      <w:r w:rsidR="002570A0">
        <w:t>01</w:t>
      </w:r>
      <w:r w:rsidR="006951D5">
        <w:noBreakHyphen/>
      </w:r>
      <w:r w:rsidR="002570A0">
        <w:t>015.</w:t>
      </w:r>
    </w:p>
    <w:p w:rsidR="00A96B31" w:rsidP="00F66B62" w:rsidRDefault="00E91FC1" w14:paraId="5269F29A" w14:textId="4A8FABCF">
      <w:pPr>
        <w:pStyle w:val="Standard"/>
      </w:pPr>
      <w:r>
        <w:t xml:space="preserve">Cal Broadband argues the same exemptions should apply to interconnected VoIP providers as </w:t>
      </w:r>
      <w:r w:rsidR="00893D67">
        <w:t>“</w:t>
      </w:r>
      <w:r>
        <w:t>communications providers may have already organized their business to provide VoIP service via a different affiliate than the one that is certificated or registered as a CLEC or NDIEC for legitimate business, operational, and</w:t>
      </w:r>
      <w:r w:rsidR="006951D5">
        <w:noBreakHyphen/>
      </w:r>
      <w:r>
        <w:t>or regulatory reasons.</w:t>
      </w:r>
      <w:r w:rsidR="00893D67">
        <w:t>”</w:t>
      </w:r>
      <w:r>
        <w:rPr>
          <w:rStyle w:val="FootnoteReference"/>
        </w:rPr>
        <w:footnoteReference w:id="223"/>
      </w:r>
    </w:p>
    <w:p w:rsidR="00EE510E" w:rsidP="00F66B62" w:rsidRDefault="00EE510E" w14:paraId="35A70AE9" w14:textId="292636B6">
      <w:pPr>
        <w:pStyle w:val="Standard"/>
      </w:pPr>
      <w:r>
        <w:lastRenderedPageBreak/>
        <w:t xml:space="preserve">This decision </w:t>
      </w:r>
      <w:r w:rsidR="00C166A0">
        <w:t>exempt</w:t>
      </w:r>
      <w:r w:rsidR="00850E10">
        <w:t>s</w:t>
      </w:r>
      <w:r w:rsidR="00C166A0">
        <w:t xml:space="preserve"> </w:t>
      </w:r>
      <w:r>
        <w:t>all interconnected VoIP service providers</w:t>
      </w:r>
      <w:r w:rsidR="00C97D20">
        <w:t xml:space="preserve"> </w:t>
      </w:r>
      <w:r w:rsidR="00C166A0">
        <w:t>and all facilities</w:t>
      </w:r>
      <w:r w:rsidR="00844EAF">
        <w:noBreakHyphen/>
      </w:r>
      <w:r w:rsidR="00C166A0">
        <w:t xml:space="preserve">based CLECs </w:t>
      </w:r>
      <w:r>
        <w:t>from Sections 816</w:t>
      </w:r>
      <w:r w:rsidR="006951D5">
        <w:noBreakHyphen/>
      </w:r>
      <w:r>
        <w:t>830 pertaining to the issuance of stocks and securities and from Section 851 transfers only when the transfer or encumbrance is for purposes of securing debt</w:t>
      </w:r>
      <w:r w:rsidR="00C166A0">
        <w:t>, with the exception of affiliates associated with incumbents</w:t>
      </w:r>
      <w:r>
        <w:t xml:space="preserve">. </w:t>
      </w:r>
      <w:r w:rsidR="00C166A0">
        <w:t xml:space="preserve">Regulatory oversight of issuance of stocks and </w:t>
      </w:r>
      <w:r w:rsidR="00C43DB0">
        <w:t>securities and</w:t>
      </w:r>
      <w:r w:rsidR="00C166A0">
        <w:t xml:space="preserve"> pertaining to transfers for purposes of securing debt is relevant to rate regulated entities. Today, the Commission does not regulate the rates of</w:t>
      </w:r>
      <w:r w:rsidR="007A5F08">
        <w:t xml:space="preserve"> </w:t>
      </w:r>
      <w:r w:rsidR="00C166A0">
        <w:t>f</w:t>
      </w:r>
      <w:r>
        <w:t>ull facilities</w:t>
      </w:r>
      <w:r w:rsidR="00844EAF">
        <w:noBreakHyphen/>
      </w:r>
      <w:r>
        <w:t xml:space="preserve">based CLECs </w:t>
      </w:r>
      <w:r w:rsidR="00B82670">
        <w:t>with the exception of affiliates associated with incumbents</w:t>
      </w:r>
      <w:r w:rsidR="00C166A0">
        <w:t>,</w:t>
      </w:r>
      <w:r w:rsidR="00B82670">
        <w:t xml:space="preserve"> </w:t>
      </w:r>
      <w:r>
        <w:t xml:space="preserve">so </w:t>
      </w:r>
      <w:r w:rsidR="00C166A0">
        <w:t>it is appropriate to apply</w:t>
      </w:r>
      <w:r>
        <w:t xml:space="preserve"> this exemption to all CLECs, consistent with our treatment of interconnected VoIP.</w:t>
      </w:r>
    </w:p>
    <w:p w:rsidR="0003646D" w:rsidP="00D539B6" w:rsidRDefault="00B04523" w14:paraId="02EA79C3" w14:textId="61099170">
      <w:pPr>
        <w:pStyle w:val="Heading3"/>
      </w:pPr>
      <w:bookmarkStart w:name="_Toc176770979" w:id="207"/>
      <w:bookmarkStart w:name="_Toc177021177" w:id="208"/>
      <w:bookmarkStart w:name="_Toc8123721" w:id="209"/>
      <w:bookmarkStart w:name="_Toc181692927" w:id="210"/>
      <w:bookmarkEnd w:id="175"/>
      <w:r>
        <w:t>Service</w:t>
      </w:r>
      <w:r w:rsidR="00607A9C">
        <w:t xml:space="preserve"> Offered</w:t>
      </w:r>
      <w:r w:rsidR="00C166A0">
        <w:t xml:space="preserve"> in Small LEC Service Territories</w:t>
      </w:r>
      <w:bookmarkEnd w:id="207"/>
      <w:bookmarkEnd w:id="208"/>
      <w:bookmarkEnd w:id="210"/>
    </w:p>
    <w:p w:rsidR="00055CBB" w:rsidP="00D539B6" w:rsidRDefault="0003646D" w14:paraId="2F9A74CF" w14:textId="721AB432">
      <w:pPr>
        <w:pStyle w:val="OP"/>
      </w:pPr>
      <w:r>
        <w:t xml:space="preserve">In 2020, the Commission </w:t>
      </w:r>
      <w:r w:rsidR="00AF6B18">
        <w:t>issued D.20</w:t>
      </w:r>
      <w:r w:rsidR="00844EAF">
        <w:noBreakHyphen/>
      </w:r>
      <w:r w:rsidR="00AF6B18">
        <w:t>08</w:t>
      </w:r>
      <w:r w:rsidR="00844EAF">
        <w:noBreakHyphen/>
      </w:r>
      <w:r w:rsidR="00AF6B18">
        <w:t xml:space="preserve">011 </w:t>
      </w:r>
      <w:r>
        <w:t>adopt</w:t>
      </w:r>
      <w:r w:rsidR="00AF6B18">
        <w:t>ing</w:t>
      </w:r>
      <w:r>
        <w:t xml:space="preserve"> specific obligations for </w:t>
      </w:r>
      <w:r w:rsidR="001F51D1">
        <w:t>service providers seeking and</w:t>
      </w:r>
      <w:r>
        <w:t xml:space="preserve"> </w:t>
      </w:r>
      <w:r w:rsidR="001F51D1">
        <w:t>obtaining</w:t>
      </w:r>
      <w:r w:rsidRPr="00494986">
        <w:t xml:space="preserve"> </w:t>
      </w:r>
      <w:r>
        <w:t>operating authority to provide</w:t>
      </w:r>
      <w:r w:rsidRPr="00494986">
        <w:t xml:space="preserve"> voice wireline service </w:t>
      </w:r>
      <w:r>
        <w:t>in</w:t>
      </w:r>
      <w:r w:rsidRPr="00494986">
        <w:t xml:space="preserve"> the territories served by</w:t>
      </w:r>
      <w:r>
        <w:t xml:space="preserve"> </w:t>
      </w:r>
      <w:r w:rsidR="001F51D1">
        <w:t>the Small LECs. In this proceeding, the Small LECs requested the Commission consider whether and how the obligations established for facilities</w:t>
      </w:r>
      <w:r w:rsidR="00844EAF">
        <w:noBreakHyphen/>
      </w:r>
      <w:r w:rsidR="001F51D1">
        <w:t>based CLECs serving customers in Small LEC areas would apply to interconnected VoIP service providers.</w:t>
      </w:r>
      <w:r w:rsidR="001F51D1">
        <w:rPr>
          <w:rStyle w:val="FootnoteReference"/>
        </w:rPr>
        <w:footnoteReference w:id="224"/>
      </w:r>
      <w:r w:rsidR="00CE4A2B">
        <w:t xml:space="preserve"> </w:t>
      </w:r>
      <w:r w:rsidR="001F51D1">
        <w:t xml:space="preserve">Many of the requirements adopted by the Commission for competitive wireline voice service providers are </w:t>
      </w:r>
      <w:r w:rsidR="002711C0">
        <w:t xml:space="preserve">already </w:t>
      </w:r>
      <w:r w:rsidR="001F51D1">
        <w:t>extended to facilities</w:t>
      </w:r>
      <w:r w:rsidR="00844EAF">
        <w:noBreakHyphen/>
      </w:r>
      <w:r w:rsidR="001F51D1">
        <w:t>based interconnected VoIP service providers in the instant decision</w:t>
      </w:r>
      <w:r w:rsidR="000F59E4">
        <w:t xml:space="preserve">, </w:t>
      </w:r>
      <w:r w:rsidR="000F59E4">
        <w:rPr>
          <w:i/>
          <w:iCs/>
        </w:rPr>
        <w:t>e.g.</w:t>
      </w:r>
      <w:r w:rsidR="001F51D1">
        <w:t xml:space="preserve"> compliance with affiliate transaction rules and reporting requirements, </w:t>
      </w:r>
      <w:r w:rsidR="000F59E4">
        <w:t>consumer protection and public safety and reliability requirements.</w:t>
      </w:r>
      <w:r w:rsidR="001F51D1">
        <w:rPr>
          <w:rStyle w:val="FootnoteReference"/>
        </w:rPr>
        <w:footnoteReference w:id="225"/>
      </w:r>
      <w:r w:rsidR="000F59E4">
        <w:t xml:space="preserve"> </w:t>
      </w:r>
      <w:r w:rsidR="00C166A0">
        <w:t xml:space="preserve">All interconnected VoIP service providers </w:t>
      </w:r>
      <w:r w:rsidR="001F51D1">
        <w:t xml:space="preserve">seeking and obtaining </w:t>
      </w:r>
      <w:r w:rsidR="00C166A0">
        <w:t>facilities</w:t>
      </w:r>
      <w:r w:rsidR="00844EAF">
        <w:noBreakHyphen/>
      </w:r>
      <w:r w:rsidR="00C166A0">
        <w:t xml:space="preserve">based </w:t>
      </w:r>
      <w:r w:rsidR="001F51D1">
        <w:t>operating authority in the territories</w:t>
      </w:r>
      <w:r w:rsidR="00C166A0">
        <w:t xml:space="preserve"> of the Small LECs </w:t>
      </w:r>
      <w:r w:rsidR="00C166A0">
        <w:lastRenderedPageBreak/>
        <w:t>(</w:t>
      </w:r>
      <w:r w:rsidRPr="00494986">
        <w:t>Calaveras Telephone Company, Cal</w:t>
      </w:r>
      <w:r w:rsidR="00844EAF">
        <w:noBreakHyphen/>
      </w:r>
      <w:r w:rsidRPr="00494986">
        <w:t>Ore Telephone Company, Ducor Telephone Company, Foresthill Telephone Company, Kerman Telephone Company, Pinnacles Telephone Company, The Ponderosa Telephone Company, Sierra Telephone Company, Siskiyou Telephone Company, Volcano Telephone Company, Happy Valley Telephone Company, Hornitos Telephone Company, and Winterhaven Telephone Company</w:t>
      </w:r>
      <w:r w:rsidR="00C166A0">
        <w:t>)</w:t>
      </w:r>
      <w:r w:rsidRPr="00494986">
        <w:t xml:space="preserve"> shall comply with the applicable rules adopted in </w:t>
      </w:r>
      <w:r w:rsidR="00C04D12">
        <w:t>Appendix</w:t>
      </w:r>
      <w:r w:rsidR="00844EAF">
        <w:t> </w:t>
      </w:r>
      <w:r w:rsidR="00B04523">
        <w:t xml:space="preserve">A </w:t>
      </w:r>
      <w:r w:rsidR="002711C0">
        <w:t xml:space="preserve">and </w:t>
      </w:r>
      <w:r w:rsidR="00C04D12">
        <w:t>Appendix</w:t>
      </w:r>
      <w:r w:rsidR="00844EAF">
        <w:t> </w:t>
      </w:r>
      <w:r w:rsidR="002711C0">
        <w:t xml:space="preserve">B </w:t>
      </w:r>
      <w:r w:rsidR="00B04523">
        <w:t>of D.20</w:t>
      </w:r>
      <w:r w:rsidR="00844EAF">
        <w:noBreakHyphen/>
      </w:r>
      <w:r w:rsidR="00B04523">
        <w:t>08</w:t>
      </w:r>
      <w:r w:rsidR="00844EAF">
        <w:noBreakHyphen/>
      </w:r>
      <w:r w:rsidR="00B04523">
        <w:t>011</w:t>
      </w:r>
      <w:r w:rsidRPr="00494986">
        <w:t>.</w:t>
      </w:r>
    </w:p>
    <w:p w:rsidR="009C73DB" w:rsidP="000A2CD0" w:rsidRDefault="009C73DB" w14:paraId="06345A70" w14:textId="5D981CEC">
      <w:pPr>
        <w:pStyle w:val="Heading2"/>
      </w:pPr>
      <w:bookmarkStart w:name="_Toc176770980" w:id="211"/>
      <w:bookmarkStart w:name="_Toc177021178" w:id="212"/>
      <w:bookmarkStart w:name="_Toc181692928" w:id="213"/>
      <w:r>
        <w:t>Enforcement</w:t>
      </w:r>
      <w:bookmarkEnd w:id="211"/>
      <w:bookmarkEnd w:id="212"/>
      <w:bookmarkEnd w:id="213"/>
    </w:p>
    <w:p w:rsidR="008E45FA" w:rsidP="008E45FA" w:rsidRDefault="001E6835" w14:paraId="63C09632" w14:textId="73D9F25C">
      <w:pPr>
        <w:pStyle w:val="Standard"/>
      </w:pPr>
      <w:r w:rsidRPr="001E6835">
        <w:t xml:space="preserve">On </w:t>
      </w:r>
      <w:r w:rsidR="00400BB6">
        <w:t>June </w:t>
      </w:r>
      <w:r w:rsidRPr="001E6835">
        <w:t xml:space="preserve">21, 2018, the Commission adopted </w:t>
      </w:r>
      <w:r w:rsidR="00263840">
        <w:t>Res. </w:t>
      </w:r>
      <w:r w:rsidRPr="001E6835">
        <w:t>T</w:t>
      </w:r>
      <w:r w:rsidR="006951D5">
        <w:noBreakHyphen/>
      </w:r>
      <w:r w:rsidRPr="001E6835">
        <w:t>17601 that authorized Communications Division to implement a citation program for enforcing compliance by telephone corporations with the Commission</w:t>
      </w:r>
      <w:r w:rsidR="00893D67">
        <w:t>’</w:t>
      </w:r>
      <w:r w:rsidRPr="001E6835">
        <w:t xml:space="preserve">s </w:t>
      </w:r>
      <w:r w:rsidR="00400192">
        <w:t>r</w:t>
      </w:r>
      <w:r w:rsidRPr="001E6835">
        <w:t xml:space="preserve">esolutions, </w:t>
      </w:r>
      <w:r w:rsidR="00400192">
        <w:t>d</w:t>
      </w:r>
      <w:r w:rsidRPr="001E6835">
        <w:t xml:space="preserve">ecisions, </w:t>
      </w:r>
      <w:r w:rsidR="00400192">
        <w:t>o</w:t>
      </w:r>
      <w:r w:rsidRPr="001E6835">
        <w:t xml:space="preserve">rders and the </w:t>
      </w:r>
      <w:r w:rsidR="007E4707">
        <w:t>Public Utilities</w:t>
      </w:r>
      <w:r w:rsidRPr="001E6835">
        <w:t xml:space="preserve"> Code</w:t>
      </w:r>
      <w:r w:rsidR="00D41578">
        <w:t>. The public interest requires the rules and requirements established in this decision be equally enforced in the same man</w:t>
      </w:r>
      <w:r w:rsidR="002570A0">
        <w:t>n</w:t>
      </w:r>
      <w:r w:rsidR="00D41578">
        <w:t xml:space="preserve">er. Thus, </w:t>
      </w:r>
      <w:r w:rsidR="00D62725">
        <w:t>t</w:t>
      </w:r>
      <w:r w:rsidRPr="00D10C46" w:rsidR="008E45FA">
        <w:t>h</w:t>
      </w:r>
      <w:r w:rsidR="008E45FA">
        <w:t xml:space="preserve">is </w:t>
      </w:r>
      <w:r w:rsidR="00400192">
        <w:t>d</w:t>
      </w:r>
      <w:r w:rsidRPr="00D10C46" w:rsidR="008E45FA">
        <w:t xml:space="preserve">ecision </w:t>
      </w:r>
      <w:r w:rsidR="008E45FA">
        <w:t>confirms</w:t>
      </w:r>
      <w:r w:rsidRPr="00D10C46" w:rsidR="008E45FA">
        <w:t xml:space="preserve"> </w:t>
      </w:r>
      <w:r w:rsidR="00256522">
        <w:t xml:space="preserve">Communications </w:t>
      </w:r>
      <w:r w:rsidRPr="00D10C46" w:rsidR="008E45FA">
        <w:t>D</w:t>
      </w:r>
      <w:r w:rsidR="00256522">
        <w:t>ivision</w:t>
      </w:r>
      <w:r w:rsidR="00893D67">
        <w:t>’</w:t>
      </w:r>
      <w:r w:rsidR="008E45FA">
        <w:t>s authority</w:t>
      </w:r>
      <w:r w:rsidRPr="00D10C46" w:rsidR="008E45FA">
        <w:t xml:space="preserve"> to issue citations pursuant to </w:t>
      </w:r>
      <w:r w:rsidR="00263840">
        <w:t>Res. </w:t>
      </w:r>
      <w:r w:rsidRPr="00D10C46" w:rsidR="008E45FA">
        <w:t>T</w:t>
      </w:r>
      <w:r w:rsidR="006951D5">
        <w:noBreakHyphen/>
      </w:r>
      <w:r w:rsidRPr="00D10C46" w:rsidR="008E45FA">
        <w:t xml:space="preserve">17601 to </w:t>
      </w:r>
      <w:r w:rsidR="008E45FA">
        <w:t>all telephone corporations including interconnected VoIP service providers</w:t>
      </w:r>
      <w:r w:rsidR="00682D3E">
        <w:t>.</w:t>
      </w:r>
    </w:p>
    <w:p w:rsidRPr="002F4869" w:rsidR="00224EC0" w:rsidP="009C73DB" w:rsidRDefault="00224EC0" w14:paraId="3A8A6C72" w14:textId="51979153">
      <w:pPr>
        <w:pStyle w:val="Standard"/>
      </w:pPr>
      <w:r>
        <w:t>A</w:t>
      </w:r>
      <w:r w:rsidRPr="00224EC0">
        <w:t xml:space="preserve">ll enforcement tools that the CPUC uses against other telephone corporations and public utilities apply </w:t>
      </w:r>
      <w:r>
        <w:t xml:space="preserve">equally to all </w:t>
      </w:r>
      <w:r w:rsidRPr="00224EC0">
        <w:t>interconnected VoIP s</w:t>
      </w:r>
      <w:r>
        <w:t>ervice providers.</w:t>
      </w:r>
    </w:p>
    <w:p w:rsidR="006262E1" w:rsidP="000A2CD0" w:rsidRDefault="006262E1" w14:paraId="16A445A3" w14:textId="33C275C1">
      <w:pPr>
        <w:pStyle w:val="Heading1"/>
      </w:pPr>
      <w:bookmarkStart w:name="_Toc176770981" w:id="214"/>
      <w:bookmarkStart w:name="_Toc177021179" w:id="215"/>
      <w:bookmarkStart w:name="_Toc181692929" w:id="216"/>
      <w:r>
        <w:t>Second Phase of Proceeding for Implementation</w:t>
      </w:r>
      <w:bookmarkEnd w:id="216"/>
      <w:r>
        <w:t xml:space="preserve"> </w:t>
      </w:r>
    </w:p>
    <w:p w:rsidR="006262E1" w:rsidP="006262E1" w:rsidRDefault="006262E1" w14:paraId="5427EB46" w14:textId="73916156">
      <w:pPr>
        <w:pStyle w:val="Heading2"/>
      </w:pPr>
      <w:bookmarkStart w:name="_Toc181692930" w:id="217"/>
      <w:r>
        <w:t xml:space="preserve">Workshop on </w:t>
      </w:r>
      <w:r w:rsidR="00DD494B">
        <w:t>Technical Aspects of</w:t>
      </w:r>
      <w:r>
        <w:t xml:space="preserve"> Interconnected VoIP </w:t>
      </w:r>
      <w:r w:rsidR="00DD494B">
        <w:t>Services</w:t>
      </w:r>
      <w:bookmarkEnd w:id="217"/>
    </w:p>
    <w:p w:rsidRPr="00915003" w:rsidR="00915003" w:rsidP="00645D56" w:rsidRDefault="00915003" w14:paraId="0A5B1F29" w14:textId="6FE16A7F">
      <w:pPr>
        <w:pStyle w:val="Standard"/>
      </w:pPr>
      <w:r w:rsidRPr="00915003">
        <w:t xml:space="preserve">The second phase of this proceeding will focus on identifying providers’ configuration of voice offerings, including provision of interconnected VoIP service, and address any outstanding questions in how to apply the new regulatory classifications for interconnected VoIP service. In opening comments on the proposed decision, several parties identified potential workshop topics. </w:t>
      </w:r>
      <w:r w:rsidRPr="00915003">
        <w:lastRenderedPageBreak/>
        <w:t>Frontier and Consolidated request a technical workshop needed to evaluate the practical ramifications of reclassification of interconnected VoIP services.</w:t>
      </w:r>
      <w:r w:rsidRPr="00915003">
        <w:rPr>
          <w:vertAlign w:val="superscript"/>
        </w:rPr>
        <w:footnoteReference w:id="226"/>
      </w:r>
      <w:r w:rsidRPr="00915003">
        <w:t xml:space="preserve"> Several practical ramifications of the reclassification of interconnected VoIP services are whether and Cloud identifies a need to bridge the definitions of telecommunications facilities describing traditional local and long distance wireline networks to apply to the “cloud-based architecture and dynamic, flexible infrastructure” employed in the provision of nomadic-only interconnected VoIP service.</w:t>
      </w:r>
      <w:r w:rsidRPr="00915003">
        <w:rPr>
          <w:vertAlign w:val="superscript"/>
        </w:rPr>
        <w:footnoteReference w:id="227"/>
      </w:r>
      <w:r w:rsidRPr="00915003">
        <w:t xml:space="preserve"> </w:t>
      </w:r>
    </w:p>
    <w:p w:rsidRPr="00915003" w:rsidR="00915003" w:rsidP="00645D56" w:rsidRDefault="00915003" w14:paraId="64C71201" w14:textId="77777777">
      <w:pPr>
        <w:pStyle w:val="Standard"/>
      </w:pPr>
      <w:r w:rsidRPr="00915003">
        <w:t>Related, some parties request the proposed decision address issues not yet developed in this proceeding, such as the Small LECs’ request for the interconnected VoIP regulatory framework to distinguish operating authority granted in the Small LEC service territories from other operating authority. This request is appropriate to present and develop in a workshop setting.</w:t>
      </w:r>
    </w:p>
    <w:p w:rsidRPr="00915003" w:rsidR="00915003" w:rsidP="00645D56" w:rsidRDefault="00915003" w14:paraId="440A8D59" w14:textId="77777777">
      <w:pPr>
        <w:pStyle w:val="Standard"/>
      </w:pPr>
      <w:r w:rsidRPr="00915003">
        <w:t>Next, some parties already granted operating authority pursuant to Section 1001 or Section 1013 prior to August 2022 raised issues in their comments on the proposed decision that may benefit from workshop discussion; whether existing wireline voice service providers offering interconnected VoIP service and granted operating authority pursuant to Section 1001 or Section 1013 prior to August 2022 should append to their existing utility type designations the DVF utility type designation.</w:t>
      </w:r>
      <w:r w:rsidRPr="00915003">
        <w:rPr>
          <w:vertAlign w:val="superscript"/>
        </w:rPr>
        <w:footnoteReference w:id="228"/>
      </w:r>
      <w:r w:rsidRPr="00915003">
        <w:t xml:space="preserve"> </w:t>
      </w:r>
    </w:p>
    <w:p w:rsidRPr="00915003" w:rsidR="00915003" w:rsidP="00645D56" w:rsidRDefault="00915003" w14:paraId="63DD7921" w14:textId="77777777">
      <w:pPr>
        <w:pStyle w:val="Standard"/>
      </w:pPr>
      <w:r w:rsidRPr="00915003">
        <w:lastRenderedPageBreak/>
        <w:t xml:space="preserve">A forthcoming ruling will invite party input on the workshop topics identified in this decision and also invite proposals for workshop structure(s) to address the specific issue(s) identified.  </w:t>
      </w:r>
    </w:p>
    <w:p w:rsidR="00F55B9E" w:rsidP="00F55B9E" w:rsidRDefault="006262E1" w14:paraId="2ABA5744" w14:textId="04BB5477">
      <w:pPr>
        <w:pStyle w:val="Heading2"/>
      </w:pPr>
      <w:bookmarkStart w:name="_Toc181692931" w:id="218"/>
      <w:r>
        <w:t>Statutory Deadline Extension</w:t>
      </w:r>
      <w:bookmarkEnd w:id="218"/>
      <w:r>
        <w:t xml:space="preserve"> </w:t>
      </w:r>
    </w:p>
    <w:p w:rsidR="00F55B9E" w:rsidP="003F168A" w:rsidRDefault="00F55B9E" w14:paraId="7668CCA7" w14:textId="5B324D04">
      <w:pPr>
        <w:pStyle w:val="Standard"/>
      </w:pPr>
      <w:r w:rsidRPr="00F55B9E">
        <w:t xml:space="preserve">The initial deadline to complete this proceeding was within 18 months, as required by Section 1701.5(a). </w:t>
      </w:r>
      <w:r w:rsidR="003F168A">
        <w:t>Due to the complexity of the issues, t</w:t>
      </w:r>
      <w:r w:rsidRPr="00F55B9E">
        <w:t xml:space="preserve">he statutory deadline for this proceeding </w:t>
      </w:r>
      <w:r w:rsidR="003F168A">
        <w:t xml:space="preserve">was extended </w:t>
      </w:r>
      <w:r w:rsidRPr="00F55B9E">
        <w:t xml:space="preserve">from </w:t>
      </w:r>
      <w:r w:rsidR="003F168A">
        <w:t>February 30, 2024</w:t>
      </w:r>
      <w:r w:rsidRPr="00F55B9E">
        <w:t xml:space="preserve">, to </w:t>
      </w:r>
      <w:r w:rsidR="003F168A">
        <w:t>August 30, 2024 in the Scoping Memo and until December 31, 2024 in D.24-08-045</w:t>
      </w:r>
      <w:r w:rsidRPr="00F55B9E">
        <w:t xml:space="preserve">. </w:t>
      </w:r>
    </w:p>
    <w:p w:rsidRPr="00F55B9E" w:rsidR="003F168A" w:rsidP="00645D56" w:rsidRDefault="00D63A8D" w14:paraId="50BBC399" w14:textId="4FAED59C">
      <w:pPr>
        <w:pStyle w:val="Standard"/>
      </w:pPr>
      <w:r>
        <w:t>An extension of the statutory deadline is necessary to conduct the second phase of this proceeding</w:t>
      </w:r>
      <w:r w:rsidR="009A1AE0">
        <w:t xml:space="preserve">, </w:t>
      </w:r>
      <w:r w:rsidRPr="009A1AE0" w:rsidR="009A1AE0">
        <w:t xml:space="preserve">including the issuance of rulings, </w:t>
      </w:r>
      <w:r w:rsidR="009A1AE0">
        <w:t>conducting</w:t>
      </w:r>
      <w:r w:rsidRPr="009A1AE0" w:rsidR="009A1AE0">
        <w:t xml:space="preserve"> workshops, and filing of party comments</w:t>
      </w:r>
      <w:r w:rsidR="009A1AE0">
        <w:t xml:space="preserve">, </w:t>
      </w:r>
      <w:r w:rsidRPr="009A1AE0" w:rsidR="009A1AE0">
        <w:t xml:space="preserve">and to issue a decision on issues in the second phase of this proceeding. </w:t>
      </w:r>
      <w:r>
        <w:t>Therefore, this decision extends the statutory deadline of this proceeding to August 1, 2026.</w:t>
      </w:r>
    </w:p>
    <w:p w:rsidR="00603238" w:rsidP="000A2CD0" w:rsidRDefault="00603238" w14:paraId="58F46103" w14:textId="5F41C4D2">
      <w:pPr>
        <w:pStyle w:val="Heading1"/>
      </w:pPr>
      <w:bookmarkStart w:name="_Toc181692932" w:id="219"/>
      <w:r>
        <w:t>Summary of Public Comment</w:t>
      </w:r>
      <w:bookmarkEnd w:id="214"/>
      <w:bookmarkEnd w:id="215"/>
      <w:bookmarkEnd w:id="219"/>
    </w:p>
    <w:p w:rsidRPr="003D0669" w:rsidR="00603238" w:rsidP="00F66B62" w:rsidRDefault="001255FF" w14:paraId="09EFCAF7" w14:textId="0DC294B7">
      <w:pPr>
        <w:pStyle w:val="Standard"/>
      </w:pPr>
      <w:r>
        <w:t>Rule </w:t>
      </w:r>
      <w:r w:rsidRPr="003D0669" w:rsidR="00603238">
        <w:t xml:space="preserve">1.18 allows any member of the public to submit written comment in any Commission proceeding using the </w:t>
      </w:r>
      <w:r w:rsidR="00893D67">
        <w:t>“</w:t>
      </w:r>
      <w:r w:rsidRPr="003D0669" w:rsidR="00603238">
        <w:t>Public Comment</w:t>
      </w:r>
      <w:r w:rsidR="00893D67">
        <w:t>”</w:t>
      </w:r>
      <w:r w:rsidRPr="003D0669" w:rsidR="00603238">
        <w:t xml:space="preserve"> tab of the online Docket Card for that proceeding on the Commission</w:t>
      </w:r>
      <w:r w:rsidR="00893D67">
        <w:t>’</w:t>
      </w:r>
      <w:r w:rsidRPr="003D0669" w:rsidR="00603238">
        <w:t>s website.</w:t>
      </w:r>
      <w:r w:rsidR="00CD0E2A">
        <w:t xml:space="preserve"> </w:t>
      </w:r>
      <w:r>
        <w:t>Rule </w:t>
      </w:r>
      <w:r w:rsidRPr="003D0669" w:rsidR="00603238">
        <w:t>1.18(b) requires that relevant written comment submitted in a proceeding be summarized in the final decision issued in that proceeding.</w:t>
      </w:r>
      <w:r w:rsidR="003D0669">
        <w:t xml:space="preserve"> No comments were </w:t>
      </w:r>
      <w:r w:rsidR="00E047B0">
        <w:t>posted on the public comments tab</w:t>
      </w:r>
      <w:r w:rsidR="003D0669">
        <w:t xml:space="preserve"> in the docket of this proceeding.</w:t>
      </w:r>
    </w:p>
    <w:p w:rsidR="00FA1B4F" w:rsidP="000A2CD0" w:rsidRDefault="005939A5" w14:paraId="4F4A1F0D" w14:textId="77777777">
      <w:pPr>
        <w:pStyle w:val="Heading1"/>
      </w:pPr>
      <w:bookmarkStart w:name="_Toc176770982" w:id="220"/>
      <w:bookmarkStart w:name="_Toc177021180" w:id="221"/>
      <w:bookmarkStart w:name="_Toc181692933" w:id="222"/>
      <w:r>
        <w:t>Conclusion</w:t>
      </w:r>
      <w:bookmarkEnd w:id="209"/>
      <w:bookmarkEnd w:id="220"/>
      <w:bookmarkEnd w:id="221"/>
      <w:bookmarkEnd w:id="222"/>
    </w:p>
    <w:p w:rsidRPr="00343E5C" w:rsidR="00343E5C" w:rsidP="00343E5C" w:rsidRDefault="00837BCF" w14:paraId="69960DD6" w14:textId="1A438DD6">
      <w:pPr>
        <w:pStyle w:val="Standard"/>
      </w:pPr>
      <w:r>
        <w:t xml:space="preserve">This decision establishes a new regulatory framework </w:t>
      </w:r>
      <w:r w:rsidR="004C7CB8">
        <w:t>applicable to</w:t>
      </w:r>
      <w:r>
        <w:t xml:space="preserve"> interconnected VoIP service</w:t>
      </w:r>
      <w:r w:rsidR="004C7CB8">
        <w:t>s</w:t>
      </w:r>
      <w:r w:rsidR="00426A2A">
        <w:t xml:space="preserve"> </w:t>
      </w:r>
      <w:r w:rsidRPr="00426A2A" w:rsidR="00426A2A">
        <w:t>in order to evenly extend to all voice customers the safeguards and consumer protection avenues administered by the Commission, regardless of the technology underlying the voice service.</w:t>
      </w:r>
      <w:r w:rsidR="00426A2A">
        <w:t xml:space="preserve"> This decision identifies </w:t>
      </w:r>
      <w:r>
        <w:t xml:space="preserve">the necessary and appropriate regulatory obligations depending on whether the </w:t>
      </w:r>
      <w:r>
        <w:lastRenderedPageBreak/>
        <w:t xml:space="preserve">interconnected VoIP service </w:t>
      </w:r>
      <w:r w:rsidR="00C470B2">
        <w:t>provider</w:t>
      </w:r>
      <w:r>
        <w:t xml:space="preserve"> is fixed or nomadic</w:t>
      </w:r>
      <w:r w:rsidR="00426A2A">
        <w:t>-only</w:t>
      </w:r>
      <w:r w:rsidR="003E581E">
        <w:t xml:space="preserve"> </w:t>
      </w:r>
      <w:r>
        <w:t>and whether the interconnected VoIP service provider is affiliated with an incumbent provider. Furthermore, this decision streamlines the Commission</w:t>
      </w:r>
      <w:r w:rsidR="00893D67">
        <w:t>’</w:t>
      </w:r>
      <w:r>
        <w:t xml:space="preserve">s CPCN application and </w:t>
      </w:r>
      <w:r w:rsidR="00260FB7">
        <w:t>Section </w:t>
      </w:r>
      <w:r>
        <w:t>1013 registration granting operating authority to wireline telephone corporations to remove extraneous and outdated requirements and clarify requirements and obligations</w:t>
      </w:r>
      <w:r w:rsidR="00343E5C">
        <w:t>.</w:t>
      </w:r>
      <w:r w:rsidR="00112DBA">
        <w:t xml:space="preserve"> </w:t>
      </w:r>
      <w:r w:rsidR="00426A2A">
        <w:t>T</w:t>
      </w:r>
      <w:r w:rsidR="00112DBA">
        <w:t xml:space="preserve">his decision establishes a </w:t>
      </w:r>
      <w:r w:rsidR="001851B8">
        <w:t>N</w:t>
      </w:r>
      <w:r w:rsidR="00112DBA">
        <w:t xml:space="preserve">omadic </w:t>
      </w:r>
      <w:r w:rsidR="001851B8">
        <w:t>R</w:t>
      </w:r>
      <w:r w:rsidR="00112DBA">
        <w:t xml:space="preserve">egistration process for the Commission to oversee </w:t>
      </w:r>
      <w:r w:rsidR="00377A60">
        <w:t xml:space="preserve">the </w:t>
      </w:r>
      <w:r w:rsidR="00112DBA">
        <w:t>provision of voice service by nomadic</w:t>
      </w:r>
      <w:r w:rsidR="006951D5">
        <w:noBreakHyphen/>
      </w:r>
      <w:r w:rsidR="004A1217">
        <w:t>only</w:t>
      </w:r>
      <w:r w:rsidR="00112DBA">
        <w:t xml:space="preserve"> interconnected VoIP service providers</w:t>
      </w:r>
      <w:r w:rsidR="004A1217">
        <w:t>,</w:t>
      </w:r>
      <w:r w:rsidR="00112DBA">
        <w:t xml:space="preserve"> consistent with </w:t>
      </w:r>
      <w:r w:rsidR="00A34968">
        <w:t xml:space="preserve">FCC Orders, including the FCC Vonage Order and subsequent </w:t>
      </w:r>
      <w:r w:rsidR="00574F61">
        <w:t xml:space="preserve">FCC </w:t>
      </w:r>
      <w:r w:rsidR="00A34968">
        <w:t>orders limiting its preemptive effect over state market entry regulations.</w:t>
      </w:r>
      <w:r w:rsidR="00426A2A">
        <w:t xml:space="preserve"> </w:t>
      </w:r>
      <w:r w:rsidRPr="00426A2A" w:rsidR="00426A2A">
        <w:t>Finally, this decision launches a second phase of the proceeding to consider any outstanding questions regarding the application of the new regulatory classifications for interconnected VoIP service.</w:t>
      </w:r>
    </w:p>
    <w:p w:rsidR="004A1EAD" w:rsidP="000A2CD0" w:rsidRDefault="008215CA" w14:paraId="0E376BB7" w14:textId="08C3C055">
      <w:pPr>
        <w:pStyle w:val="Heading1"/>
      </w:pPr>
      <w:bookmarkStart w:name="_Toc176770983" w:id="223"/>
      <w:bookmarkStart w:name="_Toc177021181" w:id="224"/>
      <w:bookmarkStart w:name="_Toc8123723" w:id="225"/>
      <w:bookmarkStart w:name="_Toc181692934" w:id="226"/>
      <w:r>
        <w:t xml:space="preserve">Request to File Under Seal and other </w:t>
      </w:r>
      <w:r w:rsidR="004A1EAD">
        <w:t>Procedural Matters</w:t>
      </w:r>
      <w:bookmarkEnd w:id="223"/>
      <w:bookmarkEnd w:id="224"/>
      <w:bookmarkEnd w:id="226"/>
    </w:p>
    <w:p w:rsidRPr="00CD1621" w:rsidR="008215CA" w:rsidP="008215CA" w:rsidRDefault="008215CA" w14:paraId="013AB912" w14:textId="0249DFDC">
      <w:pPr>
        <w:pStyle w:val="Standard"/>
      </w:pPr>
      <w:bookmarkStart w:name="_Hlk175059429" w:id="227"/>
      <w:r>
        <w:t xml:space="preserve">On </w:t>
      </w:r>
      <w:r w:rsidR="00424385">
        <w:t>March</w:t>
      </w:r>
      <w:r w:rsidR="00844EAF">
        <w:t> </w:t>
      </w:r>
      <w:r>
        <w:t>9, 2023, Comcast and Charter</w:t>
      </w:r>
      <w:r w:rsidRPr="004C42C1">
        <w:t xml:space="preserve"> filed </w:t>
      </w:r>
      <w:r>
        <w:t>public and</w:t>
      </w:r>
      <w:r w:rsidRPr="004C42C1">
        <w:t xml:space="preserve"> </w:t>
      </w:r>
      <w:r>
        <w:t>confidential versions of their</w:t>
      </w:r>
      <w:r w:rsidRPr="004C42C1">
        <w:t xml:space="preserve"> response</w:t>
      </w:r>
      <w:r>
        <w:t xml:space="preserve">s to the </w:t>
      </w:r>
      <w:r w:rsidRPr="00803CDA">
        <w:rPr>
          <w:color w:val="000000" w:themeColor="text1"/>
        </w:rPr>
        <w:t>ALJ Ruling seeking further information concerning technological distinctions of interconnected VoIP services</w:t>
      </w:r>
      <w:r>
        <w:rPr>
          <w:color w:val="000000" w:themeColor="text1"/>
        </w:rPr>
        <w:t xml:space="preserve"> issued </w:t>
      </w:r>
      <w:r w:rsidR="00424385">
        <w:rPr>
          <w:color w:val="000000" w:themeColor="text1"/>
        </w:rPr>
        <w:t>February</w:t>
      </w:r>
      <w:r w:rsidR="00844EAF">
        <w:rPr>
          <w:color w:val="000000" w:themeColor="text1"/>
        </w:rPr>
        <w:t> </w:t>
      </w:r>
      <w:r>
        <w:rPr>
          <w:color w:val="000000" w:themeColor="text1"/>
        </w:rPr>
        <w:t>16, 2023</w:t>
      </w:r>
      <w:r w:rsidRPr="00803CDA">
        <w:rPr>
          <w:color w:val="000000" w:themeColor="text1"/>
        </w:rPr>
        <w:t>.</w:t>
      </w:r>
      <w:r>
        <w:rPr>
          <w:color w:val="000000" w:themeColor="text1"/>
        </w:rPr>
        <w:t xml:space="preserve"> </w:t>
      </w:r>
      <w:r>
        <w:t>P</w:t>
      </w:r>
      <w:r w:rsidRPr="004C42C1">
        <w:t xml:space="preserve">ursuant to </w:t>
      </w:r>
      <w:r w:rsidR="0074481C">
        <w:t>Section</w:t>
      </w:r>
      <w:r w:rsidR="00844EAF">
        <w:t> </w:t>
      </w:r>
      <w:r>
        <w:t xml:space="preserve">583, </w:t>
      </w:r>
      <w:r w:rsidR="00424385">
        <w:t>GO </w:t>
      </w:r>
      <w:r>
        <w:t>66</w:t>
      </w:r>
      <w:r w:rsidR="00844EAF">
        <w:noBreakHyphen/>
      </w:r>
      <w:r>
        <w:t xml:space="preserve">D, and </w:t>
      </w:r>
      <w:r w:rsidR="006951D5">
        <w:t>Rule</w:t>
      </w:r>
      <w:r w:rsidR="00844EAF">
        <w:t> </w:t>
      </w:r>
      <w:r w:rsidRPr="004C42C1">
        <w:t xml:space="preserve">11.4, </w:t>
      </w:r>
      <w:r w:rsidRPr="00CD1621">
        <w:t xml:space="preserve">Comcast and Charter filed motions </w:t>
      </w:r>
      <w:r>
        <w:t xml:space="preserve">for confidential treatment of their subscribership information contained in the confidential versions of their responses to Question 5 of the ALJ Ruling. In their motion, Comcast and Charter assert their subscribership information is confidential according to state and federal law and Commission precedent, and request </w:t>
      </w:r>
      <w:r w:rsidRPr="00CD1621">
        <w:t>the Commission afford confidential treatment to the sensitive information therein.</w:t>
      </w:r>
    </w:p>
    <w:p w:rsidR="00B50C9F" w:rsidP="008215CA" w:rsidRDefault="008215CA" w14:paraId="240F52CE" w14:textId="76B8A7BF">
      <w:pPr>
        <w:pStyle w:val="Standard"/>
      </w:pPr>
      <w:r w:rsidRPr="00CD1621">
        <w:lastRenderedPageBreak/>
        <w:t xml:space="preserve">No party opposed the motions of Comcast and Charter to file under seal. Good cause having been show, the motions to file under seal </w:t>
      </w:r>
      <w:r>
        <w:t xml:space="preserve">are granted and </w:t>
      </w:r>
      <w:r w:rsidRPr="00CD1621">
        <w:t xml:space="preserve">the confidential versions of the Comcast and Charter responses </w:t>
      </w:r>
      <w:r>
        <w:t>shall be protected from public disclosure</w:t>
      </w:r>
      <w:r w:rsidRPr="00CD1621">
        <w:t>.</w:t>
      </w:r>
      <w:bookmarkEnd w:id="227"/>
    </w:p>
    <w:p w:rsidRPr="008B175A" w:rsidR="004A1EAD" w:rsidP="004A1EAD" w:rsidRDefault="004A1EAD" w14:paraId="7F2C0A31" w14:textId="6E4D3C4D">
      <w:pPr>
        <w:pStyle w:val="Standard"/>
      </w:pPr>
      <w:r w:rsidRPr="008B175A">
        <w:t xml:space="preserve">This decision </w:t>
      </w:r>
      <w:r w:rsidR="008215CA">
        <w:t xml:space="preserve">also </w:t>
      </w:r>
      <w:r w:rsidRPr="008B175A">
        <w:t xml:space="preserve">affirms all rulings made by the </w:t>
      </w:r>
      <w:r w:rsidR="00E879CD">
        <w:t xml:space="preserve">ALJ </w:t>
      </w:r>
      <w:r w:rsidRPr="008B175A">
        <w:t>and assigned Commissioner in this proceeding. All motions not ruled on are deemed denied.</w:t>
      </w:r>
    </w:p>
    <w:p w:rsidR="005939A5" w:rsidP="000A2CD0" w:rsidRDefault="005939A5" w14:paraId="3C9DBBF6" w14:textId="77777777">
      <w:pPr>
        <w:pStyle w:val="Heading1"/>
      </w:pPr>
      <w:bookmarkStart w:name="_Toc176770984" w:id="228"/>
      <w:bookmarkStart w:name="_Toc177021182" w:id="229"/>
      <w:bookmarkStart w:name="_Toc181692935" w:id="230"/>
      <w:r>
        <w:t>Comments on Proposed Decision</w:t>
      </w:r>
      <w:bookmarkEnd w:id="225"/>
      <w:bookmarkEnd w:id="228"/>
      <w:bookmarkEnd w:id="229"/>
      <w:bookmarkEnd w:id="230"/>
    </w:p>
    <w:p w:rsidRPr="002B329B" w:rsidR="002B329B" w:rsidP="002B329B" w:rsidRDefault="004F0DE2" w14:paraId="61EFDF2E" w14:textId="77777777">
      <w:pPr>
        <w:pStyle w:val="Standard"/>
        <w:rPr>
          <w:color w:val="000000" w:themeColor="text1"/>
        </w:rPr>
      </w:pPr>
      <w:r w:rsidRPr="00803CDA">
        <w:rPr>
          <w:color w:val="000000" w:themeColor="text1"/>
        </w:rPr>
        <w:t xml:space="preserve">The proposed decision of Commissioner </w:t>
      </w:r>
      <w:r w:rsidR="00E279DA">
        <w:rPr>
          <w:color w:val="000000" w:themeColor="text1"/>
        </w:rPr>
        <w:t xml:space="preserve">John </w:t>
      </w:r>
      <w:r w:rsidRPr="00803CDA">
        <w:rPr>
          <w:color w:val="000000" w:themeColor="text1"/>
        </w:rPr>
        <w:t xml:space="preserve">Reynolds in this matter was mailed to the parties in accordance with </w:t>
      </w:r>
      <w:r w:rsidR="00C04D12">
        <w:rPr>
          <w:color w:val="000000" w:themeColor="text1"/>
        </w:rPr>
        <w:t>Pub. Util.</w:t>
      </w:r>
      <w:r w:rsidR="003D2AC9">
        <w:rPr>
          <w:color w:val="000000" w:themeColor="text1"/>
        </w:rPr>
        <w:t xml:space="preserve"> Code </w:t>
      </w:r>
      <w:r w:rsidR="00260FB7">
        <w:rPr>
          <w:color w:val="000000" w:themeColor="text1"/>
        </w:rPr>
        <w:t>Section </w:t>
      </w:r>
      <w:r w:rsidRPr="00803CDA">
        <w:rPr>
          <w:color w:val="000000" w:themeColor="text1"/>
        </w:rPr>
        <w:t xml:space="preserve">311 and comments were allowed under </w:t>
      </w:r>
      <w:r w:rsidR="001255FF">
        <w:rPr>
          <w:color w:val="000000" w:themeColor="text1"/>
        </w:rPr>
        <w:t>Rule </w:t>
      </w:r>
      <w:r w:rsidRPr="00803CDA">
        <w:rPr>
          <w:color w:val="000000" w:themeColor="text1"/>
        </w:rPr>
        <w:t>14.3.</w:t>
      </w:r>
      <w:r w:rsidR="00CD0E2A">
        <w:rPr>
          <w:color w:val="000000" w:themeColor="text1"/>
        </w:rPr>
        <w:t xml:space="preserve"> </w:t>
      </w:r>
    </w:p>
    <w:p w:rsidRPr="002B329B" w:rsidR="002B329B" w:rsidP="002B329B" w:rsidRDefault="002B329B" w14:paraId="6533AA5E" w14:textId="77777777">
      <w:pPr>
        <w:pStyle w:val="Standard"/>
        <w:rPr>
          <w:color w:val="000000" w:themeColor="text1"/>
        </w:rPr>
      </w:pPr>
      <w:r w:rsidRPr="002B329B">
        <w:rPr>
          <w:color w:val="000000" w:themeColor="text1"/>
        </w:rPr>
        <w:t>On September 27, 2024, the ALJ granted a request to extend the date for the submission of opening and reply comments by one week, respectively, by ruling. Comments were filed on October 10, 2024 by Comcast, Cox, Consolidated, Frontier, VON Coalition, Cloud, CTIA, Small LECs, AT&amp;T, Small Business, TURN, CforAT, Cal Broadband, US Telecom, Hotwire and Sonic. Reply comments were filed on October 15, 2024 by Comcast, Consolidated, Frontier, Small LECs, AT&amp;T, Small Business, TURN, Cal Broadband, ACLP, and Sonic.</w:t>
      </w:r>
    </w:p>
    <w:p w:rsidRPr="002B329B" w:rsidR="002B329B" w:rsidP="002B329B" w:rsidRDefault="002B329B" w14:paraId="0A1BC0AD" w14:textId="21137C99">
      <w:pPr>
        <w:pStyle w:val="Standard"/>
        <w:rPr>
          <w:color w:val="000000" w:themeColor="text1"/>
        </w:rPr>
      </w:pPr>
      <w:r w:rsidRPr="002B329B">
        <w:rPr>
          <w:color w:val="000000" w:themeColor="text1"/>
        </w:rPr>
        <w:t xml:space="preserve">We have reviewed all comments and reply comments. We have added further discussion or modified various sections of the </w:t>
      </w:r>
      <w:r>
        <w:rPr>
          <w:color w:val="000000" w:themeColor="text1"/>
        </w:rPr>
        <w:t>proposed decision</w:t>
      </w:r>
      <w:r w:rsidRPr="002B329B">
        <w:rPr>
          <w:color w:val="000000" w:themeColor="text1"/>
        </w:rPr>
        <w:t xml:space="preserve"> in response to comments, where clarifications or changes were warranted.</w:t>
      </w:r>
      <w:r w:rsidRPr="002B329B">
        <w:rPr>
          <w:color w:val="000000" w:themeColor="text1"/>
          <w:vertAlign w:val="superscript"/>
        </w:rPr>
        <w:footnoteReference w:id="229"/>
      </w:r>
      <w:r w:rsidRPr="002B329B">
        <w:rPr>
          <w:color w:val="000000" w:themeColor="text1"/>
        </w:rPr>
        <w:t xml:space="preserve"> Below, we provide further discussion of issues raised in comments.</w:t>
      </w:r>
    </w:p>
    <w:p w:rsidRPr="002B329B" w:rsidR="002B329B" w:rsidP="002B329B" w:rsidRDefault="002B329B" w14:paraId="65BB6F3B" w14:textId="77777777">
      <w:pPr>
        <w:pStyle w:val="Standard"/>
        <w:rPr>
          <w:color w:val="000000" w:themeColor="text1"/>
        </w:rPr>
      </w:pPr>
      <w:r w:rsidRPr="002B329B">
        <w:rPr>
          <w:color w:val="000000" w:themeColor="text1"/>
        </w:rPr>
        <w:t xml:space="preserve">Parties’ comments on the proposed decision raise four categories of issues: (a) the Commission’s jurisdiction over interconnected VoIP services, (b) due </w:t>
      </w:r>
      <w:r w:rsidRPr="002B329B">
        <w:rPr>
          <w:color w:val="000000" w:themeColor="text1"/>
        </w:rPr>
        <w:lastRenderedPageBreak/>
        <w:t xml:space="preserve">process, (c) the migration process and nomadic-only definition, and (d) clarifications to jurisdiction and confidentiality discussions to avoid ambiguity. </w:t>
      </w:r>
    </w:p>
    <w:p w:rsidRPr="002B329B" w:rsidR="002B329B" w:rsidP="002B329B" w:rsidRDefault="002B329B" w14:paraId="62A72816" w14:textId="03B5998D">
      <w:pPr>
        <w:pStyle w:val="Standard"/>
        <w:rPr>
          <w:color w:val="000000" w:themeColor="text1"/>
        </w:rPr>
      </w:pPr>
      <w:r w:rsidRPr="002B329B">
        <w:rPr>
          <w:color w:val="000000" w:themeColor="text1"/>
        </w:rPr>
        <w:t>The first category consists of repetitious jurisdictional arguments already raised in the multiple rounds of comments in this proceeding prior to the issuance of the proposed decision. We have duly considered these arguments in the context of this proceeding, as well as in other final Commission decisions cited herein. Thus, we are not persuaded by comments on the proposed decision that simply restate previous arguments claiming the Commission lacks jurisdiction over interconnected VoIP service providers under state or federal law. We do, however, agree with TURN that it would be helpful to reference relevant FCC and court orders to our jurisdiction discussion.</w:t>
      </w:r>
      <w:r w:rsidRPr="002B329B">
        <w:rPr>
          <w:color w:val="000000" w:themeColor="text1"/>
          <w:vertAlign w:val="superscript"/>
        </w:rPr>
        <w:footnoteReference w:id="230"/>
      </w:r>
      <w:r w:rsidRPr="002B329B">
        <w:rPr>
          <w:color w:val="000000" w:themeColor="text1"/>
        </w:rPr>
        <w:t xml:space="preserve"> We have revised Section 4 accordingly to provide further clarification on this issue. Relatedly, several industry parties characterize the establishment of the interconnected VoIP regulatory framework and associated licensing requirements as burdensome and unnecessary regulation from a legacy era when voice service was provided by monopoly providers. They also warn of negative market and economic effects as a result of today’s decision. These arguments are not supported by the record and the Commission does not find them compelling.</w:t>
      </w:r>
    </w:p>
    <w:p w:rsidRPr="002B329B" w:rsidR="002B329B" w:rsidP="002B329B" w:rsidRDefault="002B329B" w14:paraId="41B9C549" w14:textId="52D70706">
      <w:pPr>
        <w:pStyle w:val="Standard"/>
        <w:rPr>
          <w:color w:val="000000" w:themeColor="text1"/>
        </w:rPr>
      </w:pPr>
      <w:r w:rsidRPr="002B329B">
        <w:rPr>
          <w:color w:val="000000" w:themeColor="text1"/>
        </w:rPr>
        <w:t xml:space="preserve">As an initial matter, many interconnected VoIP service providers already possess operating authority in California, including those interconnected VoIP providers listed in Appendix E of this decision; some have held operating authority for decades. Adopting a regulatory framework for interconnected VoIP service providers as this decision does is required by state law because these companies are engaged in the public utility telephone business within this state.   </w:t>
      </w:r>
      <w:r w:rsidRPr="002B329B">
        <w:rPr>
          <w:color w:val="000000" w:themeColor="text1"/>
        </w:rPr>
        <w:lastRenderedPageBreak/>
        <w:t xml:space="preserve">It is not consistent with state law nor competitively neutral to continue to allow </w:t>
      </w:r>
      <w:r w:rsidR="0007268A">
        <w:rPr>
          <w:color w:val="000000" w:themeColor="text1"/>
        </w:rPr>
        <w:t>i</w:t>
      </w:r>
      <w:r w:rsidRPr="002B329B">
        <w:rPr>
          <w:color w:val="000000" w:themeColor="text1"/>
        </w:rPr>
        <w:t xml:space="preserve">nterconnected VoIP service providers to operate on an informal or voluntary basis when other wireline and wireless telephone corporations must comply with formal licensing or registration requirements.  </w:t>
      </w:r>
    </w:p>
    <w:p w:rsidRPr="002B329B" w:rsidR="002B329B" w:rsidP="002B329B" w:rsidRDefault="002B329B" w14:paraId="0ED24D93" w14:textId="65460BBE">
      <w:pPr>
        <w:pStyle w:val="Standard"/>
        <w:rPr>
          <w:color w:val="000000" w:themeColor="text1"/>
        </w:rPr>
      </w:pPr>
      <w:r w:rsidRPr="002B329B">
        <w:rPr>
          <w:color w:val="000000" w:themeColor="text1"/>
        </w:rPr>
        <w:t xml:space="preserve">Second, in practice, today’s registration requirements for NDIECs and wireless telephone corporations in California are limited to oversight requirements to maintain competitive and technological neutrality in a continually evolving market for voice telephone service, and to administer and enforce regulatory obligations consistent with state and federal law such as consumer protections. Similarly, CLECs are not rate regulated and have been extended many of the exemptions to the Public Utilities Code first given to NDIEC carriers. Where necessary, this decision takes the opportunity to further amend, update and streamline the existing regulatory models. </w:t>
      </w:r>
    </w:p>
    <w:p w:rsidRPr="002B329B" w:rsidR="002B329B" w:rsidP="002B329B" w:rsidRDefault="002B329B" w14:paraId="34F6C1E4" w14:textId="77777777">
      <w:pPr>
        <w:pStyle w:val="Standard"/>
        <w:rPr>
          <w:color w:val="000000" w:themeColor="text1"/>
        </w:rPr>
      </w:pPr>
      <w:r w:rsidRPr="002B329B">
        <w:rPr>
          <w:color w:val="000000" w:themeColor="text1"/>
        </w:rPr>
        <w:t>The second category regards adherence to Rule 7.5 and additional requests for workshops in this proceeding, which we accommodate by launching a second phase of this proceeding and renewing the request for parties to identify topics that would benefit from workshop treatment and propose workshop agendas and structures.</w:t>
      </w:r>
    </w:p>
    <w:p w:rsidRPr="002B329B" w:rsidR="002B329B" w:rsidP="002B329B" w:rsidRDefault="002B329B" w14:paraId="79791839" w14:textId="77777777">
      <w:pPr>
        <w:pStyle w:val="Standard"/>
        <w:rPr>
          <w:color w:val="000000" w:themeColor="text1"/>
        </w:rPr>
      </w:pPr>
      <w:r w:rsidRPr="002B329B">
        <w:rPr>
          <w:color w:val="000000" w:themeColor="text1"/>
        </w:rPr>
        <w:t>The third category raised issues about the need for clarifications concerning the migration process and the nomadic-only definition. Where warranted, we have added the necessary clarifications throughout this decision.</w:t>
      </w:r>
    </w:p>
    <w:p w:rsidR="005939A5" w:rsidP="003E581E" w:rsidRDefault="005939A5" w14:paraId="55A699C6" w14:textId="1925795F">
      <w:pPr>
        <w:pStyle w:val="Heading1"/>
      </w:pPr>
      <w:bookmarkStart w:name="_Toc8123724" w:id="231"/>
      <w:bookmarkStart w:name="_Toc176770985" w:id="232"/>
      <w:bookmarkStart w:name="_Toc177021183" w:id="233"/>
      <w:bookmarkStart w:name="_Toc181692936" w:id="234"/>
      <w:r>
        <w:t>Assignment of Proceeding</w:t>
      </w:r>
      <w:bookmarkEnd w:id="231"/>
      <w:bookmarkEnd w:id="232"/>
      <w:bookmarkEnd w:id="233"/>
      <w:bookmarkEnd w:id="234"/>
    </w:p>
    <w:p w:rsidR="005939A5" w:rsidP="006E6574" w:rsidRDefault="004F0DE2" w14:paraId="73661A77" w14:textId="24BDCCF6">
      <w:pPr>
        <w:pStyle w:val="Standard"/>
      </w:pPr>
      <w:r w:rsidRPr="00803CDA">
        <w:rPr>
          <w:color w:val="000000" w:themeColor="text1"/>
        </w:rPr>
        <w:t>John Reynolds is the assigned Commissioner and Camille Watts</w:t>
      </w:r>
      <w:r w:rsidR="006951D5">
        <w:rPr>
          <w:color w:val="000000" w:themeColor="text1"/>
        </w:rPr>
        <w:noBreakHyphen/>
      </w:r>
      <w:r w:rsidRPr="00803CDA">
        <w:rPr>
          <w:color w:val="000000" w:themeColor="text1"/>
        </w:rPr>
        <w:t xml:space="preserve">Zagha is the assigned </w:t>
      </w:r>
      <w:r w:rsidR="00880E07">
        <w:rPr>
          <w:color w:val="000000" w:themeColor="text1"/>
        </w:rPr>
        <w:t>ALJ</w:t>
      </w:r>
      <w:r w:rsidRPr="00803CDA">
        <w:rPr>
          <w:color w:val="000000" w:themeColor="text1"/>
        </w:rPr>
        <w:t xml:space="preserve"> in this proceeding.</w:t>
      </w:r>
    </w:p>
    <w:p w:rsidR="005939A5" w:rsidP="00D27317" w:rsidRDefault="005939A5" w14:paraId="2F1249C2" w14:textId="77777777">
      <w:pPr>
        <w:pStyle w:val="Dummy"/>
      </w:pPr>
      <w:bookmarkStart w:name="_Toc8123725" w:id="235"/>
      <w:bookmarkStart w:name="_Toc176770986" w:id="236"/>
      <w:bookmarkStart w:name="_Toc177021184" w:id="237"/>
      <w:bookmarkStart w:name="_Hlk175739096" w:id="238"/>
      <w:bookmarkStart w:name="_Toc181692937" w:id="239"/>
      <w:r>
        <w:lastRenderedPageBreak/>
        <w:t>Findings of Fact</w:t>
      </w:r>
      <w:bookmarkEnd w:id="235"/>
      <w:bookmarkEnd w:id="236"/>
      <w:bookmarkEnd w:id="237"/>
      <w:bookmarkEnd w:id="239"/>
    </w:p>
    <w:bookmarkEnd w:id="238"/>
    <w:p w:rsidRPr="000E0C75" w:rsidR="00C47FF9" w:rsidP="000E0C75" w:rsidRDefault="00C47FF9" w14:paraId="57CADACA" w14:textId="77777777">
      <w:pPr>
        <w:pStyle w:val="SectionTitle"/>
      </w:pPr>
      <w:r>
        <w:t>Regulatory Framework</w:t>
      </w:r>
    </w:p>
    <w:p w:rsidRPr="00787B0E" w:rsidR="00D61894" w:rsidP="005D0A23" w:rsidRDefault="00D61894" w14:paraId="49B24D3A" w14:textId="1D26C2B4">
      <w:pPr>
        <w:pStyle w:val="FoF"/>
      </w:pPr>
      <w:r>
        <w:t>Interconnected VoIP service is functionally similar to existing wireline telephone service</w:t>
      </w:r>
      <w:r w:rsidR="00787B0E">
        <w:t xml:space="preserve"> </w:t>
      </w:r>
      <w:r w:rsidRPr="000D78E5" w:rsidR="00787B0E">
        <w:t>in that both provide voice service to end users by connecting to the public switched telephone network (PSTN), regardless of the underlying technology used to provide the voice service</w:t>
      </w:r>
      <w:r w:rsidRPr="00787B0E">
        <w:t>.</w:t>
      </w:r>
    </w:p>
    <w:p w:rsidRPr="001A23AC" w:rsidR="00DD326E" w:rsidP="005D0A23" w:rsidRDefault="00DD326E" w14:paraId="017EDE12" w14:textId="09850EB7">
      <w:pPr>
        <w:pStyle w:val="FoF"/>
        <w:rPr>
          <w:u w:val="single"/>
        </w:rPr>
      </w:pPr>
      <w:r>
        <w:t>A two</w:t>
      </w:r>
      <w:r w:rsidR="006951D5">
        <w:noBreakHyphen/>
      </w:r>
      <w:r>
        <w:t>way voice communication that may be originated or terminated from the PSTN is what makes VoIP service interconnected.</w:t>
      </w:r>
    </w:p>
    <w:p w:rsidR="007C4A95" w:rsidP="005D0A23" w:rsidRDefault="007C4A95" w14:paraId="59117E35" w14:textId="5D6D1E59">
      <w:pPr>
        <w:pStyle w:val="FoF"/>
      </w:pPr>
      <w:r>
        <w:t>The Commission has established regulatory frameworks for the following categories of voice service:</w:t>
      </w:r>
      <w:r w:rsidR="00BB59D0">
        <w:t xml:space="preserve">  (1) l</w:t>
      </w:r>
      <w:r w:rsidRPr="00D769D9">
        <w:t>ocal exchange service;</w:t>
      </w:r>
      <w:r w:rsidR="00BB59D0">
        <w:t xml:space="preserve"> (2) i</w:t>
      </w:r>
      <w:r w:rsidRPr="00D769D9">
        <w:t>nterexchange</w:t>
      </w:r>
      <w:r w:rsidR="003E1A64">
        <w:t xml:space="preserve"> </w:t>
      </w:r>
      <w:r w:rsidRPr="00D769D9">
        <w:t>service;</w:t>
      </w:r>
      <w:r w:rsidR="00BB59D0">
        <w:t xml:space="preserve"> and (3) </w:t>
      </w:r>
      <w:r w:rsidRPr="000D78E5" w:rsidR="001750FE">
        <w:t>commercial mobile radio service (</w:t>
      </w:r>
      <w:r w:rsidR="00BB59D0">
        <w:t>w</w:t>
      </w:r>
      <w:r w:rsidRPr="00D769D9">
        <w:t>ireless service</w:t>
      </w:r>
      <w:r w:rsidR="001750FE">
        <w:t>)</w:t>
      </w:r>
      <w:r>
        <w:t>.</w:t>
      </w:r>
    </w:p>
    <w:p w:rsidRPr="00E81496" w:rsidR="000C3C46" w:rsidP="005D0A23" w:rsidRDefault="00E81496" w14:paraId="53292D41" w14:textId="1B202B6A">
      <w:pPr>
        <w:pStyle w:val="FoF"/>
      </w:pPr>
      <w:r w:rsidRPr="00E81496">
        <w:t>Interconnected VoIP service does not involve distinguishing between local service and long</w:t>
      </w:r>
      <w:r w:rsidR="00844EAF">
        <w:noBreakHyphen/>
      </w:r>
      <w:r w:rsidRPr="00E81496">
        <w:t>distance service as occurs within the traditional wireline regulatory framework</w:t>
      </w:r>
      <w:r w:rsidRPr="00E81496" w:rsidR="000C3C46">
        <w:t>.</w:t>
      </w:r>
    </w:p>
    <w:p w:rsidR="000C3C46" w:rsidP="005D0A23" w:rsidRDefault="007D40C0" w14:paraId="02D35799" w14:textId="3370CC79">
      <w:pPr>
        <w:pStyle w:val="FoF"/>
      </w:pPr>
      <w:r>
        <w:t>T</w:t>
      </w:r>
      <w:r w:rsidR="00F413D9">
        <w:t>he</w:t>
      </w:r>
      <w:r w:rsidR="00DA1B4F">
        <w:t xml:space="preserve"> Commission’s e</w:t>
      </w:r>
      <w:r w:rsidR="000C3C46">
        <w:t xml:space="preserve">xisting designations of service types of LEC, CLC, IEC, CLR, </w:t>
      </w:r>
      <w:r w:rsidR="007E3EFA">
        <w:t xml:space="preserve">and </w:t>
      </w:r>
      <w:r w:rsidR="000C3C46">
        <w:t xml:space="preserve">IER are not </w:t>
      </w:r>
      <w:r>
        <w:t>appro</w:t>
      </w:r>
      <w:r w:rsidR="00B721FB">
        <w:t xml:space="preserve">priate </w:t>
      </w:r>
      <w:r w:rsidR="000C3C46">
        <w:t>for classifying interconnected VoIP service.</w:t>
      </w:r>
    </w:p>
    <w:p w:rsidR="00A96B31" w:rsidP="005D0A23" w:rsidRDefault="004A4BF7" w14:paraId="754BBEC0" w14:textId="39EE3FD6">
      <w:pPr>
        <w:pStyle w:val="FoF"/>
      </w:pPr>
      <w:r>
        <w:t>The Commission</w:t>
      </w:r>
      <w:r w:rsidR="00893D67">
        <w:t>’</w:t>
      </w:r>
      <w:r>
        <w:t>s term</w:t>
      </w:r>
      <w:r w:rsidR="006951D5">
        <w:noBreakHyphen/>
      </w:r>
      <w:r>
        <w:t>of</w:t>
      </w:r>
      <w:r w:rsidR="006951D5">
        <w:noBreakHyphen/>
      </w:r>
      <w:r>
        <w:t xml:space="preserve">art </w:t>
      </w:r>
      <w:r w:rsidR="00893D67">
        <w:t>“</w:t>
      </w:r>
      <w:r>
        <w:t>switchless reseller</w:t>
      </w:r>
      <w:r w:rsidR="00893D67">
        <w:t>”</w:t>
      </w:r>
      <w:r>
        <w:t xml:space="preserve"> </w:t>
      </w:r>
      <w:r w:rsidR="00FA769E">
        <w:t>that applies to</w:t>
      </w:r>
      <w:r>
        <w:t xml:space="preserve"> licensing and registration of </w:t>
      </w:r>
      <w:r w:rsidR="002853E4">
        <w:t xml:space="preserve">traditional </w:t>
      </w:r>
      <w:r>
        <w:t>local and long</w:t>
      </w:r>
      <w:r w:rsidR="006951D5">
        <w:noBreakHyphen/>
      </w:r>
      <w:r>
        <w:t xml:space="preserve">distance </w:t>
      </w:r>
      <w:r w:rsidR="00400192">
        <w:t xml:space="preserve">service </w:t>
      </w:r>
      <w:r>
        <w:t>providers does not apply to interconnected VoIP service.</w:t>
      </w:r>
    </w:p>
    <w:p w:rsidR="007C4A95" w:rsidP="005D0A23" w:rsidRDefault="007C4A95" w14:paraId="64A9FE8F" w14:textId="24AAB8B0">
      <w:pPr>
        <w:pStyle w:val="FoF"/>
      </w:pPr>
      <w:r>
        <w:t>Interconnected VoIP service requires its own regulatory framework</w:t>
      </w:r>
      <w:r w:rsidR="001C3AF0">
        <w:t xml:space="preserve"> that appropriately distinguishes between the two main types of interconnected VoIP service, which are generally characterized as fixed or nomadic</w:t>
      </w:r>
      <w:r>
        <w:t>.</w:t>
      </w:r>
    </w:p>
    <w:p w:rsidR="00A96B31" w:rsidP="005D0A23" w:rsidRDefault="001A23AC" w14:paraId="6EA58C10" w14:textId="15710875">
      <w:pPr>
        <w:pStyle w:val="FoF"/>
      </w:pPr>
      <w:r>
        <w:t xml:space="preserve">Fixed interconnected VoIP service </w:t>
      </w:r>
      <w:r w:rsidR="004A0FFD">
        <w:t>is not</w:t>
      </w:r>
      <w:r>
        <w:t xml:space="preserve"> operated independently from the network operator providing the broadband connection</w:t>
      </w:r>
      <w:r w:rsidR="00A96B31">
        <w:t>.</w:t>
      </w:r>
    </w:p>
    <w:p w:rsidRPr="00242294" w:rsidR="001A23AC" w:rsidP="005D0A23" w:rsidRDefault="001A23AC" w14:paraId="41F6D2C7" w14:textId="75E1B339">
      <w:pPr>
        <w:pStyle w:val="FoF"/>
      </w:pPr>
      <w:r>
        <w:t>Fixed interconnected VoIP service includes</w:t>
      </w:r>
      <w:r w:rsidRPr="00E77504">
        <w:t xml:space="preserve"> last mile infrastructure </w:t>
      </w:r>
      <w:r>
        <w:t>associating the service with one primary location.</w:t>
      </w:r>
    </w:p>
    <w:p w:rsidRPr="001F2203" w:rsidR="00242294" w:rsidP="005D0A23" w:rsidRDefault="00242294" w14:paraId="0C052E5E" w14:textId="66EE680F">
      <w:pPr>
        <w:pStyle w:val="FoF"/>
      </w:pPr>
      <w:r>
        <w:lastRenderedPageBreak/>
        <w:t xml:space="preserve">Fixed </w:t>
      </w:r>
      <w:r w:rsidRPr="00BE3F63">
        <w:t>interconnected VoIP service</w:t>
      </w:r>
      <w:r>
        <w:t xml:space="preserve"> may include</w:t>
      </w:r>
      <w:r w:rsidR="00C568BD">
        <w:t xml:space="preserve"> ancillary</w:t>
      </w:r>
      <w:r>
        <w:t xml:space="preserve"> </w:t>
      </w:r>
      <w:r w:rsidR="00196F56">
        <w:t>portability</w:t>
      </w:r>
      <w:r w:rsidR="009524EE">
        <w:t xml:space="preserve"> that allows the voice service to be accessed from locations other than the primary location</w:t>
      </w:r>
      <w:r w:rsidR="00007C0C">
        <w:t>,</w:t>
      </w:r>
      <w:r w:rsidR="00A93614">
        <w:t xml:space="preserve"> </w:t>
      </w:r>
      <w:r w:rsidRPr="00A93614" w:rsidR="00A93614">
        <w:t>b</w:t>
      </w:r>
      <w:r w:rsidRPr="00645D56" w:rsidR="00A93614">
        <w:t xml:space="preserve">ut </w:t>
      </w:r>
      <w:r w:rsidR="00007C0C">
        <w:t xml:space="preserve">that feature does not change the fixed status of </w:t>
      </w:r>
      <w:r w:rsidRPr="00645D56" w:rsidR="00A93614">
        <w:t xml:space="preserve">the underlying voice service </w:t>
      </w:r>
      <w:r w:rsidR="00007C0C">
        <w:t>because the service remains connected to a physical location and to the broadband service provider.</w:t>
      </w:r>
    </w:p>
    <w:p w:rsidRPr="00131A83" w:rsidR="009524EE" w:rsidP="005D0A23" w:rsidRDefault="009524EE" w14:paraId="6C926C64" w14:textId="05D50838">
      <w:pPr>
        <w:pStyle w:val="FoF"/>
      </w:pPr>
      <w:r>
        <w:t xml:space="preserve">Fixed </w:t>
      </w:r>
      <w:r w:rsidRPr="00BE3F63">
        <w:t>interconnected VoIP service</w:t>
      </w:r>
      <w:r>
        <w:t xml:space="preserve"> may be </w:t>
      </w:r>
      <w:r w:rsidR="005A1247">
        <w:t>accessed</w:t>
      </w:r>
      <w:r>
        <w:t xml:space="preserve"> </w:t>
      </w:r>
      <w:r w:rsidR="005A1247">
        <w:t>by more than one type of end</w:t>
      </w:r>
      <w:r w:rsidR="006951D5">
        <w:noBreakHyphen/>
      </w:r>
      <w:r w:rsidR="005A1247">
        <w:t xml:space="preserve">user </w:t>
      </w:r>
      <w:r w:rsidR="00CF4DFC">
        <w:t xml:space="preserve">communications </w:t>
      </w:r>
      <w:r w:rsidR="005A1247">
        <w:t>device</w:t>
      </w:r>
      <w:r>
        <w:t>.</w:t>
      </w:r>
    </w:p>
    <w:p w:rsidR="007841CB" w:rsidP="007841CB" w:rsidRDefault="0031282C" w14:paraId="0C5A4AB5" w14:textId="631AF777">
      <w:pPr>
        <w:pStyle w:val="FoF"/>
      </w:pPr>
      <w:r>
        <w:t xml:space="preserve">While </w:t>
      </w:r>
      <w:r w:rsidRPr="00B10D3C" w:rsidR="00BD6304">
        <w:t xml:space="preserve">nomadic interconnected VoIP service </w:t>
      </w:r>
      <w:r w:rsidR="00BD6304">
        <w:t>r</w:t>
      </w:r>
      <w:r w:rsidRPr="00B10D3C" w:rsidR="00BD6304">
        <w:t>esembles the voice service provided by</w:t>
      </w:r>
      <w:r w:rsidR="00BD6304">
        <w:t xml:space="preserve"> fixed interconnected VoIP service</w:t>
      </w:r>
      <w:r w:rsidRPr="00B10D3C" w:rsidR="00BD6304">
        <w:t xml:space="preserve"> </w:t>
      </w:r>
      <w:r w:rsidR="00BD6304">
        <w:t xml:space="preserve">or </w:t>
      </w:r>
      <w:r w:rsidRPr="00B10D3C" w:rsidR="00BD6304">
        <w:t>traditional telephony service providers, the FCC, in the Vonage Order</w:t>
      </w:r>
      <w:r w:rsidR="00D54AE2">
        <w:t xml:space="preserve"> (</w:t>
      </w:r>
      <w:r w:rsidRPr="00B10D3C" w:rsidR="00BD6304">
        <w:t xml:space="preserve">19 FCC </w:t>
      </w:r>
      <w:proofErr w:type="spellStart"/>
      <w:r w:rsidRPr="00B10D3C" w:rsidR="00BD6304">
        <w:t>Rcd</w:t>
      </w:r>
      <w:proofErr w:type="spellEnd"/>
      <w:r w:rsidRPr="00B10D3C" w:rsidR="00BD6304">
        <w:t>. 22404</w:t>
      </w:r>
      <w:r w:rsidR="00D54AE2">
        <w:t>)</w:t>
      </w:r>
      <w:r w:rsidRPr="00B10D3C" w:rsidR="00BD6304">
        <w:t xml:space="preserve"> found some fundamental differences that made it impossible or impracticable to separate the service into intrastate and interstate </w:t>
      </w:r>
      <w:proofErr w:type="spellStart"/>
      <w:r w:rsidRPr="00B10D3C" w:rsidR="00BD6304">
        <w:t>components.</w:t>
      </w:r>
      <w:r w:rsidR="001F2203">
        <w:t>The</w:t>
      </w:r>
      <w:proofErr w:type="spellEnd"/>
      <w:r w:rsidR="001F2203">
        <w:t xml:space="preserve"> key characteristics of nomadic interconnected VoIP </w:t>
      </w:r>
      <w:r w:rsidR="006C2BAF">
        <w:t xml:space="preserve">service </w:t>
      </w:r>
      <w:r w:rsidR="001F2203">
        <w:t>are</w:t>
      </w:r>
      <w:r w:rsidR="007841CB">
        <w:t>:</w:t>
      </w:r>
      <w:r w:rsidR="001F2203">
        <w:t xml:space="preserve"> </w:t>
      </w:r>
    </w:p>
    <w:p w:rsidR="007841CB" w:rsidP="00645D56" w:rsidRDefault="007841CB" w14:paraId="35EE1E32" w14:textId="0D8A43DE">
      <w:pPr>
        <w:pStyle w:val="FoF"/>
        <w:numPr>
          <w:ilvl w:val="0"/>
          <w:numId w:val="52"/>
        </w:numPr>
        <w:spacing w:after="120" w:line="240" w:lineRule="auto"/>
        <w:ind w:left="1080" w:right="1440"/>
      </w:pPr>
      <w:r w:rsidRPr="007841CB">
        <w:t>Access</w:t>
      </w:r>
      <w:r w:rsidRPr="007841CB">
        <w:rPr>
          <w:rFonts w:ascii="Times New Roman" w:hAnsi="Times New Roman" w:cs="Times New Roman"/>
        </w:rPr>
        <w:t> </w:t>
      </w:r>
      <w:r w:rsidRPr="007841CB">
        <w:t>from any broadband connection to the internet; location and Internet access provider irrelevant; fully portable; </w:t>
      </w:r>
    </w:p>
    <w:p w:rsidRPr="007841CB" w:rsidR="007841CB" w:rsidP="00645D56" w:rsidRDefault="007841CB" w14:paraId="31FDA59B" w14:textId="6F29E975">
      <w:pPr>
        <w:pStyle w:val="FoF"/>
        <w:numPr>
          <w:ilvl w:val="0"/>
          <w:numId w:val="52"/>
        </w:numPr>
        <w:spacing w:after="120" w:line="240" w:lineRule="auto"/>
        <w:ind w:left="1080" w:right="1440"/>
      </w:pPr>
      <w:r w:rsidRPr="007841CB">
        <w:t>Specialized Customer Premise Equipment</w:t>
      </w:r>
      <w:r w:rsidRPr="007841CB">
        <w:rPr>
          <w:rFonts w:ascii="Times New Roman" w:hAnsi="Times New Roman" w:cs="Times New Roman"/>
        </w:rPr>
        <w:t> </w:t>
      </w:r>
      <w:r w:rsidRPr="007841CB">
        <w:rPr>
          <w:rFonts w:cs="Book Antiqua"/>
        </w:rPr>
        <w:t>—</w:t>
      </w:r>
      <w:r w:rsidRPr="007841CB">
        <w:t xml:space="preserve"> , </w:t>
      </w:r>
      <w:r w:rsidRPr="007841CB">
        <w:rPr>
          <w:i/>
          <w:iCs/>
        </w:rPr>
        <w:t>e.g.</w:t>
      </w:r>
      <w:r w:rsidRPr="007841CB">
        <w:t xml:space="preserve"> a personal computer with a microphone and speaker, and software to perform the conversion (softphone);  </w:t>
      </w:r>
    </w:p>
    <w:p w:rsidRPr="007841CB" w:rsidR="007841CB" w:rsidP="00645D56" w:rsidRDefault="007841CB" w14:paraId="6AC6EA19" w14:textId="33F377D9">
      <w:pPr>
        <w:pStyle w:val="FoF"/>
        <w:numPr>
          <w:ilvl w:val="0"/>
          <w:numId w:val="52"/>
        </w:numPr>
        <w:spacing w:after="120" w:line="240" w:lineRule="auto"/>
        <w:ind w:left="1080" w:right="1440"/>
      </w:pPr>
      <w:r w:rsidRPr="007841CB">
        <w:t>Integrated capabilities and features (e.g., voicemails, three-way calling, geographically independent phone numbers, etc</w:t>
      </w:r>
      <w:r>
        <w:t>.</w:t>
      </w:r>
      <w:r w:rsidRPr="007841CB">
        <w:t>)   </w:t>
      </w:r>
    </w:p>
    <w:p w:rsidRPr="007841CB" w:rsidR="007841CB" w:rsidP="00645D56" w:rsidRDefault="007841CB" w14:paraId="6C0FA329" w14:textId="77777777">
      <w:pPr>
        <w:pStyle w:val="FoF"/>
        <w:numPr>
          <w:ilvl w:val="0"/>
          <w:numId w:val="52"/>
        </w:numPr>
        <w:spacing w:after="120" w:line="240" w:lineRule="auto"/>
        <w:ind w:left="1080" w:right="1440"/>
      </w:pPr>
      <w:r w:rsidRPr="007841CB">
        <w:t>Customer/Call Location</w:t>
      </w:r>
      <w:r w:rsidRPr="007841CB">
        <w:rPr>
          <w:rFonts w:ascii="Times New Roman" w:hAnsi="Times New Roman" w:cs="Times New Roman"/>
        </w:rPr>
        <w:t> </w:t>
      </w:r>
      <w:r w:rsidRPr="007841CB">
        <w:t xml:space="preserve"> - Telephone numbers not necessarily tied to user</w:t>
      </w:r>
      <w:r w:rsidRPr="007841CB">
        <w:rPr>
          <w:rFonts w:cs="Book Antiqua"/>
        </w:rPr>
        <w:t>’</w:t>
      </w:r>
      <w:r w:rsidRPr="007841CB">
        <w:t xml:space="preserve">s </w:t>
      </w:r>
      <w:r w:rsidRPr="007841CB">
        <w:rPr>
          <w:rFonts w:cs="Book Antiqua"/>
        </w:rPr>
        <w:t> </w:t>
      </w:r>
      <w:r w:rsidRPr="007841CB">
        <w:t>physical location for assignment or use; call to telephone number can reach customer anywhere in world and does not require the user to remain at a single location. </w:t>
      </w:r>
    </w:p>
    <w:p w:rsidR="001A633C" w:rsidP="005D0A23" w:rsidRDefault="001A633C" w14:paraId="763F9684" w14:textId="1FBCACB9">
      <w:pPr>
        <w:pStyle w:val="FoF"/>
      </w:pPr>
      <w:r>
        <w:t xml:space="preserve">Nomadic interconnected VoIP service uses North American Numbering Plan numbers as the identification mechanism for the user’s Internet address, but </w:t>
      </w:r>
      <w:r>
        <w:lastRenderedPageBreak/>
        <w:t>those numbers are not necessarily tied to the user’s physical location for either assignment or use.</w:t>
      </w:r>
    </w:p>
    <w:p w:rsidR="00055CBB" w:rsidP="005D0A23" w:rsidRDefault="003F7338" w14:paraId="7DFA901C" w14:textId="487607F2">
      <w:pPr>
        <w:pStyle w:val="FoF"/>
      </w:pPr>
      <w:r>
        <w:t>The FCC, in the Vonage Order, preempted states from adopting regulations that act as conditions to market entry for nomadic interconnected VoIP services.</w:t>
      </w:r>
    </w:p>
    <w:p w:rsidR="00C41A0B" w:rsidP="005D0A23" w:rsidRDefault="00C41A0B" w14:paraId="41F2F755" w14:textId="731BB676">
      <w:pPr>
        <w:pStyle w:val="FoF"/>
      </w:pPr>
      <w:r>
        <w:t xml:space="preserve">Nomadic interconnected VoIP </w:t>
      </w:r>
      <w:r w:rsidR="0091427F">
        <w:t xml:space="preserve">service </w:t>
      </w:r>
      <w:r>
        <w:t xml:space="preserve">with </w:t>
      </w:r>
      <w:r w:rsidR="006842F2">
        <w:t xml:space="preserve">the four </w:t>
      </w:r>
      <w:r>
        <w:t>key characteristics</w:t>
      </w:r>
      <w:r w:rsidR="006842F2">
        <w:t xml:space="preserve"> that the FCC relied upon to preempt state market entry regulations</w:t>
      </w:r>
      <w:r>
        <w:t xml:space="preserve"> shall be</w:t>
      </w:r>
      <w:r w:rsidR="000571C4">
        <w:t xml:space="preserve"> identified in the Commission’s Interconnected VoIP regulatory framework as</w:t>
      </w:r>
      <w:r>
        <w:t xml:space="preserve"> </w:t>
      </w:r>
      <w:r w:rsidR="000571C4">
        <w:t>“</w:t>
      </w:r>
      <w:r w:rsidR="4D04D8FC">
        <w:t>nomadic</w:t>
      </w:r>
      <w:r w:rsidR="006951D5">
        <w:noBreakHyphen/>
      </w:r>
      <w:r w:rsidR="00137CB1">
        <w:t>only</w:t>
      </w:r>
      <w:r w:rsidR="16A99015">
        <w:t xml:space="preserve"> </w:t>
      </w:r>
      <w:r>
        <w:t>interconnected VoIP</w:t>
      </w:r>
      <w:r w:rsidR="00AC4490">
        <w:t xml:space="preserve"> service</w:t>
      </w:r>
      <w:r w:rsidR="000571C4">
        <w:t>”</w:t>
      </w:r>
      <w:r>
        <w:t>.</w:t>
      </w:r>
    </w:p>
    <w:p w:rsidRPr="009524EE" w:rsidR="00CA54A9" w:rsidP="005D0A23" w:rsidRDefault="000B7DF4" w14:paraId="456E08E0" w14:textId="4DEF4203">
      <w:pPr>
        <w:pStyle w:val="FoF"/>
      </w:pPr>
      <w:r>
        <w:t>Nomadic</w:t>
      </w:r>
      <w:r w:rsidR="006951D5">
        <w:noBreakHyphen/>
      </w:r>
      <w:r>
        <w:t>only</w:t>
      </w:r>
      <w:r w:rsidR="00CA54A9">
        <w:t xml:space="preserve"> interconnected VoIP service </w:t>
      </w:r>
      <w:r w:rsidR="0091427F">
        <w:t>may be described as</w:t>
      </w:r>
      <w:r w:rsidR="00CA54A9">
        <w:t xml:space="preserve"> network operator agnostic and end</w:t>
      </w:r>
      <w:r w:rsidR="006951D5">
        <w:noBreakHyphen/>
      </w:r>
      <w:r w:rsidR="00CA54A9">
        <w:t>user communications device agnostic.</w:t>
      </w:r>
    </w:p>
    <w:p w:rsidR="008F1CB8" w:rsidP="005D0A23" w:rsidRDefault="008F1CB8" w14:paraId="2C363476" w14:textId="07346B8E">
      <w:pPr>
        <w:pStyle w:val="FoF"/>
      </w:pPr>
      <w:r>
        <w:t xml:space="preserve">The </w:t>
      </w:r>
      <w:r w:rsidR="00776E2B">
        <w:t xml:space="preserve">Commission identified interconnected VoIP </w:t>
      </w:r>
      <w:r w:rsidR="000B7DF4">
        <w:t xml:space="preserve">service </w:t>
      </w:r>
      <w:r w:rsidR="00776E2B">
        <w:t xml:space="preserve">providers registered through the prior </w:t>
      </w:r>
      <w:r w:rsidR="00260FB7">
        <w:t>Section </w:t>
      </w:r>
      <w:r w:rsidR="00776E2B">
        <w:t xml:space="preserve">285 registration process with the </w:t>
      </w:r>
      <w:r>
        <w:t>utility type designation DVS</w:t>
      </w:r>
      <w:r w:rsidR="00F16157">
        <w:t>.</w:t>
      </w:r>
    </w:p>
    <w:p w:rsidR="00E868FF" w:rsidP="005D0A23" w:rsidRDefault="00E868FF" w14:paraId="09232268" w14:textId="792CFDCA">
      <w:pPr>
        <w:pStyle w:val="FoF"/>
      </w:pPr>
      <w:r>
        <w:t xml:space="preserve">The utility type designation DVS does not distinguish between fixed interconnected VoIP </w:t>
      </w:r>
      <w:r w:rsidR="000B7DF4">
        <w:t xml:space="preserve">service </w:t>
      </w:r>
      <w:r>
        <w:t>providers and nomadic</w:t>
      </w:r>
      <w:r w:rsidR="006951D5">
        <w:noBreakHyphen/>
      </w:r>
      <w:r w:rsidR="000B7DF4">
        <w:t>only</w:t>
      </w:r>
      <w:r>
        <w:t xml:space="preserve"> interconnected VoIP </w:t>
      </w:r>
      <w:r w:rsidR="000B7DF4">
        <w:t xml:space="preserve">service </w:t>
      </w:r>
      <w:r>
        <w:t>providers.</w:t>
      </w:r>
    </w:p>
    <w:p w:rsidR="00FA32DE" w:rsidP="005D0A23" w:rsidRDefault="00E868FF" w14:paraId="0E3D5D82" w14:textId="091D6609">
      <w:pPr>
        <w:pStyle w:val="FoF"/>
      </w:pPr>
      <w:r>
        <w:t>A n</w:t>
      </w:r>
      <w:r w:rsidR="009524EE">
        <w:t>ew utility type</w:t>
      </w:r>
      <w:r w:rsidR="00FA32DE">
        <w:t xml:space="preserve"> designation DVF </w:t>
      </w:r>
      <w:r w:rsidR="00586A66">
        <w:t xml:space="preserve">is </w:t>
      </w:r>
      <w:r>
        <w:t>necessary</w:t>
      </w:r>
      <w:r w:rsidR="00586A66">
        <w:t xml:space="preserve"> to identify</w:t>
      </w:r>
      <w:r w:rsidR="00FA32DE">
        <w:t xml:space="preserve"> a fixed interconnected VoIP </w:t>
      </w:r>
      <w:r w:rsidR="000B7DF4">
        <w:t xml:space="preserve">service </w:t>
      </w:r>
      <w:r w:rsidR="00FA32DE">
        <w:t>provider for California regulatory purposes.</w:t>
      </w:r>
    </w:p>
    <w:p w:rsidR="001D7851" w:rsidP="005D0A23" w:rsidRDefault="007C7F00" w14:paraId="2A6C2352" w14:textId="30318459">
      <w:pPr>
        <w:pStyle w:val="FoF"/>
      </w:pPr>
      <w:r>
        <w:t>A n</w:t>
      </w:r>
      <w:r w:rsidR="00FA32DE">
        <w:t xml:space="preserve">ew utility type designation </w:t>
      </w:r>
      <w:r w:rsidR="009524EE">
        <w:t>DVN</w:t>
      </w:r>
      <w:r w:rsidR="001D7851">
        <w:t xml:space="preserve"> is</w:t>
      </w:r>
      <w:r>
        <w:t xml:space="preserve"> necessary</w:t>
      </w:r>
      <w:r w:rsidR="001D7851">
        <w:t xml:space="preserve"> to identify </w:t>
      </w:r>
      <w:r w:rsidR="00B25920">
        <w:t xml:space="preserve">a </w:t>
      </w:r>
      <w:r w:rsidR="001D7851">
        <w:t>nomadic</w:t>
      </w:r>
      <w:r w:rsidR="00844EAF">
        <w:noBreakHyphen/>
      </w:r>
      <w:r w:rsidR="000B610A">
        <w:t>only</w:t>
      </w:r>
      <w:r w:rsidR="001D7851">
        <w:t xml:space="preserve"> interconnected VoIP </w:t>
      </w:r>
      <w:r w:rsidR="000B7DF4">
        <w:t xml:space="preserve">service </w:t>
      </w:r>
      <w:r w:rsidR="001D7851">
        <w:t>provider for California regulatory purposes</w:t>
      </w:r>
      <w:r w:rsidR="00505798">
        <w:t xml:space="preserve">, and should be </w:t>
      </w:r>
      <w:r w:rsidR="00A9273E">
        <w:t xml:space="preserve">used to classify </w:t>
      </w:r>
      <w:r w:rsidR="005C2FE1">
        <w:t>interconnected VoIP</w:t>
      </w:r>
      <w:r w:rsidR="00505798">
        <w:t xml:space="preserve"> service providers </w:t>
      </w:r>
      <w:r w:rsidR="00D06F9F">
        <w:t>with the following characteristics:</w:t>
      </w:r>
      <w:r w:rsidR="00505798">
        <w:t xml:space="preserve"> (1) s</w:t>
      </w:r>
      <w:r w:rsidRPr="00D2541F" w:rsidR="00505798">
        <w:t>ervice may be used from more than one location or at multiple locations anywhere</w:t>
      </w:r>
      <w:r w:rsidR="00505798">
        <w:t>, (2) </w:t>
      </w:r>
      <w:r w:rsidR="008B221C">
        <w:t xml:space="preserve">service </w:t>
      </w:r>
      <w:r w:rsidR="00505798">
        <w:t>c</w:t>
      </w:r>
      <w:r w:rsidRPr="001F2203" w:rsidR="00505798">
        <w:t>an be accessed from any broadband connection</w:t>
      </w:r>
      <w:r w:rsidR="00505798">
        <w:t>, (3) s</w:t>
      </w:r>
      <w:r w:rsidRPr="007D1FB7" w:rsidR="00505798">
        <w:t>ervice is provided to nomadic (portable) IP compatible communication device</w:t>
      </w:r>
      <w:r w:rsidR="00505798">
        <w:t>s,</w:t>
      </w:r>
      <w:r w:rsidR="00C504D5">
        <w:t xml:space="preserve"> </w:t>
      </w:r>
      <w:r w:rsidR="00505798">
        <w:t>(4) </w:t>
      </w:r>
      <w:r w:rsidRPr="007D1FB7" w:rsidR="00505798">
        <w:t xml:space="preserve">provider cannot track exact location of </w:t>
      </w:r>
      <w:r w:rsidRPr="007D1FB7" w:rsidR="00505798">
        <w:lastRenderedPageBreak/>
        <w:t>calls</w:t>
      </w:r>
      <w:r w:rsidR="00505798">
        <w:t>, (5)</w:t>
      </w:r>
      <w:r w:rsidR="00844EAF">
        <w:t> </w:t>
      </w:r>
      <w:r w:rsidR="00D26BA4">
        <w:t>provider</w:t>
      </w:r>
      <w:r w:rsidR="004F6FA7">
        <w:t xml:space="preserve"> </w:t>
      </w:r>
      <w:r w:rsidR="00505798">
        <w:t>do</w:t>
      </w:r>
      <w:r w:rsidR="004F6FA7">
        <w:t>es</w:t>
      </w:r>
      <w:r w:rsidR="00505798">
        <w:t xml:space="preserve"> not have facilities</w:t>
      </w:r>
      <w:r w:rsidR="00C504D5">
        <w:t>,</w:t>
      </w:r>
      <w:r w:rsidR="00F6023E">
        <w:t xml:space="preserve"> and (6)</w:t>
      </w:r>
      <w:r w:rsidR="00844EAF">
        <w:t> </w:t>
      </w:r>
      <w:r w:rsidR="00F6023E">
        <w:t>do</w:t>
      </w:r>
      <w:r w:rsidR="00575723">
        <w:t>es</w:t>
      </w:r>
      <w:r w:rsidR="00F6023E">
        <w:t xml:space="preserve"> not provide any component of fixed interconnected VoIP service</w:t>
      </w:r>
      <w:r w:rsidR="001D7851">
        <w:t>.</w:t>
      </w:r>
    </w:p>
    <w:p w:rsidRPr="001E2A62" w:rsidR="009524EE" w:rsidP="005D0A23" w:rsidRDefault="001D7851" w14:paraId="5231A004" w14:textId="498D046D">
      <w:pPr>
        <w:pStyle w:val="FoF"/>
      </w:pPr>
      <w:r>
        <w:t xml:space="preserve">The utility type designations </w:t>
      </w:r>
      <w:r w:rsidR="009319DC">
        <w:t xml:space="preserve">DVF and DVN </w:t>
      </w:r>
      <w:r>
        <w:t>should be establi</w:t>
      </w:r>
      <w:r w:rsidR="009319DC">
        <w:t xml:space="preserve">shed </w:t>
      </w:r>
      <w:r w:rsidR="00586A66">
        <w:t xml:space="preserve">to </w:t>
      </w:r>
      <w:r w:rsidR="009524EE">
        <w:t>facilitate regulation of</w:t>
      </w:r>
      <w:r w:rsidR="00586A66">
        <w:t xml:space="preserve"> </w:t>
      </w:r>
      <w:r w:rsidR="009524EE">
        <w:t xml:space="preserve">interconnected VoIP </w:t>
      </w:r>
      <w:r w:rsidR="000B7DF4">
        <w:t xml:space="preserve">service </w:t>
      </w:r>
      <w:r w:rsidR="009319DC">
        <w:t>providers in California</w:t>
      </w:r>
      <w:r w:rsidR="009524EE">
        <w:t>.</w:t>
      </w:r>
    </w:p>
    <w:p w:rsidR="007C4125" w:rsidP="005D0A23" w:rsidRDefault="00D86CDB" w14:paraId="1A5C79F7" w14:textId="4579A5FA">
      <w:pPr>
        <w:pStyle w:val="FoF"/>
      </w:pPr>
      <w:r>
        <w:t>Full facilities</w:t>
      </w:r>
      <w:r w:rsidR="006951D5">
        <w:noBreakHyphen/>
      </w:r>
      <w:r>
        <w:t>based</w:t>
      </w:r>
      <w:r w:rsidR="009F3C38">
        <w:t xml:space="preserve"> providers</w:t>
      </w:r>
      <w:r>
        <w:t xml:space="preserve"> </w:t>
      </w:r>
      <w:r w:rsidR="005D3856">
        <w:t>refers to</w:t>
      </w:r>
      <w:r>
        <w:t xml:space="preserve"> </w:t>
      </w:r>
      <w:r w:rsidR="00AB2230">
        <w:t xml:space="preserve">telecommunications </w:t>
      </w:r>
      <w:r>
        <w:t>providers, including i</w:t>
      </w:r>
      <w:r w:rsidR="007C4125">
        <w:t xml:space="preserve">nterconnected VoIP </w:t>
      </w:r>
      <w:r w:rsidR="000B7DF4">
        <w:t xml:space="preserve">service </w:t>
      </w:r>
      <w:r w:rsidR="007C4125">
        <w:t>providers</w:t>
      </w:r>
      <w:r w:rsidR="001B090D">
        <w:t xml:space="preserve">, </w:t>
      </w:r>
      <w:r w:rsidR="004B6335">
        <w:t>owning, operating, or intending to build</w:t>
      </w:r>
      <w:r w:rsidR="007C4125">
        <w:t xml:space="preserve"> </w:t>
      </w:r>
      <w:r>
        <w:t>or install telecommunications infrastructure</w:t>
      </w:r>
      <w:r w:rsidR="00B51432">
        <w:t xml:space="preserve"> and equipment</w:t>
      </w:r>
      <w:r>
        <w:t xml:space="preserve"> </w:t>
      </w:r>
      <w:r w:rsidR="007C4125">
        <w:t xml:space="preserve">in </w:t>
      </w:r>
      <w:r>
        <w:t xml:space="preserve">public </w:t>
      </w:r>
      <w:r w:rsidR="007C4125">
        <w:t>rights</w:t>
      </w:r>
      <w:r w:rsidR="006951D5">
        <w:noBreakHyphen/>
      </w:r>
      <w:r w:rsidR="007C4125">
        <w:t>of</w:t>
      </w:r>
      <w:r w:rsidR="006951D5">
        <w:noBreakHyphen/>
      </w:r>
      <w:r w:rsidR="007C4125">
        <w:t xml:space="preserve">ways or </w:t>
      </w:r>
      <w:r w:rsidR="00F3359C">
        <w:t>engage in</w:t>
      </w:r>
      <w:r w:rsidR="007C4125">
        <w:t xml:space="preserve"> other trenching activity</w:t>
      </w:r>
      <w:r>
        <w:t>.</w:t>
      </w:r>
    </w:p>
    <w:p w:rsidR="00A96B31" w:rsidP="005D0A23" w:rsidRDefault="001B090D" w14:paraId="32C243EB" w14:textId="6CF0E76C">
      <w:pPr>
        <w:pStyle w:val="FoF"/>
      </w:pPr>
      <w:r>
        <w:t>L</w:t>
      </w:r>
      <w:r w:rsidR="00D86CDB">
        <w:t>imited facilities</w:t>
      </w:r>
      <w:r w:rsidR="006951D5">
        <w:noBreakHyphen/>
      </w:r>
      <w:r w:rsidR="00D86CDB">
        <w:t>based</w:t>
      </w:r>
      <w:r w:rsidR="005D3856">
        <w:t xml:space="preserve"> </w:t>
      </w:r>
      <w:r w:rsidR="004440B1">
        <w:t xml:space="preserve">providers </w:t>
      </w:r>
      <w:r w:rsidR="005D3856">
        <w:t xml:space="preserve">refers to </w:t>
      </w:r>
      <w:r w:rsidR="00AB2230">
        <w:t xml:space="preserve">telecommunications </w:t>
      </w:r>
      <w:r>
        <w:t>providers, including i</w:t>
      </w:r>
      <w:r w:rsidR="007C4125">
        <w:t>nterconnected VoIP</w:t>
      </w:r>
      <w:r>
        <w:t xml:space="preserve"> </w:t>
      </w:r>
      <w:r w:rsidR="000B7DF4">
        <w:t xml:space="preserve">service </w:t>
      </w:r>
      <w:r>
        <w:t>providers,</w:t>
      </w:r>
      <w:r w:rsidR="007C4125">
        <w:t xml:space="preserve"> owning </w:t>
      </w:r>
      <w:r w:rsidR="005D3856">
        <w:t xml:space="preserve">or operating </w:t>
      </w:r>
      <w:r w:rsidR="00B51432">
        <w:t xml:space="preserve">telecommunications infrastructure or </w:t>
      </w:r>
      <w:r w:rsidR="007C4125">
        <w:t>equipment and installing it within existing structures or</w:t>
      </w:r>
      <w:r w:rsidRPr="00B0697E" w:rsidR="007C4125">
        <w:t xml:space="preserve"> facilities of other </w:t>
      </w:r>
      <w:r w:rsidR="007C4125">
        <w:t xml:space="preserve">licensed </w:t>
      </w:r>
      <w:r w:rsidR="00A56BC4">
        <w:t>providers</w:t>
      </w:r>
      <w:r w:rsidRPr="00B0697E" w:rsidR="007C4125">
        <w:t xml:space="preserve">, public utilities, </w:t>
      </w:r>
      <w:r w:rsidR="001A4168">
        <w:t xml:space="preserve">or </w:t>
      </w:r>
      <w:r w:rsidRPr="00B0697E" w:rsidR="007C4125">
        <w:t>municipalities</w:t>
      </w:r>
      <w:r w:rsidR="007C4125">
        <w:t>.</w:t>
      </w:r>
    </w:p>
    <w:p w:rsidR="0000182A" w:rsidP="005D0A23" w:rsidRDefault="0000182A" w14:paraId="5175CBD4" w14:textId="428EFAF3">
      <w:pPr>
        <w:pStyle w:val="FoF"/>
      </w:pPr>
      <w:r>
        <w:t>Public utility telephone corporations</w:t>
      </w:r>
      <w:r w:rsidR="007C4125">
        <w:t xml:space="preserve"> that do not own </w:t>
      </w:r>
      <w:r>
        <w:t xml:space="preserve">or operate </w:t>
      </w:r>
      <w:r w:rsidR="007C4125">
        <w:t>te</w:t>
      </w:r>
      <w:r>
        <w:t>le</w:t>
      </w:r>
      <w:r w:rsidR="007C4125">
        <w:t xml:space="preserve">communications </w:t>
      </w:r>
      <w:r w:rsidR="000C6C1F">
        <w:t xml:space="preserve">network </w:t>
      </w:r>
      <w:r w:rsidR="007C4125">
        <w:t xml:space="preserve">infrastructure are </w:t>
      </w:r>
      <w:r w:rsidR="00496D24">
        <w:t>co</w:t>
      </w:r>
      <w:r>
        <w:t xml:space="preserve">nsidered </w:t>
      </w:r>
      <w:r w:rsidR="007C4125">
        <w:t>non</w:t>
      </w:r>
      <w:r w:rsidR="006951D5">
        <w:noBreakHyphen/>
      </w:r>
      <w:r w:rsidR="007C4125">
        <w:t>facilities</w:t>
      </w:r>
      <w:r w:rsidR="006951D5">
        <w:noBreakHyphen/>
      </w:r>
      <w:r w:rsidR="007C4125">
        <w:t>based</w:t>
      </w:r>
      <w:r>
        <w:t xml:space="preserve"> providers</w:t>
      </w:r>
      <w:r w:rsidR="007C4125">
        <w:t>.</w:t>
      </w:r>
    </w:p>
    <w:p w:rsidR="002644E8" w:rsidP="005D0A23" w:rsidRDefault="002644E8" w14:paraId="79315BFF" w14:textId="4C70BCCA">
      <w:pPr>
        <w:pStyle w:val="FoF"/>
      </w:pPr>
      <w:r>
        <w:t xml:space="preserve">Interconnected VoIP </w:t>
      </w:r>
      <w:r w:rsidR="000B7DF4">
        <w:t xml:space="preserve">service </w:t>
      </w:r>
      <w:r>
        <w:t xml:space="preserve">providers may be </w:t>
      </w:r>
      <w:r w:rsidR="0000182A">
        <w:t>facilities</w:t>
      </w:r>
      <w:r w:rsidR="006951D5">
        <w:noBreakHyphen/>
      </w:r>
      <w:r w:rsidR="0000182A">
        <w:t>based, limited facilities</w:t>
      </w:r>
      <w:r w:rsidR="006951D5">
        <w:noBreakHyphen/>
      </w:r>
      <w:r w:rsidR="0000182A">
        <w:t>based, or non</w:t>
      </w:r>
      <w:r w:rsidR="006951D5">
        <w:noBreakHyphen/>
      </w:r>
      <w:r w:rsidR="0000182A">
        <w:t>facilities</w:t>
      </w:r>
      <w:r w:rsidR="006951D5">
        <w:noBreakHyphen/>
      </w:r>
      <w:r w:rsidR="0000182A">
        <w:t>based</w:t>
      </w:r>
      <w:r>
        <w:t>.</w:t>
      </w:r>
    </w:p>
    <w:p w:rsidR="00055CBB" w:rsidP="005D0A23" w:rsidRDefault="00E57851" w14:paraId="523D6B6C" w14:textId="61DF6A92">
      <w:pPr>
        <w:pStyle w:val="FoF"/>
      </w:pPr>
      <w:r w:rsidRPr="00D539B6">
        <w:t xml:space="preserve">The Nomadic </w:t>
      </w:r>
      <w:r w:rsidR="00C43DB0">
        <w:t>R</w:t>
      </w:r>
      <w:r w:rsidRPr="00D539B6">
        <w:t>egistration fee should be set at $250</w:t>
      </w:r>
      <w:r w:rsidR="00376285">
        <w:t xml:space="preserve"> </w:t>
      </w:r>
      <w:r w:rsidRPr="006D6137" w:rsidR="00376285">
        <w:t>to be consistent with the Wireless registration fee and Section 1013 registration fee</w:t>
      </w:r>
      <w:r w:rsidRPr="00D539B6">
        <w:t>.</w:t>
      </w:r>
    </w:p>
    <w:p w:rsidRPr="00D539B6" w:rsidR="00C461B8" w:rsidP="005D0A23" w:rsidRDefault="00C461B8" w14:paraId="1942013F" w14:textId="6DED49CB">
      <w:pPr>
        <w:pStyle w:val="FoF"/>
      </w:pPr>
      <w:r w:rsidRPr="00D539B6">
        <w:t xml:space="preserve">The cost of processing </w:t>
      </w:r>
      <w:r w:rsidR="00C43DB0">
        <w:t xml:space="preserve">the </w:t>
      </w:r>
      <w:r w:rsidRPr="00D539B6">
        <w:t>Nomadic</w:t>
      </w:r>
      <w:r w:rsidR="00C43DB0">
        <w:t xml:space="preserve"> Registration</w:t>
      </w:r>
      <w:r w:rsidRPr="00D539B6">
        <w:t xml:space="preserve"> will increase over time due to inflation</w:t>
      </w:r>
      <w:r w:rsidRPr="00D539B6" w:rsidR="00831811">
        <w:t xml:space="preserve"> and should be adjusted annual</w:t>
      </w:r>
      <w:r w:rsidR="00C14AC7">
        <w:t>ly</w:t>
      </w:r>
      <w:r w:rsidRPr="00D539B6" w:rsidR="00831811">
        <w:t xml:space="preserve"> using the BLS CPI</w:t>
      </w:r>
      <w:r w:rsidR="00844EAF">
        <w:noBreakHyphen/>
      </w:r>
      <w:r w:rsidRPr="00D539B6" w:rsidR="00831811">
        <w:t>U calculator</w:t>
      </w:r>
      <w:r w:rsidRPr="00D539B6" w:rsidR="00F40048">
        <w:t xml:space="preserve"> unless the Commission makes a finding stating otherwise</w:t>
      </w:r>
      <w:r w:rsidRPr="00D539B6">
        <w:t>.</w:t>
      </w:r>
    </w:p>
    <w:p w:rsidRPr="00CB2BE8" w:rsidR="00CB2BE8" w:rsidP="00A12890" w:rsidRDefault="00CB2BE8" w14:paraId="424581BB" w14:textId="104E1B8E">
      <w:pPr>
        <w:pStyle w:val="SectionTitle"/>
      </w:pPr>
      <w:bookmarkStart w:name="_Hlk175739221" w:id="240"/>
      <w:r w:rsidRPr="00CB2BE8">
        <w:t>Application and Registration Processes</w:t>
      </w:r>
      <w:r w:rsidR="00D539B6">
        <w:t xml:space="preserve"> and Requirements</w:t>
      </w:r>
    </w:p>
    <w:p w:rsidR="00A96B31" w:rsidP="005D0A23" w:rsidRDefault="00E15DAD" w14:paraId="5D79BA8B" w14:textId="662954E9">
      <w:pPr>
        <w:pStyle w:val="FoF"/>
      </w:pPr>
      <w:r>
        <w:rPr>
          <w:rFonts w:eastAsia="Times New Roman"/>
        </w:rPr>
        <w:t>Outdated</w:t>
      </w:r>
      <w:r w:rsidR="00F6023E">
        <w:rPr>
          <w:rFonts w:eastAsia="Times New Roman"/>
        </w:rPr>
        <w:t xml:space="preserve"> or</w:t>
      </w:r>
      <w:r>
        <w:rPr>
          <w:rFonts w:eastAsia="Times New Roman"/>
        </w:rPr>
        <w:t xml:space="preserve"> unclear requirements are barriers to a competitive and neutral </w:t>
      </w:r>
      <w:r w:rsidR="001831D8">
        <w:rPr>
          <w:rFonts w:eastAsia="Times New Roman"/>
        </w:rPr>
        <w:t>tele</w:t>
      </w:r>
      <w:r>
        <w:rPr>
          <w:rFonts w:eastAsia="Times New Roman"/>
        </w:rPr>
        <w:t>communications market.</w:t>
      </w:r>
    </w:p>
    <w:p w:rsidRPr="001E567F" w:rsidR="00507175" w:rsidP="005D0A23" w:rsidRDefault="00507175" w14:paraId="1D7509FC" w14:textId="7D69D9A7">
      <w:pPr>
        <w:pStyle w:val="FoF"/>
      </w:pPr>
      <w:r>
        <w:rPr>
          <w:rFonts w:eastAsia="Times New Roman"/>
        </w:rPr>
        <w:lastRenderedPageBreak/>
        <w:t xml:space="preserve">Making </w:t>
      </w:r>
      <w:r w:rsidR="00946368">
        <w:rPr>
          <w:rFonts w:eastAsia="Times New Roman"/>
        </w:rPr>
        <w:t>uniform changes</w:t>
      </w:r>
      <w:r>
        <w:rPr>
          <w:rFonts w:eastAsia="Times New Roman"/>
        </w:rPr>
        <w:t xml:space="preserve"> </w:t>
      </w:r>
      <w:r w:rsidR="00C832A0">
        <w:rPr>
          <w:rFonts w:eastAsia="Times New Roman"/>
        </w:rPr>
        <w:t xml:space="preserve">to CPCN application processes and </w:t>
      </w:r>
      <w:r w:rsidR="00260FB7">
        <w:rPr>
          <w:rFonts w:eastAsia="Times New Roman"/>
        </w:rPr>
        <w:t>Section </w:t>
      </w:r>
      <w:r w:rsidR="00C832A0">
        <w:rPr>
          <w:rFonts w:eastAsia="Times New Roman"/>
        </w:rPr>
        <w:t xml:space="preserve">1013 registration processes </w:t>
      </w:r>
      <w:r>
        <w:rPr>
          <w:rFonts w:eastAsia="Times New Roman"/>
        </w:rPr>
        <w:t xml:space="preserve">allows interconnected VoIP </w:t>
      </w:r>
      <w:r w:rsidR="000B7DF4">
        <w:t xml:space="preserve">service </w:t>
      </w:r>
      <w:r w:rsidR="001E567F">
        <w:rPr>
          <w:rFonts w:eastAsia="Times New Roman"/>
        </w:rPr>
        <w:t>providers</w:t>
      </w:r>
      <w:r>
        <w:rPr>
          <w:rFonts w:eastAsia="Times New Roman"/>
        </w:rPr>
        <w:t xml:space="preserve"> to be </w:t>
      </w:r>
      <w:r w:rsidR="001E567F">
        <w:rPr>
          <w:rFonts w:eastAsia="Times New Roman"/>
        </w:rPr>
        <w:t xml:space="preserve">licensed through the CPCN </w:t>
      </w:r>
      <w:r>
        <w:rPr>
          <w:rFonts w:eastAsia="Times New Roman"/>
        </w:rPr>
        <w:t xml:space="preserve">application </w:t>
      </w:r>
      <w:r w:rsidR="001E567F">
        <w:rPr>
          <w:rFonts w:eastAsia="Times New Roman"/>
        </w:rPr>
        <w:t xml:space="preserve">or </w:t>
      </w:r>
      <w:r w:rsidR="00260FB7">
        <w:rPr>
          <w:rFonts w:eastAsia="Times New Roman"/>
        </w:rPr>
        <w:t>Section </w:t>
      </w:r>
      <w:r w:rsidR="001E567F">
        <w:rPr>
          <w:rFonts w:eastAsia="Times New Roman"/>
        </w:rPr>
        <w:t xml:space="preserve">1013 </w:t>
      </w:r>
      <w:r>
        <w:rPr>
          <w:rFonts w:eastAsia="Times New Roman"/>
        </w:rPr>
        <w:t>registration.</w:t>
      </w:r>
    </w:p>
    <w:p w:rsidRPr="00B10B72" w:rsidR="001E567F" w:rsidP="005D0A23" w:rsidRDefault="00010733" w14:paraId="0E2E14D4" w14:textId="12A90380">
      <w:pPr>
        <w:pStyle w:val="FoF"/>
      </w:pPr>
      <w:r>
        <w:rPr>
          <w:rFonts w:eastAsia="Times New Roman"/>
        </w:rPr>
        <w:t>Fairness and neutrality are maintained</w:t>
      </w:r>
      <w:r w:rsidR="00117343">
        <w:rPr>
          <w:rFonts w:eastAsia="Times New Roman"/>
        </w:rPr>
        <w:t xml:space="preserve"> </w:t>
      </w:r>
      <w:r>
        <w:rPr>
          <w:rFonts w:eastAsia="Times New Roman"/>
        </w:rPr>
        <w:t>by streamlining</w:t>
      </w:r>
      <w:r w:rsidR="00E75D7F">
        <w:rPr>
          <w:rFonts w:eastAsia="Times New Roman"/>
        </w:rPr>
        <w:t xml:space="preserve"> t</w:t>
      </w:r>
      <w:r>
        <w:rPr>
          <w:rFonts w:eastAsia="Times New Roman"/>
        </w:rPr>
        <w:t>he</w:t>
      </w:r>
      <w:r w:rsidR="001E567F">
        <w:rPr>
          <w:rFonts w:eastAsia="Times New Roman"/>
        </w:rPr>
        <w:t xml:space="preserve"> CPCN application processes and </w:t>
      </w:r>
      <w:r w:rsidR="00260FB7">
        <w:rPr>
          <w:rFonts w:eastAsia="Times New Roman"/>
        </w:rPr>
        <w:t>Section </w:t>
      </w:r>
      <w:r w:rsidR="001E567F">
        <w:rPr>
          <w:rFonts w:eastAsia="Times New Roman"/>
        </w:rPr>
        <w:t>1013 registration processes</w:t>
      </w:r>
      <w:r w:rsidR="00117343">
        <w:rPr>
          <w:rFonts w:eastAsia="Times New Roman"/>
        </w:rPr>
        <w:t xml:space="preserve"> </w:t>
      </w:r>
      <w:r w:rsidR="00B10B72">
        <w:rPr>
          <w:rFonts w:eastAsia="Times New Roman"/>
        </w:rPr>
        <w:t>for all telephone corporation utility types.</w:t>
      </w:r>
    </w:p>
    <w:p w:rsidR="004B4450" w:rsidP="005D0A23" w:rsidRDefault="004B4450" w14:paraId="65E7A5FB" w14:textId="6CC3BF93">
      <w:pPr>
        <w:pStyle w:val="FoF"/>
      </w:pPr>
      <w:r w:rsidRPr="00E33F7F">
        <w:rPr>
          <w:rFonts w:eastAsia="Times New Roman"/>
        </w:rPr>
        <w:t>Currently</w:t>
      </w:r>
      <w:r>
        <w:t xml:space="preserve"> applicants found ineligible for the </w:t>
      </w:r>
      <w:r w:rsidR="00260FB7">
        <w:t>Section </w:t>
      </w:r>
      <w:r>
        <w:t>1013 registration and transferred to the CPCN application are not required to pay the full CPCN application fee.</w:t>
      </w:r>
    </w:p>
    <w:p w:rsidR="004B4450" w:rsidP="005D0A23" w:rsidRDefault="004B4450" w14:paraId="02D77909" w14:textId="1588E3E4">
      <w:pPr>
        <w:pStyle w:val="FoF"/>
      </w:pPr>
      <w:r>
        <w:t>The administrative burden to process a CPCN application is higher than the administrative burden to process a Section</w:t>
      </w:r>
      <w:r w:rsidR="00F75BC9">
        <w:t> </w:t>
      </w:r>
      <w:r w:rsidRPr="00F75BC9" w:rsidR="00EE3114">
        <w:t>1013</w:t>
      </w:r>
      <w:r w:rsidR="00260FB7">
        <w:t xml:space="preserve"> </w:t>
      </w:r>
      <w:r>
        <w:t>registration application.</w:t>
      </w:r>
    </w:p>
    <w:p w:rsidR="004B4450" w:rsidP="005D0A23" w:rsidRDefault="004B4450" w14:paraId="1F4B027F" w14:textId="77777777">
      <w:pPr>
        <w:pStyle w:val="FoF"/>
      </w:pPr>
      <w:r>
        <w:t>Currently telephone corporations seeking operating authority are required to document possession of financial resources in the following amounts:</w:t>
      </w:r>
    </w:p>
    <w:p w:rsidR="00A96B31" w:rsidRDefault="004B4450" w14:paraId="008783FA" w14:textId="01C8F9FB">
      <w:pPr>
        <w:pStyle w:val="BlockQuoteH025"/>
        <w:numPr>
          <w:ilvl w:val="0"/>
          <w:numId w:val="31"/>
        </w:numPr>
      </w:pPr>
      <w:r>
        <w:t>Non</w:t>
      </w:r>
      <w:r w:rsidR="006951D5">
        <w:noBreakHyphen/>
      </w:r>
      <w:r>
        <w:t>facilities</w:t>
      </w:r>
      <w:r w:rsidR="006951D5">
        <w:noBreakHyphen/>
      </w:r>
      <w:r>
        <w:t>based providers</w:t>
      </w:r>
      <w:r w:rsidR="00045963">
        <w:t xml:space="preserve"> — </w:t>
      </w:r>
      <w:r w:rsidR="00AA6629">
        <w:t>at least</w:t>
      </w:r>
      <w:r>
        <w:t xml:space="preserve"> $25,000 in unencumbered cash;</w:t>
      </w:r>
    </w:p>
    <w:p w:rsidR="004B4450" w:rsidRDefault="004B4450" w14:paraId="1F4428C0" w14:textId="7F66F32A">
      <w:pPr>
        <w:pStyle w:val="BlockQuoteH025"/>
        <w:numPr>
          <w:ilvl w:val="0"/>
          <w:numId w:val="31"/>
        </w:numPr>
      </w:pPr>
      <w:r>
        <w:t>Facilities</w:t>
      </w:r>
      <w:r w:rsidR="006951D5">
        <w:noBreakHyphen/>
      </w:r>
      <w:r>
        <w:t>based providers</w:t>
      </w:r>
      <w:r w:rsidR="00045963">
        <w:t xml:space="preserve"> — </w:t>
      </w:r>
      <w:r w:rsidR="00AA6629">
        <w:t>at least</w:t>
      </w:r>
      <w:r>
        <w:t xml:space="preserve"> $100,000</w:t>
      </w:r>
      <w:r w:rsidR="00C14AC7">
        <w:t xml:space="preserve"> in</w:t>
      </w:r>
      <w:r>
        <w:t xml:space="preserve"> unencumbered cash; and</w:t>
      </w:r>
    </w:p>
    <w:p w:rsidR="004B4450" w:rsidRDefault="004B4450" w14:paraId="14DC16A8" w14:textId="552FD222">
      <w:pPr>
        <w:pStyle w:val="BlockQuoteH025"/>
        <w:numPr>
          <w:ilvl w:val="0"/>
          <w:numId w:val="31"/>
        </w:numPr>
      </w:pPr>
      <w:r>
        <w:t>Any service provider intending to interconnect with ILECs</w:t>
      </w:r>
      <w:r w:rsidR="00045963">
        <w:t xml:space="preserve"> — </w:t>
      </w:r>
      <w:r>
        <w:t>an amount equal to the deposit required by the ILECs or $25,000.</w:t>
      </w:r>
    </w:p>
    <w:p w:rsidR="004B4450" w:rsidP="005D0A23" w:rsidRDefault="004B4450" w14:paraId="5A5DFAC1" w14:textId="5727AC45">
      <w:pPr>
        <w:pStyle w:val="FoF"/>
      </w:pPr>
      <w:r>
        <w:t xml:space="preserve">The means by which telephone corporations may document possession of financial </w:t>
      </w:r>
      <w:r w:rsidRPr="00E33F7F">
        <w:rPr>
          <w:rFonts w:eastAsia="Times New Roman"/>
        </w:rPr>
        <w:t>resources</w:t>
      </w:r>
      <w:r>
        <w:t xml:space="preserve"> was originally </w:t>
      </w:r>
      <w:r w:rsidR="00AF6DA4">
        <w:t>specified</w:t>
      </w:r>
      <w:r>
        <w:t xml:space="preserve"> in </w:t>
      </w:r>
      <w:r w:rsidR="00D539B6">
        <w:t>D.95</w:t>
      </w:r>
      <w:r w:rsidR="00844EAF">
        <w:noBreakHyphen/>
      </w:r>
      <w:r w:rsidR="00D539B6">
        <w:t>07</w:t>
      </w:r>
      <w:r w:rsidR="00844EAF">
        <w:noBreakHyphen/>
      </w:r>
      <w:r w:rsidR="00D539B6">
        <w:t xml:space="preserve">054 and </w:t>
      </w:r>
      <w:r w:rsidRPr="00C25ADF">
        <w:t>D.95</w:t>
      </w:r>
      <w:r w:rsidR="006951D5">
        <w:noBreakHyphen/>
      </w:r>
      <w:r w:rsidRPr="00C25ADF">
        <w:t>12</w:t>
      </w:r>
      <w:r w:rsidR="006951D5">
        <w:noBreakHyphen/>
      </w:r>
      <w:r w:rsidRPr="00C25ADF">
        <w:t xml:space="preserve">056, </w:t>
      </w:r>
      <w:r w:rsidR="00A96FBD">
        <w:t>Appendix </w:t>
      </w:r>
      <w:r w:rsidRPr="00C25ADF">
        <w:t>C</w:t>
      </w:r>
      <w:r w:rsidR="00F6023E">
        <w:t xml:space="preserve"> and </w:t>
      </w:r>
      <w:r w:rsidR="00993322">
        <w:t>affirmed</w:t>
      </w:r>
      <w:r w:rsidR="00F6023E">
        <w:t xml:space="preserve"> in D.13</w:t>
      </w:r>
      <w:r w:rsidR="00844EAF">
        <w:noBreakHyphen/>
      </w:r>
      <w:r w:rsidR="00F6023E">
        <w:t>05</w:t>
      </w:r>
      <w:r w:rsidR="00844EAF">
        <w:noBreakHyphen/>
      </w:r>
      <w:r w:rsidR="00F6023E">
        <w:t>035</w:t>
      </w:r>
      <w:r>
        <w:t>.</w:t>
      </w:r>
    </w:p>
    <w:p w:rsidR="004B4450" w:rsidP="005D0A23" w:rsidRDefault="004B4450" w14:paraId="6269A224" w14:textId="4EA80C78">
      <w:pPr>
        <w:pStyle w:val="FoF"/>
      </w:pPr>
      <w:r>
        <w:t xml:space="preserve">The means by which applicants for operating authority document possession of </w:t>
      </w:r>
      <w:r w:rsidR="00893D67">
        <w:t>“</w:t>
      </w:r>
      <w:r>
        <w:t>cash or cash equivalent,</w:t>
      </w:r>
      <w:r w:rsidR="00893D67">
        <w:t>”</w:t>
      </w:r>
      <w:r>
        <w:t xml:space="preserve"> in the required amounts has been the subject of confusion.</w:t>
      </w:r>
    </w:p>
    <w:p w:rsidR="004B4450" w:rsidP="005D0A23" w:rsidRDefault="004B4450" w14:paraId="097E2BBA" w14:textId="1E422EBE">
      <w:pPr>
        <w:pStyle w:val="FoF"/>
      </w:pPr>
      <w:r>
        <w:t xml:space="preserve">An acceptable means of documentation for </w:t>
      </w:r>
      <w:r w:rsidR="00893D67">
        <w:t>“</w:t>
      </w:r>
      <w:r>
        <w:t>cash or cash equivalent</w:t>
      </w:r>
      <w:r w:rsidR="00893D67">
        <w:t>”</w:t>
      </w:r>
      <w:r>
        <w:t xml:space="preserve"> is a sequence of three unaudited bank statements, as follows:</w:t>
      </w:r>
    </w:p>
    <w:p w:rsidR="00A96B31" w:rsidRDefault="004B4450" w14:paraId="212EB7D8" w14:textId="0BCB4EE8">
      <w:pPr>
        <w:pStyle w:val="BlockQuoteH025"/>
        <w:numPr>
          <w:ilvl w:val="0"/>
          <w:numId w:val="32"/>
        </w:numPr>
        <w:rPr>
          <w:lang w:val="en-ZW"/>
        </w:rPr>
      </w:pPr>
      <w:r>
        <w:rPr>
          <w:lang w:val="en-ZW"/>
        </w:rPr>
        <w:lastRenderedPageBreak/>
        <w:t xml:space="preserve">At the time of application, </w:t>
      </w:r>
      <w:r w:rsidRPr="00F5115E">
        <w:rPr>
          <w:lang w:val="en-ZW"/>
        </w:rPr>
        <w:t xml:space="preserve">an unaudited bank statement dated within two months of the application date for a CPCN or </w:t>
      </w:r>
      <w:r w:rsidR="00F93F90">
        <w:rPr>
          <w:lang w:val="en-ZW"/>
        </w:rPr>
        <w:t>Section 1013</w:t>
      </w:r>
      <w:r w:rsidRPr="00F5115E">
        <w:rPr>
          <w:lang w:val="en-ZW"/>
        </w:rPr>
        <w:t xml:space="preserve"> registration </w:t>
      </w:r>
      <w:r>
        <w:rPr>
          <w:lang w:val="en-ZW"/>
        </w:rPr>
        <w:t>included with the application;</w:t>
      </w:r>
      <w:r w:rsidRPr="00F5115E">
        <w:rPr>
          <w:lang w:val="en-ZW"/>
        </w:rPr>
        <w:t xml:space="preserve"> and</w:t>
      </w:r>
    </w:p>
    <w:p w:rsidRPr="00936366" w:rsidR="004B4450" w:rsidRDefault="004B4450" w14:paraId="2F9A6EF1" w14:textId="699AF243">
      <w:pPr>
        <w:pStyle w:val="BlockQuoteH025"/>
        <w:numPr>
          <w:ilvl w:val="0"/>
          <w:numId w:val="32"/>
        </w:numPr>
        <w:rPr>
          <w:lang w:val="en-ZW"/>
        </w:rPr>
      </w:pPr>
      <w:r>
        <w:rPr>
          <w:lang w:val="en-ZW"/>
        </w:rPr>
        <w:t>At</w:t>
      </w:r>
      <w:r w:rsidRPr="00F5115E">
        <w:rPr>
          <w:lang w:val="en-ZW"/>
        </w:rPr>
        <w:t xml:space="preserve"> six and 12 months </w:t>
      </w:r>
      <w:r>
        <w:rPr>
          <w:lang w:val="en-ZW"/>
        </w:rPr>
        <w:t xml:space="preserve">after </w:t>
      </w:r>
      <w:r w:rsidRPr="00F5115E">
        <w:rPr>
          <w:lang w:val="en-ZW"/>
        </w:rPr>
        <w:t xml:space="preserve">of the issuance date of the authorizing decision, </w:t>
      </w:r>
      <w:r>
        <w:rPr>
          <w:lang w:val="en-ZW"/>
        </w:rPr>
        <w:t>unaudited ba</w:t>
      </w:r>
      <w:r w:rsidR="00C14AC7">
        <w:rPr>
          <w:lang w:val="en-ZW"/>
        </w:rPr>
        <w:t>n</w:t>
      </w:r>
      <w:r>
        <w:rPr>
          <w:lang w:val="en-ZW"/>
        </w:rPr>
        <w:t>k statements submitted to the Commission in</w:t>
      </w:r>
      <w:r w:rsidRPr="00F5115E">
        <w:rPr>
          <w:lang w:val="en-ZW"/>
        </w:rPr>
        <w:t xml:space="preserve"> </w:t>
      </w:r>
      <w:r w:rsidRPr="00F5115E">
        <w:t xml:space="preserve">an </w:t>
      </w:r>
      <w:bookmarkStart w:name="_Hlk171884370" w:id="241"/>
      <w:r w:rsidRPr="00F5115E">
        <w:t>information</w:t>
      </w:r>
      <w:r w:rsidR="006951D5">
        <w:noBreakHyphen/>
      </w:r>
      <w:r w:rsidRPr="00F5115E">
        <w:t xml:space="preserve">only </w:t>
      </w:r>
      <w:r w:rsidR="00F6023E">
        <w:t>submittal</w:t>
      </w:r>
      <w:r w:rsidR="005F19E3">
        <w:t xml:space="preserve"> within eight and 14 months, respectively</w:t>
      </w:r>
      <w:bookmarkEnd w:id="241"/>
      <w:r w:rsidRPr="00F5115E">
        <w:t>.</w:t>
      </w:r>
    </w:p>
    <w:p w:rsidRPr="00F37CC3" w:rsidR="005F19E3" w:rsidP="005D0A23" w:rsidRDefault="005F19E3" w14:paraId="42792A2E" w14:textId="6FB2F3E4">
      <w:pPr>
        <w:pStyle w:val="FoF"/>
      </w:pPr>
      <w:r>
        <w:t>The Energy Division’s 21</w:t>
      </w:r>
      <w:r w:rsidR="00844EAF">
        <w:noBreakHyphen/>
      </w:r>
      <w:r w:rsidR="00177A77">
        <w:t>d</w:t>
      </w:r>
      <w:r>
        <w:t xml:space="preserve">ay expedited process is used for approval of projects </w:t>
      </w:r>
      <w:r w:rsidR="002D3551">
        <w:t xml:space="preserve">proposed by telephone corporations </w:t>
      </w:r>
      <w:r>
        <w:t xml:space="preserve">that are </w:t>
      </w:r>
      <w:r w:rsidR="00BD64F0">
        <w:t xml:space="preserve">highly likely to be </w:t>
      </w:r>
      <w:r>
        <w:t>categorically exempt from CEQA</w:t>
      </w:r>
      <w:r w:rsidR="002B0409">
        <w:t xml:space="preserve"> review</w:t>
      </w:r>
      <w:r w:rsidR="00177A77">
        <w:t>, and was previously made available through decisions in individual applications</w:t>
      </w:r>
      <w:r>
        <w:t>.</w:t>
      </w:r>
    </w:p>
    <w:p w:rsidR="004B4450" w:rsidP="005D0A23" w:rsidRDefault="004B4450" w14:paraId="36E05D2C" w14:textId="490FF922">
      <w:pPr>
        <w:pStyle w:val="FoF"/>
      </w:pPr>
      <w:r>
        <w:t>A CPCN application form is required to streamline the process</w:t>
      </w:r>
      <w:r w:rsidR="00360464">
        <w:t xml:space="preserve"> to obtain operating authority for telephone corporations</w:t>
      </w:r>
      <w:r>
        <w:t>.</w:t>
      </w:r>
    </w:p>
    <w:p w:rsidR="004B4450" w:rsidP="005D0A23" w:rsidRDefault="004B4450" w14:paraId="58633414" w14:textId="36790FC3">
      <w:pPr>
        <w:pStyle w:val="FoF"/>
      </w:pPr>
      <w:r>
        <w:t xml:space="preserve">The </w:t>
      </w:r>
      <w:r w:rsidR="00EE3114">
        <w:t>Section </w:t>
      </w:r>
      <w:r>
        <w:t>1013 registration form requires updates to incorporate</w:t>
      </w:r>
      <w:r w:rsidR="00CE4A2B">
        <w:t xml:space="preserve"> </w:t>
      </w:r>
      <w:r>
        <w:t xml:space="preserve">interconnected VoIP </w:t>
      </w:r>
      <w:r w:rsidR="000B7DF4">
        <w:t xml:space="preserve">service </w:t>
      </w:r>
      <w:r>
        <w:t>providers and incorporate the changes made by this decision.</w:t>
      </w:r>
    </w:p>
    <w:p w:rsidR="00A96B31" w:rsidP="005D0A23" w:rsidRDefault="004B4450" w14:paraId="4414B594" w14:textId="6E0ABBC0">
      <w:pPr>
        <w:pStyle w:val="FoF"/>
      </w:pPr>
      <w:r>
        <w:t xml:space="preserve">A </w:t>
      </w:r>
      <w:r w:rsidR="003A7053">
        <w:t>N</w:t>
      </w:r>
      <w:r>
        <w:t xml:space="preserve">omadic </w:t>
      </w:r>
      <w:r w:rsidR="003A7053">
        <w:t>R</w:t>
      </w:r>
      <w:r>
        <w:t>egistration form is required to register nomadic</w:t>
      </w:r>
      <w:r w:rsidR="006951D5">
        <w:noBreakHyphen/>
      </w:r>
      <w:r w:rsidR="000B7DF4">
        <w:t>only</w:t>
      </w:r>
      <w:r>
        <w:t xml:space="preserve"> interconnected VoIP providers.</w:t>
      </w:r>
    </w:p>
    <w:p w:rsidR="004B4450" w:rsidP="005D0A23" w:rsidRDefault="004B4450" w14:paraId="3BD74962" w14:textId="184FAFB7">
      <w:pPr>
        <w:pStyle w:val="FoF"/>
      </w:pPr>
      <w:r>
        <w:t xml:space="preserve">The Communications Division is responsible for maintaining </w:t>
      </w:r>
      <w:r w:rsidR="00CF3163">
        <w:t xml:space="preserve">application forms on the Commission website consistent with </w:t>
      </w:r>
      <w:r>
        <w:t>Commission decisions</w:t>
      </w:r>
      <w:r w:rsidR="00CF3163">
        <w:t xml:space="preserve"> </w:t>
      </w:r>
      <w:r w:rsidR="00111B1B">
        <w:t>updating the regulatory obligations of all telecommunications provider utility types</w:t>
      </w:r>
      <w:r>
        <w:t>.</w:t>
      </w:r>
    </w:p>
    <w:p w:rsidRPr="002D57B9" w:rsidR="00C44F3B" w:rsidP="005D0A23" w:rsidRDefault="00C44F3B" w14:paraId="3E785077" w14:textId="017CE465">
      <w:pPr>
        <w:pStyle w:val="FoF"/>
      </w:pPr>
      <w:r>
        <w:rPr>
          <w:rFonts w:eastAsia="Times New Roman"/>
        </w:rPr>
        <w:t xml:space="preserve">Establishing a </w:t>
      </w:r>
      <w:r w:rsidR="003A7053">
        <w:rPr>
          <w:rFonts w:eastAsia="Times New Roman"/>
        </w:rPr>
        <w:t>N</w:t>
      </w:r>
      <w:r>
        <w:rPr>
          <w:rFonts w:eastAsia="Times New Roman"/>
        </w:rPr>
        <w:t xml:space="preserve">omadic </w:t>
      </w:r>
      <w:r w:rsidR="003A7053">
        <w:rPr>
          <w:rFonts w:eastAsia="Times New Roman"/>
        </w:rPr>
        <w:t>R</w:t>
      </w:r>
      <w:r>
        <w:rPr>
          <w:rFonts w:eastAsia="Times New Roman"/>
        </w:rPr>
        <w:t>egistration process will allow the Commission to administer the regulatory obligations applicable to nomadic</w:t>
      </w:r>
      <w:r w:rsidR="006951D5">
        <w:rPr>
          <w:rFonts w:eastAsia="Times New Roman"/>
        </w:rPr>
        <w:noBreakHyphen/>
      </w:r>
      <w:r w:rsidR="000B7DF4">
        <w:rPr>
          <w:rFonts w:eastAsia="Times New Roman"/>
        </w:rPr>
        <w:t>only</w:t>
      </w:r>
      <w:r>
        <w:rPr>
          <w:rFonts w:eastAsia="Times New Roman"/>
        </w:rPr>
        <w:t xml:space="preserve"> interconnected VoIP </w:t>
      </w:r>
      <w:r w:rsidR="000B7DF4">
        <w:rPr>
          <w:rFonts w:eastAsia="Times New Roman"/>
        </w:rPr>
        <w:t xml:space="preserve">service </w:t>
      </w:r>
      <w:r>
        <w:rPr>
          <w:rFonts w:eastAsia="Times New Roman"/>
        </w:rPr>
        <w:t>providers.</w:t>
      </w:r>
    </w:p>
    <w:p w:rsidR="006D346F" w:rsidP="005D0A23" w:rsidRDefault="006D346F" w14:paraId="057A018F" w14:textId="11DE1F38">
      <w:pPr>
        <w:pStyle w:val="FoF"/>
      </w:pPr>
      <w:r>
        <w:t>A self</w:t>
      </w:r>
      <w:r w:rsidR="006951D5">
        <w:noBreakHyphen/>
      </w:r>
      <w:r>
        <w:t xml:space="preserve">attestation form is the appropriate vehicle for interconnected VoIP </w:t>
      </w:r>
      <w:r w:rsidR="00466029">
        <w:t xml:space="preserve">service </w:t>
      </w:r>
      <w:r>
        <w:t xml:space="preserve">providers to qualify for </w:t>
      </w:r>
      <w:r w:rsidR="00803BD3">
        <w:t>Nomadic Registration</w:t>
      </w:r>
      <w:r>
        <w:t>.</w:t>
      </w:r>
    </w:p>
    <w:p w:rsidRPr="00673023" w:rsidR="00D539B6" w:rsidP="005D0A23" w:rsidRDefault="00D539B6" w14:paraId="36BE22A4" w14:textId="62C8C334">
      <w:pPr>
        <w:pStyle w:val="FoF"/>
      </w:pPr>
      <w:r>
        <w:lastRenderedPageBreak/>
        <w:t>In D.97</w:t>
      </w:r>
      <w:r w:rsidR="00844EAF">
        <w:noBreakHyphen/>
      </w:r>
      <w:r>
        <w:t>09</w:t>
      </w:r>
      <w:r w:rsidR="00844EAF">
        <w:noBreakHyphen/>
      </w:r>
      <w:r>
        <w:t xml:space="preserve">035, the Commission granted </w:t>
      </w:r>
      <w:r>
        <w:rPr>
          <w:rFonts w:eastAsiaTheme="majorEastAsia"/>
        </w:rPr>
        <w:t xml:space="preserve">presumptive confidential treatment for one year to financial documentation supporting </w:t>
      </w:r>
      <w:r w:rsidR="0074481C">
        <w:rPr>
          <w:rFonts w:eastAsiaTheme="majorEastAsia"/>
        </w:rPr>
        <w:t>Section</w:t>
      </w:r>
      <w:r w:rsidR="00844EAF">
        <w:rPr>
          <w:rFonts w:eastAsiaTheme="majorEastAsia"/>
        </w:rPr>
        <w:t> </w:t>
      </w:r>
      <w:r>
        <w:rPr>
          <w:rFonts w:eastAsiaTheme="majorEastAsia"/>
        </w:rPr>
        <w:t>1013 applications for operating authority as long as the applicant submitted commercially valuable financial documentation in a separate envelope clearly marked as directed in D.97</w:t>
      </w:r>
      <w:r w:rsidR="00844EAF">
        <w:rPr>
          <w:rFonts w:eastAsiaTheme="majorEastAsia"/>
        </w:rPr>
        <w:noBreakHyphen/>
      </w:r>
      <w:r>
        <w:rPr>
          <w:rFonts w:eastAsiaTheme="majorEastAsia"/>
        </w:rPr>
        <w:t>09</w:t>
      </w:r>
      <w:r w:rsidR="00844EAF">
        <w:rPr>
          <w:rFonts w:eastAsiaTheme="majorEastAsia"/>
        </w:rPr>
        <w:noBreakHyphen/>
      </w:r>
      <w:r>
        <w:rPr>
          <w:rFonts w:eastAsiaTheme="majorEastAsia"/>
        </w:rPr>
        <w:t>035.</w:t>
      </w:r>
    </w:p>
    <w:p w:rsidR="00B21D5D" w:rsidP="005D0A23" w:rsidRDefault="00E030C5" w14:paraId="0922532F" w14:textId="5D5E86E0">
      <w:pPr>
        <w:pStyle w:val="FoF"/>
      </w:pPr>
      <w:r>
        <w:t xml:space="preserve">In </w:t>
      </w:r>
      <w:r w:rsidRPr="007A6B6A">
        <w:t xml:space="preserve">2018, the Commission updated its confidentiality rules and guidelines in </w:t>
      </w:r>
      <w:r w:rsidR="00424385">
        <w:t>GO </w:t>
      </w:r>
      <w:r w:rsidRPr="007A6B6A">
        <w:t>66</w:t>
      </w:r>
      <w:r w:rsidR="00844EAF">
        <w:noBreakHyphen/>
      </w:r>
      <w:r w:rsidRPr="007A6B6A">
        <w:t>D</w:t>
      </w:r>
      <w:r w:rsidR="009D20B2">
        <w:t>.</w:t>
      </w:r>
    </w:p>
    <w:p w:rsidR="00055CBB" w:rsidP="005D0A23" w:rsidRDefault="00443320" w14:paraId="1285F2AA" w14:textId="74F596BD">
      <w:pPr>
        <w:pStyle w:val="FoF"/>
      </w:pPr>
      <w:r>
        <w:t>I</w:t>
      </w:r>
      <w:r w:rsidR="00D21BAE">
        <w:t xml:space="preserve">n </w:t>
      </w:r>
      <w:r w:rsidRPr="007A6B6A">
        <w:t>D.20</w:t>
      </w:r>
      <w:r w:rsidR="00844EAF">
        <w:noBreakHyphen/>
      </w:r>
      <w:r w:rsidRPr="007A6B6A">
        <w:t>08</w:t>
      </w:r>
      <w:r w:rsidR="00844EAF">
        <w:noBreakHyphen/>
      </w:r>
      <w:r w:rsidRPr="007A6B6A">
        <w:t xml:space="preserve">031, the Commission updated </w:t>
      </w:r>
      <w:r w:rsidR="00424385">
        <w:t>GO </w:t>
      </w:r>
      <w:r w:rsidRPr="007A6B6A">
        <w:t>66</w:t>
      </w:r>
      <w:r w:rsidR="00844EAF">
        <w:noBreakHyphen/>
      </w:r>
      <w:r w:rsidRPr="007A6B6A">
        <w:t>D containing the requirements for public utilities seeking confidential treatment of commercially valuable information.</w:t>
      </w:r>
    </w:p>
    <w:p w:rsidR="00055CBB" w:rsidP="005D0A23" w:rsidRDefault="00D539B6" w14:paraId="088C5E6E" w14:textId="2915E9A8">
      <w:pPr>
        <w:pStyle w:val="FoF"/>
      </w:pPr>
      <w:r>
        <w:t xml:space="preserve">The requirements for granting confidential treatment for requisite proof of financial resources, and estimated costs of construction and customer numbers supporting </w:t>
      </w:r>
      <w:r w:rsidR="00E84E7C">
        <w:t xml:space="preserve">registration </w:t>
      </w:r>
      <w:r>
        <w:t xml:space="preserve">applications for operating authority should be updated to be consistent with </w:t>
      </w:r>
      <w:r w:rsidR="00424385">
        <w:t>GO </w:t>
      </w:r>
      <w:r>
        <w:t>66</w:t>
      </w:r>
      <w:r w:rsidR="00844EAF">
        <w:noBreakHyphen/>
      </w:r>
      <w:r>
        <w:t xml:space="preserve">D and should be </w:t>
      </w:r>
      <w:r w:rsidR="004960D6">
        <w:t>extended</w:t>
      </w:r>
      <w:r>
        <w:t xml:space="preserve"> to applications for operating authority through a CPCN.</w:t>
      </w:r>
    </w:p>
    <w:bookmarkEnd w:id="240"/>
    <w:p w:rsidR="00B50C9F" w:rsidP="005D0A23" w:rsidRDefault="007A6B6A" w14:paraId="6E088B48" w14:textId="1CE82F15">
      <w:pPr>
        <w:pStyle w:val="FoF"/>
      </w:pPr>
      <w:r w:rsidRPr="007A6B6A">
        <w:t>The Commission currently makes individual determinations in CPCN decisions on the confidential treatment of documents proving applicants’ financial fitness through certain financial documents and instruments showing their financial resources.</w:t>
      </w:r>
      <w:r w:rsidR="00844EAF">
        <w:t> </w:t>
      </w:r>
    </w:p>
    <w:p w:rsidR="00055CBB" w:rsidP="005D0A23" w:rsidRDefault="007A6B6A" w14:paraId="7C605290" w14:textId="48B1AD98">
      <w:pPr>
        <w:pStyle w:val="FoF"/>
      </w:pPr>
      <w:r w:rsidRPr="007A6B6A">
        <w:t>The Commission currently makes individual determinations in CPCN decisions on the confidential treatment of applicants’ estimated costs of construction and number of customers in the first and fifth year of operation.</w:t>
      </w:r>
    </w:p>
    <w:p w:rsidR="00055CBB" w:rsidP="005D0A23" w:rsidRDefault="007A6B6A" w14:paraId="65F34A0E" w14:textId="7261376E">
      <w:pPr>
        <w:pStyle w:val="FoF"/>
      </w:pPr>
      <w:r w:rsidRPr="007A6B6A">
        <w:t>CPCN applicants’ motions to file under seal the requisite proof of financial fitness through documentation of their financial resources, as well as statements detailing their estimated costs of construction and estimated number of customers are often undisputed and granted by the Commission.</w:t>
      </w:r>
      <w:r w:rsidR="00844EAF">
        <w:t xml:space="preserve"> </w:t>
      </w:r>
    </w:p>
    <w:p w:rsidR="00B50C9F" w:rsidP="005D0A23" w:rsidRDefault="007A6B6A" w14:paraId="69B22663" w14:textId="2E900451">
      <w:pPr>
        <w:pStyle w:val="FoF"/>
      </w:pPr>
      <w:r w:rsidRPr="007A6B6A">
        <w:lastRenderedPageBreak/>
        <w:t xml:space="preserve">The Commission requires applicants seeking operating authority pursuant to </w:t>
      </w:r>
      <w:r w:rsidR="00C04D12">
        <w:t>Pub.</w:t>
      </w:r>
      <w:r w:rsidR="00844EAF">
        <w:t> </w:t>
      </w:r>
      <w:r w:rsidR="00C04D12">
        <w:t>Util.</w:t>
      </w:r>
      <w:r w:rsidRPr="007A6B6A">
        <w:t xml:space="preserve"> Code section 1001 or 1013 to submit the same financial documents proving financial fitness, as ordered in D.95</w:t>
      </w:r>
      <w:r w:rsidR="00844EAF">
        <w:noBreakHyphen/>
      </w:r>
      <w:r w:rsidRPr="007A6B6A">
        <w:t>12</w:t>
      </w:r>
      <w:r w:rsidR="00844EAF">
        <w:noBreakHyphen/>
      </w:r>
      <w:r w:rsidRPr="007A6B6A">
        <w:t>056 and D.14</w:t>
      </w:r>
      <w:r w:rsidR="00844EAF">
        <w:noBreakHyphen/>
      </w:r>
      <w:r w:rsidRPr="007A6B6A">
        <w:t>11</w:t>
      </w:r>
      <w:r w:rsidR="00844EAF">
        <w:noBreakHyphen/>
      </w:r>
      <w:r w:rsidRPr="007A6B6A">
        <w:t xml:space="preserve">004, respectively, and restated in this decision, </w:t>
      </w:r>
      <w:r w:rsidR="00C04D12">
        <w:t>Appendix</w:t>
      </w:r>
      <w:r w:rsidR="00844EAF">
        <w:t> </w:t>
      </w:r>
      <w:r w:rsidRPr="007A6B6A">
        <w:t>F.</w:t>
      </w:r>
    </w:p>
    <w:p w:rsidR="00055CBB" w:rsidP="005D0A23" w:rsidRDefault="007A6B6A" w14:paraId="26254101" w14:textId="0744496E">
      <w:pPr>
        <w:pStyle w:val="FoF"/>
      </w:pPr>
      <w:r w:rsidRPr="007A6B6A">
        <w:t xml:space="preserve">Confidentiality determinations of financial information submitted in </w:t>
      </w:r>
      <w:r w:rsidR="0074481C">
        <w:t>Section</w:t>
      </w:r>
      <w:r w:rsidR="00844EAF">
        <w:t> </w:t>
      </w:r>
      <w:r w:rsidRPr="007A6B6A">
        <w:t xml:space="preserve">1013 or </w:t>
      </w:r>
      <w:r w:rsidR="0074481C">
        <w:t>Section</w:t>
      </w:r>
      <w:r w:rsidR="00844EAF">
        <w:t> </w:t>
      </w:r>
      <w:r w:rsidRPr="007A6B6A">
        <w:t xml:space="preserve">1001 (CPCN) applications to prove financial fitness through documentation of applicants’ financial resources, as well as statements detailing estimated costs of construction and customer numbers in CPCN applications, should be consistent with state laws and CPUC orders, including </w:t>
      </w:r>
      <w:r w:rsidR="00424385">
        <w:t>GO </w:t>
      </w:r>
      <w:r w:rsidRPr="007A6B6A">
        <w:t>66</w:t>
      </w:r>
      <w:r w:rsidR="00844EAF">
        <w:noBreakHyphen/>
      </w:r>
      <w:r w:rsidRPr="007A6B6A">
        <w:t>D.</w:t>
      </w:r>
    </w:p>
    <w:p w:rsidR="00055CBB" w:rsidP="005D0A23" w:rsidRDefault="007A6B6A" w14:paraId="72845E7F" w14:textId="61C1B63C">
      <w:pPr>
        <w:pStyle w:val="FoF"/>
      </w:pPr>
      <w:r w:rsidRPr="007A6B6A">
        <w:t>Cal. Gov. Code section 7925.005 allows the Commission to withhold information of an applicant’s financial resources that establishes the applicant’s qualification for a license or certificate requested.</w:t>
      </w:r>
    </w:p>
    <w:p w:rsidR="00055CBB" w:rsidP="005D0A23" w:rsidRDefault="007A6B6A" w14:paraId="62A63BE7" w14:textId="5F78FB41">
      <w:pPr>
        <w:pStyle w:val="FoF"/>
      </w:pPr>
      <w:r w:rsidRPr="007A6B6A">
        <w:t>Cal. Gov. Code section 7922.000 allows the Commission to withhold information submitted to the Commission by a public utility where the public interest served by not disclosing the record clearly outweighs the public interest served by disclosure.</w:t>
      </w:r>
    </w:p>
    <w:p w:rsidR="00B50C9F" w:rsidP="005D0A23" w:rsidRDefault="007A6B6A" w14:paraId="6384102E" w14:textId="6619477B">
      <w:pPr>
        <w:pStyle w:val="FoF"/>
      </w:pPr>
      <w:r w:rsidRPr="007A6B6A">
        <w:t xml:space="preserve">Treating as presumptively confidential the requisite proof of financial resources supporting </w:t>
      </w:r>
      <w:r w:rsidR="0074481C">
        <w:t>Section</w:t>
      </w:r>
      <w:r w:rsidR="00844EAF">
        <w:t> </w:t>
      </w:r>
      <w:r w:rsidRPr="007A6B6A">
        <w:t>1013 and CPCN applications for operating authority will aid the Commission in efficiently processing these applications, which in turn will benefit consumers by providing quicker access to more communications service providers.</w:t>
      </w:r>
      <w:r w:rsidR="00844EAF">
        <w:t> </w:t>
      </w:r>
    </w:p>
    <w:p w:rsidR="00B50C9F" w:rsidP="005D0A23" w:rsidRDefault="007A6B6A" w14:paraId="38D79283" w14:textId="6AC19BB0">
      <w:pPr>
        <w:pStyle w:val="FoF"/>
      </w:pPr>
      <w:r w:rsidRPr="007A6B6A">
        <w:t xml:space="preserve">Treating as presumptively confidential the requisite proof of estimated costs of construction and customer numbers supporting CPCN applications for operating authority will aid the Commission in efficiently processing these </w:t>
      </w:r>
      <w:r w:rsidRPr="007A6B6A">
        <w:lastRenderedPageBreak/>
        <w:t>applications, which in turn will benefit consumers by providing quicker access to more communications service providers.</w:t>
      </w:r>
      <w:r w:rsidR="00844EAF">
        <w:t> </w:t>
      </w:r>
    </w:p>
    <w:p w:rsidR="00055CBB" w:rsidP="005D0A23" w:rsidRDefault="007A6B6A" w14:paraId="7A8F1323" w14:textId="3F4BD630">
      <w:pPr>
        <w:pStyle w:val="FoF"/>
      </w:pPr>
      <w:r w:rsidRPr="007A6B6A">
        <w:t xml:space="preserve">Treating as presumptively confidential the requisite proof of financial resources supporting </w:t>
      </w:r>
      <w:r w:rsidR="0074481C">
        <w:t>Section</w:t>
      </w:r>
      <w:r w:rsidR="00844EAF">
        <w:t> </w:t>
      </w:r>
      <w:r w:rsidRPr="007A6B6A">
        <w:t>1013 and CPCN applications and proof of estimated costs of construction and customer numbers supporting CPCN applications promotes a neutral and competitive telecommunications market by expanding consumer access to all qualified service providers.</w:t>
      </w:r>
    </w:p>
    <w:p w:rsidRPr="007A6B6A" w:rsidR="007A6B6A" w:rsidP="005D0A23" w:rsidRDefault="007A6B6A" w14:paraId="441CA52F" w14:textId="5B64C6A7">
      <w:pPr>
        <w:pStyle w:val="FoF"/>
      </w:pPr>
      <w:r w:rsidRPr="007A6B6A">
        <w:t xml:space="preserve">Treating as presumptively confidential the financial documents listed in </w:t>
      </w:r>
      <w:r w:rsidR="00C04D12">
        <w:t>Appendix</w:t>
      </w:r>
      <w:r w:rsidR="00844EAF">
        <w:t> </w:t>
      </w:r>
      <w:r w:rsidRPr="007A6B6A">
        <w:t xml:space="preserve">F of this decision, as well as the estimates of construction costs and customer numbers submitted in CPCN applications, harmonizes the expedited confidentiality process we envisioned for </w:t>
      </w:r>
      <w:r w:rsidR="0074481C">
        <w:t>Section</w:t>
      </w:r>
      <w:r w:rsidR="00844EAF">
        <w:t> </w:t>
      </w:r>
      <w:r w:rsidRPr="007A6B6A">
        <w:t>1013 applicants in D.97</w:t>
      </w:r>
      <w:r w:rsidR="00844EAF">
        <w:noBreakHyphen/>
      </w:r>
      <w:r w:rsidRPr="007A6B6A">
        <w:t>09</w:t>
      </w:r>
      <w:r w:rsidR="00844EAF">
        <w:noBreakHyphen/>
      </w:r>
      <w:r w:rsidRPr="007A6B6A">
        <w:t xml:space="preserve">035 with state law and </w:t>
      </w:r>
      <w:r w:rsidR="00424385">
        <w:t>GO </w:t>
      </w:r>
      <w:r w:rsidRPr="007A6B6A">
        <w:t>66</w:t>
      </w:r>
      <w:r w:rsidR="00844EAF">
        <w:noBreakHyphen/>
      </w:r>
      <w:r w:rsidRPr="007A6B6A">
        <w:t>D requirements</w:t>
      </w:r>
      <w:r w:rsidR="00125BBF">
        <w:t>.</w:t>
      </w:r>
    </w:p>
    <w:p w:rsidR="00A96B31" w:rsidP="005D0A23" w:rsidRDefault="007A6B6A" w14:paraId="42586DB5" w14:textId="3FB46F42">
      <w:pPr>
        <w:pStyle w:val="FoF"/>
      </w:pPr>
      <w:r>
        <w:t>Annually updating performance bond doc</w:t>
      </w:r>
      <w:r w:rsidR="00992B1D">
        <w:t xml:space="preserve">umentation via a </w:t>
      </w:r>
      <w:r w:rsidR="005F2D22">
        <w:t>Tier 1</w:t>
      </w:r>
      <w:r w:rsidR="00992B1D">
        <w:t xml:space="preserve"> advice </w:t>
      </w:r>
      <w:r w:rsidR="00A9669C">
        <w:t xml:space="preserve">letter </w:t>
      </w:r>
      <w:r w:rsidR="00992B1D">
        <w:t>instead of by information</w:t>
      </w:r>
      <w:r w:rsidR="006951D5">
        <w:noBreakHyphen/>
      </w:r>
      <w:r w:rsidR="00992B1D">
        <w:t xml:space="preserve">only </w:t>
      </w:r>
      <w:r w:rsidR="00A9669C">
        <w:t>submittal</w:t>
      </w:r>
      <w:r w:rsidR="00992B1D">
        <w:t xml:space="preserve"> will improve administration and streamline requirements for all telephone corporations.</w:t>
      </w:r>
    </w:p>
    <w:p w:rsidR="00992B1D" w:rsidP="005D0A23" w:rsidRDefault="00992B1D" w14:paraId="3FE97E9D" w14:textId="2214FEAF">
      <w:pPr>
        <w:pStyle w:val="FoF"/>
      </w:pPr>
      <w:r>
        <w:t xml:space="preserve">Annual filing of </w:t>
      </w:r>
      <w:r w:rsidRPr="0B10B0AF">
        <w:t>a continuation certificate, payment invoice,</w:t>
      </w:r>
      <w:r>
        <w:t xml:space="preserve"> or letter </w:t>
      </w:r>
      <w:r w:rsidRPr="0B10B0AF">
        <w:t>facilitate</w:t>
      </w:r>
      <w:r>
        <w:t>s</w:t>
      </w:r>
      <w:r w:rsidRPr="0B10B0AF">
        <w:t xml:space="preserve"> staff review </w:t>
      </w:r>
      <w:r>
        <w:t xml:space="preserve">in order to </w:t>
      </w:r>
      <w:r w:rsidRPr="0B10B0AF">
        <w:t xml:space="preserve">confirm the </w:t>
      </w:r>
      <w:r>
        <w:t xml:space="preserve">performance </w:t>
      </w:r>
      <w:r w:rsidRPr="0B10B0AF">
        <w:t>bond is still in effect</w:t>
      </w:r>
      <w:r>
        <w:t>.</w:t>
      </w:r>
    </w:p>
    <w:p w:rsidRPr="00B52FC6" w:rsidR="00B52FC6" w:rsidP="00AB3AEB" w:rsidRDefault="00B52FC6" w14:paraId="37D71B3E" w14:textId="5D0C9F70">
      <w:pPr>
        <w:pStyle w:val="SectionTitle"/>
      </w:pPr>
      <w:r w:rsidRPr="00B52FC6">
        <w:t>Migration</w:t>
      </w:r>
    </w:p>
    <w:p w:rsidR="008E1900" w:rsidP="005D0A23" w:rsidRDefault="00BC539B" w14:paraId="155449AD" w14:textId="04C6D978">
      <w:pPr>
        <w:pStyle w:val="FoF"/>
      </w:pPr>
      <w:r>
        <w:t xml:space="preserve">The Commission registered interconnected VoIP service providers through the prior </w:t>
      </w:r>
      <w:r w:rsidR="00EE3114">
        <w:t>Section </w:t>
      </w:r>
      <w:r>
        <w:t>285 process without distinction to the fixed or nomadic functionality of the service.</w:t>
      </w:r>
    </w:p>
    <w:p w:rsidR="00D5789E" w:rsidP="005D0A23" w:rsidRDefault="009072ED" w14:paraId="5DF22280" w14:textId="77BB4143">
      <w:pPr>
        <w:pStyle w:val="FoF"/>
      </w:pPr>
      <w:r>
        <w:t xml:space="preserve">The Commission has granted interconnected VoIP service providers </w:t>
      </w:r>
      <w:r w:rsidR="00603AC0">
        <w:t xml:space="preserve">CPCN or </w:t>
      </w:r>
      <w:r w:rsidR="00EE3114">
        <w:t>Section </w:t>
      </w:r>
      <w:r w:rsidR="00603AC0">
        <w:t xml:space="preserve">1013 </w:t>
      </w:r>
      <w:r>
        <w:t>operating authority without distinction to the fixed or nomadic functionality of the service.</w:t>
      </w:r>
    </w:p>
    <w:p w:rsidR="00A16C65" w:rsidP="005D0A23" w:rsidRDefault="00A16C65" w14:paraId="461DA323" w14:textId="4425DEFE">
      <w:pPr>
        <w:pStyle w:val="FoF"/>
      </w:pPr>
      <w:r>
        <w:t xml:space="preserve">Prior </w:t>
      </w:r>
      <w:r w:rsidR="00EE3114">
        <w:t>Section </w:t>
      </w:r>
      <w:r>
        <w:t>285 registrants, with the exception of nomadic</w:t>
      </w:r>
      <w:r w:rsidR="006951D5">
        <w:noBreakHyphen/>
      </w:r>
      <w:r w:rsidR="000B7DF4">
        <w:t>only</w:t>
      </w:r>
      <w:r>
        <w:t xml:space="preserve"> interconnected VoIP </w:t>
      </w:r>
      <w:r w:rsidR="000B7DF4">
        <w:t xml:space="preserve">service </w:t>
      </w:r>
      <w:r>
        <w:t xml:space="preserve">providers, require </w:t>
      </w:r>
      <w:r w:rsidR="00125BBF">
        <w:t>operating authority</w:t>
      </w:r>
      <w:r>
        <w:t>.</w:t>
      </w:r>
    </w:p>
    <w:p w:rsidR="00A16C65" w:rsidP="005D0A23" w:rsidRDefault="00A16C65" w14:paraId="2CF96A15" w14:textId="7BE88672">
      <w:pPr>
        <w:pStyle w:val="FoF"/>
      </w:pPr>
      <w:r>
        <w:lastRenderedPageBreak/>
        <w:t xml:space="preserve">Prior </w:t>
      </w:r>
      <w:r w:rsidR="00EE3114">
        <w:t>Section </w:t>
      </w:r>
      <w:r>
        <w:t>285 registrants qualifying as nomadic</w:t>
      </w:r>
      <w:r w:rsidR="006951D5">
        <w:noBreakHyphen/>
      </w:r>
      <w:r w:rsidR="000B7DF4">
        <w:t>only</w:t>
      </w:r>
      <w:r>
        <w:t xml:space="preserve"> interconnected VoIP </w:t>
      </w:r>
      <w:r w:rsidR="000B7DF4">
        <w:t xml:space="preserve">service </w:t>
      </w:r>
      <w:r>
        <w:t xml:space="preserve">providers require a </w:t>
      </w:r>
      <w:r w:rsidR="00803BD3">
        <w:t>Nomadic Registration</w:t>
      </w:r>
      <w:r>
        <w:t>.</w:t>
      </w:r>
    </w:p>
    <w:p w:rsidRPr="008B7EEC" w:rsidR="00823E7D" w:rsidP="005D0A23" w:rsidRDefault="00A16C65" w14:paraId="535C41D6" w14:textId="227AAAE4">
      <w:pPr>
        <w:pStyle w:val="FoF"/>
      </w:pPr>
      <w:r>
        <w:t xml:space="preserve">CPCN holders and </w:t>
      </w:r>
      <w:r w:rsidR="00EE3114">
        <w:t>Section </w:t>
      </w:r>
      <w:r>
        <w:t>1013 registrants qualifying as nomadic</w:t>
      </w:r>
      <w:r w:rsidR="006951D5">
        <w:noBreakHyphen/>
      </w:r>
      <w:r w:rsidR="000B7DF4">
        <w:t>only</w:t>
      </w:r>
      <w:r>
        <w:t xml:space="preserve"> interconnected VoIP providers require a </w:t>
      </w:r>
      <w:r w:rsidR="00803BD3">
        <w:t>Nomadic Registration</w:t>
      </w:r>
      <w:r>
        <w:t>.</w:t>
      </w:r>
    </w:p>
    <w:p w:rsidRPr="00C47FF9" w:rsidR="00C47FF9" w:rsidP="00781D71" w:rsidRDefault="00AD0811" w14:paraId="18AD9F74" w14:textId="320F2A00">
      <w:pPr>
        <w:pStyle w:val="SectionTitle"/>
      </w:pPr>
      <w:r w:rsidRPr="000B7DF4">
        <w:t xml:space="preserve">Interconnected VoIP </w:t>
      </w:r>
      <w:r w:rsidR="00A81236">
        <w:t xml:space="preserve">Service </w:t>
      </w:r>
      <w:r w:rsidRPr="000B7DF4">
        <w:t>Provider</w:t>
      </w:r>
      <w:r w:rsidR="001E7AF8">
        <w:t>s’</w:t>
      </w:r>
      <w:r w:rsidRPr="000B7DF4">
        <w:t xml:space="preserve"> </w:t>
      </w:r>
      <w:r w:rsidRPr="000B7DF4" w:rsidR="00C47FF9">
        <w:t>Regulatory Obligations</w:t>
      </w:r>
    </w:p>
    <w:p w:rsidR="002B1639" w:rsidP="005D0A23" w:rsidRDefault="002B1639" w14:paraId="4B89250B" w14:textId="7548670F">
      <w:pPr>
        <w:pStyle w:val="FoF"/>
      </w:pPr>
      <w:r>
        <w:t>In D.13</w:t>
      </w:r>
      <w:r w:rsidR="006951D5">
        <w:noBreakHyphen/>
      </w:r>
      <w:r>
        <w:t>05</w:t>
      </w:r>
      <w:r w:rsidR="006951D5">
        <w:noBreakHyphen/>
      </w:r>
      <w:r>
        <w:t>035 the Commission found i</w:t>
      </w:r>
      <w:r w:rsidRPr="008A7C32">
        <w:t xml:space="preserve">mposition </w:t>
      </w:r>
      <w:r>
        <w:t xml:space="preserve">of a </w:t>
      </w:r>
      <w:r w:rsidRPr="008A7C32">
        <w:t xml:space="preserve">performance bond requirement </w:t>
      </w:r>
      <w:r>
        <w:t>is not a bar to market entry.</w:t>
      </w:r>
    </w:p>
    <w:p w:rsidR="00A9669C" w:rsidP="005D0A23" w:rsidRDefault="00A9669C" w14:paraId="7B476144" w14:textId="1EF1E7FD">
      <w:pPr>
        <w:pStyle w:val="FoF"/>
      </w:pPr>
      <w:r>
        <w:t>All interconnected VoIP service providers, including nomadic</w:t>
      </w:r>
      <w:r w:rsidR="00844EAF">
        <w:noBreakHyphen/>
      </w:r>
      <w:r>
        <w:t>only, are required to collect, report and remit Public Purpose Program surcharges</w:t>
      </w:r>
      <w:r w:rsidR="00BF2060">
        <w:t xml:space="preserve"> to</w:t>
      </w:r>
      <w:r w:rsidR="0093133C">
        <w:t xml:space="preserve"> support universal service in California</w:t>
      </w:r>
      <w:r>
        <w:t>.</w:t>
      </w:r>
    </w:p>
    <w:p w:rsidR="00A96B31" w:rsidP="005D0A23" w:rsidRDefault="00572835" w14:paraId="1AA54178" w14:textId="0ACB0A4F">
      <w:pPr>
        <w:pStyle w:val="FoF"/>
      </w:pPr>
      <w:r>
        <w:t xml:space="preserve">Interconnected VoIP </w:t>
      </w:r>
      <w:r w:rsidR="00992B1D">
        <w:t xml:space="preserve">service </w:t>
      </w:r>
      <w:r>
        <w:t>providers</w:t>
      </w:r>
      <w:r w:rsidR="00E17D68">
        <w:t xml:space="preserve"> </w:t>
      </w:r>
      <w:r>
        <w:t>out of compliance with</w:t>
      </w:r>
      <w:r w:rsidR="00E17D68">
        <w:t xml:space="preserve"> </w:t>
      </w:r>
      <w:r w:rsidR="005807D4">
        <w:t>P</w:t>
      </w:r>
      <w:r w:rsidR="00E17D68">
        <w:t xml:space="preserve">ublic </w:t>
      </w:r>
      <w:r w:rsidR="005807D4">
        <w:t>P</w:t>
      </w:r>
      <w:r w:rsidR="00E17D68">
        <w:t xml:space="preserve">urpose </w:t>
      </w:r>
      <w:r w:rsidR="005807D4">
        <w:t>P</w:t>
      </w:r>
      <w:r w:rsidR="00E17D68">
        <w:t>rogram surcharges</w:t>
      </w:r>
      <w:r>
        <w:t xml:space="preserve"> requirements must</w:t>
      </w:r>
      <w:r w:rsidR="00E31324">
        <w:t xml:space="preserve"> come into compliance to be granted operati</w:t>
      </w:r>
      <w:r w:rsidR="00893881">
        <w:t>ng</w:t>
      </w:r>
      <w:r w:rsidR="00E31324">
        <w:t xml:space="preserve"> authority or given </w:t>
      </w:r>
      <w:r w:rsidR="00893881">
        <w:t>N</w:t>
      </w:r>
      <w:r w:rsidR="00E31324">
        <w:t xml:space="preserve">omadic </w:t>
      </w:r>
      <w:r w:rsidR="00893881">
        <w:t>R</w:t>
      </w:r>
      <w:r w:rsidR="00E31324">
        <w:t>egistration.</w:t>
      </w:r>
    </w:p>
    <w:p w:rsidR="003D56E5" w:rsidP="005D0A23" w:rsidRDefault="003268E0" w14:paraId="463EB068" w14:textId="56FAC0D2">
      <w:pPr>
        <w:pStyle w:val="FoF"/>
      </w:pPr>
      <w:r>
        <w:t>Waiving</w:t>
      </w:r>
      <w:r w:rsidR="00E17D68">
        <w:t xml:space="preserve"> the 10</w:t>
      </w:r>
      <w:r w:rsidR="00263840">
        <w:t> percent</w:t>
      </w:r>
      <w:r w:rsidR="00E17D68">
        <w:t xml:space="preserve"> interest o</w:t>
      </w:r>
      <w:r>
        <w:t>n</w:t>
      </w:r>
      <w:r w:rsidR="00E17D68">
        <w:t xml:space="preserve"> past</w:t>
      </w:r>
      <w:r w:rsidR="006951D5">
        <w:noBreakHyphen/>
      </w:r>
      <w:r w:rsidR="00E17D68">
        <w:t xml:space="preserve">due </w:t>
      </w:r>
      <w:r w:rsidR="00605ED5">
        <w:t xml:space="preserve">Public Purpose Program </w:t>
      </w:r>
      <w:r w:rsidR="00E17D68">
        <w:t xml:space="preserve">surcharges </w:t>
      </w:r>
      <w:r w:rsidR="0073289D">
        <w:t>for interconnected VoIP service providers</w:t>
      </w:r>
      <w:r w:rsidR="008047C3">
        <w:t xml:space="preserve">, who </w:t>
      </w:r>
      <w:r w:rsidR="00622107">
        <w:t>remedy their failure</w:t>
      </w:r>
      <w:r w:rsidR="008047C3">
        <w:t xml:space="preserve"> </w:t>
      </w:r>
      <w:r w:rsidR="0073289D">
        <w:t>within 180 calendar days of the issuance date of this decision</w:t>
      </w:r>
      <w:r w:rsidR="008047C3">
        <w:t xml:space="preserve"> to </w:t>
      </w:r>
      <w:r w:rsidR="0016053D">
        <w:t>pay</w:t>
      </w:r>
      <w:r w:rsidR="00E17D68">
        <w:t xml:space="preserve"> past</w:t>
      </w:r>
      <w:r w:rsidR="006951D5">
        <w:noBreakHyphen/>
      </w:r>
      <w:r w:rsidR="00E17D68">
        <w:t xml:space="preserve">due charges and late fees </w:t>
      </w:r>
      <w:r w:rsidR="008047C3">
        <w:t xml:space="preserve">in accordance with </w:t>
      </w:r>
      <w:r w:rsidR="00E17D68">
        <w:t xml:space="preserve">the deadlines established </w:t>
      </w:r>
      <w:r w:rsidR="00455E68">
        <w:t xml:space="preserve">in </w:t>
      </w:r>
      <w:r w:rsidR="0074481C">
        <w:t>Section</w:t>
      </w:r>
      <w:r w:rsidR="00844EAF">
        <w:t> </w:t>
      </w:r>
      <w:r w:rsidR="00455E68">
        <w:t>8.1.1.1 of</w:t>
      </w:r>
      <w:r w:rsidR="00E17D68">
        <w:t xml:space="preserve"> this decision</w:t>
      </w:r>
      <w:r w:rsidR="0073289D">
        <w:t>,</w:t>
      </w:r>
      <w:r w:rsidRPr="003268E0">
        <w:t xml:space="preserve"> </w:t>
      </w:r>
      <w:r w:rsidR="00BA5D49">
        <w:t xml:space="preserve">is </w:t>
      </w:r>
      <w:r w:rsidR="00C53FDE">
        <w:t xml:space="preserve">reasonable </w:t>
      </w:r>
      <w:r w:rsidR="00622107">
        <w:t>to</w:t>
      </w:r>
      <w:r>
        <w:t xml:space="preserve"> expeditiously bring all currently operating</w:t>
      </w:r>
      <w:r w:rsidR="00C324BB">
        <w:t xml:space="preserve"> interconnected VoIP</w:t>
      </w:r>
      <w:r w:rsidR="00A74B47">
        <w:t xml:space="preserve"> service</w:t>
      </w:r>
      <w:r>
        <w:t xml:space="preserve"> telephone corporations into compliance with </w:t>
      </w:r>
      <w:r w:rsidR="00EE3114">
        <w:t>Section </w:t>
      </w:r>
      <w:r>
        <w:t>285</w:t>
      </w:r>
      <w:r w:rsidRPr="004263EA">
        <w:t>.</w:t>
      </w:r>
    </w:p>
    <w:p w:rsidR="00A96B31" w:rsidP="005D0A23" w:rsidRDefault="00367DF0" w14:paraId="738F4ACC" w14:textId="24BD1FA9">
      <w:pPr>
        <w:pStyle w:val="FoF"/>
      </w:pPr>
      <w:r>
        <w:t xml:space="preserve">Exempting interconnected VoIP service providers from </w:t>
      </w:r>
      <w:r w:rsidR="00114508">
        <w:t xml:space="preserve">paying </w:t>
      </w:r>
      <w:r>
        <w:t xml:space="preserve">the </w:t>
      </w:r>
      <w:r w:rsidR="00EE3114">
        <w:t>Section </w:t>
      </w:r>
      <w:r>
        <w:t xml:space="preserve">431 </w:t>
      </w:r>
      <w:r w:rsidR="00EE277C">
        <w:t xml:space="preserve">CPUC </w:t>
      </w:r>
      <w:r>
        <w:t xml:space="preserve">User Fee is inconsistent with </w:t>
      </w:r>
      <w:r w:rsidR="004A5761">
        <w:t>state</w:t>
      </w:r>
      <w:r>
        <w:t xml:space="preserve"> law</w:t>
      </w:r>
      <w:r w:rsidR="00435623">
        <w:t xml:space="preserve"> obligating </w:t>
      </w:r>
      <w:r w:rsidR="00911026">
        <w:t>all</w:t>
      </w:r>
      <w:r w:rsidR="00435623">
        <w:t xml:space="preserve"> utility telephone corporations to </w:t>
      </w:r>
      <w:r w:rsidR="000A3444">
        <w:t>pay the fee</w:t>
      </w:r>
      <w:r>
        <w:t>.</w:t>
      </w:r>
    </w:p>
    <w:p w:rsidR="008144C6" w:rsidP="005D0A23" w:rsidRDefault="00EE277C" w14:paraId="4557C069" w14:textId="06744DFF">
      <w:pPr>
        <w:pStyle w:val="FoF"/>
      </w:pPr>
      <w:r>
        <w:t>The Commission requires information about affiliate relationships among telephone corporation</w:t>
      </w:r>
      <w:r w:rsidR="00FF4EE4">
        <w:t>s</w:t>
      </w:r>
      <w:r>
        <w:t xml:space="preserve"> to carry out its duties mandated in </w:t>
      </w:r>
      <w:r w:rsidR="00EE3114">
        <w:t>Section </w:t>
      </w:r>
      <w:r>
        <w:t xml:space="preserve">587 and </w:t>
      </w:r>
      <w:r w:rsidR="00EE3114">
        <w:t>Section </w:t>
      </w:r>
      <w:r>
        <w:t>797.</w:t>
      </w:r>
    </w:p>
    <w:p w:rsidR="00A96B31" w:rsidP="005D0A23" w:rsidRDefault="008144C6" w14:paraId="2A912BD9" w14:textId="77777777">
      <w:pPr>
        <w:pStyle w:val="FoF"/>
      </w:pPr>
      <w:r>
        <w:lastRenderedPageBreak/>
        <w:t>A</w:t>
      </w:r>
      <w:r w:rsidR="00EE277C">
        <w:t>ffiliate relationships directly impact the degree of competition in the market.</w:t>
      </w:r>
    </w:p>
    <w:p w:rsidR="00A96B31" w:rsidP="005D0A23" w:rsidRDefault="00EE277C" w14:paraId="5F0B5DCF" w14:textId="77777777">
      <w:pPr>
        <w:pStyle w:val="FoF"/>
      </w:pPr>
      <w:r>
        <w:t>Maintaining a current status on affiliate relationships among corporations is fundamental to identifying how many independent services are available to consumers.</w:t>
      </w:r>
    </w:p>
    <w:p w:rsidR="003D56E5" w:rsidP="005D0A23" w:rsidRDefault="00D457DE" w14:paraId="6A8B9A68" w14:textId="398D6A65">
      <w:pPr>
        <w:pStyle w:val="FoF"/>
      </w:pPr>
      <w:r>
        <w:t>D.99</w:t>
      </w:r>
      <w:r w:rsidR="006951D5">
        <w:noBreakHyphen/>
      </w:r>
      <w:r>
        <w:t>02</w:t>
      </w:r>
      <w:r w:rsidR="006951D5">
        <w:noBreakHyphen/>
      </w:r>
      <w:r>
        <w:t xml:space="preserve">038 exempts CLECs from the requirement to maintain books and records in accordance with the Uniform System of Accounts specified in </w:t>
      </w:r>
      <w:r w:rsidR="00B47779">
        <w:t>Title </w:t>
      </w:r>
      <w:r>
        <w:t xml:space="preserve">47 I.E. </w:t>
      </w:r>
      <w:r w:rsidR="00D8452D">
        <w:t>Part </w:t>
      </w:r>
      <w:r>
        <w:t>32, with the exception of CLECs affiliated with ILEC.</w:t>
      </w:r>
    </w:p>
    <w:p w:rsidR="008E6AE6" w:rsidP="005D0A23" w:rsidRDefault="00201A11" w14:paraId="609EE2FC" w14:textId="48CFFB26">
      <w:pPr>
        <w:pStyle w:val="FoF"/>
      </w:pPr>
      <w:r>
        <w:t xml:space="preserve">The Commission has the authority to change the procedure for transfers of control or assets subject to </w:t>
      </w:r>
      <w:r w:rsidR="00296BCD">
        <w:t>Sections </w:t>
      </w:r>
      <w:r>
        <w:t>851</w:t>
      </w:r>
      <w:r w:rsidR="006951D5">
        <w:noBreakHyphen/>
      </w:r>
      <w:r>
        <w:t>854.</w:t>
      </w:r>
    </w:p>
    <w:p w:rsidR="001921F0" w:rsidP="005D0A23" w:rsidRDefault="00450CB7" w14:paraId="2F83E548" w14:textId="5F8083D8">
      <w:pPr>
        <w:pStyle w:val="FoF"/>
      </w:pPr>
      <w:r w:rsidRPr="00450CB7">
        <w:t>Except nomadic-only interconnected VoIP and wireless service providers, a</w:t>
      </w:r>
      <w:r w:rsidR="001921F0">
        <w:t xml:space="preserve">ll tariffed telephone corporations </w:t>
      </w:r>
      <w:r w:rsidRPr="00450CB7">
        <w:t xml:space="preserve">that did not elect </w:t>
      </w:r>
      <w:proofErr w:type="spellStart"/>
      <w:r w:rsidRPr="00450CB7">
        <w:t>detariffed</w:t>
      </w:r>
      <w:proofErr w:type="spellEnd"/>
      <w:r w:rsidRPr="00450CB7">
        <w:t xml:space="preserve"> status </w:t>
      </w:r>
      <w:r w:rsidR="001921F0">
        <w:t xml:space="preserve">are required to comply with the tariff requirements pursuant to </w:t>
      </w:r>
      <w:r w:rsidR="00C04D12">
        <w:t>Pub.</w:t>
      </w:r>
      <w:r w:rsidR="00844EAF">
        <w:t> </w:t>
      </w:r>
      <w:r w:rsidR="00C04D12">
        <w:t>Util.</w:t>
      </w:r>
      <w:r w:rsidR="001921F0">
        <w:t xml:space="preserve"> Code </w:t>
      </w:r>
      <w:r w:rsidR="0074481C">
        <w:t>Section</w:t>
      </w:r>
      <w:r w:rsidR="00844EAF">
        <w:t> </w:t>
      </w:r>
      <w:r w:rsidR="001921F0">
        <w:t>489(a).</w:t>
      </w:r>
    </w:p>
    <w:p w:rsidRPr="0087494A" w:rsidR="0087494A" w:rsidP="005D0A23" w:rsidRDefault="0087494A" w14:paraId="2C7344CB" w14:textId="43525810">
      <w:pPr>
        <w:pStyle w:val="SectionTitle"/>
      </w:pPr>
      <w:bookmarkStart w:name="_Hlk175786504" w:id="242"/>
      <w:r>
        <w:t>Procedural Matters</w:t>
      </w:r>
    </w:p>
    <w:bookmarkEnd w:id="242"/>
    <w:p w:rsidR="00CE67A2" w:rsidP="005D0A23" w:rsidRDefault="00CE67A2" w14:paraId="57D2106E" w14:textId="2C2A008E">
      <w:pPr>
        <w:pStyle w:val="FoF"/>
      </w:pPr>
      <w:r w:rsidRPr="00DE0551">
        <w:t xml:space="preserve">Pursuant to </w:t>
      </w:r>
      <w:r w:rsidR="0074481C">
        <w:t>Section</w:t>
      </w:r>
      <w:r w:rsidR="00844EAF">
        <w:t> </w:t>
      </w:r>
      <w:r>
        <w:t>583, GO 66</w:t>
      </w:r>
      <w:r w:rsidR="00844EAF">
        <w:noBreakHyphen/>
      </w:r>
      <w:r>
        <w:t xml:space="preserve">D, and </w:t>
      </w:r>
      <w:r w:rsidRPr="00DE0551">
        <w:t xml:space="preserve">Rule 11.4, </w:t>
      </w:r>
      <w:r>
        <w:rPr>
          <w:bCs/>
        </w:rPr>
        <w:t>Comcast and Charter</w:t>
      </w:r>
      <w:r w:rsidRPr="00DE0551">
        <w:rPr>
          <w:b/>
          <w:color w:val="0000FF"/>
        </w:rPr>
        <w:t xml:space="preserve"> </w:t>
      </w:r>
      <w:r w:rsidRPr="00DE0551">
        <w:t xml:space="preserve">filed motions for leave to file confidential </w:t>
      </w:r>
      <w:r>
        <w:t>versions of their responses to the ALJ Ruling under seal.</w:t>
      </w:r>
    </w:p>
    <w:p w:rsidR="003F799B" w:rsidP="003F799B" w:rsidRDefault="003F799B" w14:paraId="6C76C870" w14:textId="77777777">
      <w:pPr>
        <w:pStyle w:val="FoF"/>
      </w:pPr>
      <w:r>
        <w:t>The current statutory deadline for this proceeding is December 31, 2024.</w:t>
      </w:r>
    </w:p>
    <w:p w:rsidR="003F799B" w:rsidP="003F799B" w:rsidRDefault="003F799B" w14:paraId="70FDC137" w14:textId="77777777">
      <w:pPr>
        <w:pStyle w:val="FoF"/>
      </w:pPr>
      <w:r>
        <w:t xml:space="preserve">A second phase of this proceeding is necessary to address </w:t>
      </w:r>
      <w:bookmarkStart w:name="_Hlk181606947" w:id="243"/>
      <w:r>
        <w:t>application of the new regulatory classifications and other</w:t>
      </w:r>
      <w:bookmarkEnd w:id="243"/>
      <w:r>
        <w:t xml:space="preserve"> technical issues and to issue a decision resolving issues in the second phase of the proceeding. </w:t>
      </w:r>
    </w:p>
    <w:p w:rsidRPr="001E2A62" w:rsidR="00730714" w:rsidP="003F799B" w:rsidRDefault="003F799B" w14:paraId="11D2014B" w14:textId="15D394BD">
      <w:pPr>
        <w:pStyle w:val="FoF"/>
      </w:pPr>
      <w:r>
        <w:t>The second phase of this proceeding is expected to extend until August 1, 2026.</w:t>
      </w:r>
    </w:p>
    <w:p w:rsidR="005939A5" w:rsidP="00D27317" w:rsidRDefault="005939A5" w14:paraId="4A76BDE8" w14:textId="77777777">
      <w:pPr>
        <w:pStyle w:val="Dummy"/>
      </w:pPr>
      <w:bookmarkStart w:name="_Toc8123726" w:id="244"/>
      <w:bookmarkStart w:name="_Toc176770987" w:id="245"/>
      <w:bookmarkStart w:name="_Toc177021185" w:id="246"/>
      <w:bookmarkStart w:name="_Toc181692938" w:id="247"/>
      <w:r>
        <w:lastRenderedPageBreak/>
        <w:t>Conclusions of Law</w:t>
      </w:r>
      <w:bookmarkEnd w:id="244"/>
      <w:bookmarkEnd w:id="245"/>
      <w:bookmarkEnd w:id="246"/>
      <w:bookmarkEnd w:id="247"/>
    </w:p>
    <w:p w:rsidR="009945A8" w:rsidP="00F912ED" w:rsidRDefault="009945A8" w14:paraId="05CF6044" w14:textId="77777777">
      <w:pPr>
        <w:pStyle w:val="SectionTitle"/>
      </w:pPr>
      <w:r>
        <w:t>Regulatory Framework</w:t>
      </w:r>
    </w:p>
    <w:p w:rsidR="009945A8" w:rsidP="0034726E" w:rsidRDefault="009945A8" w14:paraId="7FACBD48" w14:textId="278F4B0D">
      <w:pPr>
        <w:pStyle w:val="CoL"/>
      </w:pPr>
      <w:r>
        <w:t>The CPUC has broad jurisdiction over public utilities, including public utility services and facilities of telephone corporations.</w:t>
      </w:r>
    </w:p>
    <w:p w:rsidR="009945A8" w:rsidP="0034726E" w:rsidRDefault="009945A8" w14:paraId="497C43F9" w14:textId="24B8A151">
      <w:pPr>
        <w:pStyle w:val="CoL"/>
      </w:pPr>
      <w:r>
        <w:t xml:space="preserve">Telephone corporations operating in California shall either have a CPCN pursuant to </w:t>
      </w:r>
      <w:r w:rsidR="00C04D12">
        <w:t>Pub. Util.</w:t>
      </w:r>
      <w:r>
        <w:t xml:space="preserve"> Code </w:t>
      </w:r>
      <w:r w:rsidR="00EE3114">
        <w:t>Section </w:t>
      </w:r>
      <w:r>
        <w:t xml:space="preserve">1001, </w:t>
      </w:r>
      <w:r w:rsidR="00EE3114">
        <w:t>Section </w:t>
      </w:r>
      <w:r>
        <w:t>1013</w:t>
      </w:r>
      <w:r w:rsidR="005D0FD5">
        <w:t xml:space="preserve"> registration</w:t>
      </w:r>
      <w:r>
        <w:t>, or be a telephone corporation authorized to operate in California without a CPCN</w:t>
      </w:r>
      <w:r w:rsidR="007E6E4D">
        <w:t xml:space="preserve"> or </w:t>
      </w:r>
      <w:r w:rsidR="00C504D5">
        <w:t>Section </w:t>
      </w:r>
      <w:r w:rsidR="007E6E4D">
        <w:t>1013 registration</w:t>
      </w:r>
      <w:r>
        <w:t>.</w:t>
      </w:r>
    </w:p>
    <w:p w:rsidR="00615D44" w:rsidP="0034726E" w:rsidRDefault="00615D44" w14:paraId="742298F2" w14:textId="5993F1FB">
      <w:pPr>
        <w:pStyle w:val="CoL"/>
      </w:pPr>
      <w:r>
        <w:t xml:space="preserve">Telephone corporations as defined in </w:t>
      </w:r>
      <w:r w:rsidR="00EE3114">
        <w:t>Section </w:t>
      </w:r>
      <w:r>
        <w:t>234</w:t>
      </w:r>
      <w:r w:rsidR="00B231AE">
        <w:t>,</w:t>
      </w:r>
      <w:r>
        <w:t xml:space="preserve"> providing service over telephone lines as defined in </w:t>
      </w:r>
      <w:r w:rsidR="00EE3114">
        <w:t>Section </w:t>
      </w:r>
      <w:r>
        <w:t>233</w:t>
      </w:r>
      <w:r w:rsidR="00B231AE">
        <w:t>, include companies</w:t>
      </w:r>
      <w:r>
        <w:t xml:space="preserve"> providing service enabled by interconnected VoIP </w:t>
      </w:r>
      <w:r w:rsidR="00B747E3">
        <w:t xml:space="preserve">service </w:t>
      </w:r>
      <w:r>
        <w:t xml:space="preserve">as defined </w:t>
      </w:r>
      <w:r w:rsidR="00B231AE">
        <w:t>in</w:t>
      </w:r>
      <w:r>
        <w:t xml:space="preserve"> </w:t>
      </w:r>
      <w:r w:rsidR="00EE3114">
        <w:t>Section </w:t>
      </w:r>
      <w:r>
        <w:t>239.</w:t>
      </w:r>
    </w:p>
    <w:p w:rsidR="000D2167" w:rsidP="0034726E" w:rsidRDefault="000D2167" w14:paraId="151FEC70" w14:textId="47E82BB4">
      <w:pPr>
        <w:pStyle w:val="CoL"/>
      </w:pPr>
      <w:r>
        <w:t xml:space="preserve">The Commission should establish a distinct regulatory framework for </w:t>
      </w:r>
      <w:r w:rsidR="001829E6">
        <w:t>i</w:t>
      </w:r>
      <w:r>
        <w:t>nterconnected VoIP service.</w:t>
      </w:r>
    </w:p>
    <w:p w:rsidRPr="00551F67" w:rsidR="0001160D" w:rsidP="0034726E" w:rsidRDefault="0001160D" w14:paraId="5121A06E" w14:textId="4C9EA269">
      <w:pPr>
        <w:pStyle w:val="CoL"/>
      </w:pPr>
      <w:r>
        <w:t xml:space="preserve">The </w:t>
      </w:r>
      <w:r w:rsidR="00815FAB">
        <w:t xml:space="preserve">FCC </w:t>
      </w:r>
      <w:r>
        <w:t xml:space="preserve">Vonage Order </w:t>
      </w:r>
      <w:r w:rsidR="00551F67">
        <w:t>limits</w:t>
      </w:r>
      <w:r>
        <w:t xml:space="preserve"> state regulation of market entry and rates </w:t>
      </w:r>
      <w:r w:rsidRPr="00645D56" w:rsidR="00551F67">
        <w:t xml:space="preserve">only where voice service is not tied to the user’s physical location for use or assignment of telephone numbers, it </w:t>
      </w:r>
      <w:r w:rsidR="00007C0C">
        <w:t xml:space="preserve">can </w:t>
      </w:r>
      <w:r w:rsidRPr="00645D56" w:rsidR="00551F67">
        <w:t>be used on any broadband connection from any service provider, it is fully portable, and has no direct or indirect way to track the jurisdictional confines of customer calls</w:t>
      </w:r>
      <w:r w:rsidRPr="00551F67">
        <w:t>.</w:t>
      </w:r>
    </w:p>
    <w:p w:rsidR="0001160D" w:rsidP="0034726E" w:rsidRDefault="0001160D" w14:paraId="12146DA3" w14:textId="6CC429E1">
      <w:pPr>
        <w:pStyle w:val="CoL"/>
      </w:pPr>
      <w:r>
        <w:t xml:space="preserve">Interconnected VoIP service with the distinguishing features </w:t>
      </w:r>
      <w:r w:rsidR="002B7B5E">
        <w:t>similar to Vonage’s voice service at issue</w:t>
      </w:r>
      <w:r w:rsidR="00CE4A2B">
        <w:t xml:space="preserve"> </w:t>
      </w:r>
      <w:r w:rsidR="00345078">
        <w:t>in the</w:t>
      </w:r>
      <w:r w:rsidR="002B7B5E">
        <w:t xml:space="preserve"> FCC</w:t>
      </w:r>
      <w:r w:rsidR="00345078">
        <w:t xml:space="preserve"> </w:t>
      </w:r>
      <w:r>
        <w:t>Vonage Order should be</w:t>
      </w:r>
      <w:r w:rsidR="00873FAA">
        <w:t xml:space="preserve"> classified as</w:t>
      </w:r>
      <w:r w:rsidR="00A44C5B">
        <w:t xml:space="preserve"> </w:t>
      </w:r>
      <w:r w:rsidR="00151038">
        <w:t>“</w:t>
      </w:r>
      <w:r w:rsidR="000B7DF4">
        <w:t>nomadic</w:t>
      </w:r>
      <w:r w:rsidR="006951D5">
        <w:noBreakHyphen/>
      </w:r>
      <w:r w:rsidR="000B7DF4">
        <w:t>only interconnected</w:t>
      </w:r>
      <w:r>
        <w:t xml:space="preserve"> VoIP </w:t>
      </w:r>
      <w:r w:rsidR="009C7463">
        <w:t>service</w:t>
      </w:r>
      <w:r w:rsidR="00151038">
        <w:t>”</w:t>
      </w:r>
      <w:r w:rsidR="009C7463">
        <w:t xml:space="preserve"> </w:t>
      </w:r>
      <w:r>
        <w:t>for California regulatory purposes.</w:t>
      </w:r>
    </w:p>
    <w:p w:rsidR="0001160D" w:rsidP="0034726E" w:rsidRDefault="000B7DF4" w14:paraId="34BEB93E" w14:textId="67FBBF73">
      <w:pPr>
        <w:pStyle w:val="CoL"/>
      </w:pPr>
      <w:r>
        <w:t>N</w:t>
      </w:r>
      <w:r w:rsidR="0001160D">
        <w:t>omadic</w:t>
      </w:r>
      <w:r w:rsidR="006951D5">
        <w:noBreakHyphen/>
      </w:r>
      <w:r>
        <w:t>only</w:t>
      </w:r>
      <w:r w:rsidR="0001160D">
        <w:t xml:space="preserve"> interconnected VoIP </w:t>
      </w:r>
      <w:r>
        <w:t xml:space="preserve">service </w:t>
      </w:r>
      <w:r w:rsidR="0001160D">
        <w:t xml:space="preserve">providers cannot be granted operating authority </w:t>
      </w:r>
      <w:r w:rsidR="00810E9A">
        <w:t xml:space="preserve">through the Commission’s existing CPCN or </w:t>
      </w:r>
      <w:r w:rsidR="007762E4">
        <w:t>Section </w:t>
      </w:r>
      <w:r w:rsidR="00810E9A">
        <w:t xml:space="preserve">1013 registration processes </w:t>
      </w:r>
      <w:r w:rsidR="0001160D">
        <w:t>due to the</w:t>
      </w:r>
      <w:r w:rsidR="002066A9">
        <w:t xml:space="preserve"> FCC Vonage Order preempting state </w:t>
      </w:r>
      <w:r w:rsidR="0001160D">
        <w:t>market entry regulation for such service.</w:t>
      </w:r>
    </w:p>
    <w:p w:rsidRPr="00171739" w:rsidR="007675D3" w:rsidP="0034726E" w:rsidRDefault="007675D3" w14:paraId="6040125B" w14:textId="71403003">
      <w:pPr>
        <w:pStyle w:val="CoL"/>
      </w:pPr>
      <w:r w:rsidRPr="00082649">
        <w:rPr>
          <w:szCs w:val="26"/>
        </w:rPr>
        <w:lastRenderedPageBreak/>
        <w:t xml:space="preserve">The regulatory framework for interconnected VoIP </w:t>
      </w:r>
      <w:r>
        <w:rPr>
          <w:szCs w:val="26"/>
        </w:rPr>
        <w:t xml:space="preserve">service, with the exception of </w:t>
      </w:r>
      <w:r w:rsidR="000B7DF4">
        <w:rPr>
          <w:szCs w:val="26"/>
        </w:rPr>
        <w:t>nomadic</w:t>
      </w:r>
      <w:r w:rsidR="006951D5">
        <w:rPr>
          <w:szCs w:val="26"/>
        </w:rPr>
        <w:noBreakHyphen/>
      </w:r>
      <w:r w:rsidR="000B7DF4">
        <w:rPr>
          <w:szCs w:val="26"/>
        </w:rPr>
        <w:t>only</w:t>
      </w:r>
      <w:r w:rsidRPr="00082649">
        <w:rPr>
          <w:szCs w:val="26"/>
        </w:rPr>
        <w:t xml:space="preserve"> </w:t>
      </w:r>
      <w:r>
        <w:rPr>
          <w:szCs w:val="26"/>
        </w:rPr>
        <w:t>interconnected VoIP service, should</w:t>
      </w:r>
      <w:r w:rsidRPr="00082649">
        <w:rPr>
          <w:szCs w:val="26"/>
        </w:rPr>
        <w:t xml:space="preserve"> generally mirror the existing </w:t>
      </w:r>
      <w:r w:rsidR="00C25DAA">
        <w:rPr>
          <w:szCs w:val="26"/>
        </w:rPr>
        <w:t xml:space="preserve">traditional </w:t>
      </w:r>
      <w:r w:rsidRPr="00082649">
        <w:rPr>
          <w:szCs w:val="26"/>
        </w:rPr>
        <w:t>wireline regulatory framework.</w:t>
      </w:r>
    </w:p>
    <w:p w:rsidRPr="007675D3" w:rsidR="00171739" w:rsidP="0034726E" w:rsidRDefault="00171739" w14:paraId="54BAC469" w14:textId="0A47A400">
      <w:pPr>
        <w:pStyle w:val="CoL"/>
      </w:pPr>
      <w:r>
        <w:t xml:space="preserve">All interconnected VoIP </w:t>
      </w:r>
      <w:r w:rsidR="000B7DF4">
        <w:t>service p</w:t>
      </w:r>
      <w:r>
        <w:t>roviders except providers of nomadic</w:t>
      </w:r>
      <w:r w:rsidR="006951D5">
        <w:noBreakHyphen/>
      </w:r>
      <w:r w:rsidR="000B7DF4">
        <w:t>only</w:t>
      </w:r>
      <w:r>
        <w:t xml:space="preserve"> interconnected VoIP service should </w:t>
      </w:r>
      <w:r w:rsidR="00C36854">
        <w:t xml:space="preserve">be </w:t>
      </w:r>
      <w:r>
        <w:t xml:space="preserve">subject to authority to operate pursuant to either </w:t>
      </w:r>
      <w:r w:rsidR="00EE3114">
        <w:t>Section </w:t>
      </w:r>
      <w:r>
        <w:t>1001</w:t>
      </w:r>
      <w:r w:rsidR="007762E4">
        <w:t xml:space="preserve"> </w:t>
      </w:r>
      <w:r w:rsidR="00D269B9">
        <w:t>(CPCN)</w:t>
      </w:r>
      <w:r w:rsidR="001154FC">
        <w:t>s</w:t>
      </w:r>
      <w:r>
        <w:t xml:space="preserve"> or </w:t>
      </w:r>
      <w:r w:rsidR="00EE3114">
        <w:t>Section </w:t>
      </w:r>
      <w:r>
        <w:t>1013</w:t>
      </w:r>
      <w:r w:rsidR="00C36854">
        <w:t>.</w:t>
      </w:r>
    </w:p>
    <w:p w:rsidRPr="00C07E2D" w:rsidR="007675D3" w:rsidP="0034726E" w:rsidRDefault="007675D3" w14:paraId="567D96ED" w14:textId="2428FEEA">
      <w:pPr>
        <w:pStyle w:val="CoL"/>
      </w:pPr>
      <w:r w:rsidRPr="00082649">
        <w:rPr>
          <w:szCs w:val="26"/>
        </w:rPr>
        <w:t>The regulatory framework for nomadic</w:t>
      </w:r>
      <w:r w:rsidR="006951D5">
        <w:rPr>
          <w:szCs w:val="26"/>
        </w:rPr>
        <w:noBreakHyphen/>
      </w:r>
      <w:r w:rsidR="000B7DF4">
        <w:rPr>
          <w:szCs w:val="26"/>
        </w:rPr>
        <w:t>only</w:t>
      </w:r>
      <w:r w:rsidRPr="00082649">
        <w:rPr>
          <w:szCs w:val="26"/>
        </w:rPr>
        <w:t xml:space="preserve"> interconnected VoIP </w:t>
      </w:r>
      <w:r>
        <w:rPr>
          <w:szCs w:val="26"/>
        </w:rPr>
        <w:t>service should</w:t>
      </w:r>
      <w:r w:rsidRPr="00082649">
        <w:rPr>
          <w:szCs w:val="26"/>
        </w:rPr>
        <w:t xml:space="preserve"> generally mirror the existing wireless regulatory framework.</w:t>
      </w:r>
    </w:p>
    <w:p w:rsidR="00C07E2D" w:rsidP="0034726E" w:rsidRDefault="00C07E2D" w14:paraId="27AC50CB" w14:textId="41B08A62">
      <w:pPr>
        <w:pStyle w:val="CoL"/>
      </w:pPr>
      <w:r>
        <w:t xml:space="preserve">Local </w:t>
      </w:r>
      <w:r w:rsidR="00A44C5B">
        <w:t xml:space="preserve">service </w:t>
      </w:r>
      <w:r>
        <w:t>and long</w:t>
      </w:r>
      <w:r w:rsidR="006951D5">
        <w:noBreakHyphen/>
      </w:r>
      <w:r>
        <w:t xml:space="preserve">distance service designations </w:t>
      </w:r>
      <w:r w:rsidR="006B6D08">
        <w:t xml:space="preserve">of LEC, CLC, IEC, CLR, </w:t>
      </w:r>
      <w:r w:rsidR="002F0B33">
        <w:t xml:space="preserve">and </w:t>
      </w:r>
      <w:r w:rsidR="006B6D08">
        <w:t xml:space="preserve">IER </w:t>
      </w:r>
      <w:r>
        <w:t>should not be applied to interconnected VoIP service</w:t>
      </w:r>
      <w:r w:rsidR="00801404">
        <w:t xml:space="preserve"> providers</w:t>
      </w:r>
      <w:r>
        <w:t>.</w:t>
      </w:r>
    </w:p>
    <w:p w:rsidR="00A96B31" w:rsidP="0034726E" w:rsidRDefault="000C3C46" w14:paraId="65CCA0DC" w14:textId="64F736A2">
      <w:pPr>
        <w:pStyle w:val="CoL"/>
      </w:pPr>
      <w:r>
        <w:t xml:space="preserve">The term switchless reseller </w:t>
      </w:r>
      <w:r w:rsidR="000B7DF4">
        <w:t xml:space="preserve">is not applicable to </w:t>
      </w:r>
      <w:r>
        <w:t xml:space="preserve">interconnected VoIP </w:t>
      </w:r>
      <w:r w:rsidR="0064080B">
        <w:t>service</w:t>
      </w:r>
      <w:r>
        <w:t>.</w:t>
      </w:r>
    </w:p>
    <w:p w:rsidR="0064080B" w:rsidP="0034726E" w:rsidRDefault="0064080B" w14:paraId="3FBCFCAA" w14:textId="521AB633">
      <w:pPr>
        <w:pStyle w:val="CoL"/>
      </w:pPr>
      <w:r>
        <w:t>The utility type designation DVS should be discontinued.</w:t>
      </w:r>
    </w:p>
    <w:p w:rsidRPr="001E2A62" w:rsidR="0064080B" w:rsidP="0034726E" w:rsidRDefault="00AE1C26" w14:paraId="0B50596D" w14:textId="73C1E74A">
      <w:pPr>
        <w:pStyle w:val="CoL"/>
      </w:pPr>
      <w:r>
        <w:t>New</w:t>
      </w:r>
      <w:r w:rsidR="0064080B">
        <w:t xml:space="preserve"> utility type designations DVF and DVN should be established to facilitate regulation of interconnected VoIP </w:t>
      </w:r>
      <w:r w:rsidR="000B7DF4">
        <w:t xml:space="preserve">service </w:t>
      </w:r>
      <w:r w:rsidR="0064080B">
        <w:t>providers in California.</w:t>
      </w:r>
    </w:p>
    <w:p w:rsidR="0064080B" w:rsidP="0034726E" w:rsidRDefault="0064080B" w14:paraId="54A3ECD3" w14:textId="71A28844">
      <w:pPr>
        <w:pStyle w:val="CoL"/>
      </w:pPr>
      <w:r>
        <w:t xml:space="preserve">DVF </w:t>
      </w:r>
      <w:r w:rsidR="00862C24">
        <w:t xml:space="preserve">should be </w:t>
      </w:r>
      <w:r w:rsidR="00191F8C">
        <w:t xml:space="preserve">the utility type designation to </w:t>
      </w:r>
      <w:r>
        <w:t xml:space="preserve">identify a fixed interconnected VoIP </w:t>
      </w:r>
      <w:r w:rsidR="000B7DF4">
        <w:t xml:space="preserve">service </w:t>
      </w:r>
      <w:r>
        <w:t>provider for California regulatory purposes.</w:t>
      </w:r>
    </w:p>
    <w:p w:rsidR="0064080B" w:rsidP="0034726E" w:rsidRDefault="0064080B" w14:paraId="2FC12E59" w14:textId="6B2951C1">
      <w:pPr>
        <w:pStyle w:val="CoL"/>
      </w:pPr>
      <w:r>
        <w:t xml:space="preserve">DVN </w:t>
      </w:r>
      <w:r w:rsidR="00795B5E">
        <w:t>s</w:t>
      </w:r>
      <w:r w:rsidR="00576CF3">
        <w:t xml:space="preserve">hould </w:t>
      </w:r>
      <w:r w:rsidR="00191F8C">
        <w:t xml:space="preserve">be the utility type designation to </w:t>
      </w:r>
      <w:r>
        <w:t>identify a nomadic</w:t>
      </w:r>
      <w:r w:rsidR="006951D5">
        <w:noBreakHyphen/>
      </w:r>
      <w:r w:rsidR="000B7DF4">
        <w:t>only</w:t>
      </w:r>
      <w:r>
        <w:t xml:space="preserve"> interconnected VoIP </w:t>
      </w:r>
      <w:r w:rsidR="00FB5CD8">
        <w:t xml:space="preserve">service </w:t>
      </w:r>
      <w:r>
        <w:t>provider for California regulatory purposes.</w:t>
      </w:r>
    </w:p>
    <w:p w:rsidR="0013346A" w:rsidP="0034726E" w:rsidRDefault="00A83C7C" w14:paraId="7AB08BB7" w14:textId="4212B2C8">
      <w:pPr>
        <w:pStyle w:val="CoL"/>
      </w:pPr>
      <w:r>
        <w:rPr>
          <w:rFonts w:eastAsia="Times New Roman"/>
        </w:rPr>
        <w:t>CPCN licensing</w:t>
      </w:r>
      <w:r w:rsidRPr="0013346A" w:rsidR="0013346A">
        <w:rPr>
          <w:rFonts w:eastAsia="Times New Roman"/>
        </w:rPr>
        <w:t xml:space="preserve"> and </w:t>
      </w:r>
      <w:r w:rsidR="00EE3114">
        <w:rPr>
          <w:rFonts w:eastAsia="Times New Roman"/>
        </w:rPr>
        <w:t>Section </w:t>
      </w:r>
      <w:r>
        <w:rPr>
          <w:rFonts w:eastAsia="Times New Roman"/>
        </w:rPr>
        <w:t xml:space="preserve">1013 </w:t>
      </w:r>
      <w:r w:rsidRPr="0013346A" w:rsidR="0013346A">
        <w:rPr>
          <w:rFonts w:eastAsia="Times New Roman"/>
        </w:rPr>
        <w:t xml:space="preserve">registration </w:t>
      </w:r>
      <w:r w:rsidR="00D47568">
        <w:rPr>
          <w:rFonts w:eastAsia="Times New Roman"/>
        </w:rPr>
        <w:t>should be used to grant operating</w:t>
      </w:r>
      <w:r>
        <w:rPr>
          <w:rFonts w:eastAsia="Times New Roman"/>
        </w:rPr>
        <w:t xml:space="preserve"> authority for</w:t>
      </w:r>
      <w:r w:rsidR="0013346A">
        <w:rPr>
          <w:rFonts w:eastAsia="Times New Roman"/>
        </w:rPr>
        <w:t xml:space="preserve"> all</w:t>
      </w:r>
      <w:r w:rsidRPr="0013346A" w:rsidR="0013346A">
        <w:rPr>
          <w:rFonts w:eastAsia="Times New Roman"/>
        </w:rPr>
        <w:t xml:space="preserve"> </w:t>
      </w:r>
      <w:r w:rsidR="00B0207D">
        <w:rPr>
          <w:rFonts w:eastAsia="Times New Roman"/>
        </w:rPr>
        <w:t xml:space="preserve">wireline </w:t>
      </w:r>
      <w:r w:rsidRPr="0013346A" w:rsidR="0013346A">
        <w:rPr>
          <w:rFonts w:eastAsia="Times New Roman"/>
        </w:rPr>
        <w:t xml:space="preserve">telephone corporation types </w:t>
      </w:r>
      <w:r w:rsidR="0013346A">
        <w:rPr>
          <w:rFonts w:eastAsia="Times New Roman"/>
        </w:rPr>
        <w:t xml:space="preserve">except </w:t>
      </w:r>
      <w:r w:rsidR="0013346A">
        <w:t>nomadic</w:t>
      </w:r>
      <w:r w:rsidR="006951D5">
        <w:noBreakHyphen/>
      </w:r>
      <w:r w:rsidR="000B7DF4">
        <w:t>only</w:t>
      </w:r>
      <w:r w:rsidR="0013346A">
        <w:t xml:space="preserve"> interconnected VoIP</w:t>
      </w:r>
      <w:r w:rsidR="00B653A0">
        <w:t xml:space="preserve"> </w:t>
      </w:r>
      <w:r w:rsidR="000B7DF4">
        <w:t xml:space="preserve">service </w:t>
      </w:r>
      <w:r w:rsidR="00B653A0">
        <w:t>providers</w:t>
      </w:r>
      <w:r w:rsidR="0013346A">
        <w:t>.</w:t>
      </w:r>
    </w:p>
    <w:p w:rsidR="00F92D7D" w:rsidP="0034726E" w:rsidRDefault="00F92D7D" w14:paraId="5599B643" w14:textId="505F4C67">
      <w:pPr>
        <w:pStyle w:val="CoL"/>
      </w:pPr>
      <w:r>
        <w:t>All facilities</w:t>
      </w:r>
      <w:r w:rsidR="006951D5">
        <w:noBreakHyphen/>
      </w:r>
      <w:r>
        <w:t>based utility type</w:t>
      </w:r>
      <w:r w:rsidR="000B7DF4">
        <w:t>s including</w:t>
      </w:r>
      <w:r>
        <w:t xml:space="preserve"> LEC, CLC, IEC, CLR, IER, </w:t>
      </w:r>
      <w:r w:rsidR="000B7DF4">
        <w:t xml:space="preserve">and </w:t>
      </w:r>
      <w:r>
        <w:t>DVF require operating authority through a CPCN.</w:t>
      </w:r>
    </w:p>
    <w:p w:rsidR="00A44C5B" w:rsidP="0034726E" w:rsidRDefault="00A44C5B" w14:paraId="7C124F5B" w14:textId="45D44965">
      <w:pPr>
        <w:pStyle w:val="CoL"/>
      </w:pPr>
      <w:bookmarkStart w:name="_Hlk175048769" w:id="248"/>
      <w:r>
        <w:t xml:space="preserve">It is reasonable to allow </w:t>
      </w:r>
      <w:r w:rsidR="00DE7B76">
        <w:t xml:space="preserve">a period of 180 days for </w:t>
      </w:r>
      <w:r>
        <w:t xml:space="preserve">unlicensed interconnected VoIP service providers required by this decision to obtain operating authority to </w:t>
      </w:r>
      <w:r>
        <w:lastRenderedPageBreak/>
        <w:t>comply with the licensing requirement before becoming subject to a penalty for unlicensed provision of service.</w:t>
      </w:r>
    </w:p>
    <w:bookmarkEnd w:id="248"/>
    <w:p w:rsidRPr="008A7C32" w:rsidR="00D43252" w:rsidP="0034726E" w:rsidRDefault="00D43252" w14:paraId="118B85DE" w14:textId="16F2CF95">
      <w:pPr>
        <w:pStyle w:val="CoL"/>
      </w:pPr>
      <w:r w:rsidRPr="00D43252">
        <w:rPr>
          <w:color w:val="000000" w:themeColor="text1"/>
        </w:rPr>
        <w:t xml:space="preserve">It is reasonable to </w:t>
      </w:r>
      <w:r>
        <w:rPr>
          <w:color w:val="000000" w:themeColor="text1"/>
        </w:rPr>
        <w:t xml:space="preserve">allow interconnected VoIP </w:t>
      </w:r>
      <w:r w:rsidR="00475E6A">
        <w:rPr>
          <w:color w:val="000000" w:themeColor="text1"/>
        </w:rPr>
        <w:t xml:space="preserve">service </w:t>
      </w:r>
      <w:r>
        <w:rPr>
          <w:color w:val="000000" w:themeColor="text1"/>
        </w:rPr>
        <w:t>providers already in possession of operating authority to opt to fulfill regulatory</w:t>
      </w:r>
      <w:r w:rsidRPr="00D43252">
        <w:rPr>
          <w:color w:val="000000" w:themeColor="text1"/>
        </w:rPr>
        <w:t xml:space="preserve"> obligations using </w:t>
      </w:r>
      <w:r>
        <w:rPr>
          <w:color w:val="000000" w:themeColor="text1"/>
        </w:rPr>
        <w:t xml:space="preserve">existing authority and to discontinue the DVS utility type designation and the </w:t>
      </w:r>
      <w:r w:rsidR="00F93F90">
        <w:rPr>
          <w:color w:val="000000" w:themeColor="text1"/>
        </w:rPr>
        <w:t>Utility ID Number</w:t>
      </w:r>
      <w:r>
        <w:rPr>
          <w:color w:val="000000" w:themeColor="text1"/>
        </w:rPr>
        <w:t xml:space="preserve"> associated with the DVS utility type designation</w:t>
      </w:r>
      <w:r w:rsidRPr="00D43252">
        <w:rPr>
          <w:color w:val="000000" w:themeColor="text1"/>
        </w:rPr>
        <w:t>.</w:t>
      </w:r>
    </w:p>
    <w:p w:rsidR="00090F56" w:rsidP="0034726E" w:rsidRDefault="00090F56" w14:paraId="6BD868EA" w14:textId="53D0E7BD">
      <w:pPr>
        <w:pStyle w:val="CoL"/>
      </w:pPr>
      <w:r>
        <w:t xml:space="preserve">The Commission is responsible for administering </w:t>
      </w:r>
      <w:r w:rsidRPr="00090F56">
        <w:rPr>
          <w:rFonts w:eastAsia="Times New Roman"/>
        </w:rPr>
        <w:t>regulatory obligations applicable to nomadic</w:t>
      </w:r>
      <w:r w:rsidR="006951D5">
        <w:rPr>
          <w:rFonts w:eastAsia="Times New Roman"/>
        </w:rPr>
        <w:noBreakHyphen/>
      </w:r>
      <w:r w:rsidR="00475E6A">
        <w:rPr>
          <w:rFonts w:eastAsia="Times New Roman"/>
        </w:rPr>
        <w:t>only</w:t>
      </w:r>
      <w:r w:rsidRPr="00090F56">
        <w:rPr>
          <w:rFonts w:eastAsia="Times New Roman"/>
        </w:rPr>
        <w:t xml:space="preserve"> interconnected VoIP </w:t>
      </w:r>
      <w:r w:rsidR="00475E6A">
        <w:rPr>
          <w:rFonts w:eastAsia="Times New Roman"/>
        </w:rPr>
        <w:t xml:space="preserve">service </w:t>
      </w:r>
      <w:r w:rsidRPr="00090F56">
        <w:rPr>
          <w:rFonts w:eastAsia="Times New Roman"/>
        </w:rPr>
        <w:t>providers.</w:t>
      </w:r>
    </w:p>
    <w:p w:rsidR="00A96B31" w:rsidP="0034726E" w:rsidRDefault="00B0207D" w14:paraId="2B8F8A1F" w14:textId="79FF0638">
      <w:pPr>
        <w:pStyle w:val="CoL"/>
      </w:pPr>
      <w:r>
        <w:t xml:space="preserve">Nomadic </w:t>
      </w:r>
      <w:r w:rsidR="00475E6A">
        <w:t>R</w:t>
      </w:r>
      <w:r>
        <w:t xml:space="preserve">egistration </w:t>
      </w:r>
      <w:r w:rsidR="00D47568">
        <w:t xml:space="preserve">should be used to </w:t>
      </w:r>
      <w:r w:rsidR="00B653A0">
        <w:t>establish regulatory oversight of nomadic</w:t>
      </w:r>
      <w:r w:rsidR="006951D5">
        <w:noBreakHyphen/>
      </w:r>
      <w:r w:rsidR="00475E6A">
        <w:t xml:space="preserve">only </w:t>
      </w:r>
      <w:r w:rsidR="00B653A0">
        <w:t xml:space="preserve">interconnected VoIP </w:t>
      </w:r>
      <w:r w:rsidR="00475E6A">
        <w:t xml:space="preserve">service </w:t>
      </w:r>
      <w:r w:rsidR="00B653A0">
        <w:t>providers</w:t>
      </w:r>
      <w:r w:rsidR="004A1812">
        <w:t>.</w:t>
      </w:r>
    </w:p>
    <w:p w:rsidR="00A96B31" w:rsidP="0034726E" w:rsidRDefault="008D5D6E" w14:paraId="27BF2374" w14:textId="27077206">
      <w:pPr>
        <w:pStyle w:val="CoL"/>
      </w:pPr>
      <w:r>
        <w:t>All nomadic</w:t>
      </w:r>
      <w:r w:rsidR="006951D5">
        <w:noBreakHyphen/>
      </w:r>
      <w:r w:rsidR="00475E6A">
        <w:t>only</w:t>
      </w:r>
      <w:r>
        <w:t xml:space="preserve"> interconnected VoIP </w:t>
      </w:r>
      <w:r w:rsidR="00475E6A">
        <w:t xml:space="preserve">service </w:t>
      </w:r>
      <w:r>
        <w:t xml:space="preserve">providers should </w:t>
      </w:r>
      <w:r>
        <w:rPr>
          <w:rFonts w:cs="Arial"/>
          <w:color w:val="000000" w:themeColor="text1"/>
        </w:rPr>
        <w:t xml:space="preserve">register with the Commission through a </w:t>
      </w:r>
      <w:r w:rsidR="00803BD3">
        <w:rPr>
          <w:rFonts w:cs="Arial"/>
          <w:color w:val="000000" w:themeColor="text1"/>
        </w:rPr>
        <w:t>Nomadic Registration</w:t>
      </w:r>
      <w:r w:rsidRPr="18A5EAEE">
        <w:rPr>
          <w:rFonts w:cs="Arial"/>
          <w:color w:val="000000" w:themeColor="text1"/>
        </w:rPr>
        <w:t>.</w:t>
      </w:r>
    </w:p>
    <w:p w:rsidR="003D56E5" w:rsidP="0034726E" w:rsidRDefault="008D5D6E" w14:paraId="508DA564" w14:textId="35F94533">
      <w:pPr>
        <w:pStyle w:val="CoL"/>
      </w:pPr>
      <w:r>
        <w:rPr>
          <w:rFonts w:cs="Arial"/>
          <w:color w:val="000000" w:themeColor="text1"/>
        </w:rPr>
        <w:t xml:space="preserve">Interconnected VoIP </w:t>
      </w:r>
      <w:r w:rsidR="00475E6A">
        <w:rPr>
          <w:rFonts w:cs="Arial"/>
          <w:color w:val="000000" w:themeColor="text1"/>
        </w:rPr>
        <w:t xml:space="preserve">service </w:t>
      </w:r>
      <w:r>
        <w:rPr>
          <w:rFonts w:cs="Arial"/>
          <w:color w:val="000000" w:themeColor="text1"/>
        </w:rPr>
        <w:t>providers filing a</w:t>
      </w:r>
      <w:r w:rsidRPr="18A5EAEE">
        <w:rPr>
          <w:rFonts w:cs="Arial"/>
          <w:color w:val="000000" w:themeColor="text1"/>
        </w:rPr>
        <w:t xml:space="preserve"> </w:t>
      </w:r>
      <w:r w:rsidR="00803BD3">
        <w:rPr>
          <w:rFonts w:cs="Arial"/>
          <w:color w:val="000000" w:themeColor="text1"/>
        </w:rPr>
        <w:t>Nomadic Registration</w:t>
      </w:r>
      <w:r w:rsidRPr="18A5EAEE">
        <w:rPr>
          <w:rFonts w:cs="Arial"/>
          <w:color w:val="000000" w:themeColor="text1"/>
        </w:rPr>
        <w:t xml:space="preserve"> </w:t>
      </w:r>
      <w:r>
        <w:t xml:space="preserve">should include an </w:t>
      </w:r>
      <w:r w:rsidRPr="18A5EAEE">
        <w:rPr>
          <w:rFonts w:cs="Arial"/>
          <w:color w:val="000000" w:themeColor="text1"/>
        </w:rPr>
        <w:t>attestation to the Commission that it</w:t>
      </w:r>
      <w:r w:rsidR="00EB7C90">
        <w:rPr>
          <w:rFonts w:cs="Arial"/>
          <w:color w:val="000000" w:themeColor="text1"/>
        </w:rPr>
        <w:t xml:space="preserve">s voice service </w:t>
      </w:r>
      <w:r w:rsidR="00FA1986">
        <w:rPr>
          <w:rFonts w:cs="Arial"/>
          <w:color w:val="000000" w:themeColor="text1"/>
        </w:rPr>
        <w:t>has the</w:t>
      </w:r>
      <w:r w:rsidR="004F16D4">
        <w:rPr>
          <w:rFonts w:cs="Arial"/>
          <w:color w:val="000000" w:themeColor="text1"/>
        </w:rPr>
        <w:t xml:space="preserve"> </w:t>
      </w:r>
      <w:r w:rsidRPr="18A5EAEE">
        <w:rPr>
          <w:rFonts w:cs="Arial"/>
          <w:color w:val="000000" w:themeColor="text1"/>
        </w:rPr>
        <w:t>key characteristics</w:t>
      </w:r>
      <w:r w:rsidR="004F16D4">
        <w:rPr>
          <w:rFonts w:cs="Arial"/>
          <w:color w:val="000000" w:themeColor="text1"/>
        </w:rPr>
        <w:t xml:space="preserve"> of nomadic service</w:t>
      </w:r>
      <w:r w:rsidR="005D7A2D">
        <w:rPr>
          <w:rFonts w:cs="Arial"/>
          <w:color w:val="000000" w:themeColor="text1"/>
        </w:rPr>
        <w:t xml:space="preserve"> as set forth in </w:t>
      </w:r>
      <w:r w:rsidRPr="18A5EAEE">
        <w:rPr>
          <w:rFonts w:cs="Arial"/>
          <w:color w:val="000000" w:themeColor="text1"/>
        </w:rPr>
        <w:t xml:space="preserve">the Vonage Order and attest that it cannot separate intrastate </w:t>
      </w:r>
      <w:r w:rsidR="00407139">
        <w:rPr>
          <w:rFonts w:cs="Arial"/>
          <w:color w:val="000000" w:themeColor="text1"/>
        </w:rPr>
        <w:t>calls from</w:t>
      </w:r>
      <w:r w:rsidRPr="18A5EAEE">
        <w:rPr>
          <w:rFonts w:cs="Arial"/>
          <w:color w:val="000000" w:themeColor="text1"/>
        </w:rPr>
        <w:t xml:space="preserve"> interstate calls.</w:t>
      </w:r>
    </w:p>
    <w:p w:rsidRPr="00104352" w:rsidR="00BF464E" w:rsidP="0034726E" w:rsidRDefault="00BF464E" w14:paraId="0F54DB72" w14:textId="011F14C2">
      <w:pPr>
        <w:pStyle w:val="CoL"/>
      </w:pPr>
      <w:r w:rsidRPr="00104352">
        <w:t xml:space="preserve">The Nomadic </w:t>
      </w:r>
      <w:r w:rsidRPr="00104352" w:rsidR="00104352">
        <w:t>R</w:t>
      </w:r>
      <w:r w:rsidRPr="00104352">
        <w:t>egistration fee should be set at $250.</w:t>
      </w:r>
    </w:p>
    <w:p w:rsidR="00104352" w:rsidP="0034726E" w:rsidRDefault="00104352" w14:paraId="2F9566D0" w14:textId="425B4621">
      <w:pPr>
        <w:pStyle w:val="CoL"/>
      </w:pPr>
      <w:r>
        <w:t xml:space="preserve">Unless </w:t>
      </w:r>
      <w:r w:rsidR="00F23871">
        <w:t>the Commission finds</w:t>
      </w:r>
      <w:r>
        <w:t xml:space="preserve"> otherwise, t</w:t>
      </w:r>
      <w:r w:rsidRPr="00104352" w:rsidR="004F77CE">
        <w:t>he Co</w:t>
      </w:r>
      <w:r w:rsidR="00F23871">
        <w:t>mmunications Division staff</w:t>
      </w:r>
      <w:r w:rsidRPr="00104352" w:rsidR="004F77CE">
        <w:t xml:space="preserve"> shoul</w:t>
      </w:r>
      <w:r w:rsidRPr="00104352" w:rsidR="00D15694">
        <w:t>d</w:t>
      </w:r>
      <w:r w:rsidRPr="00104352" w:rsidR="004F77CE">
        <w:t xml:space="preserve"> </w:t>
      </w:r>
      <w:r>
        <w:t xml:space="preserve">annually </w:t>
      </w:r>
      <w:r w:rsidRPr="00104352" w:rsidR="00CD57E8">
        <w:t>adjust</w:t>
      </w:r>
      <w:r w:rsidRPr="00104352" w:rsidR="004F77CE">
        <w:t xml:space="preserve"> the Nomadic Registration</w:t>
      </w:r>
      <w:r w:rsidR="00F23871">
        <w:t xml:space="preserve">, </w:t>
      </w:r>
      <w:r w:rsidR="0074481C">
        <w:t>Section</w:t>
      </w:r>
      <w:r w:rsidR="00844EAF">
        <w:t> </w:t>
      </w:r>
      <w:r w:rsidRPr="00104352" w:rsidR="004F77CE">
        <w:t>1013</w:t>
      </w:r>
      <w:r w:rsidR="00F23871">
        <w:t>, and WIR</w:t>
      </w:r>
      <w:r w:rsidRPr="00104352" w:rsidR="004F77CE">
        <w:t xml:space="preserve"> </w:t>
      </w:r>
      <w:r w:rsidRPr="00104352">
        <w:t>r</w:t>
      </w:r>
      <w:r w:rsidRPr="00104352" w:rsidR="004F77CE">
        <w:t>egistration fee</w:t>
      </w:r>
      <w:r w:rsidR="00F23871">
        <w:t>s</w:t>
      </w:r>
      <w:r w:rsidRPr="00104352" w:rsidR="004F77CE">
        <w:t xml:space="preserve"> by the consumer price index (CPI) using the United States Bureau of Labor CPI</w:t>
      </w:r>
      <w:r w:rsidR="00844EAF">
        <w:noBreakHyphen/>
      </w:r>
      <w:r w:rsidRPr="00104352" w:rsidR="004F77CE">
        <w:t xml:space="preserve">U calculator </w:t>
      </w:r>
      <w:r w:rsidRPr="00104352" w:rsidR="004F77CE">
        <w:rPr>
          <w:bCs/>
          <w:szCs w:val="26"/>
        </w:rPr>
        <w:t xml:space="preserve">on </w:t>
      </w:r>
      <w:r w:rsidR="00424385">
        <w:rPr>
          <w:bCs/>
          <w:szCs w:val="26"/>
        </w:rPr>
        <w:t>July</w:t>
      </w:r>
      <w:r w:rsidR="00844EAF">
        <w:rPr>
          <w:bCs/>
          <w:szCs w:val="26"/>
        </w:rPr>
        <w:t> </w:t>
      </w:r>
      <w:r w:rsidRPr="00104352" w:rsidR="004F77CE">
        <w:rPr>
          <w:bCs/>
          <w:szCs w:val="26"/>
        </w:rPr>
        <w:t xml:space="preserve">1, </w:t>
      </w:r>
      <w:r>
        <w:rPr>
          <w:bCs/>
          <w:szCs w:val="26"/>
        </w:rPr>
        <w:t>post the</w:t>
      </w:r>
      <w:r w:rsidRPr="00104352" w:rsidR="004F77CE">
        <w:rPr>
          <w:szCs w:val="26"/>
        </w:rPr>
        <w:t xml:space="preserve"> new fee</w:t>
      </w:r>
      <w:r w:rsidR="00F23871">
        <w:rPr>
          <w:szCs w:val="26"/>
        </w:rPr>
        <w:t>s</w:t>
      </w:r>
      <w:r w:rsidRPr="00104352" w:rsidR="004F77CE">
        <w:rPr>
          <w:szCs w:val="26"/>
        </w:rPr>
        <w:t xml:space="preserve"> on the Commission’s website by </w:t>
      </w:r>
      <w:r w:rsidR="00424385">
        <w:rPr>
          <w:szCs w:val="26"/>
        </w:rPr>
        <w:t>July</w:t>
      </w:r>
      <w:r w:rsidR="00844EAF">
        <w:rPr>
          <w:szCs w:val="26"/>
        </w:rPr>
        <w:t> </w:t>
      </w:r>
      <w:r w:rsidRPr="00104352" w:rsidR="004F77CE">
        <w:rPr>
          <w:szCs w:val="26"/>
        </w:rPr>
        <w:t>15</w:t>
      </w:r>
      <w:r>
        <w:rPr>
          <w:szCs w:val="26"/>
        </w:rPr>
        <w:t>, and the new fee</w:t>
      </w:r>
      <w:r w:rsidR="00F23871">
        <w:rPr>
          <w:szCs w:val="26"/>
        </w:rPr>
        <w:t>s</w:t>
      </w:r>
      <w:r>
        <w:rPr>
          <w:szCs w:val="26"/>
        </w:rPr>
        <w:t xml:space="preserve"> </w:t>
      </w:r>
      <w:r w:rsidRPr="00104352" w:rsidR="004F77CE">
        <w:rPr>
          <w:szCs w:val="26"/>
        </w:rPr>
        <w:t>will be</w:t>
      </w:r>
      <w:r>
        <w:rPr>
          <w:szCs w:val="26"/>
        </w:rPr>
        <w:t>come</w:t>
      </w:r>
      <w:r w:rsidRPr="00104352" w:rsidR="004F77CE">
        <w:rPr>
          <w:szCs w:val="26"/>
        </w:rPr>
        <w:t xml:space="preserve"> effective on </w:t>
      </w:r>
      <w:r w:rsidR="00424385">
        <w:rPr>
          <w:szCs w:val="26"/>
        </w:rPr>
        <w:t>August</w:t>
      </w:r>
      <w:r w:rsidR="00844EAF">
        <w:rPr>
          <w:szCs w:val="26"/>
        </w:rPr>
        <w:t> </w:t>
      </w:r>
      <w:r w:rsidRPr="00104352" w:rsidR="004F77CE">
        <w:rPr>
          <w:szCs w:val="26"/>
        </w:rPr>
        <w:t>1</w:t>
      </w:r>
      <w:r w:rsidRPr="00104352" w:rsidR="00694A77">
        <w:t>.</w:t>
      </w:r>
      <w:bookmarkStart w:name="_Hlk175739291" w:id="249"/>
    </w:p>
    <w:p w:rsidRPr="00104352" w:rsidR="00C47FF9" w:rsidP="0034726E" w:rsidRDefault="00C47FF9" w14:paraId="654A25DC" w14:textId="193C0B97">
      <w:pPr>
        <w:pStyle w:val="SectionTitle"/>
      </w:pPr>
      <w:r w:rsidRPr="00104352">
        <w:t>Application and Registration Processes</w:t>
      </w:r>
      <w:r w:rsidRPr="00104352" w:rsidR="00A81236">
        <w:t xml:space="preserve"> and Requirements</w:t>
      </w:r>
    </w:p>
    <w:p w:rsidR="006B1199" w:rsidP="0034726E" w:rsidRDefault="00615D44" w14:paraId="4B3BAD7D" w14:textId="0B7ED59D">
      <w:pPr>
        <w:pStyle w:val="CoL"/>
      </w:pPr>
      <w:r>
        <w:rPr>
          <w:rFonts w:eastAsia="Times New Roman"/>
        </w:rPr>
        <w:t>The Commission should update and streamline</w:t>
      </w:r>
      <w:r w:rsidRPr="00644815" w:rsidR="006B1199">
        <w:rPr>
          <w:rFonts w:eastAsia="Times New Roman"/>
        </w:rPr>
        <w:t xml:space="preserve"> existing licensing and registration processes pertaining to all </w:t>
      </w:r>
      <w:r w:rsidRPr="00E33F7F" w:rsidR="006B1199">
        <w:t>telephone</w:t>
      </w:r>
      <w:r w:rsidRPr="00644815" w:rsidR="006B1199">
        <w:rPr>
          <w:rFonts w:eastAsia="Times New Roman"/>
        </w:rPr>
        <w:t xml:space="preserve"> corporation types.</w:t>
      </w:r>
    </w:p>
    <w:p w:rsidR="002556CC" w:rsidP="0034726E" w:rsidRDefault="002556CC" w14:paraId="135EF6FD" w14:textId="580DEE55">
      <w:pPr>
        <w:pStyle w:val="CoL"/>
      </w:pPr>
      <w:r>
        <w:lastRenderedPageBreak/>
        <w:t>It is reasonable to create a CPCN application form for use by all CPCN applicants.</w:t>
      </w:r>
    </w:p>
    <w:p w:rsidR="001A0CD4" w:rsidP="0034726E" w:rsidRDefault="001A0CD4" w14:paraId="622EF373" w14:textId="5073B7CD">
      <w:pPr>
        <w:pStyle w:val="CoL"/>
      </w:pPr>
      <w:r>
        <w:t>The fee for operati</w:t>
      </w:r>
      <w:r w:rsidR="00FF7811">
        <w:t>ng</w:t>
      </w:r>
      <w:r>
        <w:t xml:space="preserve"> authority through a CPCN application should be the same regardless of whether the applicant initiates their application using a CPCN application or the </w:t>
      </w:r>
      <w:r w:rsidR="00EE3114">
        <w:t>Section </w:t>
      </w:r>
      <w:r>
        <w:t>1013 registration process.</w:t>
      </w:r>
    </w:p>
    <w:p w:rsidR="00A96B31" w:rsidP="0034726E" w:rsidRDefault="00317A7C" w14:paraId="5CDA06E5" w14:textId="5B1068BB">
      <w:pPr>
        <w:pStyle w:val="CoL"/>
      </w:pPr>
      <w:r>
        <w:t xml:space="preserve">A </w:t>
      </w:r>
      <w:r w:rsidR="00EE3114">
        <w:t>Section </w:t>
      </w:r>
      <w:r w:rsidR="001A0CD4">
        <w:t xml:space="preserve">1013 registration applicant notified to pursue operating authority through a CPCNs </w:t>
      </w:r>
      <w:r w:rsidR="00E74B2C">
        <w:t xml:space="preserve">should be required to </w:t>
      </w:r>
      <w:r w:rsidR="001A0CD4">
        <w:t xml:space="preserve">pay the full application fee </w:t>
      </w:r>
      <w:r w:rsidRPr="00D539B6" w:rsidR="001A0CD4">
        <w:t xml:space="preserve">within </w:t>
      </w:r>
      <w:r w:rsidRPr="00D539B6" w:rsidR="00F40048">
        <w:t>15</w:t>
      </w:r>
      <w:r w:rsidRPr="00D539B6" w:rsidR="001A0CD4">
        <w:t xml:space="preserve"> days</w:t>
      </w:r>
      <w:r w:rsidR="001A0CD4">
        <w:t xml:space="preserve"> of notice.</w:t>
      </w:r>
    </w:p>
    <w:p w:rsidR="001A0CD4" w:rsidP="0034726E" w:rsidRDefault="001A0CD4" w14:paraId="0E17BD7D" w14:textId="6ABFD84E">
      <w:pPr>
        <w:pStyle w:val="CoL"/>
      </w:pPr>
      <w:r>
        <w:t xml:space="preserve">The amount of financial resources unencumbered and available for one year following certification required to obtain operating authority for a provider intending to interconnect with ILECs should </w:t>
      </w:r>
      <w:r w:rsidR="00DF2261">
        <w:t xml:space="preserve">be </w:t>
      </w:r>
      <w:r>
        <w:t>change</w:t>
      </w:r>
      <w:r w:rsidR="00DF2261">
        <w:t>d</w:t>
      </w:r>
      <w:r>
        <w:t xml:space="preserve"> from the amount equal to the deposits required by ILECs to a flat $25,000.</w:t>
      </w:r>
    </w:p>
    <w:p w:rsidR="001A0CD4" w:rsidP="0034726E" w:rsidRDefault="001A0CD4" w14:paraId="3FCD1D95" w14:textId="7AD08C57">
      <w:pPr>
        <w:pStyle w:val="CoL"/>
      </w:pPr>
      <w:r>
        <w:t xml:space="preserve">All </w:t>
      </w:r>
      <w:r w:rsidR="00FE356A">
        <w:t xml:space="preserve">applicants for operating authority </w:t>
      </w:r>
      <w:r>
        <w:t xml:space="preserve">should demonstrate possession of financial resources in their application or registration with any of the financial instruments listed in </w:t>
      </w:r>
      <w:r w:rsidR="00C04D12">
        <w:t>Appendix </w:t>
      </w:r>
      <w:r w:rsidR="00B0732D">
        <w:t>F</w:t>
      </w:r>
      <w:r>
        <w:t>.</w:t>
      </w:r>
    </w:p>
    <w:p w:rsidR="001A0CD4" w:rsidP="0034726E" w:rsidRDefault="00A0665B" w14:paraId="3AF4A74F" w14:textId="0E94317B">
      <w:pPr>
        <w:pStyle w:val="CoL"/>
      </w:pPr>
      <w:r>
        <w:t>Unaudited bank statement should be added as a</w:t>
      </w:r>
      <w:r w:rsidR="001A0CD4">
        <w:t xml:space="preserve"> means by which applicants for operating authority </w:t>
      </w:r>
      <w:r>
        <w:t xml:space="preserve">can </w:t>
      </w:r>
      <w:r w:rsidR="001A0CD4">
        <w:t xml:space="preserve">document possession of </w:t>
      </w:r>
      <w:r w:rsidR="00893D67">
        <w:t>“</w:t>
      </w:r>
      <w:r w:rsidR="001A0CD4">
        <w:t>cash or cash equivalent,</w:t>
      </w:r>
      <w:r w:rsidR="00893D67">
        <w:t>”</w:t>
      </w:r>
      <w:r w:rsidR="001A0CD4">
        <w:t xml:space="preserve"> in the required amounts</w:t>
      </w:r>
      <w:r>
        <w:t>, and the financial requirement</w:t>
      </w:r>
      <w:r w:rsidR="001A0CD4">
        <w:t xml:space="preserve"> should be </w:t>
      </w:r>
      <w:r>
        <w:t xml:space="preserve">met with </w:t>
      </w:r>
      <w:r w:rsidR="001A0CD4">
        <w:t>a sequence of three unaudited bank statements, as follows:</w:t>
      </w:r>
    </w:p>
    <w:p w:rsidR="00A96B31" w:rsidP="0034726E" w:rsidRDefault="001A0CD4" w14:paraId="54828A51" w14:textId="12E10D51">
      <w:pPr>
        <w:pStyle w:val="CoL"/>
        <w:rPr>
          <w:lang w:val="en-ZW"/>
        </w:rPr>
      </w:pPr>
      <w:r>
        <w:rPr>
          <w:lang w:val="en-ZW"/>
        </w:rPr>
        <w:t xml:space="preserve">At the time of application, </w:t>
      </w:r>
      <w:r w:rsidRPr="00F5115E">
        <w:rPr>
          <w:lang w:val="en-ZW"/>
        </w:rPr>
        <w:t xml:space="preserve">an unaudited bank statement dated within two </w:t>
      </w:r>
      <w:r w:rsidRPr="0074481C">
        <w:t>months</w:t>
      </w:r>
      <w:r w:rsidRPr="00F5115E">
        <w:rPr>
          <w:lang w:val="en-ZW"/>
        </w:rPr>
        <w:t xml:space="preserve"> of the application date for a CPCN or </w:t>
      </w:r>
      <w:r w:rsidR="00F93F90">
        <w:rPr>
          <w:lang w:val="en-ZW"/>
        </w:rPr>
        <w:t>Section 1013</w:t>
      </w:r>
      <w:r w:rsidRPr="00F5115E">
        <w:rPr>
          <w:lang w:val="en-ZW"/>
        </w:rPr>
        <w:t xml:space="preserve"> registration </w:t>
      </w:r>
      <w:r>
        <w:rPr>
          <w:lang w:val="en-ZW"/>
        </w:rPr>
        <w:t>included with the application;</w:t>
      </w:r>
      <w:r w:rsidRPr="00F5115E">
        <w:rPr>
          <w:lang w:val="en-ZW"/>
        </w:rPr>
        <w:t xml:space="preserve"> and</w:t>
      </w:r>
    </w:p>
    <w:p w:rsidRPr="00936366" w:rsidR="001A0CD4" w:rsidP="0034726E" w:rsidRDefault="001A0CD4" w14:paraId="1E98DA72" w14:textId="40AFD29E">
      <w:pPr>
        <w:pStyle w:val="CoL"/>
        <w:rPr>
          <w:lang w:val="en-ZW"/>
        </w:rPr>
      </w:pPr>
      <w:r>
        <w:rPr>
          <w:lang w:val="en-ZW"/>
        </w:rPr>
        <w:t>At</w:t>
      </w:r>
      <w:r w:rsidRPr="00F5115E">
        <w:rPr>
          <w:lang w:val="en-ZW"/>
        </w:rPr>
        <w:t xml:space="preserve"> six and 12 months </w:t>
      </w:r>
      <w:r>
        <w:rPr>
          <w:lang w:val="en-ZW"/>
        </w:rPr>
        <w:t xml:space="preserve">after </w:t>
      </w:r>
      <w:r w:rsidRPr="00F5115E">
        <w:rPr>
          <w:lang w:val="en-ZW"/>
        </w:rPr>
        <w:t xml:space="preserve">of the issuance date of the authorizing decision, </w:t>
      </w:r>
      <w:r w:rsidRPr="0074481C">
        <w:t>unaudited</w:t>
      </w:r>
      <w:r>
        <w:rPr>
          <w:lang w:val="en-ZW"/>
        </w:rPr>
        <w:t xml:space="preserve"> ba</w:t>
      </w:r>
      <w:r w:rsidR="005B279F">
        <w:rPr>
          <w:lang w:val="en-ZW"/>
        </w:rPr>
        <w:t>n</w:t>
      </w:r>
      <w:r>
        <w:rPr>
          <w:lang w:val="en-ZW"/>
        </w:rPr>
        <w:t>k statements submitted to the Commission in</w:t>
      </w:r>
      <w:r w:rsidRPr="00F5115E">
        <w:rPr>
          <w:lang w:val="en-ZW"/>
        </w:rPr>
        <w:t xml:space="preserve"> </w:t>
      </w:r>
      <w:r w:rsidRPr="00F5115E">
        <w:t xml:space="preserve">an information only </w:t>
      </w:r>
      <w:r w:rsidR="00B41999">
        <w:t>submittal</w:t>
      </w:r>
      <w:r w:rsidR="00A0665B">
        <w:t>, within 8 and 14 months of the issuance date of the authorizing decision, respectively</w:t>
      </w:r>
      <w:r w:rsidRPr="00F5115E">
        <w:t>.</w:t>
      </w:r>
    </w:p>
    <w:p w:rsidR="00A96B31" w:rsidP="0034726E" w:rsidRDefault="001A0CD4" w14:paraId="5AE530AE" w14:textId="485EF17A">
      <w:pPr>
        <w:pStyle w:val="CoL"/>
      </w:pPr>
      <w:r>
        <w:lastRenderedPageBreak/>
        <w:t>The amount of unencumbered cash required</w:t>
      </w:r>
      <w:r w:rsidR="00A0665B">
        <w:t xml:space="preserve"> for deposits</w:t>
      </w:r>
      <w:r>
        <w:t xml:space="preserve"> to be documented for new market entrants seeking to interconnect with ILECs should be $25,000.</w:t>
      </w:r>
    </w:p>
    <w:p w:rsidR="00B50C9F" w:rsidP="0034726E" w:rsidRDefault="004D1AD5" w14:paraId="6BE17D08" w14:textId="519ED157">
      <w:pPr>
        <w:pStyle w:val="CoL"/>
      </w:pPr>
      <w:r w:rsidRPr="004D1AD5">
        <w:t xml:space="preserve">Disclosing the financial documents, as listed in </w:t>
      </w:r>
      <w:r w:rsidR="00C04D12">
        <w:t>Appendix</w:t>
      </w:r>
      <w:r w:rsidR="00844EAF">
        <w:t> </w:t>
      </w:r>
      <w:r w:rsidRPr="004D1AD5">
        <w:t xml:space="preserve">F of this decision, which reveals a </w:t>
      </w:r>
      <w:r w:rsidR="00522993">
        <w:t>Section</w:t>
      </w:r>
      <w:r w:rsidR="00844EAF">
        <w:t> </w:t>
      </w:r>
      <w:r w:rsidRPr="004D1AD5">
        <w:t>1013 or CPCN applicant’s financial resources, does not serve a public interest that substantially outweighs potentially putting the service provider at a competitive disadvantage by disclosing its financial status.</w:t>
      </w:r>
      <w:r w:rsidR="00844EAF">
        <w:t> </w:t>
      </w:r>
    </w:p>
    <w:p w:rsidR="00055CBB" w:rsidP="0034726E" w:rsidRDefault="004D1AD5" w14:paraId="4873C0C2" w14:textId="10C1B2C1">
      <w:pPr>
        <w:pStyle w:val="CoL"/>
      </w:pPr>
      <w:r w:rsidRPr="004D1AD5">
        <w:t>Disclosing information of a CPCN applicant’s estimated costs of construction and estimated customer numbers does not serve a public interest that substantially outweighs potentially putting the service provider at a competitive disadvantage by disclosing this type of business expense or market share information.</w:t>
      </w:r>
      <w:r w:rsidR="00844EAF">
        <w:t xml:space="preserve">  </w:t>
      </w:r>
    </w:p>
    <w:p w:rsidR="00055CBB" w:rsidP="0034726E" w:rsidRDefault="004D1AD5" w14:paraId="6774C8E3" w14:textId="5FC37C80">
      <w:pPr>
        <w:pStyle w:val="CoL"/>
      </w:pPr>
      <w:r w:rsidRPr="004D1AD5">
        <w:t xml:space="preserve">The financial documents, as listed in </w:t>
      </w:r>
      <w:r w:rsidR="00C04D12">
        <w:t>Appendix</w:t>
      </w:r>
      <w:r w:rsidR="00844EAF">
        <w:t> </w:t>
      </w:r>
      <w:r w:rsidRPr="004D1AD5">
        <w:t xml:space="preserve">F of this decision, which reveals a </w:t>
      </w:r>
      <w:r w:rsidR="00522993">
        <w:t>Section</w:t>
      </w:r>
      <w:r w:rsidR="00844EAF">
        <w:t> </w:t>
      </w:r>
      <w:r w:rsidRPr="004D1AD5">
        <w:t xml:space="preserve">1013 or CPCN applicant’s financial resources, and a CPCN applicant’s estimated costs of construction and estimated customer numbers qualify for and should be treated as presumptively confidential pursuant to </w:t>
      </w:r>
      <w:r w:rsidR="00424385">
        <w:t>GO </w:t>
      </w:r>
      <w:r w:rsidRPr="004D1AD5">
        <w:t>66</w:t>
      </w:r>
      <w:r w:rsidR="00844EAF">
        <w:noBreakHyphen/>
      </w:r>
      <w:r w:rsidRPr="004D1AD5">
        <w:t xml:space="preserve">D, </w:t>
      </w:r>
      <w:r w:rsidR="00522993">
        <w:t>Section</w:t>
      </w:r>
      <w:r w:rsidR="00844EAF">
        <w:t> </w:t>
      </w:r>
      <w:r w:rsidRPr="004D1AD5">
        <w:t>3.4.</w:t>
      </w:r>
    </w:p>
    <w:p w:rsidR="00055CBB" w:rsidP="0034726E" w:rsidRDefault="004D1AD5" w14:paraId="4B859A89" w14:textId="7CC979CC">
      <w:pPr>
        <w:pStyle w:val="CoL"/>
      </w:pPr>
      <w:r w:rsidRPr="004D1AD5">
        <w:t xml:space="preserve">Presumptively confidential information supporting </w:t>
      </w:r>
      <w:r w:rsidR="00522993">
        <w:t>Section</w:t>
      </w:r>
      <w:r w:rsidR="00844EAF">
        <w:t> </w:t>
      </w:r>
      <w:r w:rsidRPr="004D1AD5">
        <w:t xml:space="preserve">1013 and CPCN applications must be clearly identified </w:t>
      </w:r>
      <w:r w:rsidR="00012D43">
        <w:t xml:space="preserve">electronically or </w:t>
      </w:r>
      <w:r w:rsidRPr="004D1AD5">
        <w:t xml:space="preserve">by being submitted in a sealed envelope clearly marked “CONFIDENTIAL FINANCIAL AND BUSINESS INFORMATION – SUBMITTED UNDER SEAL PURSUANT TO </w:t>
      </w:r>
      <w:r w:rsidRPr="00CF659C" w:rsidR="00DF6710">
        <w:t>Decision xx</w:t>
      </w:r>
      <w:r w:rsidR="00844EAF">
        <w:noBreakHyphen/>
      </w:r>
      <w:r w:rsidRPr="00CF659C" w:rsidR="00DF6710">
        <w:t>xx</w:t>
      </w:r>
      <w:r w:rsidR="00844EAF">
        <w:noBreakHyphen/>
      </w:r>
      <w:r w:rsidRPr="00CF659C" w:rsidR="00DF6710">
        <w:t xml:space="preserve">xxx </w:t>
      </w:r>
      <w:r w:rsidRPr="001E14FE" w:rsidR="00DF6710">
        <w:rPr>
          <w:i/>
          <w:iCs/>
        </w:rPr>
        <w:t>[</w:t>
      </w:r>
      <w:r w:rsidRPr="001216AD" w:rsidR="00DF6710">
        <w:rPr>
          <w:i/>
          <w:iCs/>
        </w:rPr>
        <w:t>insert decision number of final decision in R.22</w:t>
      </w:r>
      <w:r w:rsidR="00844EAF">
        <w:rPr>
          <w:i/>
          <w:iCs/>
        </w:rPr>
        <w:noBreakHyphen/>
      </w:r>
      <w:r w:rsidRPr="001216AD" w:rsidR="00DF6710">
        <w:rPr>
          <w:i/>
          <w:iCs/>
        </w:rPr>
        <w:t>08</w:t>
      </w:r>
      <w:r w:rsidR="00844EAF">
        <w:rPr>
          <w:i/>
          <w:iCs/>
        </w:rPr>
        <w:noBreakHyphen/>
      </w:r>
      <w:r w:rsidRPr="001216AD" w:rsidR="00DF6710">
        <w:rPr>
          <w:i/>
          <w:iCs/>
        </w:rPr>
        <w:t>008 once issued]</w:t>
      </w:r>
      <w:r w:rsidRPr="004D1AD5">
        <w:t xml:space="preserve">” and must be accompanied by a public confidentiality declaration that specifies the </w:t>
      </w:r>
      <w:r w:rsidR="00012D43">
        <w:t xml:space="preserve">confidential </w:t>
      </w:r>
      <w:r w:rsidRPr="004D1AD5">
        <w:t>documents and cite to this decision as the basis for confidential treatment.</w:t>
      </w:r>
    </w:p>
    <w:p w:rsidRPr="004D1AD5" w:rsidR="004D1AD5" w:rsidP="0034726E" w:rsidRDefault="004D1AD5" w14:paraId="0165671A" w14:textId="402B65CD">
      <w:pPr>
        <w:pStyle w:val="CoL"/>
      </w:pPr>
      <w:r w:rsidRPr="004D1AD5">
        <w:lastRenderedPageBreak/>
        <w:t xml:space="preserve">Presumptively confidential information supporting </w:t>
      </w:r>
      <w:r w:rsidR="00522993">
        <w:t>Section</w:t>
      </w:r>
      <w:r w:rsidR="00844EAF">
        <w:t> </w:t>
      </w:r>
      <w:r w:rsidRPr="004D1AD5">
        <w:t xml:space="preserve">1013 and CPCN applications should be exempt from disclosure pursuant to </w:t>
      </w:r>
      <w:r w:rsidR="00424385">
        <w:t>GO </w:t>
      </w:r>
      <w:r w:rsidRPr="004D1AD5">
        <w:t>66</w:t>
      </w:r>
      <w:r w:rsidR="00844EAF">
        <w:noBreakHyphen/>
      </w:r>
      <w:r w:rsidRPr="004D1AD5">
        <w:t xml:space="preserve">D, </w:t>
      </w:r>
      <w:r w:rsidR="00522993">
        <w:t>Section</w:t>
      </w:r>
      <w:r w:rsidR="00844EAF">
        <w:t> </w:t>
      </w:r>
      <w:r w:rsidRPr="004D1AD5">
        <w:t xml:space="preserve">3.4, </w:t>
      </w:r>
      <w:r w:rsidR="00522993">
        <w:t>Section</w:t>
      </w:r>
      <w:r w:rsidR="00844EAF">
        <w:t> </w:t>
      </w:r>
      <w:r w:rsidRPr="004D1AD5">
        <w:t>5</w:t>
      </w:r>
      <w:r w:rsidR="00522993">
        <w:t>,</w:t>
      </w:r>
      <w:r w:rsidRPr="004D1AD5">
        <w:t xml:space="preserve"> and </w:t>
      </w:r>
      <w:r w:rsidR="00522993">
        <w:t>Section</w:t>
      </w:r>
      <w:r w:rsidR="00844EAF">
        <w:t> </w:t>
      </w:r>
      <w:r w:rsidRPr="004D1AD5">
        <w:t>6, including requests for Commission records pursuant to the California Public Records Act.</w:t>
      </w:r>
    </w:p>
    <w:p w:rsidR="00A96B31" w:rsidP="0034726E" w:rsidRDefault="001A0CD4" w14:paraId="787DA7FC" w14:textId="5B2D2F8B">
      <w:pPr>
        <w:pStyle w:val="CoL"/>
      </w:pPr>
      <w:r>
        <w:t xml:space="preserve">All telephone corporations should annually update performance bond documentation via a </w:t>
      </w:r>
      <w:r w:rsidR="005F2D22">
        <w:t>Tier 1</w:t>
      </w:r>
      <w:r>
        <w:t xml:space="preserve"> advice letter to confirm the </w:t>
      </w:r>
      <w:r w:rsidRPr="0B10B0AF">
        <w:t>performance bond is still in full force and effect including, but not limited to</w:t>
      </w:r>
      <w:r w:rsidR="005B279F">
        <w:t>,</w:t>
      </w:r>
      <w:r>
        <w:t xml:space="preserve"> </w:t>
      </w:r>
      <w:r w:rsidRPr="0B10B0AF">
        <w:t>a continuation certificate, payment invoice, or other documentation</w:t>
      </w:r>
      <w:r>
        <w:t>.</w:t>
      </w:r>
    </w:p>
    <w:p w:rsidR="00492D39" w:rsidP="0034726E" w:rsidRDefault="00492D39" w14:paraId="6E13FD86" w14:textId="4DAC4905">
      <w:pPr>
        <w:pStyle w:val="CoL"/>
      </w:pPr>
      <w:r>
        <w:t>CPCN applica</w:t>
      </w:r>
      <w:r w:rsidR="00884DBB">
        <w:t>nts</w:t>
      </w:r>
      <w:r w:rsidR="00730F11">
        <w:t>, including all providers of telephone service including interconnected VoIP</w:t>
      </w:r>
      <w:r w:rsidR="00221CF7">
        <w:t xml:space="preserve"> service</w:t>
      </w:r>
      <w:r w:rsidR="00730F11">
        <w:t>,</w:t>
      </w:r>
      <w:r w:rsidR="00884DBB">
        <w:t xml:space="preserve"> should be allowed to utilize the Commission</w:t>
      </w:r>
      <w:r w:rsidR="00893D67">
        <w:t>’</w:t>
      </w:r>
      <w:r w:rsidR="00884DBB">
        <w:t>s 21</w:t>
      </w:r>
      <w:r w:rsidR="00844EAF">
        <w:noBreakHyphen/>
      </w:r>
      <w:r w:rsidR="00EC05B0">
        <w:t>d</w:t>
      </w:r>
      <w:r w:rsidR="00884DBB">
        <w:t xml:space="preserve">ay </w:t>
      </w:r>
      <w:r w:rsidR="00EC05B0">
        <w:t xml:space="preserve">expedited </w:t>
      </w:r>
      <w:r w:rsidR="00884DBB">
        <w:t xml:space="preserve">CEQA </w:t>
      </w:r>
      <w:r w:rsidR="00EC05B0">
        <w:t>r</w:t>
      </w:r>
      <w:r w:rsidR="00884DBB">
        <w:t>eview process if</w:t>
      </w:r>
      <w:r>
        <w:t xml:space="preserve"> their proposed </w:t>
      </w:r>
      <w:r w:rsidR="00510C3B">
        <w:t xml:space="preserve">full </w:t>
      </w:r>
      <w:r>
        <w:t>facilities</w:t>
      </w:r>
      <w:r w:rsidR="006951D5">
        <w:noBreakHyphen/>
      </w:r>
      <w:r>
        <w:t>based project activities are highly likely to qualify for a</w:t>
      </w:r>
      <w:r w:rsidR="00BF2923">
        <w:t xml:space="preserve"> categorical</w:t>
      </w:r>
      <w:r>
        <w:t xml:space="preserve"> exemption </w:t>
      </w:r>
      <w:r w:rsidR="0075593A">
        <w:t>under</w:t>
      </w:r>
      <w:r>
        <w:t xml:space="preserve"> CEQA</w:t>
      </w:r>
      <w:r w:rsidR="008B43CF">
        <w:t xml:space="preserve"> review</w:t>
      </w:r>
      <w:r>
        <w:t>.</w:t>
      </w:r>
    </w:p>
    <w:p w:rsidR="001A0CD4" w:rsidP="0034726E" w:rsidRDefault="001A0CD4" w14:paraId="1DD6DA17" w14:textId="69756A8B">
      <w:pPr>
        <w:pStyle w:val="CoL"/>
      </w:pPr>
      <w:r>
        <w:t xml:space="preserve">The Commission should delegate authority to the Communications Division to modify the CPCN application form, the </w:t>
      </w:r>
      <w:r w:rsidR="00522993">
        <w:t>Section </w:t>
      </w:r>
      <w:r>
        <w:t xml:space="preserve">1013 registration form, the </w:t>
      </w:r>
      <w:r w:rsidR="00D539B6">
        <w:t>N</w:t>
      </w:r>
      <w:r>
        <w:t xml:space="preserve">omadic </w:t>
      </w:r>
      <w:r w:rsidR="00D539B6">
        <w:t>R</w:t>
      </w:r>
      <w:r>
        <w:t>egistration form</w:t>
      </w:r>
      <w:r w:rsidR="005B279F">
        <w:t>,</w:t>
      </w:r>
      <w:r>
        <w:t xml:space="preserve"> and the WIR </w:t>
      </w:r>
      <w:r w:rsidR="006F0502">
        <w:t xml:space="preserve">form </w:t>
      </w:r>
      <w:r>
        <w:t>to clarify its contents, improve the accessibility of the document in electronic form, or make other changes as are necessary and consistent with Commission decisions.</w:t>
      </w:r>
    </w:p>
    <w:p w:rsidR="00AA3090" w:rsidP="0034726E" w:rsidRDefault="00AA3090" w14:paraId="7076916D" w14:textId="22579E96">
      <w:pPr>
        <w:pStyle w:val="CoL"/>
      </w:pPr>
      <w:r>
        <w:t>Th</w:t>
      </w:r>
      <w:r w:rsidR="006B1199">
        <w:t>e</w:t>
      </w:r>
      <w:r>
        <w:t xml:space="preserve"> Commission should create a formal registration process for </w:t>
      </w:r>
      <w:r w:rsidR="000950B9">
        <w:t>n</w:t>
      </w:r>
      <w:r w:rsidR="003B77AB">
        <w:t>omadic</w:t>
      </w:r>
      <w:r w:rsidR="006951D5">
        <w:noBreakHyphen/>
      </w:r>
      <w:r w:rsidR="000950B9">
        <w:t>o</w:t>
      </w:r>
      <w:r w:rsidR="003B77AB">
        <w:t xml:space="preserve">nly Interconnected </w:t>
      </w:r>
      <w:r>
        <w:t>VoIP</w:t>
      </w:r>
      <w:r w:rsidR="000950B9">
        <w:t xml:space="preserve"> service providers</w:t>
      </w:r>
      <w:r>
        <w:t>.</w:t>
      </w:r>
    </w:p>
    <w:p w:rsidRPr="00E15DAD" w:rsidR="003019B1" w:rsidP="0034726E" w:rsidRDefault="003019B1" w14:paraId="3E43350D" w14:textId="3923B6BD">
      <w:pPr>
        <w:pStyle w:val="CoL"/>
      </w:pPr>
      <w:r>
        <w:t xml:space="preserve">The </w:t>
      </w:r>
      <w:r w:rsidR="004F33A8">
        <w:t xml:space="preserve">formal registration process for </w:t>
      </w:r>
      <w:r w:rsidR="00E5338A">
        <w:t>n</w:t>
      </w:r>
      <w:r w:rsidR="00F90743">
        <w:t>omadic</w:t>
      </w:r>
      <w:r w:rsidR="006951D5">
        <w:noBreakHyphen/>
      </w:r>
      <w:r w:rsidR="000950B9">
        <w:t>o</w:t>
      </w:r>
      <w:r w:rsidR="00F90743">
        <w:t xml:space="preserve">nly Interconnected </w:t>
      </w:r>
      <w:r w:rsidR="004F33A8">
        <w:t xml:space="preserve">VoIP </w:t>
      </w:r>
      <w:r w:rsidR="00AF4A9A">
        <w:t xml:space="preserve">service providers </w:t>
      </w:r>
      <w:r w:rsidR="004F33A8">
        <w:t xml:space="preserve">should be called </w:t>
      </w:r>
      <w:r w:rsidR="00803BD3">
        <w:t>Nomadic Registration</w:t>
      </w:r>
      <w:r>
        <w:t>.</w:t>
      </w:r>
    </w:p>
    <w:p w:rsidR="00A96B31" w:rsidP="0034726E" w:rsidRDefault="00AA3090" w14:paraId="7D79E4AE" w14:textId="77777777">
      <w:pPr>
        <w:pStyle w:val="CoL"/>
      </w:pPr>
      <w:r>
        <w:t xml:space="preserve">The Commission should delegate processing of </w:t>
      </w:r>
      <w:bookmarkStart w:name="_Hlk171516798" w:id="250"/>
      <w:r w:rsidR="00803BD3">
        <w:t>Nomadic Registration</w:t>
      </w:r>
      <w:r>
        <w:t xml:space="preserve"> </w:t>
      </w:r>
      <w:bookmarkEnd w:id="250"/>
      <w:r>
        <w:t>to the Director of the Communications Division (or its successor).</w:t>
      </w:r>
    </w:p>
    <w:p w:rsidR="00494AEE" w:rsidP="0034726E" w:rsidRDefault="00494AEE" w14:paraId="337EB6E0" w14:textId="77777777">
      <w:pPr>
        <w:pStyle w:val="CoL"/>
      </w:pPr>
      <w:r>
        <w:t>Pending CPCN applications of companies offering nomadic-only interconnected VoIP service should be dismissed.</w:t>
      </w:r>
    </w:p>
    <w:p w:rsidR="00AA3090" w:rsidP="0034726E" w:rsidRDefault="00AA3090" w14:paraId="309118A0" w14:textId="1BD0C769">
      <w:pPr>
        <w:pStyle w:val="CoL"/>
      </w:pPr>
      <w:r>
        <w:lastRenderedPageBreak/>
        <w:t xml:space="preserve">Upon approval by the </w:t>
      </w:r>
      <w:r w:rsidR="000F4074">
        <w:t>Director of the Communications Division</w:t>
      </w:r>
      <w:r>
        <w:t xml:space="preserve">, </w:t>
      </w:r>
      <w:r w:rsidR="00E5338A">
        <w:t>n</w:t>
      </w:r>
      <w:r w:rsidR="0019077E">
        <w:t>omadic</w:t>
      </w:r>
      <w:r w:rsidR="006951D5">
        <w:noBreakHyphen/>
      </w:r>
      <w:r w:rsidR="00AF4A9A">
        <w:t>o</w:t>
      </w:r>
      <w:r w:rsidR="0019077E">
        <w:t xml:space="preserve">nly Interconnected </w:t>
      </w:r>
      <w:r>
        <w:t xml:space="preserve">VoIP </w:t>
      </w:r>
      <w:r w:rsidR="00676CEA">
        <w:t xml:space="preserve">service providers </w:t>
      </w:r>
      <w:r>
        <w:t xml:space="preserve">should be issued a </w:t>
      </w:r>
      <w:r w:rsidR="00F93F90">
        <w:t>Utility ID Number</w:t>
      </w:r>
      <w:r>
        <w:t xml:space="preserve"> and utility type code DVN.</w:t>
      </w:r>
    </w:p>
    <w:p w:rsidRPr="00E002B9" w:rsidR="00F40048" w:rsidP="0034726E" w:rsidRDefault="00F40048" w14:paraId="19AB0EF8" w14:textId="5BED3CA4">
      <w:pPr>
        <w:pStyle w:val="CoL"/>
      </w:pPr>
      <w:r w:rsidRPr="00E002B9">
        <w:t xml:space="preserve">The Nomadic </w:t>
      </w:r>
      <w:r w:rsidR="00E002B9">
        <w:t>R</w:t>
      </w:r>
      <w:r w:rsidRPr="00E002B9">
        <w:t xml:space="preserve">egistration fee </w:t>
      </w:r>
      <w:r w:rsidR="005B279F">
        <w:t>should be</w:t>
      </w:r>
      <w:r w:rsidRPr="00E002B9" w:rsidR="005B279F">
        <w:t xml:space="preserve"> </w:t>
      </w:r>
      <w:r w:rsidRPr="00E002B9">
        <w:t>set at $250, and increase annually using the United States Bureau of Labor Statistics Consumer Price Index</w:t>
      </w:r>
      <w:r w:rsidR="00844EAF">
        <w:noBreakHyphen/>
      </w:r>
      <w:r w:rsidRPr="00E002B9">
        <w:t xml:space="preserve">U calculator unless the Commission makes a finding stating otherwise. The Commission </w:t>
      </w:r>
      <w:r w:rsidR="005B279F">
        <w:t>should</w:t>
      </w:r>
      <w:r w:rsidRPr="00E002B9" w:rsidR="005B279F">
        <w:t xml:space="preserve"> </w:t>
      </w:r>
      <w:r w:rsidRPr="00E002B9">
        <w:t xml:space="preserve">update the Nomadic </w:t>
      </w:r>
      <w:r w:rsidR="00582257">
        <w:t>R</w:t>
      </w:r>
      <w:r w:rsidRPr="00E002B9">
        <w:t xml:space="preserve">egistration fee </w:t>
      </w:r>
      <w:r w:rsidR="0086609A">
        <w:t xml:space="preserve">annually </w:t>
      </w:r>
      <w:r w:rsidRPr="00E002B9">
        <w:t xml:space="preserve">on </w:t>
      </w:r>
      <w:r w:rsidR="00424385">
        <w:t>July</w:t>
      </w:r>
      <w:r w:rsidR="00844EAF">
        <w:t> </w:t>
      </w:r>
      <w:r w:rsidR="0086609A">
        <w:t>1,</w:t>
      </w:r>
      <w:r w:rsidR="00CE4A2B">
        <w:t xml:space="preserve"> </w:t>
      </w:r>
      <w:r w:rsidRPr="00E002B9">
        <w:t xml:space="preserve">post the new fee on the Commission’s website by </w:t>
      </w:r>
      <w:r w:rsidR="00424385">
        <w:t>July</w:t>
      </w:r>
      <w:r w:rsidR="00844EAF">
        <w:t> </w:t>
      </w:r>
      <w:r w:rsidRPr="00E002B9">
        <w:t>15</w:t>
      </w:r>
      <w:r w:rsidR="0086609A">
        <w:t>,</w:t>
      </w:r>
      <w:r w:rsidRPr="00E002B9">
        <w:t xml:space="preserve"> and make the new fee effective as of </w:t>
      </w:r>
      <w:r w:rsidR="00424385">
        <w:t>August</w:t>
      </w:r>
      <w:r w:rsidR="00844EAF">
        <w:t> </w:t>
      </w:r>
      <w:r w:rsidRPr="00E002B9">
        <w:t>1.</w:t>
      </w:r>
    </w:p>
    <w:p w:rsidRPr="00E002B9" w:rsidR="00F40048" w:rsidP="0034726E" w:rsidRDefault="00F40048" w14:paraId="442F96C2" w14:textId="13442CE2">
      <w:pPr>
        <w:pStyle w:val="CoL"/>
      </w:pPr>
      <w:r w:rsidRPr="00E002B9">
        <w:t xml:space="preserve">The fee for </w:t>
      </w:r>
      <w:r w:rsidR="00522993">
        <w:t>Section</w:t>
      </w:r>
      <w:r w:rsidR="00844EAF">
        <w:t> </w:t>
      </w:r>
      <w:r w:rsidRPr="00E002B9">
        <w:t xml:space="preserve">1013 </w:t>
      </w:r>
      <w:r w:rsidR="00E002B9">
        <w:t>r</w:t>
      </w:r>
      <w:r w:rsidRPr="00E002B9">
        <w:t xml:space="preserve">egistrations </w:t>
      </w:r>
      <w:r w:rsidR="00802795">
        <w:t xml:space="preserve">and WIRs </w:t>
      </w:r>
      <w:r w:rsidR="005B279F">
        <w:t>should</w:t>
      </w:r>
      <w:r w:rsidRPr="00E002B9" w:rsidR="005B279F">
        <w:t xml:space="preserve"> </w:t>
      </w:r>
      <w:r w:rsidRPr="00E002B9">
        <w:t xml:space="preserve">be the same as that set for Nomadic </w:t>
      </w:r>
      <w:r w:rsidR="00582257">
        <w:t>R</w:t>
      </w:r>
      <w:r w:rsidRPr="00E002B9">
        <w:t>egistrations</w:t>
      </w:r>
      <w:r w:rsidRPr="00E002B9" w:rsidR="00AD37AD">
        <w:t>, and on the same schedule</w:t>
      </w:r>
      <w:r w:rsidRPr="00D539B6" w:rsidR="009D2FED">
        <w:t>, unless the Commission makes a finding stating otherwise</w:t>
      </w:r>
      <w:r w:rsidRPr="00E002B9">
        <w:t>.</w:t>
      </w:r>
      <w:bookmarkEnd w:id="249"/>
    </w:p>
    <w:p w:rsidRPr="00644815" w:rsidR="00644815" w:rsidP="001E7AF8" w:rsidRDefault="00644815" w14:paraId="4246B8EF" w14:textId="03AAB98D">
      <w:pPr>
        <w:pStyle w:val="SectionTitle"/>
      </w:pPr>
      <w:r>
        <w:t>Migration</w:t>
      </w:r>
    </w:p>
    <w:p w:rsidR="00B44D21" w:rsidP="0034726E" w:rsidRDefault="00B44D21" w14:paraId="466AC6C7" w14:textId="44098AD9">
      <w:pPr>
        <w:pStyle w:val="CoL"/>
      </w:pPr>
      <w:r>
        <w:t xml:space="preserve">Prior </w:t>
      </w:r>
      <w:r w:rsidR="00522993">
        <w:t>Section </w:t>
      </w:r>
      <w:r>
        <w:t xml:space="preserve">285 registrants, with the exception of </w:t>
      </w:r>
      <w:r w:rsidR="00AF4A9A">
        <w:t>n</w:t>
      </w:r>
      <w:r w:rsidR="002D3F88">
        <w:t>omadic</w:t>
      </w:r>
      <w:r w:rsidR="006951D5">
        <w:noBreakHyphen/>
      </w:r>
      <w:r w:rsidR="00AF4A9A">
        <w:t>o</w:t>
      </w:r>
      <w:r w:rsidR="002D3F88">
        <w:t xml:space="preserve">nly Interconnected </w:t>
      </w:r>
      <w:r>
        <w:t xml:space="preserve">VoIP </w:t>
      </w:r>
      <w:r w:rsidR="00FE1976">
        <w:t xml:space="preserve">service </w:t>
      </w:r>
      <w:r>
        <w:t xml:space="preserve">providers, </w:t>
      </w:r>
      <w:r w:rsidR="00A80498">
        <w:t xml:space="preserve">listed in </w:t>
      </w:r>
      <w:r w:rsidR="00C04D12">
        <w:t>Appendix </w:t>
      </w:r>
      <w:r w:rsidR="00A80498">
        <w:t xml:space="preserve">D of this decision </w:t>
      </w:r>
      <w:r>
        <w:t>should be automatically migrated to DVF utility type and operating authority</w:t>
      </w:r>
      <w:r w:rsidR="00612295">
        <w:t xml:space="preserve"> 45 </w:t>
      </w:r>
      <w:r w:rsidR="00802795">
        <w:t xml:space="preserve">calendar </w:t>
      </w:r>
      <w:r w:rsidR="00612295">
        <w:t>days after the date of issuance of today</w:t>
      </w:r>
      <w:r w:rsidR="00893D67">
        <w:t>’</w:t>
      </w:r>
      <w:r w:rsidR="00612295">
        <w:t>s decision unless the provider opts</w:t>
      </w:r>
      <w:r w:rsidR="006951D5">
        <w:noBreakHyphen/>
      </w:r>
      <w:r w:rsidR="00612295">
        <w:t xml:space="preserve">out of </w:t>
      </w:r>
      <w:r w:rsidR="003E7502">
        <w:t xml:space="preserve">automatic </w:t>
      </w:r>
      <w:r w:rsidR="00612295">
        <w:t>migration</w:t>
      </w:r>
      <w:r>
        <w:t>.</w:t>
      </w:r>
    </w:p>
    <w:p w:rsidR="00B44D21" w:rsidP="0034726E" w:rsidRDefault="00B44D21" w14:paraId="09589018" w14:textId="6DCB3227">
      <w:pPr>
        <w:pStyle w:val="CoL"/>
      </w:pPr>
      <w:r>
        <w:t xml:space="preserve">Prior </w:t>
      </w:r>
      <w:r w:rsidR="00522993">
        <w:t>Section </w:t>
      </w:r>
      <w:r>
        <w:t xml:space="preserve">285 registrants </w:t>
      </w:r>
      <w:r w:rsidR="00BA15DC">
        <w:t>opting</w:t>
      </w:r>
      <w:r w:rsidR="006951D5">
        <w:noBreakHyphen/>
      </w:r>
      <w:r w:rsidR="00BA15DC">
        <w:t xml:space="preserve">out of </w:t>
      </w:r>
      <w:r w:rsidR="00612295">
        <w:t xml:space="preserve">automatic </w:t>
      </w:r>
      <w:r>
        <w:t>migrat</w:t>
      </w:r>
      <w:r w:rsidR="00BA15DC">
        <w:t>ion</w:t>
      </w:r>
      <w:r>
        <w:t xml:space="preserve"> </w:t>
      </w:r>
      <w:r w:rsidR="00BA15DC">
        <w:t xml:space="preserve">within 45 days of </w:t>
      </w:r>
      <w:r w:rsidR="00BB0E67">
        <w:t>the date of issuance of today</w:t>
      </w:r>
      <w:r w:rsidR="00893D67">
        <w:t>’</w:t>
      </w:r>
      <w:r w:rsidR="00BB0E67">
        <w:t xml:space="preserve">s decision </w:t>
      </w:r>
      <w:r w:rsidR="008F5D3E">
        <w:t xml:space="preserve">should be designated as </w:t>
      </w:r>
      <w:r w:rsidR="006302CE">
        <w:t>DVN utility type</w:t>
      </w:r>
      <w:r w:rsidR="00C76281">
        <w:t>,</w:t>
      </w:r>
      <w:r w:rsidR="006302CE">
        <w:t xml:space="preserve"> if appropriate</w:t>
      </w:r>
      <w:r>
        <w:t>.</w:t>
      </w:r>
    </w:p>
    <w:p w:rsidR="00055CBB" w:rsidP="0034726E" w:rsidRDefault="00802795" w14:paraId="4F0B04F8" w14:textId="373C513F">
      <w:pPr>
        <w:pStyle w:val="CoL"/>
      </w:pPr>
      <w:r>
        <w:t xml:space="preserve">Prior </w:t>
      </w:r>
      <w:r w:rsidR="00522993">
        <w:t>Section</w:t>
      </w:r>
      <w:r w:rsidR="00844EAF">
        <w:t> </w:t>
      </w:r>
      <w:r>
        <w:t xml:space="preserve">285 registrants who do not want to continue providing interconnected VoIP services in California and seek to voluntarily surrender their prior </w:t>
      </w:r>
      <w:r w:rsidR="00522993">
        <w:t>Section</w:t>
      </w:r>
      <w:r w:rsidR="00844EAF">
        <w:t> </w:t>
      </w:r>
      <w:r>
        <w:t>285 registration should opt</w:t>
      </w:r>
      <w:r w:rsidR="00844EAF">
        <w:noBreakHyphen/>
      </w:r>
      <w:r>
        <w:t>out from the automatic migration within 45 calendar days of the date of issuance of today’s decision.</w:t>
      </w:r>
    </w:p>
    <w:p w:rsidR="00B44D21" w:rsidP="0034726E" w:rsidRDefault="00B44D21" w14:paraId="4AAD083B" w14:textId="22EC788C">
      <w:pPr>
        <w:pStyle w:val="CoL"/>
      </w:pPr>
      <w:r>
        <w:lastRenderedPageBreak/>
        <w:t xml:space="preserve">CPCN holders and </w:t>
      </w:r>
      <w:r w:rsidR="00522993">
        <w:t>Section </w:t>
      </w:r>
      <w:r>
        <w:t xml:space="preserve">1013 registrants qualifying as </w:t>
      </w:r>
      <w:r w:rsidR="00AF4A9A">
        <w:t>fixed i</w:t>
      </w:r>
      <w:r w:rsidR="00085EAC">
        <w:t xml:space="preserve">nterconnected </w:t>
      </w:r>
      <w:r>
        <w:t xml:space="preserve">VoIP </w:t>
      </w:r>
      <w:r w:rsidR="00AF4A9A">
        <w:t xml:space="preserve">service </w:t>
      </w:r>
      <w:r>
        <w:t>providers</w:t>
      </w:r>
      <w:r w:rsidR="008C673B">
        <w:t>,</w:t>
      </w:r>
      <w:r>
        <w:t xml:space="preserve"> </w:t>
      </w:r>
      <w:r w:rsidR="00A80498">
        <w:t xml:space="preserve">listed in </w:t>
      </w:r>
      <w:r w:rsidR="00C04D12">
        <w:t>Appendix </w:t>
      </w:r>
      <w:r w:rsidR="00A80498">
        <w:t>E of this decision</w:t>
      </w:r>
      <w:r w:rsidR="008C673B">
        <w:t>,</w:t>
      </w:r>
      <w:r w:rsidR="00A80498">
        <w:t xml:space="preserve"> </w:t>
      </w:r>
      <w:r>
        <w:t xml:space="preserve">should </w:t>
      </w:r>
      <w:r w:rsidR="00AF4A9A">
        <w:t xml:space="preserve">retain </w:t>
      </w:r>
      <w:r w:rsidR="003E7502">
        <w:t xml:space="preserve">their operating </w:t>
      </w:r>
      <w:r w:rsidR="00C76281">
        <w:t xml:space="preserve">authority </w:t>
      </w:r>
      <w:r w:rsidR="003E7502">
        <w:t xml:space="preserve">and be </w:t>
      </w:r>
      <w:r w:rsidR="00A80498">
        <w:t xml:space="preserve">automatically </w:t>
      </w:r>
      <w:r>
        <w:t>migrated to DV</w:t>
      </w:r>
      <w:r w:rsidR="00AF4A9A">
        <w:t>F</w:t>
      </w:r>
      <w:r>
        <w:t xml:space="preserve"> utility type </w:t>
      </w:r>
      <w:r w:rsidR="003E7502">
        <w:t>45 days after the date of issuance of today</w:t>
      </w:r>
      <w:r w:rsidR="00893D67">
        <w:t>’</w:t>
      </w:r>
      <w:r w:rsidR="003E7502">
        <w:t>s decision</w:t>
      </w:r>
      <w:r w:rsidR="003B1E77">
        <w:t>,</w:t>
      </w:r>
      <w:r w:rsidR="003E7502">
        <w:t xml:space="preserve"> unless the provider opts</w:t>
      </w:r>
      <w:r w:rsidR="006951D5">
        <w:noBreakHyphen/>
      </w:r>
      <w:r w:rsidR="003E7502">
        <w:t>out of automatic migration</w:t>
      </w:r>
      <w:r>
        <w:t>.</w:t>
      </w:r>
    </w:p>
    <w:p w:rsidR="00502D68" w:rsidP="0034726E" w:rsidRDefault="00374FD1" w14:paraId="2FB42284" w14:textId="774C8E96">
      <w:pPr>
        <w:pStyle w:val="CoL"/>
      </w:pPr>
      <w:r>
        <w:t>Existing C</w:t>
      </w:r>
      <w:r w:rsidR="00502D68">
        <w:t xml:space="preserve">PCN holders and </w:t>
      </w:r>
      <w:r w:rsidR="00EE3114">
        <w:t>Section </w:t>
      </w:r>
      <w:r w:rsidR="00502D68">
        <w:t>1013 registrants opting</w:t>
      </w:r>
      <w:r w:rsidR="006951D5">
        <w:noBreakHyphen/>
      </w:r>
      <w:r w:rsidR="00502D68">
        <w:t xml:space="preserve">out of automatic migration within 45 </w:t>
      </w:r>
      <w:r w:rsidR="00D1735E">
        <w:t xml:space="preserve">calendar </w:t>
      </w:r>
      <w:r w:rsidR="00502D68">
        <w:t>days of the date of issuance of today</w:t>
      </w:r>
      <w:r w:rsidR="00893D67">
        <w:t>’</w:t>
      </w:r>
      <w:r w:rsidR="00502D68">
        <w:t>s decision should</w:t>
      </w:r>
      <w:r w:rsidR="00D1735E">
        <w:t xml:space="preserve"> have their utility type changed from IER to DVN and have their operating authority revoked</w:t>
      </w:r>
      <w:r w:rsidR="00502D68">
        <w:t>.</w:t>
      </w:r>
    </w:p>
    <w:p w:rsidR="00055CBB" w:rsidP="0034726E" w:rsidRDefault="006302CE" w14:paraId="22912823" w14:textId="2005A66B">
      <w:pPr>
        <w:pStyle w:val="CoL"/>
      </w:pPr>
      <w:r>
        <w:t xml:space="preserve">The Commission should not grant any pending CPCN applications and </w:t>
      </w:r>
      <w:r w:rsidR="00EE3114">
        <w:t>Section </w:t>
      </w:r>
      <w:r>
        <w:t xml:space="preserve">1013 registrations of </w:t>
      </w:r>
      <w:r w:rsidR="00E5338A">
        <w:t>non</w:t>
      </w:r>
      <w:r w:rsidR="006951D5">
        <w:noBreakHyphen/>
      </w:r>
      <w:r w:rsidR="00E5338A">
        <w:t>fac</w:t>
      </w:r>
      <w:r>
        <w:t>ilities</w:t>
      </w:r>
      <w:r w:rsidR="006951D5">
        <w:noBreakHyphen/>
      </w:r>
      <w:r>
        <w:t xml:space="preserve">based </w:t>
      </w:r>
      <w:r w:rsidR="00582257">
        <w:t>n</w:t>
      </w:r>
      <w:r w:rsidR="00085EAC">
        <w:t>omadic</w:t>
      </w:r>
      <w:r w:rsidR="006951D5">
        <w:noBreakHyphen/>
      </w:r>
      <w:r w:rsidR="00582257">
        <w:t>o</w:t>
      </w:r>
      <w:r w:rsidR="00085EAC">
        <w:t xml:space="preserve">nly </w:t>
      </w:r>
      <w:r w:rsidR="00582257">
        <w:t>i</w:t>
      </w:r>
      <w:r w:rsidR="00085EAC">
        <w:t>nterconnected</w:t>
      </w:r>
      <w:r>
        <w:t xml:space="preserve"> VoIP providers.</w:t>
      </w:r>
    </w:p>
    <w:p w:rsidRPr="00D539B6" w:rsidR="001871F9" w:rsidP="0034726E" w:rsidRDefault="001871F9" w14:paraId="098B7CDE" w14:textId="6B202C93">
      <w:pPr>
        <w:pStyle w:val="CoL"/>
      </w:pPr>
      <w:r w:rsidRPr="00D539B6">
        <w:t xml:space="preserve">The Commission should </w:t>
      </w:r>
      <w:r w:rsidR="00310E8E">
        <w:t xml:space="preserve">annually </w:t>
      </w:r>
      <w:r w:rsidRPr="00D539B6">
        <w:t xml:space="preserve">update the Nomadic </w:t>
      </w:r>
      <w:r>
        <w:t xml:space="preserve">Registration </w:t>
      </w:r>
      <w:r w:rsidRPr="00D539B6">
        <w:t xml:space="preserve">fee on </w:t>
      </w:r>
      <w:r w:rsidR="00424385">
        <w:t>July</w:t>
      </w:r>
      <w:r w:rsidR="00844EAF">
        <w:t> </w:t>
      </w:r>
      <w:r w:rsidRPr="00D539B6">
        <w:t>1</w:t>
      </w:r>
      <w:r w:rsidR="00310E8E">
        <w:t>,</w:t>
      </w:r>
      <w:r w:rsidRPr="00D539B6">
        <w:t xml:space="preserve"> post the new fee on the Commission’s website by </w:t>
      </w:r>
      <w:r w:rsidR="00424385">
        <w:t>July</w:t>
      </w:r>
      <w:r w:rsidR="00844EAF">
        <w:t> </w:t>
      </w:r>
      <w:r w:rsidRPr="00D539B6">
        <w:t>15</w:t>
      </w:r>
      <w:r w:rsidR="00310E8E">
        <w:t>,</w:t>
      </w:r>
      <w:r w:rsidRPr="00D539B6">
        <w:t xml:space="preserve"> and make the new fee effective as of </w:t>
      </w:r>
      <w:r w:rsidR="00424385">
        <w:t>August</w:t>
      </w:r>
      <w:r w:rsidR="00844EAF">
        <w:t> </w:t>
      </w:r>
      <w:r w:rsidRPr="00D539B6">
        <w:t>1.</w:t>
      </w:r>
    </w:p>
    <w:p w:rsidRPr="00D539B6" w:rsidR="001871F9" w:rsidP="0034726E" w:rsidRDefault="001871F9" w14:paraId="4741F7E9" w14:textId="5AABE2CC">
      <w:pPr>
        <w:pStyle w:val="CoL"/>
      </w:pPr>
      <w:r w:rsidRPr="00D539B6">
        <w:t xml:space="preserve">The fee for </w:t>
      </w:r>
      <w:r w:rsidR="00522993">
        <w:t>Section</w:t>
      </w:r>
      <w:r w:rsidR="00844EAF">
        <w:t> </w:t>
      </w:r>
      <w:r w:rsidRPr="00D539B6">
        <w:t xml:space="preserve">1013 </w:t>
      </w:r>
      <w:r>
        <w:t>r</w:t>
      </w:r>
      <w:r w:rsidRPr="00D539B6">
        <w:t xml:space="preserve">egistrations </w:t>
      </w:r>
      <w:r w:rsidR="009807D1">
        <w:t xml:space="preserve">and WIRs </w:t>
      </w:r>
      <w:r w:rsidRPr="00D539B6">
        <w:t xml:space="preserve">should be the same as that set for Nomadic </w:t>
      </w:r>
      <w:r>
        <w:t>R</w:t>
      </w:r>
      <w:r w:rsidRPr="00D539B6">
        <w:t>egistrations, unless the Commission makes a finding stating otherwise.</w:t>
      </w:r>
    </w:p>
    <w:p w:rsidRPr="009643DA" w:rsidR="00846C56" w:rsidP="00A11E88" w:rsidRDefault="00204C97" w14:paraId="6F046165" w14:textId="78613A3E">
      <w:pPr>
        <w:pStyle w:val="SectionTitle"/>
      </w:pPr>
      <w:r>
        <w:t xml:space="preserve">Interconnected VoIP </w:t>
      </w:r>
      <w:r w:rsidR="00A81236">
        <w:t xml:space="preserve">Service </w:t>
      </w:r>
      <w:r>
        <w:t>Provider</w:t>
      </w:r>
      <w:r w:rsidR="00EE4A9A">
        <w:t>s</w:t>
      </w:r>
      <w:r w:rsidR="00A11E88">
        <w:t>’</w:t>
      </w:r>
      <w:r>
        <w:t xml:space="preserve"> </w:t>
      </w:r>
      <w:r w:rsidR="00C47FF9">
        <w:t>Regulatory Obligation</w:t>
      </w:r>
      <w:r>
        <w:t>s</w:t>
      </w:r>
    </w:p>
    <w:p w:rsidR="00C55C90" w:rsidP="0034726E" w:rsidRDefault="009A0D48" w14:paraId="2F05FAC4" w14:textId="20656FED">
      <w:pPr>
        <w:pStyle w:val="CoL"/>
      </w:pPr>
      <w:r>
        <w:t>Except for nomadic</w:t>
      </w:r>
      <w:r w:rsidR="006951D5">
        <w:noBreakHyphen/>
      </w:r>
      <w:r>
        <w:t>only interconnected VoIP providers, a</w:t>
      </w:r>
      <w:r w:rsidR="00615D44">
        <w:t>ll</w:t>
      </w:r>
      <w:r>
        <w:t xml:space="preserve"> other</w:t>
      </w:r>
      <w:r w:rsidR="00615D44">
        <w:t xml:space="preserve"> interconnected VoIP</w:t>
      </w:r>
      <w:r w:rsidR="00AF4A9A">
        <w:t xml:space="preserve"> service providers</w:t>
      </w:r>
      <w:r>
        <w:t xml:space="preserve"> a</w:t>
      </w:r>
      <w:r w:rsidR="00492D39">
        <w:t>pply</w:t>
      </w:r>
      <w:r>
        <w:t>ing</w:t>
      </w:r>
      <w:r w:rsidR="00492D39">
        <w:t xml:space="preserve"> for operating authority</w:t>
      </w:r>
      <w:r>
        <w:t xml:space="preserve"> that were not registered under the prior </w:t>
      </w:r>
      <w:r w:rsidR="00522993">
        <w:t>Section</w:t>
      </w:r>
      <w:r w:rsidR="00844EAF">
        <w:t> </w:t>
      </w:r>
      <w:r>
        <w:t>285 process</w:t>
      </w:r>
      <w:r w:rsidR="00492D39">
        <w:t xml:space="preserve"> should be</w:t>
      </w:r>
      <w:r w:rsidR="00615D44">
        <w:t xml:space="preserve"> require</w:t>
      </w:r>
      <w:r w:rsidR="00492D39">
        <w:t>d</w:t>
      </w:r>
      <w:r w:rsidR="00615D44">
        <w:t xml:space="preserve"> to demonstrate possession of the </w:t>
      </w:r>
      <w:r>
        <w:t xml:space="preserve">requisite </w:t>
      </w:r>
      <w:r w:rsidR="00615D44">
        <w:t>financial resources at the time of application or registration.</w:t>
      </w:r>
    </w:p>
    <w:p w:rsidR="00C55C90" w:rsidP="0034726E" w:rsidRDefault="00492D39" w14:paraId="0D8439C2" w14:textId="3583DFF9">
      <w:pPr>
        <w:pStyle w:val="CoL"/>
      </w:pPr>
      <w:r>
        <w:t xml:space="preserve">All interconnected VoIP </w:t>
      </w:r>
      <w:r w:rsidR="00AF4A9A">
        <w:t xml:space="preserve">service </w:t>
      </w:r>
      <w:r>
        <w:t xml:space="preserve">providers migrated to operating authority or </w:t>
      </w:r>
      <w:r w:rsidR="00803BD3">
        <w:t>Nomadic Registration</w:t>
      </w:r>
      <w:r>
        <w:t xml:space="preserve"> should be subject to the</w:t>
      </w:r>
      <w:r w:rsidRPr="007F27D8" w:rsidR="00C55C90">
        <w:t xml:space="preserve"> performance bond requirement</w:t>
      </w:r>
      <w:r w:rsidRPr="008A7C32" w:rsidR="00C55C90">
        <w:t>.</w:t>
      </w:r>
    </w:p>
    <w:p w:rsidR="00C55C90" w:rsidP="0034726E" w:rsidRDefault="00C55C90" w14:paraId="24A87B8E" w14:textId="66033421">
      <w:pPr>
        <w:pStyle w:val="CoL"/>
      </w:pPr>
      <w:r w:rsidRPr="00CF512B">
        <w:lastRenderedPageBreak/>
        <w:t xml:space="preserve">Requiring a performance bond is consistent with the authority granted the Commission pursuant to </w:t>
      </w:r>
      <w:r w:rsidR="00C04D12">
        <w:t>Pub. Util.</w:t>
      </w:r>
      <w:r w:rsidRPr="00CF512B">
        <w:t xml:space="preserve"> Code </w:t>
      </w:r>
      <w:r w:rsidR="0076156C">
        <w:t>Section</w:t>
      </w:r>
      <w:r w:rsidR="00E57178">
        <w:t> </w:t>
      </w:r>
      <w:r w:rsidRPr="00CF512B">
        <w:t xml:space="preserve">701 and </w:t>
      </w:r>
      <w:r w:rsidR="00173315">
        <w:t>Section </w:t>
      </w:r>
      <w:r w:rsidRPr="00CF512B">
        <w:t>709.</w:t>
      </w:r>
    </w:p>
    <w:p w:rsidR="00450CB7" w:rsidP="0034726E" w:rsidRDefault="00450CB7" w14:paraId="68B2EA78" w14:textId="4187FE53">
      <w:pPr>
        <w:pStyle w:val="CoL"/>
      </w:pPr>
      <w:r w:rsidRPr="00450CB7">
        <w:t>An initial performance bond must be submitted via Tier 1 Advice Letter within 30 days of being granted an operating authority or registration.</w:t>
      </w:r>
    </w:p>
    <w:p w:rsidR="00A9669C" w:rsidP="0034726E" w:rsidRDefault="00A9669C" w14:paraId="0AF78B05" w14:textId="16DB8559">
      <w:pPr>
        <w:pStyle w:val="CoL"/>
      </w:pPr>
      <w:r>
        <w:t>All interconnected VoIP service providers, including nomadic</w:t>
      </w:r>
      <w:r w:rsidR="00844EAF">
        <w:noBreakHyphen/>
      </w:r>
      <w:r>
        <w:t>only, are required to collect, report and remit Public Purpose Program surcharges.</w:t>
      </w:r>
    </w:p>
    <w:p w:rsidR="00A96B31" w:rsidP="0034726E" w:rsidRDefault="00C55C90" w14:paraId="7D341100" w14:textId="26F9810C">
      <w:pPr>
        <w:pStyle w:val="CoL"/>
      </w:pPr>
      <w:r w:rsidRPr="008A7C32">
        <w:t>It is reasonable</w:t>
      </w:r>
      <w:r w:rsidR="00F2066A">
        <w:t xml:space="preserve"> to require</w:t>
      </w:r>
      <w:r>
        <w:t xml:space="preserve"> </w:t>
      </w:r>
      <w:r w:rsidR="00F2066A">
        <w:t xml:space="preserve">interconnected VoIP </w:t>
      </w:r>
      <w:r w:rsidR="00AF4A9A">
        <w:t xml:space="preserve">service </w:t>
      </w:r>
      <w:r>
        <w:t xml:space="preserve">providers to pay the </w:t>
      </w:r>
      <w:r w:rsidRPr="008A7C32">
        <w:t>CPUC User fee to help fund Commission regulatory activities</w:t>
      </w:r>
      <w:r>
        <w:t xml:space="preserve"> on behalf of consumers</w:t>
      </w:r>
      <w:r w:rsidRPr="008A7C32">
        <w:t>.</w:t>
      </w:r>
    </w:p>
    <w:p w:rsidR="003D56E5" w:rsidP="0034726E" w:rsidRDefault="00C55C90" w14:paraId="049F3B6A" w14:textId="676905FF">
      <w:pPr>
        <w:pStyle w:val="CoL"/>
      </w:pPr>
      <w:r w:rsidRPr="008A7C32">
        <w:t xml:space="preserve">The </w:t>
      </w:r>
      <w:r>
        <w:t xml:space="preserve">establishment of a </w:t>
      </w:r>
      <w:r w:rsidR="00D959FE">
        <w:t>N</w:t>
      </w:r>
      <w:r w:rsidR="006E336C">
        <w:t xml:space="preserve">omadic </w:t>
      </w:r>
      <w:r w:rsidR="00D959FE">
        <w:t>R</w:t>
      </w:r>
      <w:r>
        <w:t>egistration</w:t>
      </w:r>
      <w:r w:rsidRPr="008A7C32">
        <w:t xml:space="preserve"> </w:t>
      </w:r>
      <w:r>
        <w:t xml:space="preserve">process </w:t>
      </w:r>
      <w:r w:rsidRPr="008A7C32">
        <w:t>do</w:t>
      </w:r>
      <w:r>
        <w:t>es</w:t>
      </w:r>
      <w:r w:rsidRPr="008A7C32">
        <w:t xml:space="preserve"> not function as a bar to </w:t>
      </w:r>
      <w:r>
        <w:t xml:space="preserve">market </w:t>
      </w:r>
      <w:r w:rsidRPr="008A7C32">
        <w:t>entry.</w:t>
      </w:r>
    </w:p>
    <w:p w:rsidR="00A96B31" w:rsidP="0034726E" w:rsidRDefault="00C55C90" w14:paraId="4B754777" w14:textId="4A0B7CAF">
      <w:pPr>
        <w:pStyle w:val="CoL"/>
      </w:pPr>
      <w:r>
        <w:t xml:space="preserve">It is reasonable to forbear from assessing penalties on currently operating providers of interconnected VoIP service </w:t>
      </w:r>
      <w:r w:rsidR="00AF4A9A">
        <w:t xml:space="preserve">for a period of 180 days from the issuance of this decision </w:t>
      </w:r>
      <w:r>
        <w:t xml:space="preserve">with the exception of public purpose program surcharges owed and interest payments for late remittance of public purpose program surcharges accrued prior to filing an interconnected VoIP registration pursuant to </w:t>
      </w:r>
      <w:r w:rsidR="00C04D12">
        <w:t>Pub. Util.</w:t>
      </w:r>
      <w:r>
        <w:t xml:space="preserve"> Code </w:t>
      </w:r>
      <w:r w:rsidR="00EE3114">
        <w:t>Section </w:t>
      </w:r>
      <w:r w:rsidR="00AF4A9A">
        <w:t>285</w:t>
      </w:r>
      <w:r w:rsidR="005B3935">
        <w:t xml:space="preserve">, Section </w:t>
      </w:r>
      <w:r>
        <w:t>1013</w:t>
      </w:r>
      <w:r w:rsidR="005B3935">
        <w:t xml:space="preserve">, or </w:t>
      </w:r>
      <w:r w:rsidR="00522993">
        <w:t>Section</w:t>
      </w:r>
      <w:r w:rsidR="00844EAF">
        <w:t> </w:t>
      </w:r>
      <w:r w:rsidR="005B3935">
        <w:t>1001</w:t>
      </w:r>
      <w:r>
        <w:t>.</w:t>
      </w:r>
    </w:p>
    <w:p w:rsidR="00C55C90" w:rsidP="0034726E" w:rsidRDefault="005B3935" w14:paraId="0080408A" w14:textId="653B47FD">
      <w:pPr>
        <w:pStyle w:val="CoL"/>
      </w:pPr>
      <w:r>
        <w:t>For a period of 180 days from the issuance of this decision, penalties for failure to pay public purpose program surcharges should be waived for i</w:t>
      </w:r>
      <w:r w:rsidR="00C55C90">
        <w:t xml:space="preserve">nterconnected VoIP </w:t>
      </w:r>
      <w:r w:rsidR="0021585D">
        <w:t xml:space="preserve">service </w:t>
      </w:r>
      <w:r w:rsidR="00C55C90">
        <w:t xml:space="preserve">providers </w:t>
      </w:r>
      <w:r>
        <w:t>that</w:t>
      </w:r>
      <w:r w:rsidR="00E71FAE">
        <w:t xml:space="preserve"> </w:t>
      </w:r>
      <w:r w:rsidR="00C55C90">
        <w:t>pay all past</w:t>
      </w:r>
      <w:r w:rsidR="006951D5">
        <w:noBreakHyphen/>
      </w:r>
      <w:r w:rsidR="00C55C90">
        <w:t xml:space="preserve">due public purpose program surcharges earned on its </w:t>
      </w:r>
      <w:r w:rsidR="001829E6">
        <w:t>interconnected VoIP</w:t>
      </w:r>
      <w:r w:rsidR="00C55C90">
        <w:t xml:space="preserve"> service </w:t>
      </w:r>
      <w:r>
        <w:t>and 10</w:t>
      </w:r>
      <w:r w:rsidR="00844EAF">
        <w:t> </w:t>
      </w:r>
      <w:r w:rsidR="006C00A2">
        <w:t>percent</w:t>
      </w:r>
      <w:r>
        <w:t xml:space="preserve"> interest on past</w:t>
      </w:r>
      <w:r w:rsidR="00844EAF">
        <w:noBreakHyphen/>
      </w:r>
      <w:r>
        <w:t xml:space="preserve">due surcharges </w:t>
      </w:r>
      <w:r w:rsidR="00C55C90">
        <w:t xml:space="preserve">from the time of initiating service to the </w:t>
      </w:r>
      <w:r>
        <w:t>time of filing an application or registration</w:t>
      </w:r>
      <w:r w:rsidR="00C55C90">
        <w:t>.</w:t>
      </w:r>
    </w:p>
    <w:p w:rsidR="00C55C90" w:rsidP="0034726E" w:rsidRDefault="00C55C90" w14:paraId="5338A4AE" w14:textId="42FCEE50">
      <w:pPr>
        <w:pStyle w:val="CoL"/>
      </w:pPr>
      <w:r>
        <w:t xml:space="preserve">Interconnected VoIP </w:t>
      </w:r>
      <w:r w:rsidR="00BA41EB">
        <w:t xml:space="preserve">service </w:t>
      </w:r>
      <w:r>
        <w:t xml:space="preserve">providers </w:t>
      </w:r>
      <w:r w:rsidR="007D18BB">
        <w:t>coming into compliance with the surcharge remittances</w:t>
      </w:r>
      <w:r w:rsidR="002604C2">
        <w:t>,</w:t>
      </w:r>
      <w:r w:rsidR="007D18BB">
        <w:t xml:space="preserve"> including a 10</w:t>
      </w:r>
      <w:r w:rsidR="00844EAF">
        <w:t> </w:t>
      </w:r>
      <w:r w:rsidR="006C00A2">
        <w:t>percent</w:t>
      </w:r>
      <w:r w:rsidR="007D18BB">
        <w:t xml:space="preserve"> interest</w:t>
      </w:r>
      <w:r w:rsidR="002604C2">
        <w:t>,</w:t>
      </w:r>
      <w:r w:rsidR="007D18BB">
        <w:t xml:space="preserve"> </w:t>
      </w:r>
      <w:r w:rsidR="00BA41EB">
        <w:t xml:space="preserve">within </w:t>
      </w:r>
      <w:r w:rsidR="00AF4A9A">
        <w:t>180</w:t>
      </w:r>
      <w:r w:rsidR="00BA41EB">
        <w:t xml:space="preserve"> days of the date of issuance of this decision should </w:t>
      </w:r>
      <w:r w:rsidR="00740BF5">
        <w:t xml:space="preserve">have </w:t>
      </w:r>
      <w:r w:rsidR="005B3935">
        <w:t>other</w:t>
      </w:r>
      <w:r>
        <w:t xml:space="preserve"> </w:t>
      </w:r>
      <w:r w:rsidR="00740BF5">
        <w:t>penalt</w:t>
      </w:r>
      <w:r w:rsidR="005B3935">
        <w:t>ies</w:t>
      </w:r>
      <w:r w:rsidR="00740BF5">
        <w:t xml:space="preserve"> waived.</w:t>
      </w:r>
    </w:p>
    <w:p w:rsidR="00055CBB" w:rsidP="0034726E" w:rsidRDefault="00C55C90" w14:paraId="4A531C0D" w14:textId="13CE2A1F">
      <w:pPr>
        <w:pStyle w:val="CoL"/>
      </w:pPr>
      <w:r>
        <w:lastRenderedPageBreak/>
        <w:t>Interconnected VoIP providers out of compliance with public purpose program surcharge obligations should provide the Commission</w:t>
      </w:r>
      <w:r w:rsidR="00893D67">
        <w:t>’</w:t>
      </w:r>
      <w:r>
        <w:t>s Communications Division with monthly intrastate revenue or monthly active access lines for the relevant duration of the period owed</w:t>
      </w:r>
      <w:r w:rsidR="005B3935">
        <w:t>.</w:t>
      </w:r>
    </w:p>
    <w:p w:rsidR="00C55C90" w:rsidP="0034726E" w:rsidRDefault="00C55C90" w14:paraId="45469D57" w14:textId="338682C2">
      <w:pPr>
        <w:pStyle w:val="CoL"/>
      </w:pPr>
      <w:r>
        <w:t>The Commission</w:t>
      </w:r>
      <w:r w:rsidR="00893D67">
        <w:t>’</w:t>
      </w:r>
      <w:r>
        <w:t xml:space="preserve">s Communications Division should be authorized to calculate the amount owed by </w:t>
      </w:r>
      <w:r w:rsidR="00817E0D">
        <w:t>i</w:t>
      </w:r>
      <w:r>
        <w:t xml:space="preserve">nterconnected VoIP </w:t>
      </w:r>
      <w:r w:rsidR="00DC5B3F">
        <w:t xml:space="preserve">service </w:t>
      </w:r>
      <w:r>
        <w:t xml:space="preserve">providers out of compliance with public purpose program surcharge obligations for public purpose program surcharges and late fees owed using the surcharge mechanism </w:t>
      </w:r>
      <w:r w:rsidRPr="0014059C" w:rsidR="00C93A37">
        <w:t>in effect for the respective period</w:t>
      </w:r>
      <w:r>
        <w:t>.</w:t>
      </w:r>
    </w:p>
    <w:p w:rsidR="00A96B31" w:rsidP="0034726E" w:rsidRDefault="00C55C90" w14:paraId="5249E3B7" w14:textId="7C9A74B8">
      <w:pPr>
        <w:pStyle w:val="CoL"/>
      </w:pPr>
      <w:r>
        <w:t xml:space="preserve">Interconnected VoIP </w:t>
      </w:r>
      <w:r w:rsidR="00752557">
        <w:t xml:space="preserve">service </w:t>
      </w:r>
      <w:r>
        <w:t xml:space="preserve">providers out of compliance with public purpose program surcharge obligations should </w:t>
      </w:r>
      <w:r w:rsidR="00C93A37">
        <w:t>report and remit</w:t>
      </w:r>
      <w:r>
        <w:t xml:space="preserve"> all past</w:t>
      </w:r>
      <w:r w:rsidR="006951D5">
        <w:noBreakHyphen/>
      </w:r>
      <w:r>
        <w:t>due public purpose program surcharges and interest owed to the Commission within 30 days of receipt of Communications Division</w:t>
      </w:r>
      <w:r w:rsidR="00893D67">
        <w:t>’</w:t>
      </w:r>
      <w:r>
        <w:t>s summary of past</w:t>
      </w:r>
      <w:r w:rsidR="006951D5">
        <w:noBreakHyphen/>
      </w:r>
      <w:r>
        <w:t>due surcharges and interest owed.</w:t>
      </w:r>
    </w:p>
    <w:p w:rsidR="00A96B31" w:rsidP="0034726E" w:rsidRDefault="008B35E5" w14:paraId="7C565AD1" w14:textId="641A60A0">
      <w:pPr>
        <w:pStyle w:val="CoL"/>
      </w:pPr>
      <w:r w:rsidRPr="008A7C32">
        <w:t xml:space="preserve">It is reasonable and prudent to </w:t>
      </w:r>
      <w:r w:rsidR="00740BF5">
        <w:t xml:space="preserve">apply </w:t>
      </w:r>
      <w:r w:rsidR="00752557">
        <w:t>the Communications Division</w:t>
      </w:r>
      <w:r w:rsidR="00893D67">
        <w:t>’</w:t>
      </w:r>
      <w:r w:rsidR="00752557">
        <w:t xml:space="preserve">s Citation Program approved in </w:t>
      </w:r>
      <w:r w:rsidR="00263840">
        <w:t>Res. </w:t>
      </w:r>
      <w:r w:rsidR="00752557">
        <w:t>T</w:t>
      </w:r>
      <w:r w:rsidR="006951D5">
        <w:noBreakHyphen/>
      </w:r>
      <w:r w:rsidR="00752557">
        <w:t>17601 to all interconnected VoIP service providers.</w:t>
      </w:r>
    </w:p>
    <w:p w:rsidR="00A96B31" w:rsidP="0034726E" w:rsidRDefault="00740BF5" w14:paraId="1120DF92" w14:textId="0FFFE510">
      <w:pPr>
        <w:pStyle w:val="CoL"/>
      </w:pPr>
      <w:r>
        <w:t xml:space="preserve">Interconnected VoIP </w:t>
      </w:r>
      <w:r w:rsidR="00752557">
        <w:t xml:space="preserve">service </w:t>
      </w:r>
      <w:r>
        <w:t xml:space="preserve">providers migrated to </w:t>
      </w:r>
      <w:r w:rsidR="00D539B6">
        <w:t>DVF utility type</w:t>
      </w:r>
      <w:r w:rsidR="00A557F2">
        <w:t xml:space="preserve"> should </w:t>
      </w:r>
      <w:r>
        <w:t xml:space="preserve">be </w:t>
      </w:r>
      <w:r w:rsidR="005B3935">
        <w:t xml:space="preserve">automatically </w:t>
      </w:r>
      <w:proofErr w:type="spellStart"/>
      <w:r w:rsidR="005B3935">
        <w:t>detariffed</w:t>
      </w:r>
      <w:proofErr w:type="spellEnd"/>
      <w:r w:rsidR="00D539B6">
        <w:t>.</w:t>
      </w:r>
    </w:p>
    <w:p w:rsidR="00A96B31" w:rsidP="0034726E" w:rsidRDefault="00740BF5" w14:paraId="329303AF" w14:textId="6732932B">
      <w:pPr>
        <w:pStyle w:val="CoL"/>
      </w:pPr>
      <w:r w:rsidRPr="00476E84">
        <w:t xml:space="preserve">In the future, if </w:t>
      </w:r>
      <w:r>
        <w:t xml:space="preserve">an interconnected VoIP </w:t>
      </w:r>
      <w:r w:rsidR="0037140E">
        <w:t>service provider</w:t>
      </w:r>
      <w:r w:rsidRPr="00476E84">
        <w:t xml:space="preserve"> decides to offer services that require a tariff or schedule, such as basic service, </w:t>
      </w:r>
      <w:r>
        <w:t xml:space="preserve">the interconnected VoIP </w:t>
      </w:r>
      <w:r w:rsidR="0037140E">
        <w:t>service provider</w:t>
      </w:r>
      <w:r w:rsidRPr="00476E84">
        <w:t xml:space="preserve"> must submit proposed tariffs and/or user guides to the Commission</w:t>
      </w:r>
      <w:r w:rsidR="00893D67">
        <w:t>’</w:t>
      </w:r>
      <w:r w:rsidRPr="00476E84">
        <w:t xml:space="preserve">s Communications Division via </w:t>
      </w:r>
      <w:r>
        <w:t xml:space="preserve">a </w:t>
      </w:r>
      <w:r w:rsidR="005F2D22">
        <w:t>Tier 2</w:t>
      </w:r>
      <w:r w:rsidR="00E21830">
        <w:t xml:space="preserve"> advice letter</w:t>
      </w:r>
      <w:r w:rsidRPr="00476E84">
        <w:t xml:space="preserve"> using the </w:t>
      </w:r>
      <w:r w:rsidR="00424385">
        <w:t>GO </w:t>
      </w:r>
      <w:r w:rsidR="00053CBF">
        <w:t>9</w:t>
      </w:r>
      <w:r w:rsidRPr="00476E84">
        <w:t>6</w:t>
      </w:r>
      <w:r w:rsidR="006951D5">
        <w:noBreakHyphen/>
      </w:r>
      <w:r w:rsidRPr="00476E84">
        <w:t xml:space="preserve">B advice letter process </w:t>
      </w:r>
      <w:r w:rsidR="00AA6629">
        <w:t>at least</w:t>
      </w:r>
      <w:r w:rsidRPr="00476E84">
        <w:t xml:space="preserve"> 30 days before initiation of service.</w:t>
      </w:r>
    </w:p>
    <w:p w:rsidR="007D76F0" w:rsidP="0034726E" w:rsidRDefault="009708A0" w14:paraId="09237ACB" w14:textId="49EE3162">
      <w:pPr>
        <w:pStyle w:val="CoL"/>
      </w:pPr>
      <w:r w:rsidRPr="009708A0">
        <w:t>Except nomadic-only interconnected VoIP and WIR service providers, a</w:t>
      </w:r>
      <w:r w:rsidR="007D76F0">
        <w:t>ll tariffed telephone corporations</w:t>
      </w:r>
      <w:r w:rsidRPr="009708A0">
        <w:t xml:space="preserve"> that did not elect </w:t>
      </w:r>
      <w:proofErr w:type="spellStart"/>
      <w:r w:rsidRPr="009708A0">
        <w:t>detariffed</w:t>
      </w:r>
      <w:proofErr w:type="spellEnd"/>
      <w:r w:rsidRPr="009708A0">
        <w:t xml:space="preserve"> status </w:t>
      </w:r>
      <w:r w:rsidR="007D76F0">
        <w:t xml:space="preserve">should submit </w:t>
      </w:r>
      <w:r w:rsidR="002E07D9">
        <w:lastRenderedPageBreak/>
        <w:t>their</w:t>
      </w:r>
      <w:r w:rsidR="007D76F0">
        <w:t xml:space="preserve"> complete tariff in effect at the beginning of each year to the Director of the Communications Division via email to </w:t>
      </w:r>
      <w:hyperlink w:history="1" r:id="rId21">
        <w:r w:rsidRPr="008E3AFE" w:rsidR="007D76F0">
          <w:rPr>
            <w:rStyle w:val="Hyperlink"/>
          </w:rPr>
          <w:t>CDCompliance@cpuc.ca.gov</w:t>
        </w:r>
      </w:hyperlink>
      <w:r w:rsidR="007D76F0">
        <w:rPr>
          <w:rStyle w:val="Hyperlink"/>
        </w:rPr>
        <w:t xml:space="preserve"> </w:t>
      </w:r>
      <w:r w:rsidR="007D76F0">
        <w:t xml:space="preserve">no later than </w:t>
      </w:r>
      <w:r w:rsidR="00424385">
        <w:t>February</w:t>
      </w:r>
      <w:r w:rsidR="00844EAF">
        <w:t> </w:t>
      </w:r>
      <w:r w:rsidR="007D76F0">
        <w:t>15 of each year.</w:t>
      </w:r>
    </w:p>
    <w:p w:rsidRPr="0071434A" w:rsidR="00740BF5" w:rsidP="0034726E" w:rsidRDefault="007C6FF6" w14:paraId="511BF589" w14:textId="17979178">
      <w:pPr>
        <w:pStyle w:val="CoL"/>
      </w:pPr>
      <w:r>
        <w:t>T</w:t>
      </w:r>
      <w:r w:rsidRPr="0071434A" w:rsidR="00740BF5">
        <w:t xml:space="preserve">elephone corporations </w:t>
      </w:r>
      <w:r w:rsidRPr="0071434A" w:rsidR="00A557F2">
        <w:t xml:space="preserve">granted </w:t>
      </w:r>
      <w:proofErr w:type="spellStart"/>
      <w:r w:rsidRPr="0071434A" w:rsidR="00740BF5">
        <w:t>detariffed</w:t>
      </w:r>
      <w:proofErr w:type="spellEnd"/>
      <w:r w:rsidRPr="0071434A" w:rsidR="00740BF5">
        <w:t xml:space="preserve"> status </w:t>
      </w:r>
      <w:r w:rsidRPr="0071434A" w:rsidR="00A557F2">
        <w:t xml:space="preserve">should </w:t>
      </w:r>
      <w:r w:rsidR="0071434A">
        <w:t>not have</w:t>
      </w:r>
      <w:r w:rsidR="00FD0F31">
        <w:t xml:space="preserve"> an annual requirement</w:t>
      </w:r>
      <w:r w:rsidR="0071434A">
        <w:t xml:space="preserve"> to notify the Commission that their services remain </w:t>
      </w:r>
      <w:proofErr w:type="spellStart"/>
      <w:r w:rsidR="0071434A">
        <w:t>detariffed</w:t>
      </w:r>
      <w:proofErr w:type="spellEnd"/>
      <w:r w:rsidRPr="0071434A" w:rsidR="00740BF5">
        <w:t>.</w:t>
      </w:r>
    </w:p>
    <w:p w:rsidR="00A96B31" w:rsidP="0034726E" w:rsidRDefault="00367DF0" w14:paraId="1FE266F4" w14:textId="069D3D16">
      <w:pPr>
        <w:pStyle w:val="CoL"/>
      </w:pPr>
      <w:r>
        <w:t xml:space="preserve">All interconnected VoIP </w:t>
      </w:r>
      <w:r w:rsidR="00752557">
        <w:t xml:space="preserve">service </w:t>
      </w:r>
      <w:r>
        <w:t xml:space="preserve">providers should be subject to </w:t>
      </w:r>
      <w:r w:rsidR="00C04D12">
        <w:t>Pub. Util.</w:t>
      </w:r>
      <w:r w:rsidRPr="008A7C32" w:rsidR="008B35E5">
        <w:t xml:space="preserve"> Code </w:t>
      </w:r>
      <w:r w:rsidR="006E2486">
        <w:t>Section</w:t>
      </w:r>
      <w:r w:rsidR="00E57178">
        <w:t> </w:t>
      </w:r>
      <w:r w:rsidRPr="008A7C32" w:rsidR="008B35E5">
        <w:t xml:space="preserve">431 </w:t>
      </w:r>
      <w:r>
        <w:t xml:space="preserve">to pay the </w:t>
      </w:r>
      <w:r w:rsidRPr="008A7C32" w:rsidR="008B35E5">
        <w:t>CPUC User Fee.</w:t>
      </w:r>
    </w:p>
    <w:p w:rsidRPr="00695715" w:rsidR="008144C6" w:rsidP="0034726E" w:rsidRDefault="008144C6" w14:paraId="7812558E" w14:textId="595152CD">
      <w:pPr>
        <w:pStyle w:val="CoL"/>
      </w:pPr>
      <w:r>
        <w:t>All interconnected VoIP</w:t>
      </w:r>
      <w:r w:rsidR="00752557">
        <w:t xml:space="preserve"> service</w:t>
      </w:r>
      <w:r>
        <w:t xml:space="preserve"> providers should be subject to the Affiliate Transaction Reporting Requirements.</w:t>
      </w:r>
    </w:p>
    <w:p w:rsidR="00D457DE" w:rsidP="0034726E" w:rsidRDefault="00D457DE" w14:paraId="530D182C" w14:textId="1B5C87EC">
      <w:pPr>
        <w:pStyle w:val="CoL"/>
      </w:pPr>
      <w:r>
        <w:t xml:space="preserve">All interconnected VoIP </w:t>
      </w:r>
      <w:r w:rsidR="00A81236">
        <w:t xml:space="preserve">service </w:t>
      </w:r>
      <w:r>
        <w:t>providers</w:t>
      </w:r>
      <w:r w:rsidR="00F607E5">
        <w:t>,</w:t>
      </w:r>
      <w:r>
        <w:t xml:space="preserve"> </w:t>
      </w:r>
      <w:r w:rsidR="00620ED6">
        <w:t>except</w:t>
      </w:r>
      <w:r>
        <w:t xml:space="preserve"> interconnected VoIP </w:t>
      </w:r>
      <w:r w:rsidR="00A81236">
        <w:t xml:space="preserve">service </w:t>
      </w:r>
      <w:r>
        <w:t>providers affiliated with an incumbent</w:t>
      </w:r>
      <w:r w:rsidR="00F607E5">
        <w:t>,</w:t>
      </w:r>
      <w:r>
        <w:t xml:space="preserve"> should be exempt from the requirement to maintain books and records in accordance with the Uniform System of Accounts specified in </w:t>
      </w:r>
      <w:r w:rsidR="00B47779">
        <w:t>Title </w:t>
      </w:r>
      <w:r>
        <w:t xml:space="preserve">47 I.E. </w:t>
      </w:r>
      <w:r w:rsidR="00D8452D">
        <w:t>Part </w:t>
      </w:r>
      <w:r>
        <w:t>32.</w:t>
      </w:r>
    </w:p>
    <w:p w:rsidR="00A96B31" w:rsidP="0034726E" w:rsidRDefault="00620ED6" w14:paraId="1774D42A" w14:textId="686FC58F">
      <w:pPr>
        <w:pStyle w:val="CoL"/>
      </w:pPr>
      <w:r w:rsidRPr="00D10C46">
        <w:t xml:space="preserve">All </w:t>
      </w:r>
      <w:r>
        <w:t xml:space="preserve">interconnected VoIP </w:t>
      </w:r>
      <w:r w:rsidR="00752557">
        <w:t xml:space="preserve">service </w:t>
      </w:r>
      <w:r>
        <w:t>providers</w:t>
      </w:r>
      <w:r w:rsidR="00D727EB">
        <w:t>,</w:t>
      </w:r>
      <w:r>
        <w:t xml:space="preserve"> except </w:t>
      </w:r>
      <w:bookmarkStart w:name="_Hlk174969889" w:id="251"/>
      <w:r w:rsidR="00383F8F">
        <w:t>n</w:t>
      </w:r>
      <w:r w:rsidRPr="001829E6" w:rsidR="001829E6">
        <w:t>omadic</w:t>
      </w:r>
      <w:r w:rsidR="006951D5">
        <w:noBreakHyphen/>
      </w:r>
      <w:r w:rsidR="00383F8F">
        <w:t>o</w:t>
      </w:r>
      <w:r w:rsidRPr="001829E6" w:rsidR="001829E6">
        <w:t xml:space="preserve">nly </w:t>
      </w:r>
      <w:r w:rsidR="00383F8F">
        <w:t>i</w:t>
      </w:r>
      <w:r w:rsidRPr="001829E6" w:rsidR="001829E6">
        <w:t>nterconnected VoIP</w:t>
      </w:r>
      <w:r>
        <w:t xml:space="preserve"> </w:t>
      </w:r>
      <w:r w:rsidR="00752557">
        <w:t xml:space="preserve">service </w:t>
      </w:r>
      <w:bookmarkEnd w:id="251"/>
      <w:r>
        <w:t>providers</w:t>
      </w:r>
      <w:r w:rsidR="00D727EB">
        <w:t>,</w:t>
      </w:r>
      <w:r>
        <w:t xml:space="preserve"> </w:t>
      </w:r>
      <w:r w:rsidR="000A43EB">
        <w:t xml:space="preserve">should be subject to the </w:t>
      </w:r>
      <w:r w:rsidRPr="00D10C46">
        <w:t xml:space="preserve">annual reporting requirements </w:t>
      </w:r>
      <w:r>
        <w:t xml:space="preserve">for operations and finances pursuant </w:t>
      </w:r>
      <w:r w:rsidRPr="00D10C46">
        <w:t xml:space="preserve">to </w:t>
      </w:r>
      <w:r w:rsidR="00EA24BE">
        <w:t>GO </w:t>
      </w:r>
      <w:r w:rsidRPr="00D10C46">
        <w:t>104</w:t>
      </w:r>
      <w:r w:rsidR="006951D5">
        <w:noBreakHyphen/>
      </w:r>
      <w:r w:rsidRPr="00D10C46">
        <w:t>A</w:t>
      </w:r>
      <w:r w:rsidR="000A43EB">
        <w:t>.</w:t>
      </w:r>
    </w:p>
    <w:p w:rsidR="000A43EB" w:rsidP="0034726E" w:rsidRDefault="001829E6" w14:paraId="54D463A0" w14:textId="1E1ED0F5">
      <w:pPr>
        <w:pStyle w:val="CoL"/>
      </w:pPr>
      <w:bookmarkStart w:name="_Hlk174969864" w:id="252"/>
      <w:r w:rsidRPr="001829E6">
        <w:t>Nomadic</w:t>
      </w:r>
      <w:r w:rsidR="006951D5">
        <w:noBreakHyphen/>
      </w:r>
      <w:r w:rsidR="00383F8F">
        <w:t>o</w:t>
      </w:r>
      <w:r w:rsidRPr="001829E6">
        <w:t xml:space="preserve">nly </w:t>
      </w:r>
      <w:r w:rsidR="00681CE0">
        <w:t>i</w:t>
      </w:r>
      <w:r w:rsidRPr="001829E6">
        <w:t>nterconnected VoIP</w:t>
      </w:r>
      <w:bookmarkEnd w:id="252"/>
      <w:r w:rsidR="00B97B17">
        <w:t xml:space="preserve"> </w:t>
      </w:r>
      <w:r w:rsidR="00752557">
        <w:t xml:space="preserve">service </w:t>
      </w:r>
      <w:r w:rsidR="000A43EB">
        <w:t xml:space="preserve">providers should be exempt from the </w:t>
      </w:r>
      <w:r w:rsidRPr="00D10C46" w:rsidR="000A43EB">
        <w:t xml:space="preserve">annual reporting requirements </w:t>
      </w:r>
      <w:r w:rsidR="000A43EB">
        <w:t xml:space="preserve">for operations and finances pursuant </w:t>
      </w:r>
      <w:r w:rsidRPr="00D10C46" w:rsidR="000A43EB">
        <w:t xml:space="preserve">to </w:t>
      </w:r>
      <w:r w:rsidR="00EA24BE">
        <w:t>GO </w:t>
      </w:r>
      <w:r w:rsidRPr="00D10C46" w:rsidR="000A43EB">
        <w:t>104</w:t>
      </w:r>
      <w:r w:rsidR="006951D5">
        <w:noBreakHyphen/>
      </w:r>
      <w:r w:rsidRPr="00D10C46" w:rsidR="000A43EB">
        <w:t>A</w:t>
      </w:r>
      <w:r w:rsidR="000A43EB">
        <w:t>.</w:t>
      </w:r>
    </w:p>
    <w:p w:rsidRPr="008A7C32" w:rsidR="008144C6" w:rsidP="0034726E" w:rsidRDefault="00620ED6" w14:paraId="4B4A2FA3" w14:textId="0402206E">
      <w:pPr>
        <w:pStyle w:val="CoL"/>
      </w:pPr>
      <w:r>
        <w:t>The first</w:t>
      </w:r>
      <w:r w:rsidRPr="00D10C46">
        <w:t xml:space="preserve"> </w:t>
      </w:r>
      <w:r w:rsidR="00850E10">
        <w:t>operations and finances</w:t>
      </w:r>
      <w:r w:rsidRPr="00D10C46" w:rsidR="00850E10">
        <w:t xml:space="preserve"> </w:t>
      </w:r>
      <w:r>
        <w:t>report for interconnected VoIP</w:t>
      </w:r>
      <w:r w:rsidR="00752557">
        <w:t xml:space="preserve"> service</w:t>
      </w:r>
      <w:r>
        <w:t xml:space="preserve"> providers </w:t>
      </w:r>
      <w:r w:rsidR="00850E10">
        <w:t>should</w:t>
      </w:r>
      <w:r w:rsidRPr="00D10C46" w:rsidR="00850E10">
        <w:t xml:space="preserve"> </w:t>
      </w:r>
      <w:r>
        <w:t>be due</w:t>
      </w:r>
      <w:r w:rsidRPr="00D10C46">
        <w:t xml:space="preserve"> </w:t>
      </w:r>
      <w:r>
        <w:t>by</w:t>
      </w:r>
      <w:r w:rsidRPr="00D10C46">
        <w:t xml:space="preserve"> </w:t>
      </w:r>
      <w:r w:rsidR="00424385">
        <w:t>March </w:t>
      </w:r>
      <w:r>
        <w:t xml:space="preserve">31, </w:t>
      </w:r>
      <w:r w:rsidRPr="00D10C46">
        <w:t>202</w:t>
      </w:r>
      <w:r w:rsidR="00383F8F">
        <w:t>6</w:t>
      </w:r>
      <w:r w:rsidRPr="00D10C46">
        <w:t xml:space="preserve">, and </w:t>
      </w:r>
      <w:r>
        <w:t>annual</w:t>
      </w:r>
      <w:r w:rsidR="00752557">
        <w:t>ly</w:t>
      </w:r>
      <w:r>
        <w:t xml:space="preserve"> by </w:t>
      </w:r>
      <w:r w:rsidR="00424385">
        <w:t>March </w:t>
      </w:r>
      <w:r>
        <w:t>31 of each year</w:t>
      </w:r>
      <w:r w:rsidRPr="00D10C46">
        <w:t xml:space="preserve"> thereafter.</w:t>
      </w:r>
    </w:p>
    <w:p w:rsidR="003D56E5" w:rsidP="0034726E" w:rsidRDefault="008B35E5" w14:paraId="6907750B" w14:textId="67C6AFE5">
      <w:pPr>
        <w:pStyle w:val="CoL"/>
      </w:pPr>
      <w:r w:rsidRPr="008A7C32">
        <w:t xml:space="preserve">The </w:t>
      </w:r>
      <w:r w:rsidR="000A43EB">
        <w:t xml:space="preserve">obligations established in this decision for </w:t>
      </w:r>
      <w:r w:rsidR="00383F8F">
        <w:t>n</w:t>
      </w:r>
      <w:r w:rsidRPr="00B97B17" w:rsidR="00B97B17">
        <w:t>omadic</w:t>
      </w:r>
      <w:r w:rsidR="006951D5">
        <w:noBreakHyphen/>
      </w:r>
      <w:r w:rsidR="00383F8F">
        <w:t>o</w:t>
      </w:r>
      <w:r w:rsidRPr="00B97B17" w:rsidR="00B97B17">
        <w:t xml:space="preserve">nly </w:t>
      </w:r>
      <w:r w:rsidR="00681CE0">
        <w:t>i</w:t>
      </w:r>
      <w:r w:rsidRPr="00B97B17" w:rsidR="00B97B17">
        <w:t>nterconnected VoIP</w:t>
      </w:r>
      <w:r w:rsidR="00B97B17">
        <w:t xml:space="preserve"> </w:t>
      </w:r>
      <w:r w:rsidR="00752557">
        <w:t xml:space="preserve">service </w:t>
      </w:r>
      <w:r w:rsidR="000A43EB">
        <w:t xml:space="preserve">providers </w:t>
      </w:r>
      <w:r w:rsidRPr="008A7C32">
        <w:t>do not function as a bar to entry.</w:t>
      </w:r>
    </w:p>
    <w:p w:rsidRPr="00DD1FB0" w:rsidR="00A26564" w:rsidP="0034726E" w:rsidRDefault="00752557" w14:paraId="688F592E" w14:textId="18E934CD">
      <w:pPr>
        <w:pStyle w:val="CoL"/>
      </w:pPr>
      <w:r>
        <w:lastRenderedPageBreak/>
        <w:t>If a</w:t>
      </w:r>
      <w:r w:rsidRPr="00C14482" w:rsidR="00A26564">
        <w:rPr>
          <w:bCs/>
        </w:rPr>
        <w:t xml:space="preserve"> financial requirement</w:t>
      </w:r>
      <w:r w:rsidR="00A26564">
        <w:rPr>
          <w:bCs/>
        </w:rPr>
        <w:t xml:space="preserve"> showing</w:t>
      </w:r>
      <w:r w:rsidRPr="00C14482" w:rsidR="00A26564">
        <w:rPr>
          <w:bCs/>
        </w:rPr>
        <w:t xml:space="preserve"> rel</w:t>
      </w:r>
      <w:r w:rsidR="00A26564">
        <w:rPr>
          <w:bCs/>
        </w:rPr>
        <w:t>ies</w:t>
      </w:r>
      <w:r w:rsidRPr="00C14482" w:rsidR="00A26564">
        <w:rPr>
          <w:bCs/>
        </w:rPr>
        <w:t xml:space="preserve"> on </w:t>
      </w:r>
      <w:r w:rsidR="00B84EA9">
        <w:rPr>
          <w:bCs/>
        </w:rPr>
        <w:t>unaudited bank statements</w:t>
      </w:r>
      <w:r w:rsidRPr="00664FDC" w:rsidR="00A26564">
        <w:t xml:space="preserve"> or certificate of deposit</w:t>
      </w:r>
      <w:r w:rsidR="00A26564">
        <w:t xml:space="preserve"> with a term extending less than 12 months after certification to meet </w:t>
      </w:r>
      <w:r w:rsidR="00B84EA9">
        <w:t xml:space="preserve">financial fitness requirements, </w:t>
      </w:r>
      <w:r>
        <w:t>the applicant</w:t>
      </w:r>
      <w:r w:rsidR="00A26564">
        <w:t xml:space="preserve"> should be required to </w:t>
      </w:r>
      <w:r>
        <w:t>satisfy the</w:t>
      </w:r>
      <w:r w:rsidR="00A26564">
        <w:t xml:space="preserve"> updated financial documentation both six and 12 months from the issuance date of this decision by email to </w:t>
      </w:r>
      <w:hyperlink w:history="1" r:id="rId22">
        <w:r w:rsidRPr="00DE4D3C" w:rsidR="00A26564">
          <w:rPr>
            <w:rStyle w:val="Hyperlink"/>
            <w:szCs w:val="26"/>
          </w:rPr>
          <w:t>cdcompliance@cpuc.ca.gov</w:t>
        </w:r>
      </w:hyperlink>
      <w:r w:rsidR="00A26564">
        <w:t>.</w:t>
      </w:r>
    </w:p>
    <w:p w:rsidR="00090BC7" w:rsidP="0034726E" w:rsidRDefault="00090BC7" w14:paraId="769A851C" w14:textId="2A1B71C5">
      <w:pPr>
        <w:pStyle w:val="CoL"/>
      </w:pPr>
      <w:bookmarkStart w:name="_Hlk161468709" w:id="253"/>
      <w:r>
        <w:t xml:space="preserve">All </w:t>
      </w:r>
      <w:proofErr w:type="spellStart"/>
      <w:r>
        <w:t>nontariffed</w:t>
      </w:r>
      <w:proofErr w:type="spellEnd"/>
      <w:r>
        <w:t xml:space="preserve"> providers with operating authority should </w:t>
      </w:r>
      <w:r w:rsidR="0071434A">
        <w:t>no longer</w:t>
      </w:r>
      <w:r>
        <w:t xml:space="preserve"> annually update their </w:t>
      </w:r>
      <w:proofErr w:type="spellStart"/>
      <w:r w:rsidR="0071434A">
        <w:t>non</w:t>
      </w:r>
      <w:r>
        <w:t>tariffed</w:t>
      </w:r>
      <w:proofErr w:type="spellEnd"/>
      <w:r>
        <w:t xml:space="preserve"> status.</w:t>
      </w:r>
    </w:p>
    <w:p w:rsidRPr="00DE0551" w:rsidR="00A26564" w:rsidP="0034726E" w:rsidRDefault="00A26564" w14:paraId="25FE2A86" w14:textId="1A44C366">
      <w:pPr>
        <w:pStyle w:val="CoL"/>
      </w:pPr>
      <w:r w:rsidRPr="00335AF5">
        <w:t xml:space="preserve">In the future, if </w:t>
      </w:r>
      <w:r w:rsidR="00022EB6">
        <w:rPr>
          <w:bCs/>
        </w:rPr>
        <w:t xml:space="preserve">a </w:t>
      </w:r>
      <w:proofErr w:type="spellStart"/>
      <w:r w:rsidR="00022EB6">
        <w:rPr>
          <w:bCs/>
        </w:rPr>
        <w:t>nontariffed</w:t>
      </w:r>
      <w:proofErr w:type="spellEnd"/>
      <w:r w:rsidR="00022EB6">
        <w:rPr>
          <w:bCs/>
        </w:rPr>
        <w:t xml:space="preserve"> interconnected VoIP </w:t>
      </w:r>
      <w:r w:rsidR="00383F8F">
        <w:rPr>
          <w:bCs/>
        </w:rPr>
        <w:t xml:space="preserve">service </w:t>
      </w:r>
      <w:r w:rsidR="00022EB6">
        <w:rPr>
          <w:bCs/>
        </w:rPr>
        <w:t xml:space="preserve">provider with operating authority </w:t>
      </w:r>
      <w:r w:rsidRPr="00335AF5">
        <w:t xml:space="preserve">decides to offer services that require a tariff or schedule, such as basic service, </w:t>
      </w:r>
      <w:r w:rsidR="00022EB6">
        <w:t xml:space="preserve">the </w:t>
      </w:r>
      <w:proofErr w:type="spellStart"/>
      <w:r w:rsidR="00022EB6">
        <w:t>nontariffed</w:t>
      </w:r>
      <w:proofErr w:type="spellEnd"/>
      <w:r w:rsidR="00022EB6">
        <w:t xml:space="preserve"> interconnected VoIP provider</w:t>
      </w:r>
      <w:r w:rsidRPr="00335AF5">
        <w:t xml:space="preserve"> should submit proposed tariffs and/or user guides to the Commission</w:t>
      </w:r>
      <w:r w:rsidR="00893D67">
        <w:t>’</w:t>
      </w:r>
      <w:r w:rsidRPr="00335AF5">
        <w:t xml:space="preserve">s Communications Division via </w:t>
      </w:r>
      <w:r w:rsidR="005F2D22">
        <w:t>Tier 2</w:t>
      </w:r>
      <w:r w:rsidR="00E21830">
        <w:t xml:space="preserve"> advice letter</w:t>
      </w:r>
      <w:r w:rsidRPr="00335AF5">
        <w:t xml:space="preserve">s using the </w:t>
      </w:r>
      <w:r w:rsidR="006E0735">
        <w:t>GO </w:t>
      </w:r>
      <w:r w:rsidR="00053CBF">
        <w:t>9</w:t>
      </w:r>
      <w:r w:rsidRPr="00335AF5">
        <w:t>6</w:t>
      </w:r>
      <w:r w:rsidR="006951D5">
        <w:noBreakHyphen/>
      </w:r>
      <w:r w:rsidRPr="00335AF5">
        <w:t xml:space="preserve">B advice letter process </w:t>
      </w:r>
      <w:r w:rsidR="00AA6629">
        <w:t>at least</w:t>
      </w:r>
      <w:r w:rsidRPr="00335AF5">
        <w:t xml:space="preserve"> 30 days before initiation of service.</w:t>
      </w:r>
      <w:bookmarkEnd w:id="253"/>
    </w:p>
    <w:p w:rsidR="005C0CA7" w:rsidP="0034726E" w:rsidRDefault="005C0CA7" w14:paraId="6A53030E" w14:textId="4605CB86">
      <w:pPr>
        <w:pStyle w:val="CoL"/>
      </w:pPr>
      <w:r>
        <w:t xml:space="preserve">All </w:t>
      </w:r>
      <w:r w:rsidR="0071434A">
        <w:t>facilities</w:t>
      </w:r>
      <w:r w:rsidR="00844EAF">
        <w:noBreakHyphen/>
      </w:r>
      <w:r w:rsidR="0071434A">
        <w:t xml:space="preserve">based CLECs and all </w:t>
      </w:r>
      <w:r>
        <w:t xml:space="preserve">interconnected VoIP </w:t>
      </w:r>
      <w:r w:rsidR="00383F8F">
        <w:t xml:space="preserve">service </w:t>
      </w:r>
      <w:r>
        <w:t xml:space="preserve">providers not affiliated with incumbents </w:t>
      </w:r>
      <w:r w:rsidR="00A00A70">
        <w:t xml:space="preserve">should be allowed to </w:t>
      </w:r>
      <w:r w:rsidR="003A66E4">
        <w:t xml:space="preserve">utilize the advice letter process to </w:t>
      </w:r>
      <w:r w:rsidR="00A00A70">
        <w:t>seek</w:t>
      </w:r>
      <w:r>
        <w:t xml:space="preserve"> prospective authority to transfer assets or control subject to </w:t>
      </w:r>
      <w:r w:rsidR="00296BCD">
        <w:t>Sections </w:t>
      </w:r>
      <w:r>
        <w:t>851</w:t>
      </w:r>
      <w:r w:rsidR="006951D5">
        <w:noBreakHyphen/>
      </w:r>
      <w:r>
        <w:t>854.</w:t>
      </w:r>
    </w:p>
    <w:p w:rsidR="00980866" w:rsidP="0034726E" w:rsidRDefault="00980866" w14:paraId="36D8825B" w14:textId="102155A1">
      <w:pPr>
        <w:pStyle w:val="CoL"/>
      </w:pPr>
      <w:r>
        <w:t xml:space="preserve">All </w:t>
      </w:r>
      <w:r w:rsidR="0071434A">
        <w:t>facilities</w:t>
      </w:r>
      <w:r w:rsidR="00844EAF">
        <w:noBreakHyphen/>
      </w:r>
      <w:r w:rsidR="0071434A">
        <w:t xml:space="preserve">based CLECs and all </w:t>
      </w:r>
      <w:r>
        <w:t>interconnected VoIP service providers with the exception of affiliates associated with incumbents, whether fixed or nomadic, should equally be exempt from Sections 816</w:t>
      </w:r>
      <w:r w:rsidR="006951D5">
        <w:noBreakHyphen/>
      </w:r>
      <w:r>
        <w:t>830 pertaining to the issuance of stocks and securities and from Section 851 transfers only when the transfer or encumbrance is for purposes of securing debt.</w:t>
      </w:r>
    </w:p>
    <w:p w:rsidR="002711C0" w:rsidP="0034726E" w:rsidRDefault="002711C0" w14:paraId="4055A6E5" w14:textId="5293C5A1">
      <w:pPr>
        <w:pStyle w:val="CoL"/>
      </w:pPr>
      <w:r>
        <w:t>All interconnected VoIP service providers seeking and obtaining facilities</w:t>
      </w:r>
      <w:r w:rsidR="00844EAF">
        <w:noBreakHyphen/>
      </w:r>
      <w:r>
        <w:t xml:space="preserve">based operating authority in the territories of </w:t>
      </w:r>
      <w:r w:rsidRPr="00494986">
        <w:t>Calaveras Telephone Company, Cal</w:t>
      </w:r>
      <w:r w:rsidR="00844EAF">
        <w:noBreakHyphen/>
      </w:r>
      <w:r w:rsidRPr="00494986">
        <w:t xml:space="preserve">Ore Telephone Company, Ducor Telephone Company, Foresthill Telephone Company, Kerman Telephone Company, Pinnacles Telephone </w:t>
      </w:r>
      <w:r w:rsidRPr="00494986">
        <w:lastRenderedPageBreak/>
        <w:t>Company, The Ponderosa Telephone Company, Sierra Telephone Company, Siskiyou Telephone Company, Volcano Telephone Company, Happy Valley Telephone Company, Hornitos Telephone Company, and Winterhaven Telephone Company</w:t>
      </w:r>
      <w:r>
        <w:t>)</w:t>
      </w:r>
      <w:r w:rsidRPr="00494986">
        <w:t xml:space="preserve"> sh</w:t>
      </w:r>
      <w:r w:rsidR="001F52DB">
        <w:t>ould be required to</w:t>
      </w:r>
      <w:r w:rsidRPr="00494986">
        <w:t xml:space="preserve"> comply with the applicable rules adopted in </w:t>
      </w:r>
      <w:r w:rsidR="00C04D12">
        <w:t>Appendix</w:t>
      </w:r>
      <w:r w:rsidR="00844EAF">
        <w:t> </w:t>
      </w:r>
      <w:r>
        <w:t xml:space="preserve">A and </w:t>
      </w:r>
      <w:r w:rsidR="00C04D12">
        <w:t>Appendix</w:t>
      </w:r>
      <w:r w:rsidR="00844EAF">
        <w:t> </w:t>
      </w:r>
      <w:r>
        <w:t>B of D.20</w:t>
      </w:r>
      <w:r w:rsidR="00844EAF">
        <w:noBreakHyphen/>
      </w:r>
      <w:r>
        <w:t>08</w:t>
      </w:r>
      <w:r w:rsidR="00844EAF">
        <w:noBreakHyphen/>
      </w:r>
      <w:r>
        <w:t>011</w:t>
      </w:r>
      <w:r w:rsidRPr="00494986">
        <w:t>.</w:t>
      </w:r>
    </w:p>
    <w:p w:rsidRPr="00E52317" w:rsidR="00CE67A2" w:rsidP="0034726E" w:rsidRDefault="00CE67A2" w14:paraId="220C0DA7" w14:textId="6EBFDD5E">
      <w:pPr>
        <w:pStyle w:val="SectionTitle"/>
      </w:pPr>
      <w:r w:rsidRPr="00E52317">
        <w:t>Procedural Matters</w:t>
      </w:r>
    </w:p>
    <w:p w:rsidRPr="00B024E1" w:rsidR="00B024E1" w:rsidP="0034726E" w:rsidRDefault="00B024E1" w14:paraId="07A4063F" w14:textId="77777777">
      <w:pPr>
        <w:pStyle w:val="CoL"/>
      </w:pPr>
      <w:r w:rsidRPr="00B024E1">
        <w:t>The motions of Comcast and Charter to file under seal and afford confidential treatment to the confidential version of the Comcast and Charter responses should be granted.</w:t>
      </w:r>
    </w:p>
    <w:p w:rsidRPr="00B024E1" w:rsidR="00B024E1" w:rsidP="0034726E" w:rsidRDefault="00B024E1" w14:paraId="3BACD39C" w14:textId="408A0DC4">
      <w:pPr>
        <w:pStyle w:val="CoL"/>
      </w:pPr>
      <w:r w:rsidRPr="00B024E1">
        <w:t>The information identified in the motions of Comcast and Charter shall be received under seal, shall remain under seal, and shall not be made accessible to the public or disclosed to anyone other than Commission staff, except upon further order or ruling of the Commission</w:t>
      </w:r>
      <w:r>
        <w:t xml:space="preserve"> for a period of three years</w:t>
      </w:r>
      <w:r w:rsidRPr="00B024E1">
        <w:t>.</w:t>
      </w:r>
    </w:p>
    <w:p w:rsidR="00B024E1" w:rsidP="0034726E" w:rsidRDefault="00B024E1" w14:paraId="68937820" w14:textId="739F4EBA">
      <w:pPr>
        <w:pStyle w:val="CoL"/>
      </w:pPr>
      <w:r w:rsidRPr="00B024E1">
        <w:t>All rulings of the assigned Commissioner and the assigned ALJ in this proceeding should be affirmed, and all motions not addressed in this proceeding should be deemed denied.</w:t>
      </w:r>
    </w:p>
    <w:p w:rsidR="00A91C1B" w:rsidP="00730714" w:rsidRDefault="00A91C1B" w14:paraId="647E0CA6" w14:textId="7EC38CEA">
      <w:pPr>
        <w:pStyle w:val="CoL"/>
      </w:pPr>
      <w:r w:rsidRPr="00DD5BB0">
        <w:t xml:space="preserve">Pursuant to the authority granted to the Commission under </w:t>
      </w:r>
      <w:r>
        <w:t>Pub. Util. Code Section </w:t>
      </w:r>
      <w:r w:rsidRPr="00DD5BB0">
        <w:t>1701.</w:t>
      </w:r>
      <w:r>
        <w:t>5(a)</w:t>
      </w:r>
      <w:r w:rsidRPr="00DD5BB0">
        <w:t xml:space="preserve">, the statutory deadline should be extended to </w:t>
      </w:r>
      <w:r>
        <w:t>August 1, 2026</w:t>
      </w:r>
      <w:r w:rsidRPr="00DD5BB0">
        <w:t>.</w:t>
      </w:r>
    </w:p>
    <w:p w:rsidRPr="00DE0551" w:rsidR="00A26564" w:rsidP="0034726E" w:rsidRDefault="00A26564" w14:paraId="3D44A7D9" w14:textId="51E94E59">
      <w:pPr>
        <w:pStyle w:val="CoL"/>
      </w:pPr>
      <w:r w:rsidRPr="00DE0551">
        <w:t xml:space="preserve">This proceeding should </w:t>
      </w:r>
      <w:r w:rsidR="00A91C1B">
        <w:t>remain open</w:t>
      </w:r>
      <w:r w:rsidRPr="00DE0551">
        <w:t>.</w:t>
      </w:r>
    </w:p>
    <w:p w:rsidR="00BB0243" w:rsidP="003E581E" w:rsidRDefault="005939A5" w14:paraId="55920CA0" w14:textId="77777777">
      <w:pPr>
        <w:pStyle w:val="Mainex"/>
        <w:spacing w:before="180"/>
      </w:pPr>
      <w:bookmarkStart w:name="_Toc176770988" w:id="254"/>
      <w:bookmarkStart w:name="_Toc177021186" w:id="255"/>
      <w:bookmarkStart w:name="_Hlk175739645" w:id="256"/>
      <w:bookmarkStart w:name="_Toc181692939" w:id="257"/>
      <w:r>
        <w:t>O</w:t>
      </w:r>
      <w:r w:rsidR="00722850">
        <w:t>RDER</w:t>
      </w:r>
      <w:bookmarkEnd w:id="254"/>
      <w:bookmarkEnd w:id="255"/>
      <w:bookmarkEnd w:id="257"/>
    </w:p>
    <w:bookmarkEnd w:id="256"/>
    <w:p w:rsidR="00BB0243" w:rsidP="00B97B17" w:rsidRDefault="00BB0243" w14:paraId="5EFB2CAA" w14:textId="77777777">
      <w:pPr>
        <w:pStyle w:val="Standard"/>
        <w:keepNext/>
      </w:pPr>
      <w:r w:rsidRPr="00BB0243">
        <w:rPr>
          <w:b/>
        </w:rPr>
        <w:t>IT IS ORDERED</w:t>
      </w:r>
      <w:r>
        <w:t xml:space="preserve"> that:</w:t>
      </w:r>
    </w:p>
    <w:p w:rsidRPr="00B645B9" w:rsidR="00B645B9" w:rsidP="00124136" w:rsidRDefault="00B645B9" w14:paraId="5FD8FC8D" w14:textId="29B0979C">
      <w:pPr>
        <w:pStyle w:val="SectionTitle"/>
      </w:pPr>
      <w:r>
        <w:t>Regulatory Framework</w:t>
      </w:r>
    </w:p>
    <w:p w:rsidR="005147FD" w:rsidP="00F47403" w:rsidRDefault="005147FD" w14:paraId="2E5D6640" w14:textId="15000036">
      <w:pPr>
        <w:pStyle w:val="OP"/>
        <w:numPr>
          <w:ilvl w:val="0"/>
          <w:numId w:val="7"/>
        </w:numPr>
        <w:rPr>
          <w:color w:val="000000" w:themeColor="text1"/>
        </w:rPr>
      </w:pPr>
      <w:r>
        <w:rPr>
          <w:color w:val="000000" w:themeColor="text1"/>
        </w:rPr>
        <w:t xml:space="preserve">All interconnected </w:t>
      </w:r>
      <w:r w:rsidRPr="19E6B670" w:rsidR="005C6014">
        <w:rPr>
          <w:color w:val="000000" w:themeColor="text1"/>
        </w:rPr>
        <w:t xml:space="preserve">Voice over Internet Protocol </w:t>
      </w:r>
      <w:r w:rsidR="005C6014">
        <w:rPr>
          <w:color w:val="000000" w:themeColor="text1"/>
        </w:rPr>
        <w:t>(</w:t>
      </w:r>
      <w:r>
        <w:rPr>
          <w:color w:val="000000" w:themeColor="text1"/>
        </w:rPr>
        <w:t>VoIP</w:t>
      </w:r>
      <w:r w:rsidR="005C6014">
        <w:rPr>
          <w:color w:val="000000" w:themeColor="text1"/>
        </w:rPr>
        <w:t>)</w:t>
      </w:r>
      <w:r>
        <w:rPr>
          <w:color w:val="000000" w:themeColor="text1"/>
        </w:rPr>
        <w:t xml:space="preserve"> </w:t>
      </w:r>
      <w:r w:rsidR="005C6014">
        <w:rPr>
          <w:color w:val="000000" w:themeColor="text1"/>
        </w:rPr>
        <w:t xml:space="preserve">service </w:t>
      </w:r>
      <w:r>
        <w:rPr>
          <w:color w:val="000000" w:themeColor="text1"/>
        </w:rPr>
        <w:t>providers</w:t>
      </w:r>
      <w:r w:rsidR="00A35D96">
        <w:rPr>
          <w:color w:val="000000" w:themeColor="text1"/>
        </w:rPr>
        <w:t>,</w:t>
      </w:r>
      <w:r>
        <w:rPr>
          <w:color w:val="000000" w:themeColor="text1"/>
        </w:rPr>
        <w:t xml:space="preserve"> </w:t>
      </w:r>
      <w:r w:rsidR="00E2392C">
        <w:rPr>
          <w:color w:val="000000" w:themeColor="text1"/>
        </w:rPr>
        <w:t xml:space="preserve">with the exception of </w:t>
      </w:r>
      <w:r w:rsidR="00E5338A">
        <w:rPr>
          <w:color w:val="000000" w:themeColor="text1"/>
        </w:rPr>
        <w:t>n</w:t>
      </w:r>
      <w:r w:rsidR="00085EAC">
        <w:rPr>
          <w:color w:val="000000" w:themeColor="text1"/>
        </w:rPr>
        <w:t>omadic</w:t>
      </w:r>
      <w:r w:rsidR="006951D5">
        <w:rPr>
          <w:color w:val="000000" w:themeColor="text1"/>
        </w:rPr>
        <w:noBreakHyphen/>
      </w:r>
      <w:r w:rsidR="00B1499D">
        <w:rPr>
          <w:color w:val="000000" w:themeColor="text1"/>
        </w:rPr>
        <w:t>o</w:t>
      </w:r>
      <w:r w:rsidR="00085EAC">
        <w:rPr>
          <w:color w:val="000000" w:themeColor="text1"/>
        </w:rPr>
        <w:t xml:space="preserve">nly </w:t>
      </w:r>
      <w:r w:rsidR="00947F18">
        <w:rPr>
          <w:color w:val="000000" w:themeColor="text1"/>
        </w:rPr>
        <w:t>i</w:t>
      </w:r>
      <w:r w:rsidR="00085EAC">
        <w:rPr>
          <w:color w:val="000000" w:themeColor="text1"/>
        </w:rPr>
        <w:t>nterconnected</w:t>
      </w:r>
      <w:r w:rsidR="00E2392C">
        <w:rPr>
          <w:color w:val="000000" w:themeColor="text1"/>
        </w:rPr>
        <w:t xml:space="preserve"> VoIP </w:t>
      </w:r>
      <w:r w:rsidR="002D0A98">
        <w:rPr>
          <w:color w:val="000000" w:themeColor="text1"/>
        </w:rPr>
        <w:t xml:space="preserve">service </w:t>
      </w:r>
      <w:r w:rsidR="00A35D96">
        <w:rPr>
          <w:color w:val="000000" w:themeColor="text1"/>
        </w:rPr>
        <w:t>providers</w:t>
      </w:r>
      <w:r w:rsidR="00DA05F0">
        <w:rPr>
          <w:color w:val="000000" w:themeColor="text1"/>
        </w:rPr>
        <w:t xml:space="preserve"> as </w:t>
      </w:r>
      <w:r w:rsidR="00844448">
        <w:rPr>
          <w:color w:val="000000" w:themeColor="text1"/>
        </w:rPr>
        <w:lastRenderedPageBreak/>
        <w:t>defined</w:t>
      </w:r>
      <w:r w:rsidR="00DA05F0">
        <w:rPr>
          <w:color w:val="000000" w:themeColor="text1"/>
        </w:rPr>
        <w:t xml:space="preserve"> in this decision</w:t>
      </w:r>
      <w:r w:rsidR="00A35D96">
        <w:rPr>
          <w:color w:val="000000" w:themeColor="text1"/>
        </w:rPr>
        <w:t xml:space="preserve">, </w:t>
      </w:r>
      <w:r>
        <w:rPr>
          <w:color w:val="000000" w:themeColor="text1"/>
        </w:rPr>
        <w:t xml:space="preserve">must </w:t>
      </w:r>
      <w:r w:rsidR="00CA182F">
        <w:rPr>
          <w:color w:val="000000" w:themeColor="text1"/>
        </w:rPr>
        <w:t>obtain</w:t>
      </w:r>
      <w:r>
        <w:rPr>
          <w:color w:val="000000" w:themeColor="text1"/>
        </w:rPr>
        <w:t xml:space="preserve"> a grant of operating authority through </w:t>
      </w:r>
      <w:r w:rsidR="00235CB5">
        <w:rPr>
          <w:color w:val="000000" w:themeColor="text1"/>
        </w:rPr>
        <w:t>a</w:t>
      </w:r>
      <w:r>
        <w:rPr>
          <w:color w:val="000000" w:themeColor="text1"/>
        </w:rPr>
        <w:t xml:space="preserve"> </w:t>
      </w:r>
      <w:r w:rsidR="00CA182F">
        <w:t>Certificate of Public Convenience and Necessity</w:t>
      </w:r>
      <w:r>
        <w:rPr>
          <w:color w:val="000000" w:themeColor="text1"/>
        </w:rPr>
        <w:t xml:space="preserve"> or</w:t>
      </w:r>
      <w:r w:rsidR="002E779B">
        <w:rPr>
          <w:color w:val="000000" w:themeColor="text1"/>
        </w:rPr>
        <w:t xml:space="preserve"> a</w:t>
      </w:r>
      <w:r>
        <w:rPr>
          <w:color w:val="000000" w:themeColor="text1"/>
        </w:rPr>
        <w:t xml:space="preserve"> </w:t>
      </w:r>
      <w:r w:rsidR="00EE3114">
        <w:rPr>
          <w:color w:val="000000" w:themeColor="text1"/>
        </w:rPr>
        <w:t>Section </w:t>
      </w:r>
      <w:r>
        <w:rPr>
          <w:color w:val="000000" w:themeColor="text1"/>
        </w:rPr>
        <w:t>1013 registration.</w:t>
      </w:r>
    </w:p>
    <w:p w:rsidR="00CA182F" w:rsidP="00F47403" w:rsidRDefault="001F762E" w14:paraId="2B22A7A4" w14:textId="08F8F8C5">
      <w:pPr>
        <w:pStyle w:val="OP"/>
        <w:numPr>
          <w:ilvl w:val="0"/>
          <w:numId w:val="7"/>
        </w:numPr>
      </w:pPr>
      <w:r>
        <w:t>F</w:t>
      </w:r>
      <w:r w:rsidR="00CA182F">
        <w:t>acilities</w:t>
      </w:r>
      <w:r w:rsidR="006951D5">
        <w:noBreakHyphen/>
      </w:r>
      <w:r w:rsidR="00CA182F">
        <w:t xml:space="preserve">based </w:t>
      </w:r>
      <w:r w:rsidR="00026F5A">
        <w:t>telephone corporations</w:t>
      </w:r>
      <w:r w:rsidR="00AC6170">
        <w:t>,</w:t>
      </w:r>
      <w:r w:rsidR="00CA182F">
        <w:t xml:space="preserve"> </w:t>
      </w:r>
      <w:r w:rsidR="00D07F16">
        <w:t xml:space="preserve">including all interconnected </w:t>
      </w:r>
      <w:r w:rsidRPr="19E6B670" w:rsidR="001B7453">
        <w:rPr>
          <w:color w:val="000000" w:themeColor="text1"/>
        </w:rPr>
        <w:t xml:space="preserve">Voice over Internet Protocol </w:t>
      </w:r>
      <w:r w:rsidR="001B7453">
        <w:t xml:space="preserve">service </w:t>
      </w:r>
      <w:r w:rsidR="00D07F16">
        <w:t>providers</w:t>
      </w:r>
      <w:r w:rsidR="00AC6170">
        <w:t>,</w:t>
      </w:r>
      <w:r w:rsidR="00D07F16">
        <w:t xml:space="preserve"> </w:t>
      </w:r>
      <w:r w:rsidR="00CA182F">
        <w:t>must obtain operating authority through a Certificate of Public Convenience and Necessity.</w:t>
      </w:r>
    </w:p>
    <w:p w:rsidR="00026F5A" w:rsidP="00F47403" w:rsidRDefault="00E5338A" w14:paraId="270DE831" w14:textId="555CF934">
      <w:pPr>
        <w:pStyle w:val="OP"/>
        <w:numPr>
          <w:ilvl w:val="0"/>
          <w:numId w:val="7"/>
        </w:numPr>
        <w:rPr>
          <w:color w:val="000000" w:themeColor="text1"/>
        </w:rPr>
      </w:pPr>
      <w:r>
        <w:rPr>
          <w:color w:val="000000" w:themeColor="text1"/>
        </w:rPr>
        <w:t>Non</w:t>
      </w:r>
      <w:r w:rsidR="006951D5">
        <w:rPr>
          <w:color w:val="000000" w:themeColor="text1"/>
        </w:rPr>
        <w:noBreakHyphen/>
      </w:r>
      <w:r>
        <w:rPr>
          <w:color w:val="000000" w:themeColor="text1"/>
        </w:rPr>
        <w:t>fac</w:t>
      </w:r>
      <w:r w:rsidR="00026F5A">
        <w:rPr>
          <w:color w:val="000000" w:themeColor="text1"/>
        </w:rPr>
        <w:t>ilities</w:t>
      </w:r>
      <w:r w:rsidR="006951D5">
        <w:rPr>
          <w:color w:val="000000" w:themeColor="text1"/>
        </w:rPr>
        <w:noBreakHyphen/>
      </w:r>
      <w:r w:rsidR="00026F5A">
        <w:rPr>
          <w:color w:val="000000" w:themeColor="text1"/>
        </w:rPr>
        <w:t xml:space="preserve">based </w:t>
      </w:r>
      <w:r w:rsidR="00235CB5">
        <w:rPr>
          <w:color w:val="000000" w:themeColor="text1"/>
        </w:rPr>
        <w:t xml:space="preserve">telephone corporations, </w:t>
      </w:r>
      <w:r w:rsidR="001F762E">
        <w:t xml:space="preserve">including all interconnected </w:t>
      </w:r>
      <w:r w:rsidRPr="19E6B670" w:rsidR="005A0815">
        <w:rPr>
          <w:color w:val="000000" w:themeColor="text1"/>
        </w:rPr>
        <w:t xml:space="preserve">Voice over Internet Protocol </w:t>
      </w:r>
      <w:r w:rsidR="005A0815">
        <w:rPr>
          <w:color w:val="000000" w:themeColor="text1"/>
        </w:rPr>
        <w:t xml:space="preserve">(VoIP) </w:t>
      </w:r>
      <w:r w:rsidR="005A0815">
        <w:t xml:space="preserve">service </w:t>
      </w:r>
      <w:r w:rsidR="001F762E">
        <w:t>providers</w:t>
      </w:r>
      <w:r w:rsidR="001F762E">
        <w:rPr>
          <w:color w:val="000000" w:themeColor="text1"/>
        </w:rPr>
        <w:t xml:space="preserve"> </w:t>
      </w:r>
      <w:r w:rsidR="00235CB5">
        <w:rPr>
          <w:color w:val="000000" w:themeColor="text1"/>
        </w:rPr>
        <w:t xml:space="preserve">with the exception of </w:t>
      </w:r>
      <w:r>
        <w:rPr>
          <w:color w:val="000000" w:themeColor="text1"/>
        </w:rPr>
        <w:t>n</w:t>
      </w:r>
      <w:bookmarkStart w:name="_Hlk174965973" w:id="258"/>
      <w:r w:rsidR="00085EAC">
        <w:rPr>
          <w:color w:val="000000" w:themeColor="text1"/>
        </w:rPr>
        <w:t>omadic</w:t>
      </w:r>
      <w:r w:rsidR="006951D5">
        <w:rPr>
          <w:color w:val="000000" w:themeColor="text1"/>
        </w:rPr>
        <w:noBreakHyphen/>
      </w:r>
      <w:r w:rsidR="008B298C">
        <w:rPr>
          <w:color w:val="000000" w:themeColor="text1"/>
        </w:rPr>
        <w:t>o</w:t>
      </w:r>
      <w:r w:rsidR="00085EAC">
        <w:rPr>
          <w:color w:val="000000" w:themeColor="text1"/>
        </w:rPr>
        <w:t xml:space="preserve">nly </w:t>
      </w:r>
      <w:r w:rsidR="006C0156">
        <w:rPr>
          <w:color w:val="000000" w:themeColor="text1"/>
        </w:rPr>
        <w:t>i</w:t>
      </w:r>
      <w:r w:rsidR="00085EAC">
        <w:rPr>
          <w:color w:val="000000" w:themeColor="text1"/>
        </w:rPr>
        <w:t>nterconnected</w:t>
      </w:r>
      <w:r w:rsidR="00235CB5">
        <w:rPr>
          <w:color w:val="000000" w:themeColor="text1"/>
        </w:rPr>
        <w:t xml:space="preserve"> VoIP</w:t>
      </w:r>
      <w:bookmarkEnd w:id="258"/>
      <w:r w:rsidR="00235CB5">
        <w:rPr>
          <w:color w:val="000000" w:themeColor="text1"/>
        </w:rPr>
        <w:t xml:space="preserve"> providers</w:t>
      </w:r>
      <w:r w:rsidR="001F762E">
        <w:rPr>
          <w:color w:val="000000" w:themeColor="text1"/>
        </w:rPr>
        <w:t xml:space="preserve">, must obtain operating authority through a </w:t>
      </w:r>
      <w:r w:rsidR="00EE3114">
        <w:rPr>
          <w:color w:val="000000" w:themeColor="text1"/>
        </w:rPr>
        <w:t>Section </w:t>
      </w:r>
      <w:r w:rsidR="001F762E">
        <w:rPr>
          <w:color w:val="000000" w:themeColor="text1"/>
        </w:rPr>
        <w:t>1013 registration.</w:t>
      </w:r>
    </w:p>
    <w:p w:rsidRPr="00803CDA" w:rsidR="002F7B64" w:rsidP="00F47403" w:rsidRDefault="00085EAC" w14:paraId="1789C0CE" w14:textId="6847F7F2">
      <w:pPr>
        <w:pStyle w:val="OP"/>
        <w:numPr>
          <w:ilvl w:val="0"/>
          <w:numId w:val="7"/>
        </w:numPr>
        <w:rPr>
          <w:color w:val="000000" w:themeColor="text1"/>
        </w:rPr>
      </w:pPr>
      <w:r>
        <w:rPr>
          <w:color w:val="000000" w:themeColor="text1"/>
        </w:rPr>
        <w:t>Nomadic</w:t>
      </w:r>
      <w:r w:rsidR="006951D5">
        <w:rPr>
          <w:color w:val="000000" w:themeColor="text1"/>
        </w:rPr>
        <w:noBreakHyphen/>
      </w:r>
      <w:r w:rsidR="00D2292B">
        <w:rPr>
          <w:color w:val="000000" w:themeColor="text1"/>
        </w:rPr>
        <w:t>o</w:t>
      </w:r>
      <w:r>
        <w:rPr>
          <w:color w:val="000000" w:themeColor="text1"/>
        </w:rPr>
        <w:t xml:space="preserve">nly </w:t>
      </w:r>
      <w:r w:rsidR="00947F18">
        <w:rPr>
          <w:color w:val="000000" w:themeColor="text1"/>
        </w:rPr>
        <w:t>i</w:t>
      </w:r>
      <w:r>
        <w:rPr>
          <w:color w:val="000000" w:themeColor="text1"/>
        </w:rPr>
        <w:t>nterconnected</w:t>
      </w:r>
      <w:r w:rsidR="002F7B64">
        <w:rPr>
          <w:color w:val="000000" w:themeColor="text1"/>
        </w:rPr>
        <w:t xml:space="preserve"> </w:t>
      </w:r>
      <w:r w:rsidRPr="19E6B670" w:rsidR="005A0815">
        <w:rPr>
          <w:color w:val="000000" w:themeColor="text1"/>
        </w:rPr>
        <w:t xml:space="preserve">Voice over Internet Protocol </w:t>
      </w:r>
      <w:r w:rsidR="005A0815">
        <w:t>service</w:t>
      </w:r>
      <w:r w:rsidRPr="00803CDA" w:rsidR="002F7B64">
        <w:rPr>
          <w:color w:val="000000" w:themeColor="text1"/>
        </w:rPr>
        <w:t xml:space="preserve"> </w:t>
      </w:r>
      <w:r w:rsidR="002F7B64">
        <w:rPr>
          <w:color w:val="000000" w:themeColor="text1"/>
        </w:rPr>
        <w:t>providers must</w:t>
      </w:r>
      <w:r w:rsidRPr="00803CDA" w:rsidR="002F7B64">
        <w:rPr>
          <w:color w:val="000000" w:themeColor="text1"/>
        </w:rPr>
        <w:t xml:space="preserve"> </w:t>
      </w:r>
      <w:r w:rsidR="002F7B64">
        <w:rPr>
          <w:color w:val="000000" w:themeColor="text1"/>
        </w:rPr>
        <w:t xml:space="preserve">register with the </w:t>
      </w:r>
      <w:r w:rsidR="001519F6">
        <w:rPr>
          <w:color w:val="000000" w:themeColor="text1"/>
        </w:rPr>
        <w:t xml:space="preserve">California </w:t>
      </w:r>
      <w:r w:rsidR="007E4707">
        <w:rPr>
          <w:color w:val="000000" w:themeColor="text1"/>
        </w:rPr>
        <w:t>Public Utilities</w:t>
      </w:r>
      <w:r w:rsidR="001519F6">
        <w:rPr>
          <w:color w:val="000000" w:themeColor="text1"/>
        </w:rPr>
        <w:t xml:space="preserve"> </w:t>
      </w:r>
      <w:r w:rsidR="002F7B64">
        <w:rPr>
          <w:color w:val="000000" w:themeColor="text1"/>
        </w:rPr>
        <w:t xml:space="preserve">Commission using the </w:t>
      </w:r>
      <w:r w:rsidR="00681CE0">
        <w:rPr>
          <w:color w:val="000000" w:themeColor="text1"/>
        </w:rPr>
        <w:t>N</w:t>
      </w:r>
      <w:r w:rsidR="002F7B64">
        <w:rPr>
          <w:color w:val="000000" w:themeColor="text1"/>
        </w:rPr>
        <w:t xml:space="preserve">omadic </w:t>
      </w:r>
      <w:r w:rsidR="00681CE0">
        <w:rPr>
          <w:color w:val="000000" w:themeColor="text1"/>
        </w:rPr>
        <w:t>R</w:t>
      </w:r>
      <w:r w:rsidR="002F7B64">
        <w:rPr>
          <w:color w:val="000000" w:themeColor="text1"/>
        </w:rPr>
        <w:t xml:space="preserve">egistration process contained in </w:t>
      </w:r>
      <w:r w:rsidR="00C04D12">
        <w:rPr>
          <w:color w:val="000000" w:themeColor="text1"/>
        </w:rPr>
        <w:t>Appendix </w:t>
      </w:r>
      <w:r w:rsidR="002F7B64">
        <w:rPr>
          <w:color w:val="000000" w:themeColor="text1"/>
        </w:rPr>
        <w:t>A.</w:t>
      </w:r>
    </w:p>
    <w:p w:rsidR="00053E2D" w:rsidP="00053E2D" w:rsidRDefault="00053E2D" w14:paraId="3C0DD9C4" w14:textId="7E6F8CB0">
      <w:pPr>
        <w:pStyle w:val="OP"/>
        <w:numPr>
          <w:ilvl w:val="0"/>
          <w:numId w:val="7"/>
        </w:numPr>
      </w:pPr>
      <w:r>
        <w:t>Nomadic</w:t>
      </w:r>
      <w:r w:rsidR="00844EAF">
        <w:noBreakHyphen/>
      </w:r>
      <w:r>
        <w:t xml:space="preserve">only interconnected </w:t>
      </w:r>
      <w:r w:rsidRPr="19E6B670">
        <w:rPr>
          <w:color w:val="000000" w:themeColor="text1"/>
        </w:rPr>
        <w:t xml:space="preserve">Voice over Internet Protocol </w:t>
      </w:r>
      <w:r>
        <w:rPr>
          <w:color w:val="000000" w:themeColor="text1"/>
        </w:rPr>
        <w:t>(VoIP) service providers</w:t>
      </w:r>
      <w:r>
        <w:t xml:space="preserve"> with pending applications for operating authority must file in the pending docket of the application an attestation that its service qualifies for D</w:t>
      </w:r>
      <w:r w:rsidR="00671D8C">
        <w:t xml:space="preserve">igital Voice Nomadic </w:t>
      </w:r>
      <w:r>
        <w:t>utility type.</w:t>
      </w:r>
    </w:p>
    <w:p w:rsidR="002F7B64" w:rsidP="00F47403" w:rsidRDefault="004E0A76" w14:paraId="4F4A2307" w14:textId="149CF623">
      <w:pPr>
        <w:pStyle w:val="OP"/>
        <w:numPr>
          <w:ilvl w:val="0"/>
          <w:numId w:val="7"/>
        </w:numPr>
      </w:pPr>
      <w:r>
        <w:t>Applicants</w:t>
      </w:r>
      <w:r w:rsidR="002F7B64">
        <w:t xml:space="preserve"> </w:t>
      </w:r>
      <w:r>
        <w:t>for</w:t>
      </w:r>
      <w:r w:rsidR="002F7B64">
        <w:t xml:space="preserve"> </w:t>
      </w:r>
      <w:r w:rsidR="00EE3114">
        <w:t>Section </w:t>
      </w:r>
      <w:r w:rsidR="002F7B64">
        <w:t xml:space="preserve">1013 </w:t>
      </w:r>
      <w:r>
        <w:t>operating authority</w:t>
      </w:r>
      <w:r w:rsidR="002F7B64">
        <w:t xml:space="preserve"> must utilize the </w:t>
      </w:r>
      <w:r w:rsidR="00EE3114">
        <w:t>Section </w:t>
      </w:r>
      <w:r w:rsidR="002F7B64">
        <w:t xml:space="preserve">1013 </w:t>
      </w:r>
      <w:r>
        <w:t>r</w:t>
      </w:r>
      <w:r w:rsidR="002F7B64">
        <w:t xml:space="preserve">egistration process contained in </w:t>
      </w:r>
      <w:r w:rsidR="00C04D12">
        <w:t>Appendix </w:t>
      </w:r>
      <w:r w:rsidR="002F7B64">
        <w:t>B.</w:t>
      </w:r>
    </w:p>
    <w:p w:rsidR="00DA1E25" w:rsidP="00F47403" w:rsidRDefault="004E0A76" w14:paraId="7371FABA" w14:textId="35D8F40B">
      <w:pPr>
        <w:pStyle w:val="OP"/>
        <w:numPr>
          <w:ilvl w:val="0"/>
          <w:numId w:val="7"/>
        </w:numPr>
      </w:pPr>
      <w:r>
        <w:t xml:space="preserve">Applicants for </w:t>
      </w:r>
      <w:r w:rsidR="00DA1E25">
        <w:t>Certificate of Public Convenience and Necessity</w:t>
      </w:r>
      <w:r>
        <w:t xml:space="preserve"> operating authority</w:t>
      </w:r>
      <w:r w:rsidR="00DA1E25">
        <w:t xml:space="preserve"> must utilize the process contained in </w:t>
      </w:r>
      <w:r w:rsidR="00C04D12">
        <w:t>Appendix </w:t>
      </w:r>
      <w:r w:rsidR="002F7B64">
        <w:t>C</w:t>
      </w:r>
      <w:r w:rsidR="00DA1E25">
        <w:t>.</w:t>
      </w:r>
    </w:p>
    <w:p w:rsidR="00A96B31" w:rsidP="00F47403" w:rsidRDefault="006532F2" w14:paraId="2F0481DD" w14:textId="6014D06D">
      <w:pPr>
        <w:pStyle w:val="OP"/>
        <w:numPr>
          <w:ilvl w:val="0"/>
          <w:numId w:val="7"/>
        </w:numPr>
      </w:pPr>
      <w:r>
        <w:t xml:space="preserve">The </w:t>
      </w:r>
      <w:r w:rsidR="001519F6">
        <w:rPr>
          <w:color w:val="000000" w:themeColor="text1"/>
        </w:rPr>
        <w:t xml:space="preserve">California </w:t>
      </w:r>
      <w:r w:rsidR="007E4707">
        <w:rPr>
          <w:color w:val="000000" w:themeColor="text1"/>
        </w:rPr>
        <w:t>Public Utilities</w:t>
      </w:r>
      <w:r w:rsidR="001519F6">
        <w:rPr>
          <w:color w:val="000000" w:themeColor="text1"/>
        </w:rPr>
        <w:t xml:space="preserve"> </w:t>
      </w:r>
      <w:r>
        <w:t xml:space="preserve">Commission </w:t>
      </w:r>
      <w:r w:rsidR="00E518D4">
        <w:t>gives authority</w:t>
      </w:r>
      <w:r>
        <w:t xml:space="preserve"> to the Director of the Communications Division (or its successor)</w:t>
      </w:r>
      <w:r w:rsidR="00ED1298">
        <w:t xml:space="preserve"> </w:t>
      </w:r>
      <w:r w:rsidR="00E518D4">
        <w:t xml:space="preserve">to process Nomadic Registrations, </w:t>
      </w:r>
      <w:r w:rsidR="00ED1298">
        <w:t xml:space="preserve">similar to the Commission’s </w:t>
      </w:r>
      <w:r w:rsidR="00522993">
        <w:t>Section</w:t>
      </w:r>
      <w:r w:rsidR="00844EAF">
        <w:t> </w:t>
      </w:r>
      <w:r w:rsidR="00ED1298">
        <w:t>1013 registration process</w:t>
      </w:r>
      <w:r>
        <w:t>.</w:t>
      </w:r>
    </w:p>
    <w:p w:rsidRPr="000D78E5" w:rsidR="00852EEB" w:rsidP="00F47403" w:rsidRDefault="00852EEB" w14:paraId="29515E64" w14:textId="77777777">
      <w:pPr>
        <w:pStyle w:val="OP"/>
        <w:numPr>
          <w:ilvl w:val="0"/>
          <w:numId w:val="7"/>
        </w:numPr>
      </w:pPr>
      <w:r w:rsidRPr="000D78E5">
        <w:t>The Nomadic Registration fee is set at $250.</w:t>
      </w:r>
    </w:p>
    <w:p w:rsidRPr="00104352" w:rsidR="00B82670" w:rsidP="00F47403" w:rsidRDefault="00104352" w14:paraId="6D2CC9C0" w14:textId="60BA70C4">
      <w:pPr>
        <w:pStyle w:val="OP"/>
        <w:numPr>
          <w:ilvl w:val="0"/>
          <w:numId w:val="7"/>
        </w:numPr>
      </w:pPr>
      <w:r w:rsidRPr="000D78E5">
        <w:t xml:space="preserve">Unless the Commission makes a finding </w:t>
      </w:r>
      <w:r w:rsidRPr="00104352">
        <w:t xml:space="preserve">otherwise, </w:t>
      </w:r>
      <w:r>
        <w:t xml:space="preserve">annually </w:t>
      </w:r>
      <w:r w:rsidRPr="00104352">
        <w:t>t</w:t>
      </w:r>
      <w:r w:rsidRPr="00104352" w:rsidR="00852EEB">
        <w:t xml:space="preserve">he Commission </w:t>
      </w:r>
      <w:r w:rsidRPr="00104352" w:rsidR="001D4941">
        <w:t xml:space="preserve">will </w:t>
      </w:r>
      <w:r w:rsidRPr="00104352" w:rsidR="00CD57E8">
        <w:t>adjust</w:t>
      </w:r>
      <w:r w:rsidRPr="00104352" w:rsidR="001D4941">
        <w:t xml:space="preserve"> the </w:t>
      </w:r>
      <w:r w:rsidRPr="00104352" w:rsidR="00852EEB">
        <w:t>Nomadic Registration</w:t>
      </w:r>
      <w:r w:rsidR="001052E8">
        <w:t xml:space="preserve">, </w:t>
      </w:r>
      <w:r w:rsidR="00522993">
        <w:t>Section</w:t>
      </w:r>
      <w:r w:rsidR="00844EAF">
        <w:t> </w:t>
      </w:r>
      <w:r w:rsidRPr="00104352" w:rsidR="00852EEB">
        <w:t xml:space="preserve">1013 </w:t>
      </w:r>
      <w:r w:rsidR="001052E8">
        <w:t xml:space="preserve">registration and </w:t>
      </w:r>
      <w:r w:rsidR="001052E8">
        <w:lastRenderedPageBreak/>
        <w:t>WIR fees</w:t>
      </w:r>
      <w:r w:rsidRPr="00104352" w:rsidR="001D4941">
        <w:t xml:space="preserve"> by the consumer price index (CPI) using the United States Bureau of Labor CPI</w:t>
      </w:r>
      <w:r w:rsidR="00844EAF">
        <w:noBreakHyphen/>
      </w:r>
      <w:r w:rsidRPr="00104352" w:rsidR="001D4941">
        <w:t xml:space="preserve">U calculator </w:t>
      </w:r>
      <w:r w:rsidRPr="00104352" w:rsidR="00852EEB">
        <w:rPr>
          <w:bCs/>
          <w:szCs w:val="26"/>
        </w:rPr>
        <w:t xml:space="preserve">on </w:t>
      </w:r>
      <w:r w:rsidR="00424385">
        <w:rPr>
          <w:bCs/>
          <w:szCs w:val="26"/>
        </w:rPr>
        <w:t>July</w:t>
      </w:r>
      <w:r w:rsidR="00844EAF">
        <w:rPr>
          <w:bCs/>
          <w:szCs w:val="26"/>
        </w:rPr>
        <w:t> </w:t>
      </w:r>
      <w:r w:rsidRPr="00104352" w:rsidR="00852EEB">
        <w:rPr>
          <w:bCs/>
          <w:szCs w:val="26"/>
        </w:rPr>
        <w:t xml:space="preserve">1, </w:t>
      </w:r>
      <w:r w:rsidRPr="00104352" w:rsidR="00852EEB">
        <w:rPr>
          <w:szCs w:val="26"/>
        </w:rPr>
        <w:t>will post</w:t>
      </w:r>
      <w:r w:rsidRPr="00104352">
        <w:rPr>
          <w:szCs w:val="26"/>
        </w:rPr>
        <w:t xml:space="preserve"> the new fee</w:t>
      </w:r>
      <w:r w:rsidRPr="00104352" w:rsidR="00852EEB">
        <w:rPr>
          <w:szCs w:val="26"/>
        </w:rPr>
        <w:t xml:space="preserve"> on the Commission’s website by </w:t>
      </w:r>
      <w:r w:rsidR="00424385">
        <w:rPr>
          <w:szCs w:val="26"/>
        </w:rPr>
        <w:t>July</w:t>
      </w:r>
      <w:r w:rsidR="00844EAF">
        <w:rPr>
          <w:szCs w:val="26"/>
        </w:rPr>
        <w:t> </w:t>
      </w:r>
      <w:r w:rsidRPr="00104352" w:rsidR="00852EEB">
        <w:rPr>
          <w:szCs w:val="26"/>
        </w:rPr>
        <w:t>15</w:t>
      </w:r>
      <w:r>
        <w:rPr>
          <w:szCs w:val="26"/>
        </w:rPr>
        <w:t>,</w:t>
      </w:r>
      <w:r w:rsidRPr="00104352" w:rsidR="00852EEB">
        <w:rPr>
          <w:szCs w:val="26"/>
        </w:rPr>
        <w:t xml:space="preserve"> and </w:t>
      </w:r>
      <w:r w:rsidRPr="00104352">
        <w:rPr>
          <w:szCs w:val="26"/>
        </w:rPr>
        <w:t xml:space="preserve">the new fee </w:t>
      </w:r>
      <w:r w:rsidRPr="00104352" w:rsidR="00852EEB">
        <w:rPr>
          <w:szCs w:val="26"/>
        </w:rPr>
        <w:t>will be</w:t>
      </w:r>
      <w:r w:rsidRPr="00104352">
        <w:rPr>
          <w:szCs w:val="26"/>
        </w:rPr>
        <w:t>come</w:t>
      </w:r>
      <w:r w:rsidRPr="00104352" w:rsidR="00852EEB">
        <w:rPr>
          <w:szCs w:val="26"/>
        </w:rPr>
        <w:t xml:space="preserve"> effective on </w:t>
      </w:r>
      <w:r w:rsidR="00424385">
        <w:rPr>
          <w:szCs w:val="26"/>
        </w:rPr>
        <w:t>August</w:t>
      </w:r>
      <w:r w:rsidR="00844EAF">
        <w:rPr>
          <w:szCs w:val="26"/>
        </w:rPr>
        <w:t> </w:t>
      </w:r>
      <w:r w:rsidRPr="00104352" w:rsidR="00852EEB">
        <w:rPr>
          <w:szCs w:val="26"/>
        </w:rPr>
        <w:t>1.</w:t>
      </w:r>
    </w:p>
    <w:p w:rsidRPr="00823E7D" w:rsidR="00E9718E" w:rsidP="00476EAF" w:rsidRDefault="00823E7D" w14:paraId="2D778740" w14:textId="54CF47DB">
      <w:pPr>
        <w:pStyle w:val="SectionTitle"/>
      </w:pPr>
      <w:bookmarkStart w:name="_Hlk175739622" w:id="259"/>
      <w:r>
        <w:t xml:space="preserve">Application and Registration </w:t>
      </w:r>
      <w:r w:rsidR="003F0F9B">
        <w:t xml:space="preserve">Processes and </w:t>
      </w:r>
      <w:r w:rsidR="00142F98">
        <w:t>Requirements</w:t>
      </w:r>
    </w:p>
    <w:p w:rsidR="003D56E5" w:rsidP="00F47403" w:rsidRDefault="00610A83" w14:paraId="01A6081E" w14:textId="3ED24AB3">
      <w:pPr>
        <w:pStyle w:val="OP"/>
        <w:numPr>
          <w:ilvl w:val="0"/>
          <w:numId w:val="7"/>
        </w:numPr>
      </w:pPr>
      <w:r>
        <w:t>All</w:t>
      </w:r>
      <w:r w:rsidRPr="00F22508">
        <w:t xml:space="preserve"> </w:t>
      </w:r>
      <w:r>
        <w:t xml:space="preserve">telephone corporations granted operating authority </w:t>
      </w:r>
      <w:r w:rsidRPr="00F22508">
        <w:t>must obtain a</w:t>
      </w:r>
      <w:r>
        <w:t>n initial</w:t>
      </w:r>
      <w:r w:rsidRPr="00F22508">
        <w:t xml:space="preserve"> performance bond </w:t>
      </w:r>
      <w:r>
        <w:t xml:space="preserve">of </w:t>
      </w:r>
      <w:r w:rsidR="00AA6629">
        <w:t>at least</w:t>
      </w:r>
      <w:r>
        <w:t xml:space="preserve"> </w:t>
      </w:r>
      <w:r w:rsidRPr="00F22508">
        <w:t>$25,000</w:t>
      </w:r>
      <w:r>
        <w:t>.</w:t>
      </w:r>
      <w:r w:rsidR="00CD0E2A">
        <w:t xml:space="preserve"> </w:t>
      </w:r>
      <w:r w:rsidRPr="00F22508">
        <w:t>The performance bond must be a continuous bond (</w:t>
      </w:r>
      <w:r w:rsidRPr="004A120D" w:rsidR="004A120D">
        <w:rPr>
          <w:i/>
          <w:iCs/>
        </w:rPr>
        <w:t>i.e.</w:t>
      </w:r>
      <w:r w:rsidRPr="00F22508">
        <w:t xml:space="preserve">, there is no termination date on the bond) issued by a corporate surety company authorized to transact surety business in California, and the </w:t>
      </w:r>
      <w:r w:rsidR="001519F6">
        <w:rPr>
          <w:color w:val="000000" w:themeColor="text1"/>
        </w:rPr>
        <w:t xml:space="preserve">California </w:t>
      </w:r>
      <w:r w:rsidR="007E4707">
        <w:rPr>
          <w:color w:val="000000" w:themeColor="text1"/>
        </w:rPr>
        <w:t>Public Utilities</w:t>
      </w:r>
      <w:r w:rsidR="001519F6">
        <w:rPr>
          <w:color w:val="000000" w:themeColor="text1"/>
        </w:rPr>
        <w:t xml:space="preserve"> </w:t>
      </w:r>
      <w:r w:rsidRPr="00F22508">
        <w:t xml:space="preserve">Commission must be listed as the </w:t>
      </w:r>
      <w:proofErr w:type="spellStart"/>
      <w:r w:rsidRPr="00F22508">
        <w:t>obligee</w:t>
      </w:r>
      <w:proofErr w:type="spellEnd"/>
      <w:r w:rsidRPr="00F22508">
        <w:t xml:space="preserve"> on the bond.</w:t>
      </w:r>
    </w:p>
    <w:p w:rsidRPr="005C3886" w:rsidR="004A7DAF" w:rsidP="00F47403" w:rsidRDefault="000077C7" w14:paraId="0F8387C2" w14:textId="18752C68">
      <w:pPr>
        <w:pStyle w:val="OP"/>
        <w:numPr>
          <w:ilvl w:val="0"/>
          <w:numId w:val="7"/>
        </w:numPr>
      </w:pPr>
      <w:r>
        <w:t>All initial performance bonds must be submitted as</w:t>
      </w:r>
      <w:r w:rsidR="00C01DF6">
        <w:t xml:space="preserve"> a </w:t>
      </w:r>
      <w:r w:rsidR="005F2D22">
        <w:t>Tier 1</w:t>
      </w:r>
      <w:r w:rsidR="00C01DF6">
        <w:t xml:space="preserve"> advice letter to the </w:t>
      </w:r>
      <w:r w:rsidR="001519F6">
        <w:rPr>
          <w:color w:val="000000" w:themeColor="text1"/>
        </w:rPr>
        <w:t xml:space="preserve">California </w:t>
      </w:r>
      <w:r w:rsidR="007E4707">
        <w:rPr>
          <w:color w:val="000000" w:themeColor="text1"/>
        </w:rPr>
        <w:t>Public Utilities</w:t>
      </w:r>
      <w:r w:rsidR="001519F6">
        <w:rPr>
          <w:color w:val="000000" w:themeColor="text1"/>
        </w:rPr>
        <w:t xml:space="preserve"> </w:t>
      </w:r>
      <w:r w:rsidR="004A7DAF">
        <w:t>Commission</w:t>
      </w:r>
      <w:r w:rsidR="00893D67">
        <w:t>’</w:t>
      </w:r>
      <w:r w:rsidR="004A7DAF">
        <w:t>s Communication Division</w:t>
      </w:r>
      <w:r w:rsidR="00573754">
        <w:t xml:space="preserve"> </w:t>
      </w:r>
      <w:r w:rsidR="004A7DAF">
        <w:t xml:space="preserve">with a </w:t>
      </w:r>
      <w:r w:rsidR="00C01DF6">
        <w:t>copy of the license holder</w:t>
      </w:r>
      <w:r w:rsidR="00893D67">
        <w:t>’</w:t>
      </w:r>
      <w:r w:rsidR="00C01DF6">
        <w:t>s executed bond</w:t>
      </w:r>
      <w:r w:rsidRPr="002308C6" w:rsidR="002308C6">
        <w:t xml:space="preserve"> within 30 days of being granted an operating authority or registration.</w:t>
      </w:r>
      <w:r w:rsidRPr="00F22508" w:rsidR="00C01DF6">
        <w:t xml:space="preserve"> </w:t>
      </w:r>
      <w:r w:rsidRPr="005126E5" w:rsidR="004A7DAF">
        <w:rPr>
          <w:rFonts w:cstheme="minorHAnsi"/>
          <w:szCs w:val="26"/>
        </w:rPr>
        <w:t>The hard copy document must be sent to the following:</w:t>
      </w:r>
    </w:p>
    <w:p w:rsidR="004A7DAF" w:rsidP="00697078" w:rsidRDefault="004A7DAF" w14:paraId="43FBE050" w14:textId="5B158615">
      <w:pPr>
        <w:pStyle w:val="NoSpacing"/>
        <w:keepNext/>
        <w:jc w:val="center"/>
        <w:rPr>
          <w:rFonts w:cstheme="minorHAnsi"/>
          <w:szCs w:val="26"/>
        </w:rPr>
      </w:pPr>
      <w:r>
        <w:rPr>
          <w:rFonts w:cstheme="minorHAnsi"/>
          <w:szCs w:val="26"/>
        </w:rPr>
        <w:t xml:space="preserve">California </w:t>
      </w:r>
      <w:r w:rsidR="007E4707">
        <w:rPr>
          <w:rFonts w:cstheme="minorHAnsi"/>
          <w:szCs w:val="26"/>
        </w:rPr>
        <w:t>Public Utilities</w:t>
      </w:r>
      <w:r>
        <w:rPr>
          <w:rFonts w:cstheme="minorHAnsi"/>
          <w:szCs w:val="26"/>
        </w:rPr>
        <w:t xml:space="preserve"> Commission</w:t>
      </w:r>
    </w:p>
    <w:p w:rsidR="0070344E" w:rsidP="0070344E" w:rsidRDefault="0070344E" w14:paraId="611FF393" w14:textId="66A4BAA8">
      <w:pPr>
        <w:pStyle w:val="NoSpacing"/>
        <w:keepNext/>
        <w:jc w:val="center"/>
      </w:pPr>
      <w:r w:rsidRPr="7CA8E2B7">
        <w:t xml:space="preserve">ATTN: Communications Division </w:t>
      </w:r>
      <w:r w:rsidR="00844EAF">
        <w:noBreakHyphen/>
      </w:r>
      <w:r w:rsidR="001A2AD1">
        <w:t xml:space="preserve"> </w:t>
      </w:r>
      <w:r w:rsidRPr="7CA8E2B7">
        <w:t>Performance Bond</w:t>
      </w:r>
    </w:p>
    <w:p w:rsidR="004A7DAF" w:rsidP="00697078" w:rsidRDefault="008123A1" w14:paraId="183E8C0A" w14:textId="59407EF0">
      <w:pPr>
        <w:pStyle w:val="NoSpacing"/>
        <w:keepNext/>
        <w:jc w:val="center"/>
        <w:rPr>
          <w:rFonts w:cstheme="minorHAnsi"/>
          <w:szCs w:val="26"/>
        </w:rPr>
      </w:pPr>
      <w:r>
        <w:rPr>
          <w:rFonts w:cstheme="minorHAnsi"/>
          <w:szCs w:val="26"/>
        </w:rPr>
        <w:t>505 Van Ness</w:t>
      </w:r>
      <w:r w:rsidR="004A7DAF">
        <w:rPr>
          <w:rFonts w:cstheme="minorHAnsi"/>
          <w:szCs w:val="26"/>
        </w:rPr>
        <w:t xml:space="preserve"> Avenue, Third Floor</w:t>
      </w:r>
    </w:p>
    <w:p w:rsidR="004A7DAF" w:rsidP="004A7DAF" w:rsidRDefault="008123A1" w14:paraId="328F29EF" w14:textId="3F359439">
      <w:pPr>
        <w:pStyle w:val="NoSpacing"/>
        <w:jc w:val="center"/>
        <w:rPr>
          <w:rFonts w:cstheme="minorHAnsi"/>
          <w:szCs w:val="26"/>
        </w:rPr>
      </w:pPr>
      <w:r>
        <w:rPr>
          <w:rFonts w:cstheme="minorHAnsi"/>
          <w:szCs w:val="26"/>
        </w:rPr>
        <w:t>San </w:t>
      </w:r>
      <w:r w:rsidR="004A7DAF">
        <w:rPr>
          <w:rFonts w:cstheme="minorHAnsi"/>
          <w:szCs w:val="26"/>
        </w:rPr>
        <w:t>Francisco, California 94102</w:t>
      </w:r>
    </w:p>
    <w:p w:rsidR="004A7DAF" w:rsidP="00C77197" w:rsidRDefault="004A7DAF" w14:paraId="3948888C" w14:textId="758D09F6">
      <w:pPr>
        <w:pStyle w:val="OP"/>
        <w:ind w:firstLine="0"/>
      </w:pPr>
      <w:r w:rsidRPr="00C7492D">
        <w:rPr>
          <w:rFonts w:cstheme="minorHAnsi"/>
          <w:szCs w:val="26"/>
        </w:rPr>
        <w:t>If no hard copy exists</w:t>
      </w:r>
      <w:r w:rsidRPr="0B10B0AF">
        <w:t xml:space="preserve"> </w:t>
      </w:r>
      <w:r>
        <w:t xml:space="preserve">(the </w:t>
      </w:r>
      <w:r w:rsidRPr="0B10B0AF">
        <w:t>performance bond</w:t>
      </w:r>
      <w:r>
        <w:t xml:space="preserve"> is only in electronic version)</w:t>
      </w:r>
      <w:r w:rsidRPr="0B10B0AF">
        <w:t xml:space="preserve">, the </w:t>
      </w:r>
      <w:r w:rsidR="0037140E">
        <w:t>service provider</w:t>
      </w:r>
      <w:r w:rsidRPr="0B10B0AF">
        <w:t xml:space="preserve"> must submit </w:t>
      </w:r>
      <w:r>
        <w:t xml:space="preserve">to the Direction of Communications via email to </w:t>
      </w:r>
      <w:hyperlink w:history="1" r:id="rId23">
        <w:r w:rsidRPr="001F2672" w:rsidR="00161C5D">
          <w:rPr>
            <w:rStyle w:val="Hyperlink"/>
          </w:rPr>
          <w:t>cdcompliance@cpuc.ca.gov</w:t>
        </w:r>
      </w:hyperlink>
      <w:r>
        <w:t xml:space="preserve"> </w:t>
      </w:r>
      <w:r w:rsidRPr="0B10B0AF">
        <w:t xml:space="preserve">an attestation with its </w:t>
      </w:r>
      <w:r w:rsidR="005F2D22">
        <w:t>Tier 1</w:t>
      </w:r>
      <w:r>
        <w:t xml:space="preserve"> </w:t>
      </w:r>
      <w:r w:rsidRPr="0B10B0AF">
        <w:t>advice letter filing stating that there is no original hard copy provided by the surety company and that the electronic bond is the same legal instrument as a paper bond.</w:t>
      </w:r>
    </w:p>
    <w:p w:rsidRPr="008B5675" w:rsidR="00C01DF6" w:rsidP="00F47403" w:rsidRDefault="00C01DF6" w14:paraId="33D485E0" w14:textId="3351929C">
      <w:pPr>
        <w:pStyle w:val="OP"/>
        <w:numPr>
          <w:ilvl w:val="0"/>
          <w:numId w:val="7"/>
        </w:numPr>
      </w:pPr>
      <w:r>
        <w:t>Telephone corporation a</w:t>
      </w:r>
      <w:r w:rsidRPr="00CD14EE">
        <w:t>pplic</w:t>
      </w:r>
      <w:r>
        <w:t>ants</w:t>
      </w:r>
      <w:r w:rsidRPr="00CD14EE">
        <w:t xml:space="preserve"> </w:t>
      </w:r>
      <w:r>
        <w:t>seeking</w:t>
      </w:r>
      <w:r w:rsidRPr="00CD14EE">
        <w:t xml:space="preserve"> </w:t>
      </w:r>
      <w:r>
        <w:t xml:space="preserve">operating authority </w:t>
      </w:r>
      <w:r w:rsidRPr="00CD14EE">
        <w:t xml:space="preserve">must </w:t>
      </w:r>
      <w:r w:rsidRPr="008B5675">
        <w:t xml:space="preserve">list other licenses, whether current or past, which the applicant obtained from the </w:t>
      </w:r>
      <w:r w:rsidR="001519F6">
        <w:rPr>
          <w:color w:val="000000" w:themeColor="text1"/>
        </w:rPr>
        <w:t xml:space="preserve">California </w:t>
      </w:r>
      <w:r w:rsidR="007E4707">
        <w:rPr>
          <w:color w:val="000000" w:themeColor="text1"/>
        </w:rPr>
        <w:t>Public Utilities</w:t>
      </w:r>
      <w:r w:rsidR="001519F6">
        <w:rPr>
          <w:color w:val="000000" w:themeColor="text1"/>
        </w:rPr>
        <w:t xml:space="preserve"> </w:t>
      </w:r>
      <w:r w:rsidRPr="008B5675">
        <w:t>Commission.</w:t>
      </w:r>
    </w:p>
    <w:p w:rsidR="007E3FDE" w:rsidP="00F47403" w:rsidRDefault="00C01DF6" w14:paraId="71FDA270" w14:textId="182D22C0">
      <w:pPr>
        <w:pStyle w:val="OP"/>
        <w:numPr>
          <w:ilvl w:val="0"/>
          <w:numId w:val="7"/>
        </w:numPr>
      </w:pPr>
      <w:r>
        <w:lastRenderedPageBreak/>
        <w:t>Telephone corporation a</w:t>
      </w:r>
      <w:r w:rsidRPr="00CD14EE">
        <w:t>pplic</w:t>
      </w:r>
      <w:r>
        <w:t>ants</w:t>
      </w:r>
      <w:r w:rsidRPr="00CD14EE">
        <w:t xml:space="preserve"> </w:t>
      </w:r>
      <w:r>
        <w:t>seeking</w:t>
      </w:r>
      <w:r w:rsidRPr="00CD14EE">
        <w:t xml:space="preserve"> </w:t>
      </w:r>
      <w:r>
        <w:t xml:space="preserve">operating authority </w:t>
      </w:r>
      <w:r w:rsidRPr="00CD14EE">
        <w:t xml:space="preserve">must </w:t>
      </w:r>
      <w:r w:rsidRPr="008B5675">
        <w:t>identify whether they are</w:t>
      </w:r>
      <w:r w:rsidR="00AC6170">
        <w:t>,</w:t>
      </w:r>
      <w:r w:rsidRPr="008B5675">
        <w:t xml:space="preserve"> or are affiliated with</w:t>
      </w:r>
      <w:r w:rsidR="00AC6170">
        <w:t>,</w:t>
      </w:r>
      <w:r w:rsidRPr="008B5675">
        <w:t xml:space="preserve"> a foreign entity.</w:t>
      </w:r>
    </w:p>
    <w:p w:rsidRPr="007E3FDE" w:rsidR="00730F11" w:rsidP="00F47403" w:rsidRDefault="00730F11" w14:paraId="21A61D26" w14:textId="62355DFB">
      <w:pPr>
        <w:pStyle w:val="OP"/>
        <w:numPr>
          <w:ilvl w:val="0"/>
          <w:numId w:val="7"/>
        </w:numPr>
      </w:pPr>
      <w:r>
        <w:t>Full facilities</w:t>
      </w:r>
      <w:r w:rsidR="00844EAF">
        <w:noBreakHyphen/>
      </w:r>
      <w:r>
        <w:t xml:space="preserve">based service providers of telephone service, including interconnected </w:t>
      </w:r>
      <w:r w:rsidRPr="00671D8C" w:rsidR="00671D8C">
        <w:t xml:space="preserve">Voice over Internet Protocol </w:t>
      </w:r>
      <w:r w:rsidR="00B74CAE">
        <w:t xml:space="preserve">service </w:t>
      </w:r>
      <w:r>
        <w:t xml:space="preserve">providers, who intend to construct only those types of facilities which are highly likely to be categorically </w:t>
      </w:r>
      <w:r w:rsidR="00E4266E">
        <w:t xml:space="preserve">exempt from </w:t>
      </w:r>
      <w:r w:rsidRPr="00671D8C" w:rsidR="00671D8C">
        <w:t xml:space="preserve">California Environmental Quality Act </w:t>
      </w:r>
      <w:r w:rsidR="00671D8C">
        <w:t>(</w:t>
      </w:r>
      <w:r>
        <w:t>CEQA</w:t>
      </w:r>
      <w:r w:rsidR="00671D8C">
        <w:t>)</w:t>
      </w:r>
      <w:r>
        <w:t xml:space="preserve"> may utilize the Energy Division’s 21</w:t>
      </w:r>
      <w:r w:rsidR="00844EAF">
        <w:noBreakHyphen/>
      </w:r>
      <w:r>
        <w:t xml:space="preserve">day expedited CEQA review process, as outlined in </w:t>
      </w:r>
      <w:r w:rsidR="00C04D12">
        <w:t>Appendix</w:t>
      </w:r>
      <w:r w:rsidR="00844EAF">
        <w:t> </w:t>
      </w:r>
      <w:r>
        <w:t>H.</w:t>
      </w:r>
    </w:p>
    <w:p w:rsidR="00A96B31" w:rsidP="00F47403" w:rsidRDefault="007F77B1" w14:paraId="547CB96D" w14:textId="631E2870">
      <w:pPr>
        <w:pStyle w:val="OP"/>
        <w:numPr>
          <w:ilvl w:val="0"/>
          <w:numId w:val="7"/>
        </w:numPr>
      </w:pPr>
      <w:r>
        <w:t>A</w:t>
      </w:r>
      <w:r w:rsidRPr="006B718C">
        <w:rPr>
          <w:bCs/>
          <w:color w:val="000000" w:themeColor="text1"/>
        </w:rPr>
        <w:t xml:space="preserve"> </w:t>
      </w:r>
      <w:r>
        <w:t>Certificate of Public Convenience and Necessity</w:t>
      </w:r>
      <w:r w:rsidRPr="006B718C">
        <w:rPr>
          <w:bCs/>
          <w:color w:val="000000" w:themeColor="text1"/>
        </w:rPr>
        <w:t xml:space="preserve"> holder</w:t>
      </w:r>
      <w:r w:rsidRPr="006B718C">
        <w:rPr>
          <w:color w:val="000000" w:themeColor="text1"/>
        </w:rPr>
        <w:t xml:space="preserve"> </w:t>
      </w:r>
      <w:r>
        <w:t>must</w:t>
      </w:r>
      <w:r w:rsidRPr="00EB362F">
        <w:t xml:space="preserve"> apply to the </w:t>
      </w:r>
      <w:r>
        <w:t xml:space="preserve">California </w:t>
      </w:r>
      <w:r w:rsidR="007E4707">
        <w:t>Public Utilities</w:t>
      </w:r>
      <w:r>
        <w:t xml:space="preserve"> </w:t>
      </w:r>
      <w:r w:rsidRPr="00EB362F">
        <w:t>Commission</w:t>
      </w:r>
      <w:r w:rsidR="00893D67">
        <w:t>’</w:t>
      </w:r>
      <w:r w:rsidRPr="00EB362F">
        <w:t xml:space="preserve">s </w:t>
      </w:r>
      <w:r w:rsidR="008650F5">
        <w:t>Energy Division</w:t>
      </w:r>
      <w:r w:rsidRPr="00EB362F">
        <w:t xml:space="preserve"> staff for a determination of exemption from California Environmental Quality Act</w:t>
      </w:r>
      <w:r>
        <w:t xml:space="preserve"> in accordance with the process in </w:t>
      </w:r>
      <w:r w:rsidR="00C04D12">
        <w:t>Appendix </w:t>
      </w:r>
      <w:r>
        <w:t>H.</w:t>
      </w:r>
    </w:p>
    <w:p w:rsidR="004C4C18" w:rsidP="00F47403" w:rsidRDefault="004C4C18" w14:paraId="2F9FEB21" w14:textId="4A7F3F32">
      <w:pPr>
        <w:pStyle w:val="OP"/>
        <w:numPr>
          <w:ilvl w:val="0"/>
          <w:numId w:val="7"/>
        </w:numPr>
      </w:pPr>
      <w:r w:rsidRPr="004C4C18">
        <w:rPr>
          <w:iCs/>
        </w:rPr>
        <w:t>The</w:t>
      </w:r>
      <w:r>
        <w:rPr>
          <w:i/>
          <w:color w:val="0000FF"/>
        </w:rPr>
        <w:t xml:space="preserve"> </w:t>
      </w:r>
      <w:r w:rsidRPr="00EB362F">
        <w:t xml:space="preserve">staff of the </w:t>
      </w:r>
      <w:r>
        <w:t xml:space="preserve">California </w:t>
      </w:r>
      <w:r w:rsidR="007E4707">
        <w:t>Public Utilities</w:t>
      </w:r>
      <w:r>
        <w:t xml:space="preserve"> </w:t>
      </w:r>
      <w:r w:rsidRPr="00EB362F">
        <w:t>Commission</w:t>
      </w:r>
      <w:r w:rsidR="00893D67">
        <w:t>’</w:t>
      </w:r>
      <w:r w:rsidRPr="00EB362F">
        <w:t xml:space="preserve">s </w:t>
      </w:r>
      <w:r w:rsidR="008650F5">
        <w:t>Energy Division</w:t>
      </w:r>
      <w:r w:rsidRPr="00EB362F">
        <w:t xml:space="preserve"> is authorized to review, process, and act upon requests </w:t>
      </w:r>
      <w:r>
        <w:t xml:space="preserve">from </w:t>
      </w:r>
      <w:r w:rsidR="007F77B1">
        <w:t>Certificate of Public Convenience and Necessity</w:t>
      </w:r>
      <w:r>
        <w:t xml:space="preserve"> holders </w:t>
      </w:r>
      <w:r w:rsidRPr="00EB362F">
        <w:t xml:space="preserve">for a determination that </w:t>
      </w:r>
      <w:r>
        <w:t>their</w:t>
      </w:r>
      <w:r w:rsidRPr="00EB362F">
        <w:t xml:space="preserve"> </w:t>
      </w:r>
      <w:r w:rsidR="00295036">
        <w:t>full faci</w:t>
      </w:r>
      <w:r w:rsidRPr="00EB362F">
        <w:t>lities</w:t>
      </w:r>
      <w:r w:rsidR="006951D5">
        <w:noBreakHyphen/>
      </w:r>
      <w:r w:rsidRPr="00EB362F">
        <w:t>based construction activities are exempt from the requirements of the California Environmental Quality Act</w:t>
      </w:r>
      <w:r w:rsidR="00402EEF">
        <w:t xml:space="preserve"> in accordance with the process in </w:t>
      </w:r>
      <w:r w:rsidR="00C04D12">
        <w:t>Appendix </w:t>
      </w:r>
      <w:r w:rsidR="00402EEF">
        <w:t>H</w:t>
      </w:r>
      <w:r w:rsidRPr="00EB362F">
        <w:t>.</w:t>
      </w:r>
    </w:p>
    <w:p w:rsidR="00055CBB" w:rsidP="00645D56" w:rsidRDefault="00DF6710" w14:paraId="412DEC46" w14:textId="62CC279C">
      <w:pPr>
        <w:pStyle w:val="OP"/>
        <w:numPr>
          <w:ilvl w:val="0"/>
          <w:numId w:val="7"/>
        </w:numPr>
      </w:pPr>
      <w:r w:rsidRPr="00DF6710">
        <w:t xml:space="preserve">Documentation of financial resources required of </w:t>
      </w:r>
      <w:r w:rsidR="00522993">
        <w:t>Section</w:t>
      </w:r>
      <w:r w:rsidR="00844EAF">
        <w:t> </w:t>
      </w:r>
      <w:r w:rsidRPr="00DF6710">
        <w:t xml:space="preserve">1013 registration and </w:t>
      </w:r>
      <w:r w:rsidRPr="00671D8C" w:rsidR="00671D8C">
        <w:t xml:space="preserve">Certificate of Public Convenience and Necessity </w:t>
      </w:r>
      <w:r w:rsidRPr="00DF6710">
        <w:t xml:space="preserve">applicants, as listed in </w:t>
      </w:r>
      <w:r w:rsidR="00C04D12">
        <w:t>Appendix</w:t>
      </w:r>
      <w:r w:rsidR="00844EAF">
        <w:t> </w:t>
      </w:r>
      <w:r w:rsidRPr="00DF6710">
        <w:t xml:space="preserve">F of this decision, shall be treated as presumptively confidential, if applicants </w:t>
      </w:r>
      <w:r w:rsidRPr="007461DA" w:rsidR="007461DA">
        <w:t xml:space="preserve">notate electronically or </w:t>
      </w:r>
      <w:r w:rsidRPr="00DF6710">
        <w:t>submit the requisite documents in a sealed envelope clearly marked “CONFIDENTIAL FINANCIAL INFORMATION – SUBMITTED UNDER SEAL PURSUANT TO Decision xx</w:t>
      </w:r>
      <w:r w:rsidR="00844EAF">
        <w:noBreakHyphen/>
      </w:r>
      <w:r w:rsidRPr="00DF6710">
        <w:t>xx</w:t>
      </w:r>
      <w:r w:rsidR="00844EAF">
        <w:noBreakHyphen/>
      </w:r>
      <w:r w:rsidRPr="00DF6710">
        <w:t xml:space="preserve">xxx </w:t>
      </w:r>
      <w:r w:rsidRPr="00645D56">
        <w:rPr>
          <w:i/>
          <w:iCs/>
        </w:rPr>
        <w:t>[insert decision number of final decision in R.22</w:t>
      </w:r>
      <w:r w:rsidRPr="00645D56" w:rsidR="00844EAF">
        <w:rPr>
          <w:i/>
          <w:iCs/>
        </w:rPr>
        <w:noBreakHyphen/>
      </w:r>
      <w:r w:rsidRPr="00645D56">
        <w:rPr>
          <w:i/>
          <w:iCs/>
        </w:rPr>
        <w:t>08</w:t>
      </w:r>
      <w:r w:rsidRPr="00645D56" w:rsidR="00844EAF">
        <w:rPr>
          <w:i/>
          <w:iCs/>
        </w:rPr>
        <w:noBreakHyphen/>
      </w:r>
      <w:r w:rsidRPr="00645D56">
        <w:rPr>
          <w:i/>
          <w:iCs/>
        </w:rPr>
        <w:t>008 once issued]</w:t>
      </w:r>
      <w:r w:rsidRPr="00DF6710">
        <w:t>”</w:t>
      </w:r>
      <w:r w:rsidR="004C6D03">
        <w:t xml:space="preserve"> and </w:t>
      </w:r>
      <w:r w:rsidR="00E3467E">
        <w:t>must be accompanied by a</w:t>
      </w:r>
      <w:r w:rsidR="00497E96">
        <w:t xml:space="preserve"> public confidentiality declaration</w:t>
      </w:r>
      <w:r w:rsidR="00E3467E">
        <w:t xml:space="preserve"> </w:t>
      </w:r>
      <w:r w:rsidR="001472FE">
        <w:t xml:space="preserve">that specifies the </w:t>
      </w:r>
      <w:r w:rsidR="00B056EE">
        <w:lastRenderedPageBreak/>
        <w:t xml:space="preserve">confidential </w:t>
      </w:r>
      <w:r w:rsidR="001472FE">
        <w:t>documents and cite to this decision</w:t>
      </w:r>
      <w:r w:rsidR="00B87ED2">
        <w:t xml:space="preserve"> as the basis for </w:t>
      </w:r>
      <w:r w:rsidR="006540F6">
        <w:t>confidential treatment.</w:t>
      </w:r>
      <w:r w:rsidR="00844EAF">
        <w:t> </w:t>
      </w:r>
    </w:p>
    <w:p w:rsidR="00DF6710" w:rsidP="00645D56" w:rsidRDefault="00DF6710" w14:paraId="7532BB14" w14:textId="41450759">
      <w:pPr>
        <w:pStyle w:val="OP"/>
        <w:numPr>
          <w:ilvl w:val="0"/>
          <w:numId w:val="7"/>
        </w:numPr>
      </w:pPr>
      <w:r w:rsidRPr="00DF6710">
        <w:t xml:space="preserve">Documentation of estimates of costs of construction and number of customers in the first and fifth year of operation required of </w:t>
      </w:r>
      <w:r w:rsidRPr="00671D8C" w:rsidR="00671D8C">
        <w:t xml:space="preserve">Certificate of Public Convenience and Necessity </w:t>
      </w:r>
      <w:r w:rsidRPr="00DF6710">
        <w:t>applicants for facilities</w:t>
      </w:r>
      <w:r w:rsidR="00844EAF">
        <w:noBreakHyphen/>
      </w:r>
      <w:r w:rsidRPr="00DF6710">
        <w:t xml:space="preserve">based operating authority is presumptively confidential, if applicants </w:t>
      </w:r>
      <w:r w:rsidRPr="00B056EE" w:rsidR="00B056EE">
        <w:t xml:space="preserve">notate electronically or </w:t>
      </w:r>
      <w:r w:rsidRPr="00DF6710">
        <w:t>submit the information in a sealed envelope clearly marked “CONFIDENTIAL FINANCIAL AND BUSINESS</w:t>
      </w:r>
      <w:r w:rsidR="00844EAF">
        <w:t xml:space="preserve"> </w:t>
      </w:r>
      <w:r w:rsidRPr="00DF6710">
        <w:t>INFORMATION – SUBMITTED UNDER SEAL PURSUANT TO Decision xx</w:t>
      </w:r>
      <w:r w:rsidR="00844EAF">
        <w:noBreakHyphen/>
      </w:r>
      <w:r w:rsidRPr="00DF6710">
        <w:t>xx</w:t>
      </w:r>
      <w:r w:rsidR="00844EAF">
        <w:noBreakHyphen/>
      </w:r>
      <w:r w:rsidRPr="00DF6710">
        <w:t xml:space="preserve">xxx </w:t>
      </w:r>
      <w:r w:rsidRPr="00645D56">
        <w:rPr>
          <w:i/>
          <w:iCs/>
        </w:rPr>
        <w:t>[insert decision number of final decision in R.22</w:t>
      </w:r>
      <w:r w:rsidRPr="00645D56" w:rsidR="00844EAF">
        <w:rPr>
          <w:i/>
          <w:iCs/>
        </w:rPr>
        <w:noBreakHyphen/>
      </w:r>
      <w:r w:rsidRPr="00645D56">
        <w:rPr>
          <w:i/>
          <w:iCs/>
        </w:rPr>
        <w:t>08</w:t>
      </w:r>
      <w:r w:rsidRPr="00645D56" w:rsidR="00844EAF">
        <w:rPr>
          <w:i/>
          <w:iCs/>
        </w:rPr>
        <w:noBreakHyphen/>
      </w:r>
      <w:r w:rsidRPr="00645D56">
        <w:rPr>
          <w:i/>
          <w:iCs/>
        </w:rPr>
        <w:t>008 once issued]</w:t>
      </w:r>
      <w:r w:rsidR="00193A12">
        <w:t xml:space="preserve"> and</w:t>
      </w:r>
      <w:r w:rsidR="007C7CC1">
        <w:t xml:space="preserve"> must be accompanied by a public confidentiality declaration that specifies the </w:t>
      </w:r>
      <w:r w:rsidR="00B056EE">
        <w:t xml:space="preserve">confidential </w:t>
      </w:r>
      <w:r w:rsidR="007C7CC1">
        <w:t>documents and cite to this decision as the basis for confidential treatment</w:t>
      </w:r>
      <w:r w:rsidR="00055CBB">
        <w:t>.</w:t>
      </w:r>
    </w:p>
    <w:p w:rsidRPr="00645D56" w:rsidR="0071434A" w:rsidP="00645D56" w:rsidRDefault="0071434A" w14:paraId="5223DDF6" w14:textId="0EFE1C91">
      <w:pPr>
        <w:pStyle w:val="OP"/>
        <w:numPr>
          <w:ilvl w:val="0"/>
          <w:numId w:val="7"/>
        </w:numPr>
      </w:pPr>
      <w:r w:rsidRPr="00645D56">
        <w:rPr>
          <w:iCs/>
          <w:color w:val="000000" w:themeColor="text1"/>
        </w:rPr>
        <w:t xml:space="preserve">Information submitted </w:t>
      </w:r>
      <w:r w:rsidRPr="00645D56" w:rsidR="00576997">
        <w:rPr>
          <w:iCs/>
          <w:color w:val="000000" w:themeColor="text1"/>
        </w:rPr>
        <w:t xml:space="preserve">in </w:t>
      </w:r>
      <w:r w:rsidRPr="00645D56">
        <w:rPr>
          <w:iCs/>
          <w:color w:val="000000" w:themeColor="text1"/>
        </w:rPr>
        <w:t xml:space="preserve">accordance with Ordering Paragraph 17 or 18 of this decision </w:t>
      </w:r>
      <w:r w:rsidRPr="00EB362F">
        <w:t xml:space="preserve">shall not be publicly disclosed except on further </w:t>
      </w:r>
      <w:r w:rsidRPr="00645D56">
        <w:rPr>
          <w:color w:val="000000" w:themeColor="text1"/>
        </w:rPr>
        <w:t xml:space="preserve">California </w:t>
      </w:r>
      <w:r w:rsidRPr="00645D56" w:rsidR="007E4707">
        <w:rPr>
          <w:color w:val="000000" w:themeColor="text1"/>
        </w:rPr>
        <w:t>Public Utilities</w:t>
      </w:r>
      <w:r w:rsidRPr="00645D56">
        <w:rPr>
          <w:color w:val="000000" w:themeColor="text1"/>
        </w:rPr>
        <w:t xml:space="preserve"> </w:t>
      </w:r>
      <w:r w:rsidRPr="008B5675">
        <w:t>Commission</w:t>
      </w:r>
      <w:r w:rsidRPr="00EB362F">
        <w:t xml:space="preserve"> order or Administrative Law Judge ruling.</w:t>
      </w:r>
    </w:p>
    <w:bookmarkEnd w:id="259"/>
    <w:p w:rsidR="00C01DF6" w:rsidP="0071434A" w:rsidRDefault="00C01DF6" w14:paraId="4FB988A1" w14:textId="1E3BF174">
      <w:pPr>
        <w:pStyle w:val="OP"/>
        <w:numPr>
          <w:ilvl w:val="0"/>
          <w:numId w:val="7"/>
        </w:numPr>
      </w:pPr>
      <w:r>
        <w:t xml:space="preserve">The Communications Division is authorized to modify </w:t>
      </w:r>
      <w:r w:rsidR="00F4689C">
        <w:t xml:space="preserve">the </w:t>
      </w:r>
      <w:r w:rsidR="003B6473">
        <w:t>Certificate of Public Convenience and Necessity</w:t>
      </w:r>
      <w:r>
        <w:t xml:space="preserve"> application form, </w:t>
      </w:r>
      <w:r w:rsidR="00EE3114">
        <w:t>Section </w:t>
      </w:r>
      <w:r>
        <w:t xml:space="preserve">1013 Registration form, </w:t>
      </w:r>
      <w:r w:rsidR="001576AF">
        <w:t>N</w:t>
      </w:r>
      <w:r>
        <w:t xml:space="preserve">omadic </w:t>
      </w:r>
      <w:r w:rsidR="001576AF">
        <w:t>R</w:t>
      </w:r>
      <w:r>
        <w:t>egistration form and W</w:t>
      </w:r>
      <w:r w:rsidR="003B6473">
        <w:t>ireless Information Registration form</w:t>
      </w:r>
      <w:r>
        <w:t xml:space="preserve"> to clarify the contents, improve the accessibility of the document in electronic form, or make other changes as are necessary and consistent with </w:t>
      </w:r>
      <w:r w:rsidR="001519F6">
        <w:rPr>
          <w:color w:val="000000" w:themeColor="text1"/>
        </w:rPr>
        <w:t xml:space="preserve">California </w:t>
      </w:r>
      <w:r w:rsidR="007E4707">
        <w:rPr>
          <w:color w:val="000000" w:themeColor="text1"/>
        </w:rPr>
        <w:t>Public Utilities</w:t>
      </w:r>
      <w:r w:rsidR="001519F6">
        <w:rPr>
          <w:color w:val="000000" w:themeColor="text1"/>
        </w:rPr>
        <w:t xml:space="preserve"> </w:t>
      </w:r>
      <w:r w:rsidRPr="008B5675" w:rsidR="001519F6">
        <w:t>Commission</w:t>
      </w:r>
      <w:r>
        <w:t xml:space="preserve"> decisions.</w:t>
      </w:r>
    </w:p>
    <w:p w:rsidR="00C01DF6" w:rsidP="0071434A" w:rsidRDefault="00C01DF6" w14:paraId="1BBB5D4F" w14:textId="1BEC8D2D">
      <w:pPr>
        <w:pStyle w:val="OP"/>
        <w:numPr>
          <w:ilvl w:val="0"/>
          <w:numId w:val="7"/>
        </w:numPr>
      </w:pPr>
      <w:r>
        <w:t>The fee for operati</w:t>
      </w:r>
      <w:r w:rsidR="00FF60F9">
        <w:t>ng</w:t>
      </w:r>
      <w:r>
        <w:t xml:space="preserve"> authority through a </w:t>
      </w:r>
      <w:r w:rsidR="003B6473">
        <w:t>Certificate of Public Convenience and Necessity (CPCN)</w:t>
      </w:r>
      <w:r>
        <w:t xml:space="preserve"> application is the same regardless of whether the applicant initiates their application using a CPCN application or the </w:t>
      </w:r>
      <w:r w:rsidR="00EE3114">
        <w:t>Section </w:t>
      </w:r>
      <w:r>
        <w:t>1013 registration process.</w:t>
      </w:r>
    </w:p>
    <w:p w:rsidR="00A96B31" w:rsidP="0071434A" w:rsidRDefault="00C01DF6" w14:paraId="56BAA1A4" w14:textId="5A73A629">
      <w:pPr>
        <w:pStyle w:val="OP"/>
        <w:numPr>
          <w:ilvl w:val="0"/>
          <w:numId w:val="7"/>
        </w:numPr>
      </w:pPr>
      <w:r>
        <w:lastRenderedPageBreak/>
        <w:t xml:space="preserve">The </w:t>
      </w:r>
      <w:r w:rsidR="00EE3114">
        <w:t>Section </w:t>
      </w:r>
      <w:r>
        <w:t xml:space="preserve">1013 registration applicant notified to pursue operating authority through a </w:t>
      </w:r>
      <w:r w:rsidR="003B6473">
        <w:t>Certificate of Public Convenience and Necessity (</w:t>
      </w:r>
      <w:r>
        <w:t>CPCN</w:t>
      </w:r>
      <w:r w:rsidR="003B6473">
        <w:t>)</w:t>
      </w:r>
      <w:r>
        <w:t xml:space="preserve"> must pay the </w:t>
      </w:r>
      <w:r w:rsidR="00055AE9">
        <w:t xml:space="preserve">balance of the CPCN application </w:t>
      </w:r>
      <w:r>
        <w:t>within 30 days of notice.</w:t>
      </w:r>
    </w:p>
    <w:p w:rsidR="00C7492D" w:rsidP="0071434A" w:rsidRDefault="00C7492D" w14:paraId="77AC095C" w14:textId="18FB6523">
      <w:pPr>
        <w:pStyle w:val="OP"/>
        <w:numPr>
          <w:ilvl w:val="0"/>
          <w:numId w:val="7"/>
        </w:numPr>
      </w:pPr>
      <w:r>
        <w:t xml:space="preserve">All telephone corporations </w:t>
      </w:r>
      <w:r w:rsidR="009C51F2">
        <w:t>are required to</w:t>
      </w:r>
      <w:r>
        <w:t xml:space="preserve"> annually </w:t>
      </w:r>
      <w:r w:rsidR="009C51F2">
        <w:t xml:space="preserve">update performance bond </w:t>
      </w:r>
      <w:r>
        <w:t xml:space="preserve">documentation via a </w:t>
      </w:r>
      <w:r w:rsidR="005F2D22">
        <w:t>Tier 1</w:t>
      </w:r>
      <w:r>
        <w:t xml:space="preserve"> advice letter to confirm the </w:t>
      </w:r>
      <w:r w:rsidRPr="0B10B0AF">
        <w:t>performance bond is still in full force and effect including, but not limited to</w:t>
      </w:r>
      <w:r>
        <w:t xml:space="preserve"> </w:t>
      </w:r>
      <w:r w:rsidRPr="0B10B0AF">
        <w:t>a continuation certificate, payment invoice, or other documentation to facilitate staff review and confirm the bond is still in effect</w:t>
      </w:r>
      <w:r w:rsidR="00C37B28">
        <w:t>.</w:t>
      </w:r>
    </w:p>
    <w:p w:rsidR="00A96B31" w:rsidP="0071434A" w:rsidRDefault="00CC2B5C" w14:paraId="061ADE9E" w14:textId="3E70001E">
      <w:pPr>
        <w:pStyle w:val="OP"/>
        <w:numPr>
          <w:ilvl w:val="0"/>
          <w:numId w:val="7"/>
        </w:numPr>
      </w:pPr>
      <w:r>
        <w:t>Telephone corporations</w:t>
      </w:r>
      <w:r w:rsidR="00C37B28">
        <w:t xml:space="preserve"> seeking operating authority and intending to interconnect with Incumbent Local Exchange Carriers are required to have $25,000 additional to the financial requirements unencumbered and available for one year following approval.</w:t>
      </w:r>
    </w:p>
    <w:p w:rsidR="001576AF" w:rsidP="001576AF" w:rsidRDefault="001576AF" w14:paraId="51D9A42C" w14:textId="5984DAE3">
      <w:pPr>
        <w:pStyle w:val="CoL"/>
        <w:numPr>
          <w:ilvl w:val="0"/>
          <w:numId w:val="7"/>
        </w:numPr>
      </w:pPr>
      <w:r>
        <w:t>All full facilities</w:t>
      </w:r>
      <w:r w:rsidR="00844EAF">
        <w:noBreakHyphen/>
      </w:r>
      <w:r>
        <w:t>based Competitive Local Exchange Carriers with the exception of affiliates associated with incumbents are exempt from Sections 816</w:t>
      </w:r>
      <w:r w:rsidR="006951D5">
        <w:noBreakHyphen/>
      </w:r>
      <w:r>
        <w:t>830 pertaining to the issuance of stocks and securities and from Section 851 transfers only when the transfer or encumbrance is for purposes of securing debt.</w:t>
      </w:r>
    </w:p>
    <w:p w:rsidRPr="004C4C18" w:rsidR="004C4C18" w:rsidP="00043D9F" w:rsidRDefault="004C4C18" w14:paraId="4DD6D0D7" w14:textId="50D7E938">
      <w:pPr>
        <w:pStyle w:val="SectionTitle"/>
      </w:pPr>
      <w:r w:rsidRPr="004C4C18">
        <w:t>Migration</w:t>
      </w:r>
    </w:p>
    <w:p w:rsidR="00A96B31" w:rsidP="00791447" w:rsidRDefault="00E17958" w14:paraId="1EF46473" w14:textId="01363D6B">
      <w:pPr>
        <w:pStyle w:val="OP"/>
        <w:numPr>
          <w:ilvl w:val="0"/>
          <w:numId w:val="7"/>
        </w:numPr>
      </w:pPr>
      <w:r w:rsidRPr="00E17958">
        <w:t>Interconnected Voice over Internet Protocol</w:t>
      </w:r>
      <w:r w:rsidR="005C7535">
        <w:t xml:space="preserve"> (VoIP)</w:t>
      </w:r>
      <w:r w:rsidRPr="00E17958">
        <w:t xml:space="preserve"> service providers who are nomadic</w:t>
      </w:r>
      <w:r w:rsidR="006951D5">
        <w:noBreakHyphen/>
      </w:r>
      <w:r w:rsidRPr="00E17958">
        <w:t xml:space="preserve">only and listed in </w:t>
      </w:r>
      <w:r w:rsidR="00C04D12">
        <w:t>Appendix </w:t>
      </w:r>
      <w:r w:rsidRPr="00E17958">
        <w:t xml:space="preserve">D </w:t>
      </w:r>
      <w:r w:rsidR="0010641E">
        <w:t xml:space="preserve">and </w:t>
      </w:r>
      <w:r w:rsidR="00C04D12">
        <w:t>Appendix </w:t>
      </w:r>
      <w:r w:rsidR="0010641E">
        <w:t xml:space="preserve">E </w:t>
      </w:r>
      <w:r w:rsidRPr="00E17958">
        <w:t>shall opt</w:t>
      </w:r>
      <w:r w:rsidR="006951D5">
        <w:noBreakHyphen/>
      </w:r>
      <w:r w:rsidRPr="00E17958">
        <w:t>out within 45 days of this decision</w:t>
      </w:r>
      <w:r w:rsidR="00893D67">
        <w:t>’</w:t>
      </w:r>
      <w:r w:rsidRPr="00E17958">
        <w:t xml:space="preserve">s </w:t>
      </w:r>
      <w:r w:rsidR="00826F62">
        <w:t>issuance</w:t>
      </w:r>
      <w:r w:rsidRPr="00E17958">
        <w:t xml:space="preserve"> date by notifying the Director of the Communications Division </w:t>
      </w:r>
      <w:r w:rsidR="000F4074">
        <w:t xml:space="preserve">via </w:t>
      </w:r>
      <w:r w:rsidRPr="00E17958">
        <w:t xml:space="preserve">email to </w:t>
      </w:r>
      <w:hyperlink w:history="1" r:id="rId24">
        <w:r w:rsidRPr="008E3AFE" w:rsidR="000F4074">
          <w:rPr>
            <w:rStyle w:val="Hyperlink"/>
          </w:rPr>
          <w:t>cdcompliance@cpuc.ca.gov</w:t>
        </w:r>
      </w:hyperlink>
      <w:r w:rsidR="000F4074">
        <w:t xml:space="preserve"> </w:t>
      </w:r>
      <w:r w:rsidRPr="00E17958">
        <w:t>and include the qualifying attestation of nomadic</w:t>
      </w:r>
      <w:r w:rsidR="006951D5">
        <w:noBreakHyphen/>
      </w:r>
      <w:r w:rsidRPr="00E17958">
        <w:t xml:space="preserve">only Interconnected </w:t>
      </w:r>
      <w:r w:rsidR="005C7535">
        <w:t>VoIP</w:t>
      </w:r>
      <w:r w:rsidR="0019497D">
        <w:t xml:space="preserve"> service</w:t>
      </w:r>
      <w:r w:rsidRPr="00E17958">
        <w:t>.</w:t>
      </w:r>
    </w:p>
    <w:p w:rsidRPr="003A24C9" w:rsidR="007B5686" w:rsidP="00791447" w:rsidRDefault="007B5686" w14:paraId="150EF5A2" w14:textId="2CA65E68">
      <w:pPr>
        <w:pStyle w:val="OP"/>
        <w:numPr>
          <w:ilvl w:val="0"/>
          <w:numId w:val="7"/>
        </w:numPr>
      </w:pPr>
      <w:r w:rsidRPr="003A24C9">
        <w:t xml:space="preserve">Interconnected </w:t>
      </w:r>
      <w:r w:rsidRPr="19E6B670" w:rsidR="00F824F5">
        <w:rPr>
          <w:color w:val="000000" w:themeColor="text1"/>
        </w:rPr>
        <w:t>Voice over Internet Protocol</w:t>
      </w:r>
      <w:r w:rsidR="00F824F5">
        <w:rPr>
          <w:color w:val="000000" w:themeColor="text1"/>
        </w:rPr>
        <w:t xml:space="preserve"> </w:t>
      </w:r>
      <w:r w:rsidRPr="003A24C9">
        <w:t>service</w:t>
      </w:r>
      <w:r w:rsidR="00FA4484">
        <w:t xml:space="preserve"> providers</w:t>
      </w:r>
      <w:r w:rsidRPr="003A24C9">
        <w:t xml:space="preserve"> that opted out as directed in Ordering </w:t>
      </w:r>
      <w:r w:rsidR="00190AEA">
        <w:t>Paragraph </w:t>
      </w:r>
      <w:r w:rsidRPr="003A24C9">
        <w:t>2</w:t>
      </w:r>
      <w:r w:rsidR="00860802">
        <w:t>7</w:t>
      </w:r>
      <w:r w:rsidRPr="003A24C9">
        <w:t xml:space="preserve"> are designated as Digital Voice </w:t>
      </w:r>
      <w:r w:rsidRPr="003A24C9">
        <w:lastRenderedPageBreak/>
        <w:t xml:space="preserve">Nomadic </w:t>
      </w:r>
      <w:r w:rsidR="00FA4484">
        <w:t xml:space="preserve">(DVN) </w:t>
      </w:r>
      <w:r w:rsidRPr="003A24C9">
        <w:t>utility type and granted operating authority after 45 days of this decision</w:t>
      </w:r>
      <w:r w:rsidR="00893D67">
        <w:t>’</w:t>
      </w:r>
      <w:r w:rsidRPr="003A24C9">
        <w:t>s issuance date.</w:t>
      </w:r>
    </w:p>
    <w:p w:rsidRPr="0064090A" w:rsidR="005B6863" w:rsidP="00791447" w:rsidRDefault="005B6863" w14:paraId="42D9368F" w14:textId="378A961B">
      <w:pPr>
        <w:pStyle w:val="OP"/>
        <w:numPr>
          <w:ilvl w:val="0"/>
          <w:numId w:val="7"/>
        </w:numPr>
      </w:pPr>
      <w:r w:rsidRPr="0064090A">
        <w:rPr>
          <w:rFonts w:cs="Times New Roman"/>
          <w:color w:val="000000" w:themeColor="text1"/>
          <w:szCs w:val="26"/>
        </w:rPr>
        <w:t xml:space="preserve">Interconnected Voice over Internet Protocol service providers </w:t>
      </w:r>
      <w:r w:rsidRPr="0064090A" w:rsidR="007948DD">
        <w:rPr>
          <w:rFonts w:cs="Times New Roman"/>
          <w:color w:val="000000" w:themeColor="text1"/>
          <w:szCs w:val="26"/>
        </w:rPr>
        <w:t xml:space="preserve">listed in </w:t>
      </w:r>
      <w:r w:rsidR="00C04D12">
        <w:rPr>
          <w:rFonts w:cs="Times New Roman"/>
          <w:color w:val="000000" w:themeColor="text1"/>
          <w:szCs w:val="26"/>
        </w:rPr>
        <w:t>Appendix </w:t>
      </w:r>
      <w:r w:rsidRPr="0064090A" w:rsidR="007948DD">
        <w:rPr>
          <w:rFonts w:cs="Times New Roman"/>
          <w:color w:val="000000" w:themeColor="text1"/>
          <w:szCs w:val="26"/>
        </w:rPr>
        <w:t xml:space="preserve">D </w:t>
      </w:r>
      <w:r w:rsidRPr="0064090A">
        <w:rPr>
          <w:rFonts w:cs="Times New Roman"/>
          <w:color w:val="000000" w:themeColor="text1"/>
          <w:szCs w:val="26"/>
        </w:rPr>
        <w:t>who are ceasing operations shall opt</w:t>
      </w:r>
      <w:r w:rsidR="006951D5">
        <w:rPr>
          <w:rFonts w:cs="Times New Roman"/>
          <w:color w:val="000000" w:themeColor="text1"/>
          <w:szCs w:val="26"/>
        </w:rPr>
        <w:noBreakHyphen/>
      </w:r>
      <w:r w:rsidRPr="0064090A">
        <w:rPr>
          <w:rFonts w:cs="Times New Roman"/>
          <w:color w:val="000000" w:themeColor="text1"/>
          <w:szCs w:val="26"/>
        </w:rPr>
        <w:t>out within 45 days of this decision</w:t>
      </w:r>
      <w:r w:rsidR="00893D67">
        <w:rPr>
          <w:rFonts w:cs="Times New Roman"/>
          <w:color w:val="000000" w:themeColor="text1"/>
          <w:szCs w:val="26"/>
        </w:rPr>
        <w:t>’</w:t>
      </w:r>
      <w:r w:rsidRPr="0064090A">
        <w:rPr>
          <w:rFonts w:cs="Times New Roman"/>
          <w:color w:val="000000" w:themeColor="text1"/>
          <w:szCs w:val="26"/>
        </w:rPr>
        <w:t xml:space="preserve">s </w:t>
      </w:r>
      <w:r w:rsidR="005330E8">
        <w:rPr>
          <w:rFonts w:cs="Times New Roman"/>
          <w:color w:val="000000" w:themeColor="text1"/>
          <w:szCs w:val="26"/>
        </w:rPr>
        <w:t>issuance</w:t>
      </w:r>
      <w:r w:rsidRPr="0064090A">
        <w:rPr>
          <w:rFonts w:cs="Times New Roman"/>
          <w:color w:val="000000" w:themeColor="text1"/>
          <w:szCs w:val="26"/>
        </w:rPr>
        <w:t xml:space="preserve"> date by notifying the Director of the Communications Division </w:t>
      </w:r>
      <w:r w:rsidR="000F4074">
        <w:rPr>
          <w:rFonts w:cs="Times New Roman"/>
          <w:color w:val="000000" w:themeColor="text1"/>
          <w:szCs w:val="26"/>
        </w:rPr>
        <w:t xml:space="preserve">via </w:t>
      </w:r>
      <w:r w:rsidRPr="0064090A">
        <w:rPr>
          <w:rFonts w:cs="Times New Roman"/>
          <w:color w:val="000000" w:themeColor="text1"/>
          <w:szCs w:val="26"/>
        </w:rPr>
        <w:t xml:space="preserve">email to </w:t>
      </w:r>
      <w:hyperlink w:history="1" r:id="rId25">
        <w:r w:rsidRPr="008E3AFE" w:rsidR="000F4074">
          <w:rPr>
            <w:rStyle w:val="Hyperlink"/>
            <w:rFonts w:cs="Times New Roman"/>
            <w:szCs w:val="26"/>
          </w:rPr>
          <w:t>cdcompliance@cpuc.ca.gov</w:t>
        </w:r>
      </w:hyperlink>
      <w:r w:rsidR="000F4074">
        <w:rPr>
          <w:rFonts w:cs="Times New Roman"/>
          <w:color w:val="000000" w:themeColor="text1"/>
          <w:szCs w:val="26"/>
        </w:rPr>
        <w:t xml:space="preserve"> </w:t>
      </w:r>
      <w:r w:rsidRPr="0064090A">
        <w:rPr>
          <w:rFonts w:cs="Times New Roman"/>
          <w:color w:val="000000" w:themeColor="text1"/>
          <w:szCs w:val="26"/>
        </w:rPr>
        <w:t>with the following information:</w:t>
      </w:r>
    </w:p>
    <w:p w:rsidRPr="0064090A" w:rsidR="005B6863" w:rsidRDefault="00D8041B" w14:paraId="220ED8AE" w14:textId="0DA2C58B">
      <w:pPr>
        <w:pStyle w:val="BlockQuoteH033"/>
        <w:numPr>
          <w:ilvl w:val="0"/>
          <w:numId w:val="34"/>
        </w:numPr>
        <w:rPr>
          <w:rFonts w:cs="Times New Roman"/>
          <w:color w:val="000000" w:themeColor="text1"/>
          <w:szCs w:val="26"/>
        </w:rPr>
      </w:pPr>
      <w:r>
        <w:rPr>
          <w:rFonts w:cs="Times New Roman"/>
          <w:color w:val="000000" w:themeColor="text1"/>
          <w:szCs w:val="26"/>
        </w:rPr>
        <w:t xml:space="preserve">Utility ID </w:t>
      </w:r>
      <w:r w:rsidRPr="00192A5C">
        <w:rPr>
          <w:lang w:val="en-ZW"/>
        </w:rPr>
        <w:t>Number</w:t>
      </w:r>
      <w:r w:rsidRPr="0064090A" w:rsidR="005B6863">
        <w:rPr>
          <w:rFonts w:cs="Times New Roman"/>
          <w:color w:val="000000" w:themeColor="text1"/>
          <w:szCs w:val="26"/>
        </w:rPr>
        <w:t xml:space="preserve"> and Utility Name</w:t>
      </w:r>
      <w:r w:rsidR="001218E5">
        <w:rPr>
          <w:rFonts w:cs="Times New Roman"/>
          <w:color w:val="000000" w:themeColor="text1"/>
          <w:szCs w:val="26"/>
        </w:rPr>
        <w:t>.</w:t>
      </w:r>
    </w:p>
    <w:p w:rsidR="00A96B31" w:rsidRDefault="005B6863" w14:paraId="3EBC5F90" w14:textId="39D131B3">
      <w:pPr>
        <w:pStyle w:val="BlockQuoteH033"/>
        <w:numPr>
          <w:ilvl w:val="0"/>
          <w:numId w:val="34"/>
        </w:numPr>
        <w:rPr>
          <w:rFonts w:cs="Times New Roman"/>
          <w:color w:val="000000" w:themeColor="text1"/>
          <w:szCs w:val="26"/>
        </w:rPr>
      </w:pPr>
      <w:r w:rsidRPr="0064090A">
        <w:rPr>
          <w:rFonts w:cs="Times New Roman"/>
          <w:color w:val="000000" w:themeColor="text1"/>
          <w:szCs w:val="26"/>
        </w:rPr>
        <w:t>Requested effective date of deactivation and attestation that it has no active customers, no pending complaints, and no outstanding monies (</w:t>
      </w:r>
      <w:r w:rsidRPr="004A120D" w:rsidR="004A120D">
        <w:rPr>
          <w:rFonts w:cs="Times New Roman"/>
          <w:i/>
          <w:iCs/>
          <w:color w:val="000000" w:themeColor="text1"/>
          <w:szCs w:val="26"/>
        </w:rPr>
        <w:t>e.g.</w:t>
      </w:r>
      <w:r w:rsidRPr="0064090A">
        <w:rPr>
          <w:rFonts w:cs="Times New Roman"/>
          <w:color w:val="000000" w:themeColor="text1"/>
          <w:szCs w:val="26"/>
        </w:rPr>
        <w:t xml:space="preserve">, surcharges, interest, and penalties) owed to the </w:t>
      </w:r>
      <w:r w:rsidR="00FD6C8C">
        <w:rPr>
          <w:rFonts w:cs="Times New Roman"/>
          <w:color w:val="000000" w:themeColor="text1"/>
          <w:szCs w:val="26"/>
        </w:rPr>
        <w:t xml:space="preserve">California </w:t>
      </w:r>
      <w:r w:rsidR="007E4707">
        <w:rPr>
          <w:rFonts w:cs="Times New Roman"/>
          <w:color w:val="000000" w:themeColor="text1"/>
          <w:szCs w:val="26"/>
        </w:rPr>
        <w:t>Public Utilities</w:t>
      </w:r>
      <w:r w:rsidR="00FD6C8C">
        <w:rPr>
          <w:rFonts w:cs="Times New Roman"/>
          <w:color w:val="000000" w:themeColor="text1"/>
          <w:szCs w:val="26"/>
        </w:rPr>
        <w:t xml:space="preserve"> </w:t>
      </w:r>
      <w:r w:rsidRPr="0064090A">
        <w:rPr>
          <w:rFonts w:cs="Times New Roman"/>
          <w:color w:val="000000" w:themeColor="text1"/>
          <w:szCs w:val="26"/>
        </w:rPr>
        <w:t>Commission</w:t>
      </w:r>
      <w:r w:rsidR="00FD6C8C">
        <w:rPr>
          <w:rFonts w:cs="Times New Roman"/>
          <w:color w:val="000000" w:themeColor="text1"/>
          <w:szCs w:val="26"/>
        </w:rPr>
        <w:t xml:space="preserve"> (Commission)</w:t>
      </w:r>
      <w:r w:rsidRPr="0064090A">
        <w:rPr>
          <w:rFonts w:cs="Times New Roman"/>
          <w:color w:val="000000" w:themeColor="text1"/>
          <w:szCs w:val="26"/>
        </w:rPr>
        <w:t>.</w:t>
      </w:r>
    </w:p>
    <w:p w:rsidR="00A96B31" w:rsidRDefault="005B6863" w14:paraId="44829E6A" w14:textId="0977EE0A">
      <w:pPr>
        <w:pStyle w:val="BlockQuoteH033"/>
        <w:numPr>
          <w:ilvl w:val="0"/>
          <w:numId w:val="34"/>
        </w:numPr>
        <w:rPr>
          <w:rFonts w:cs="Times New Roman"/>
          <w:color w:val="000000" w:themeColor="text1"/>
          <w:szCs w:val="26"/>
        </w:rPr>
      </w:pPr>
      <w:r w:rsidRPr="0064090A">
        <w:rPr>
          <w:rFonts w:cs="Times New Roman"/>
          <w:color w:val="000000" w:themeColor="text1"/>
          <w:szCs w:val="26"/>
        </w:rPr>
        <w:t>A copy of the Commission</w:t>
      </w:r>
      <w:r w:rsidR="00893D67">
        <w:rPr>
          <w:rFonts w:cs="Times New Roman"/>
          <w:color w:val="000000" w:themeColor="text1"/>
          <w:szCs w:val="26"/>
        </w:rPr>
        <w:t>’</w:t>
      </w:r>
      <w:r w:rsidRPr="0064090A">
        <w:rPr>
          <w:rFonts w:cs="Times New Roman"/>
          <w:color w:val="000000" w:themeColor="text1"/>
          <w:szCs w:val="26"/>
        </w:rPr>
        <w:t>s proprietary Telecommunications and User Fee Filing System reporting through the month prior to filing the request shall be included.</w:t>
      </w:r>
    </w:p>
    <w:p w:rsidRPr="00D10C46" w:rsidR="005B6863" w:rsidP="0071434A" w:rsidRDefault="005B6863" w14:paraId="4050B510" w14:textId="29F59C94">
      <w:pPr>
        <w:pStyle w:val="OP"/>
        <w:numPr>
          <w:ilvl w:val="0"/>
          <w:numId w:val="7"/>
        </w:numPr>
      </w:pPr>
      <w:r w:rsidRPr="00196756">
        <w:rPr>
          <w:rFonts w:cs="Times New Roman"/>
          <w:color w:val="000000" w:themeColor="text1"/>
          <w:szCs w:val="26"/>
        </w:rPr>
        <w:t xml:space="preserve">Except for </w:t>
      </w:r>
      <w:r w:rsidR="005330E8">
        <w:rPr>
          <w:rFonts w:cs="Times New Roman"/>
          <w:color w:val="000000" w:themeColor="text1"/>
          <w:szCs w:val="26"/>
        </w:rPr>
        <w:t>i</w:t>
      </w:r>
      <w:r w:rsidRPr="00196756">
        <w:rPr>
          <w:rFonts w:cs="Times New Roman"/>
          <w:color w:val="000000" w:themeColor="text1"/>
          <w:szCs w:val="26"/>
        </w:rPr>
        <w:t>nterconnected Voice over Internet Protocol service providers opting out from automatic migration as directed in Ordering Paragraph</w:t>
      </w:r>
      <w:r w:rsidR="00844EAF">
        <w:rPr>
          <w:rFonts w:cs="Times New Roman"/>
          <w:color w:val="000000" w:themeColor="text1"/>
          <w:szCs w:val="26"/>
        </w:rPr>
        <w:t> </w:t>
      </w:r>
      <w:r w:rsidRPr="00196756">
        <w:rPr>
          <w:rFonts w:cs="Times New Roman"/>
          <w:color w:val="000000" w:themeColor="text1"/>
          <w:szCs w:val="26"/>
        </w:rPr>
        <w:t>2</w:t>
      </w:r>
      <w:r w:rsidR="0071434A">
        <w:rPr>
          <w:rFonts w:cs="Times New Roman"/>
          <w:color w:val="000000" w:themeColor="text1"/>
          <w:szCs w:val="26"/>
        </w:rPr>
        <w:t>7</w:t>
      </w:r>
      <w:r w:rsidRPr="00196756">
        <w:rPr>
          <w:rFonts w:cs="Times New Roman"/>
          <w:color w:val="000000" w:themeColor="text1"/>
          <w:szCs w:val="26"/>
        </w:rPr>
        <w:t xml:space="preserve">, service </w:t>
      </w:r>
      <w:r w:rsidRPr="00161C5D">
        <w:rPr>
          <w:color w:val="000000" w:themeColor="text1"/>
        </w:rPr>
        <w:t>providers</w:t>
      </w:r>
      <w:r w:rsidRPr="00196756">
        <w:rPr>
          <w:rFonts w:cs="Times New Roman"/>
          <w:color w:val="000000" w:themeColor="text1"/>
          <w:szCs w:val="26"/>
        </w:rPr>
        <w:t xml:space="preserve"> listed in </w:t>
      </w:r>
      <w:r w:rsidR="00C04D12">
        <w:rPr>
          <w:rFonts w:cs="Times New Roman"/>
          <w:color w:val="000000" w:themeColor="text1"/>
          <w:szCs w:val="26"/>
        </w:rPr>
        <w:t>Appendix </w:t>
      </w:r>
      <w:r w:rsidRPr="00196756">
        <w:rPr>
          <w:rFonts w:cs="Times New Roman"/>
          <w:color w:val="000000" w:themeColor="text1"/>
          <w:szCs w:val="26"/>
        </w:rPr>
        <w:t>D are designated as Digital Voice Fixed</w:t>
      </w:r>
      <w:r w:rsidR="00BE0B9E">
        <w:rPr>
          <w:rFonts w:cs="Times New Roman"/>
          <w:color w:val="000000" w:themeColor="text1"/>
          <w:szCs w:val="26"/>
        </w:rPr>
        <w:t xml:space="preserve"> </w:t>
      </w:r>
      <w:r w:rsidRPr="00196756">
        <w:rPr>
          <w:rFonts w:cs="Times New Roman"/>
          <w:color w:val="000000" w:themeColor="text1"/>
          <w:szCs w:val="26"/>
        </w:rPr>
        <w:t>utility type and granted operating authority after 45 days of this decision</w:t>
      </w:r>
      <w:r w:rsidR="00893D67">
        <w:rPr>
          <w:rFonts w:cs="Times New Roman"/>
          <w:color w:val="000000" w:themeColor="text1"/>
          <w:szCs w:val="26"/>
        </w:rPr>
        <w:t>’</w:t>
      </w:r>
      <w:r w:rsidRPr="00196756">
        <w:rPr>
          <w:rFonts w:cs="Times New Roman"/>
          <w:color w:val="000000" w:themeColor="text1"/>
          <w:szCs w:val="26"/>
        </w:rPr>
        <w:t>s issuance date</w:t>
      </w:r>
      <w:r w:rsidR="00803BD3">
        <w:rPr>
          <w:rFonts w:cs="Times New Roman"/>
          <w:color w:val="000000" w:themeColor="text1"/>
          <w:szCs w:val="26"/>
        </w:rPr>
        <w:t>.</w:t>
      </w:r>
    </w:p>
    <w:p w:rsidRPr="00D10C46" w:rsidR="004576EF" w:rsidP="0071434A" w:rsidRDefault="004576EF" w14:paraId="2A8EEC0A" w14:textId="51B4CC75">
      <w:pPr>
        <w:pStyle w:val="OP"/>
        <w:numPr>
          <w:ilvl w:val="0"/>
          <w:numId w:val="7"/>
        </w:numPr>
      </w:pPr>
      <w:r w:rsidRPr="00196756">
        <w:rPr>
          <w:rFonts w:cs="Times New Roman"/>
          <w:color w:val="000000" w:themeColor="text1"/>
          <w:szCs w:val="26"/>
        </w:rPr>
        <w:t xml:space="preserve">Except for </w:t>
      </w:r>
      <w:r w:rsidR="00484057">
        <w:rPr>
          <w:rFonts w:cs="Times New Roman"/>
          <w:color w:val="000000" w:themeColor="text1"/>
          <w:szCs w:val="26"/>
        </w:rPr>
        <w:t>i</w:t>
      </w:r>
      <w:r w:rsidRPr="00196756">
        <w:rPr>
          <w:rFonts w:cs="Times New Roman"/>
          <w:color w:val="000000" w:themeColor="text1"/>
          <w:szCs w:val="26"/>
        </w:rPr>
        <w:t xml:space="preserve">nterconnected Voice over Internet Protocol service providers opting out from automatic migration as directed in Ordering </w:t>
      </w:r>
      <w:r w:rsidR="00190AEA">
        <w:rPr>
          <w:rFonts w:cs="Times New Roman"/>
          <w:color w:val="000000" w:themeColor="text1"/>
          <w:szCs w:val="26"/>
        </w:rPr>
        <w:t>Paragraph </w:t>
      </w:r>
      <w:r w:rsidRPr="00196756">
        <w:rPr>
          <w:rFonts w:cs="Times New Roman"/>
          <w:color w:val="000000" w:themeColor="text1"/>
          <w:szCs w:val="26"/>
        </w:rPr>
        <w:t>2</w:t>
      </w:r>
      <w:r w:rsidR="0071434A">
        <w:rPr>
          <w:rFonts w:cs="Times New Roman"/>
          <w:color w:val="000000" w:themeColor="text1"/>
          <w:szCs w:val="26"/>
        </w:rPr>
        <w:t>5</w:t>
      </w:r>
      <w:r w:rsidRPr="00196756">
        <w:rPr>
          <w:rFonts w:cs="Times New Roman"/>
          <w:color w:val="000000" w:themeColor="text1"/>
          <w:szCs w:val="26"/>
        </w:rPr>
        <w:t xml:space="preserve">, service providers listed in </w:t>
      </w:r>
      <w:r w:rsidR="00C04D12">
        <w:rPr>
          <w:rFonts w:cs="Times New Roman"/>
          <w:color w:val="000000" w:themeColor="text1"/>
          <w:szCs w:val="26"/>
        </w:rPr>
        <w:t>Appendix </w:t>
      </w:r>
      <w:r>
        <w:rPr>
          <w:rFonts w:cs="Times New Roman"/>
          <w:color w:val="000000" w:themeColor="text1"/>
          <w:szCs w:val="26"/>
        </w:rPr>
        <w:t>E</w:t>
      </w:r>
      <w:r w:rsidRPr="00196756">
        <w:rPr>
          <w:rFonts w:cs="Times New Roman"/>
          <w:color w:val="000000" w:themeColor="text1"/>
          <w:szCs w:val="26"/>
        </w:rPr>
        <w:t xml:space="preserve"> are designated as Digital Voice Fixed</w:t>
      </w:r>
      <w:r w:rsidR="00BE0B9E">
        <w:rPr>
          <w:rFonts w:cs="Times New Roman"/>
          <w:color w:val="000000" w:themeColor="text1"/>
          <w:szCs w:val="26"/>
        </w:rPr>
        <w:t xml:space="preserve"> </w:t>
      </w:r>
      <w:r w:rsidRPr="00196756">
        <w:rPr>
          <w:rFonts w:cs="Times New Roman"/>
          <w:color w:val="000000" w:themeColor="text1"/>
          <w:szCs w:val="26"/>
        </w:rPr>
        <w:t>utility type after 45 days of this decision</w:t>
      </w:r>
      <w:r w:rsidR="00893D67">
        <w:rPr>
          <w:rFonts w:cs="Times New Roman"/>
          <w:color w:val="000000" w:themeColor="text1"/>
          <w:szCs w:val="26"/>
        </w:rPr>
        <w:t>’</w:t>
      </w:r>
      <w:r w:rsidRPr="00196756">
        <w:rPr>
          <w:rFonts w:cs="Times New Roman"/>
          <w:color w:val="000000" w:themeColor="text1"/>
          <w:szCs w:val="26"/>
        </w:rPr>
        <w:t>s issuance date</w:t>
      </w:r>
      <w:r w:rsidR="00C741DA">
        <w:rPr>
          <w:rFonts w:cs="Times New Roman"/>
          <w:color w:val="000000" w:themeColor="text1"/>
          <w:szCs w:val="26"/>
        </w:rPr>
        <w:t>.</w:t>
      </w:r>
    </w:p>
    <w:p w:rsidR="00A96B31" w:rsidP="0071434A" w:rsidRDefault="008E5177" w14:paraId="52D78B51" w14:textId="01C14D29">
      <w:pPr>
        <w:pStyle w:val="OP"/>
        <w:numPr>
          <w:ilvl w:val="0"/>
          <w:numId w:val="7"/>
        </w:numPr>
      </w:pPr>
      <w:r>
        <w:t xml:space="preserve">Interconnected </w:t>
      </w:r>
      <w:r w:rsidRPr="19E6B670" w:rsidR="00F824F5">
        <w:rPr>
          <w:color w:val="000000" w:themeColor="text1"/>
        </w:rPr>
        <w:t>Voice over Internet Protocol</w:t>
      </w:r>
      <w:r>
        <w:t xml:space="preserve"> providers migrated to </w:t>
      </w:r>
      <w:r w:rsidR="00EE3114">
        <w:t>Section </w:t>
      </w:r>
      <w:r>
        <w:t xml:space="preserve">1013 operating authority and migrated to </w:t>
      </w:r>
      <w:r w:rsidR="00803BD3">
        <w:t>Nomadic Registration</w:t>
      </w:r>
      <w:r>
        <w:t xml:space="preserve"> are granted </w:t>
      </w:r>
      <w:proofErr w:type="spellStart"/>
      <w:r>
        <w:t>detariffed</w:t>
      </w:r>
      <w:proofErr w:type="spellEnd"/>
      <w:r>
        <w:t xml:space="preserve"> status.</w:t>
      </w:r>
    </w:p>
    <w:p w:rsidR="004C4C18" w:rsidP="0071434A" w:rsidRDefault="008E5177" w14:paraId="5B1E6DE4" w14:textId="09561B55">
      <w:pPr>
        <w:pStyle w:val="OP"/>
        <w:numPr>
          <w:ilvl w:val="0"/>
          <w:numId w:val="7"/>
        </w:numPr>
      </w:pPr>
      <w:r>
        <w:lastRenderedPageBreak/>
        <w:t xml:space="preserve">Interconnected </w:t>
      </w:r>
      <w:r w:rsidRPr="19E6B670" w:rsidR="00F824F5">
        <w:rPr>
          <w:color w:val="000000" w:themeColor="text1"/>
        </w:rPr>
        <w:t>Voice over Internet Protocol</w:t>
      </w:r>
      <w:r>
        <w:t xml:space="preserve"> </w:t>
      </w:r>
      <w:r w:rsidR="00BB5CD8">
        <w:t xml:space="preserve">service </w:t>
      </w:r>
      <w:r>
        <w:t xml:space="preserve">providers granted operating authority with a </w:t>
      </w:r>
      <w:r w:rsidR="00902DFD">
        <w:t>Certificate of Public Convenience and Necessity</w:t>
      </w:r>
      <w:r>
        <w:t xml:space="preserve"> shall retain the tariffed/</w:t>
      </w:r>
      <w:proofErr w:type="spellStart"/>
      <w:r>
        <w:t>detariffed</w:t>
      </w:r>
      <w:proofErr w:type="spellEnd"/>
      <w:r>
        <w:t xml:space="preserve"> status made in the </w:t>
      </w:r>
      <w:r w:rsidR="00BB5CD8">
        <w:rPr>
          <w:color w:val="000000" w:themeColor="text1"/>
        </w:rPr>
        <w:t xml:space="preserve">initial </w:t>
      </w:r>
      <w:r>
        <w:t xml:space="preserve">grant of </w:t>
      </w:r>
      <w:r w:rsidR="002D02A6">
        <w:t xml:space="preserve">operating </w:t>
      </w:r>
      <w:r>
        <w:t>authority.</w:t>
      </w:r>
    </w:p>
    <w:p w:rsidR="00A96B31" w:rsidP="0071434A" w:rsidRDefault="008E5177" w14:paraId="08FBE0BE" w14:textId="1AEF1038">
      <w:pPr>
        <w:pStyle w:val="OP"/>
        <w:numPr>
          <w:ilvl w:val="0"/>
          <w:numId w:val="7"/>
        </w:numPr>
      </w:pPr>
      <w:r w:rsidRPr="00476E84">
        <w:t>I</w:t>
      </w:r>
      <w:r>
        <w:t xml:space="preserve">nterconnected </w:t>
      </w:r>
      <w:r w:rsidRPr="19E6B670" w:rsidR="00803BD3">
        <w:rPr>
          <w:color w:val="000000" w:themeColor="text1"/>
        </w:rPr>
        <w:t>Voice over Internet Protocol</w:t>
      </w:r>
      <w:r>
        <w:t xml:space="preserve"> </w:t>
      </w:r>
      <w:r w:rsidR="00803BD3">
        <w:t xml:space="preserve">service </w:t>
      </w:r>
      <w:r>
        <w:t xml:space="preserve">providers granted </w:t>
      </w:r>
      <w:proofErr w:type="spellStart"/>
      <w:r>
        <w:t>detariffed</w:t>
      </w:r>
      <w:proofErr w:type="spellEnd"/>
      <w:r>
        <w:t xml:space="preserve"> status that subsequently</w:t>
      </w:r>
      <w:r w:rsidRPr="00476E84">
        <w:t xml:space="preserve"> </w:t>
      </w:r>
      <w:r>
        <w:t xml:space="preserve">elect to offer service </w:t>
      </w:r>
      <w:r w:rsidRPr="00476E84">
        <w:t>that require</w:t>
      </w:r>
      <w:r>
        <w:t>s</w:t>
      </w:r>
      <w:r w:rsidRPr="00476E84">
        <w:t xml:space="preserve"> a tariff or schedule, such as basic service, must submit proposed tariffs and/or user guides to the</w:t>
      </w:r>
      <w:r w:rsidR="00AA6629">
        <w:t xml:space="preserve"> California </w:t>
      </w:r>
      <w:r w:rsidR="007E4707">
        <w:t>Public Utilities</w:t>
      </w:r>
      <w:r w:rsidRPr="00476E84">
        <w:t xml:space="preserve"> Commission</w:t>
      </w:r>
      <w:r w:rsidR="00893D67">
        <w:t>’</w:t>
      </w:r>
      <w:r w:rsidRPr="00476E84">
        <w:t xml:space="preserve">s Communications Division via </w:t>
      </w:r>
      <w:r>
        <w:t xml:space="preserve">a </w:t>
      </w:r>
      <w:r w:rsidR="005F2D22">
        <w:t>Tier 2</w:t>
      </w:r>
      <w:r w:rsidR="00E21830">
        <w:t xml:space="preserve"> advice letter</w:t>
      </w:r>
      <w:r w:rsidRPr="00476E84">
        <w:t xml:space="preserve"> using the </w:t>
      </w:r>
      <w:r w:rsidR="00053CBF">
        <w:t>General Order 9</w:t>
      </w:r>
      <w:r w:rsidRPr="00476E84">
        <w:t>6</w:t>
      </w:r>
      <w:r w:rsidR="006951D5">
        <w:noBreakHyphen/>
      </w:r>
      <w:r w:rsidRPr="00476E84">
        <w:t xml:space="preserve">B advice letter process </w:t>
      </w:r>
      <w:r w:rsidR="00AA6629">
        <w:t>at least</w:t>
      </w:r>
      <w:r w:rsidRPr="00476E84">
        <w:t xml:space="preserve"> 30 days before initiation of service.</w:t>
      </w:r>
    </w:p>
    <w:p w:rsidRPr="00C01DF6" w:rsidR="00C01DF6" w:rsidP="00CD7626" w:rsidRDefault="00C01DF6" w14:paraId="79F41BCF" w14:textId="44669B51">
      <w:pPr>
        <w:pStyle w:val="SectionTitle"/>
        <w:ind w:right="-720"/>
      </w:pPr>
      <w:r w:rsidRPr="00411786">
        <w:t xml:space="preserve">Interconnected </w:t>
      </w:r>
      <w:r w:rsidRPr="00411786" w:rsidR="00411786">
        <w:rPr>
          <w:color w:val="000000" w:themeColor="text1"/>
        </w:rPr>
        <w:t xml:space="preserve">Voice </w:t>
      </w:r>
      <w:r w:rsidRPr="00411786" w:rsidR="00A7020B">
        <w:rPr>
          <w:color w:val="000000" w:themeColor="text1"/>
        </w:rPr>
        <w:t xml:space="preserve">Over </w:t>
      </w:r>
      <w:r w:rsidRPr="00411786" w:rsidR="00411786">
        <w:rPr>
          <w:color w:val="000000" w:themeColor="text1"/>
        </w:rPr>
        <w:t>Internet Protocol</w:t>
      </w:r>
      <w:r w:rsidRPr="00411786" w:rsidR="00411786">
        <w:t xml:space="preserve"> </w:t>
      </w:r>
      <w:r w:rsidRPr="00411786" w:rsidR="00A7020B">
        <w:t xml:space="preserve">Service </w:t>
      </w:r>
      <w:r w:rsidRPr="00411786">
        <w:t>Provider</w:t>
      </w:r>
      <w:r w:rsidR="008C02B7">
        <w:t>s</w:t>
      </w:r>
      <w:r w:rsidR="00AF5BC2">
        <w:t>’</w:t>
      </w:r>
      <w:r w:rsidR="00A81236">
        <w:t xml:space="preserve"> Regulatory Obligations</w:t>
      </w:r>
    </w:p>
    <w:p w:rsidR="004C4C18" w:rsidP="0071434A" w:rsidRDefault="004C4C18" w14:paraId="499A0185" w14:textId="2AC5924E">
      <w:pPr>
        <w:pStyle w:val="OP"/>
        <w:numPr>
          <w:ilvl w:val="0"/>
          <w:numId w:val="7"/>
        </w:numPr>
      </w:pPr>
      <w:r>
        <w:t xml:space="preserve">All interconnected </w:t>
      </w:r>
      <w:r w:rsidRPr="19E6B670" w:rsidR="00411786">
        <w:rPr>
          <w:color w:val="000000" w:themeColor="text1"/>
        </w:rPr>
        <w:t>Voice over Internet Protocol</w:t>
      </w:r>
      <w:r w:rsidR="00411786">
        <w:t xml:space="preserve"> </w:t>
      </w:r>
      <w:r w:rsidR="001D5DB7">
        <w:t xml:space="preserve">(VoIP) </w:t>
      </w:r>
      <w:r w:rsidR="00411786">
        <w:t xml:space="preserve">service </w:t>
      </w:r>
      <w:r>
        <w:t>providers</w:t>
      </w:r>
      <w:r w:rsidR="00323248">
        <w:t>,</w:t>
      </w:r>
      <w:r>
        <w:t xml:space="preserve"> except for nomadic</w:t>
      </w:r>
      <w:r w:rsidR="006951D5">
        <w:noBreakHyphen/>
      </w:r>
      <w:r w:rsidR="00411786">
        <w:t>only</w:t>
      </w:r>
      <w:r>
        <w:t xml:space="preserve"> interconnected </w:t>
      </w:r>
      <w:r w:rsidR="001D5DB7">
        <w:rPr>
          <w:color w:val="000000" w:themeColor="text1"/>
        </w:rPr>
        <w:t>VoIP</w:t>
      </w:r>
      <w:r w:rsidR="00411786">
        <w:t xml:space="preserve"> service</w:t>
      </w:r>
      <w:r>
        <w:t xml:space="preserve"> providers</w:t>
      </w:r>
      <w:r w:rsidR="00323248">
        <w:t>,</w:t>
      </w:r>
      <w:r>
        <w:t xml:space="preserve"> are required to demonstrate possession of requisite financial resources at the time of application or registration.</w:t>
      </w:r>
    </w:p>
    <w:p w:rsidR="003D56E5" w:rsidP="0071434A" w:rsidRDefault="00C4612A" w14:paraId="52D73FE5" w14:textId="5E35BF25">
      <w:pPr>
        <w:pStyle w:val="OP"/>
        <w:numPr>
          <w:ilvl w:val="0"/>
          <w:numId w:val="7"/>
        </w:numPr>
      </w:pPr>
      <w:r>
        <w:t>All</w:t>
      </w:r>
      <w:r w:rsidRPr="00F22508">
        <w:t xml:space="preserve"> </w:t>
      </w:r>
      <w:r w:rsidR="005C3886">
        <w:t xml:space="preserve">interconnected </w:t>
      </w:r>
      <w:r w:rsidRPr="19E6B670" w:rsidR="00411786">
        <w:rPr>
          <w:color w:val="000000" w:themeColor="text1"/>
        </w:rPr>
        <w:t>Voice over Internet Protocol</w:t>
      </w:r>
      <w:r w:rsidR="00411786">
        <w:t xml:space="preserve"> service</w:t>
      </w:r>
      <w:r w:rsidR="005C3886">
        <w:t xml:space="preserve"> providers </w:t>
      </w:r>
      <w:r w:rsidRPr="00F22508">
        <w:t>must obtain a</w:t>
      </w:r>
      <w:r w:rsidR="008F269A">
        <w:t>n initial</w:t>
      </w:r>
      <w:r w:rsidRPr="00F22508">
        <w:t xml:space="preserve"> performance bond </w:t>
      </w:r>
      <w:r>
        <w:t xml:space="preserve">of </w:t>
      </w:r>
      <w:r w:rsidR="00AA6629">
        <w:t>at least</w:t>
      </w:r>
      <w:r>
        <w:t xml:space="preserve"> </w:t>
      </w:r>
      <w:r w:rsidRPr="00F22508">
        <w:t>$25,000</w:t>
      </w:r>
      <w:r>
        <w:t>.</w:t>
      </w:r>
      <w:r w:rsidR="00CD0E2A">
        <w:t xml:space="preserve"> </w:t>
      </w:r>
      <w:r w:rsidRPr="00F22508">
        <w:t>The performance bond must be a continuous bond (</w:t>
      </w:r>
      <w:r w:rsidRPr="004A120D" w:rsidR="004A120D">
        <w:rPr>
          <w:i/>
          <w:iCs/>
        </w:rPr>
        <w:t>i.e.</w:t>
      </w:r>
      <w:r w:rsidRPr="00F22508">
        <w:t xml:space="preserve">, there is no termination date on the bond) issued by a corporate surety company authorized to transact surety business in California, and the </w:t>
      </w:r>
      <w:r w:rsidR="001519F6">
        <w:rPr>
          <w:color w:val="000000" w:themeColor="text1"/>
        </w:rPr>
        <w:t xml:space="preserve">California </w:t>
      </w:r>
      <w:r w:rsidR="007E4707">
        <w:rPr>
          <w:color w:val="000000" w:themeColor="text1"/>
        </w:rPr>
        <w:t>Public Utilities</w:t>
      </w:r>
      <w:r w:rsidR="001519F6">
        <w:rPr>
          <w:color w:val="000000" w:themeColor="text1"/>
        </w:rPr>
        <w:t xml:space="preserve"> </w:t>
      </w:r>
      <w:r w:rsidRPr="008B5675" w:rsidR="001519F6">
        <w:t>Commission</w:t>
      </w:r>
      <w:r w:rsidRPr="00F22508">
        <w:t xml:space="preserve"> must be listed as the </w:t>
      </w:r>
      <w:proofErr w:type="spellStart"/>
      <w:r w:rsidRPr="00F22508">
        <w:t>obligee</w:t>
      </w:r>
      <w:proofErr w:type="spellEnd"/>
      <w:r w:rsidRPr="00F22508">
        <w:t xml:space="preserve"> on the bond.</w:t>
      </w:r>
    </w:p>
    <w:p w:rsidRPr="005C3886" w:rsidR="005C3886" w:rsidP="0071434A" w:rsidRDefault="005126E5" w14:paraId="718B64AF" w14:textId="2014841D">
      <w:pPr>
        <w:pStyle w:val="OP"/>
        <w:numPr>
          <w:ilvl w:val="0"/>
          <w:numId w:val="7"/>
        </w:numPr>
      </w:pPr>
      <w:r>
        <w:t>All</w:t>
      </w:r>
      <w:r w:rsidRPr="00F22508">
        <w:t xml:space="preserve"> </w:t>
      </w:r>
      <w:r>
        <w:t xml:space="preserve">interconnected </w:t>
      </w:r>
      <w:r w:rsidRPr="19E6B670" w:rsidR="00411786">
        <w:rPr>
          <w:color w:val="000000" w:themeColor="text1"/>
        </w:rPr>
        <w:t>Voice over Internet Protocol</w:t>
      </w:r>
      <w:r w:rsidR="00411786">
        <w:t xml:space="preserve"> service</w:t>
      </w:r>
      <w:r>
        <w:t xml:space="preserve"> providers </w:t>
      </w:r>
      <w:r w:rsidRPr="00D10C46" w:rsidR="005C3886">
        <w:t xml:space="preserve">must </w:t>
      </w:r>
      <w:r w:rsidR="005C3886">
        <w:t>submit</w:t>
      </w:r>
      <w:r w:rsidRPr="00D10C46" w:rsidR="005C3886">
        <w:t xml:space="preserve"> </w:t>
      </w:r>
      <w:r w:rsidR="005C3886">
        <w:t xml:space="preserve">an initial performance bond </w:t>
      </w:r>
      <w:r w:rsidRPr="00D10C46" w:rsidR="005C3886">
        <w:t xml:space="preserve">via </w:t>
      </w:r>
      <w:r w:rsidR="005F2D22">
        <w:t>Tier 1</w:t>
      </w:r>
      <w:r>
        <w:t xml:space="preserve"> </w:t>
      </w:r>
      <w:r w:rsidRPr="00D10C46" w:rsidR="005C3886">
        <w:t xml:space="preserve">advice letter </w:t>
      </w:r>
      <w:r w:rsidR="007D19A3">
        <w:t xml:space="preserve">between </w:t>
      </w:r>
      <w:r w:rsidR="00424385">
        <w:t>March</w:t>
      </w:r>
      <w:r w:rsidR="00844EAF">
        <w:t> </w:t>
      </w:r>
      <w:r w:rsidR="007D19A3">
        <w:t>1</w:t>
      </w:r>
      <w:r w:rsidR="00F965EC">
        <w:noBreakHyphen/>
      </w:r>
      <w:r w:rsidR="00424385">
        <w:t>May</w:t>
      </w:r>
      <w:r w:rsidR="00844EAF">
        <w:t> </w:t>
      </w:r>
      <w:r w:rsidR="007D19A3">
        <w:t>3</w:t>
      </w:r>
      <w:r w:rsidR="00DA66E7">
        <w:t>1, 2025</w:t>
      </w:r>
      <w:r w:rsidRPr="00D10C46" w:rsidR="005C3886">
        <w:t>.</w:t>
      </w:r>
      <w:r w:rsidR="005C3886">
        <w:t xml:space="preserve"> Providers </w:t>
      </w:r>
      <w:r w:rsidRPr="005126E5" w:rsidR="005C3886">
        <w:rPr>
          <w:rFonts w:cstheme="minorHAnsi"/>
          <w:szCs w:val="26"/>
        </w:rPr>
        <w:t xml:space="preserve">must submit the original hard copy of the performance bond </w:t>
      </w:r>
      <w:r w:rsidR="00B91B25">
        <w:rPr>
          <w:rFonts w:cstheme="minorHAnsi"/>
          <w:szCs w:val="26"/>
        </w:rPr>
        <w:t xml:space="preserve">or affidavit stating possession of a performance bond in electronic version only </w:t>
      </w:r>
      <w:r w:rsidRPr="005126E5" w:rsidR="005C3886">
        <w:rPr>
          <w:rFonts w:cstheme="minorHAnsi"/>
          <w:szCs w:val="26"/>
        </w:rPr>
        <w:t xml:space="preserve">to the </w:t>
      </w:r>
      <w:r w:rsidR="001519F6">
        <w:rPr>
          <w:color w:val="000000" w:themeColor="text1"/>
        </w:rPr>
        <w:t xml:space="preserve">California </w:t>
      </w:r>
      <w:r w:rsidR="007E4707">
        <w:rPr>
          <w:color w:val="000000" w:themeColor="text1"/>
        </w:rPr>
        <w:t>Public Utilities</w:t>
      </w:r>
      <w:r w:rsidR="001519F6">
        <w:rPr>
          <w:color w:val="000000" w:themeColor="text1"/>
        </w:rPr>
        <w:t xml:space="preserve"> </w:t>
      </w:r>
      <w:r w:rsidRPr="008B5675" w:rsidR="001519F6">
        <w:t>Commission</w:t>
      </w:r>
      <w:r w:rsidR="00893D67">
        <w:rPr>
          <w:rFonts w:cstheme="minorHAnsi"/>
          <w:szCs w:val="26"/>
        </w:rPr>
        <w:t>’</w:t>
      </w:r>
      <w:r w:rsidRPr="005126E5" w:rsidR="005C3886">
        <w:rPr>
          <w:rFonts w:cstheme="minorHAnsi"/>
          <w:szCs w:val="26"/>
        </w:rPr>
        <w:t xml:space="preserve">s </w:t>
      </w:r>
      <w:r w:rsidRPr="005126E5" w:rsidR="005C3886">
        <w:rPr>
          <w:rFonts w:cstheme="minorHAnsi"/>
          <w:szCs w:val="26"/>
        </w:rPr>
        <w:lastRenderedPageBreak/>
        <w:t>Communications Division</w:t>
      </w:r>
      <w:r w:rsidR="000817EF">
        <w:rPr>
          <w:rFonts w:cstheme="minorHAnsi"/>
          <w:szCs w:val="26"/>
        </w:rPr>
        <w:t xml:space="preserve"> </w:t>
      </w:r>
      <w:r w:rsidRPr="005126E5" w:rsidR="005C3886">
        <w:rPr>
          <w:rFonts w:cstheme="minorHAnsi"/>
          <w:szCs w:val="26"/>
        </w:rPr>
        <w:t>for record keeping. The hard copy document must be sent to the following:</w:t>
      </w:r>
    </w:p>
    <w:p w:rsidR="005C3886" w:rsidP="007C459F" w:rsidRDefault="005C3886" w14:paraId="0BA29426" w14:textId="4647BFD8">
      <w:pPr>
        <w:pStyle w:val="NoSpacing"/>
        <w:keepNext/>
        <w:jc w:val="center"/>
        <w:rPr>
          <w:rFonts w:cstheme="minorHAnsi"/>
          <w:szCs w:val="26"/>
        </w:rPr>
      </w:pPr>
      <w:r>
        <w:rPr>
          <w:rFonts w:cstheme="minorHAnsi"/>
          <w:szCs w:val="26"/>
        </w:rPr>
        <w:t xml:space="preserve">California </w:t>
      </w:r>
      <w:r w:rsidR="007E4707">
        <w:rPr>
          <w:rFonts w:cstheme="minorHAnsi"/>
          <w:szCs w:val="26"/>
        </w:rPr>
        <w:t>Public Utilities</w:t>
      </w:r>
      <w:r>
        <w:rPr>
          <w:rFonts w:cstheme="minorHAnsi"/>
          <w:szCs w:val="26"/>
        </w:rPr>
        <w:t xml:space="preserve"> Commission</w:t>
      </w:r>
    </w:p>
    <w:p w:rsidR="00A96B31" w:rsidP="007C459F" w:rsidRDefault="005C3886" w14:paraId="39244C23" w14:textId="74DE4BCC">
      <w:pPr>
        <w:pStyle w:val="NoSpacing"/>
        <w:keepNext/>
        <w:jc w:val="center"/>
      </w:pPr>
      <w:r w:rsidRPr="7CA8E2B7">
        <w:t xml:space="preserve">ATTN: Communications Division </w:t>
      </w:r>
      <w:r w:rsidR="00844EAF">
        <w:noBreakHyphen/>
      </w:r>
      <w:r w:rsidR="005B01AE">
        <w:t xml:space="preserve"> </w:t>
      </w:r>
      <w:r w:rsidRPr="7CA8E2B7">
        <w:t>Performance Bond</w:t>
      </w:r>
    </w:p>
    <w:p w:rsidR="005C3886" w:rsidP="007C459F" w:rsidRDefault="008123A1" w14:paraId="42FBF1D4" w14:textId="71558CB9">
      <w:pPr>
        <w:pStyle w:val="NoSpacing"/>
        <w:keepNext/>
        <w:jc w:val="center"/>
        <w:rPr>
          <w:rFonts w:cstheme="minorHAnsi"/>
          <w:szCs w:val="26"/>
        </w:rPr>
      </w:pPr>
      <w:r>
        <w:rPr>
          <w:rFonts w:cstheme="minorHAnsi"/>
          <w:szCs w:val="26"/>
        </w:rPr>
        <w:t>505 Van Ness</w:t>
      </w:r>
      <w:r w:rsidR="005C3886">
        <w:rPr>
          <w:rFonts w:cstheme="minorHAnsi"/>
          <w:szCs w:val="26"/>
        </w:rPr>
        <w:t xml:space="preserve"> Avenue, Third Floor</w:t>
      </w:r>
    </w:p>
    <w:p w:rsidR="005C3886" w:rsidP="005C3886" w:rsidRDefault="008123A1" w14:paraId="567919DF" w14:textId="3B8A03B8">
      <w:pPr>
        <w:pStyle w:val="NoSpacing"/>
        <w:jc w:val="center"/>
        <w:rPr>
          <w:rFonts w:cstheme="minorHAnsi"/>
          <w:szCs w:val="26"/>
        </w:rPr>
      </w:pPr>
      <w:r>
        <w:rPr>
          <w:rFonts w:cstheme="minorHAnsi"/>
          <w:szCs w:val="26"/>
        </w:rPr>
        <w:t>San </w:t>
      </w:r>
      <w:r w:rsidR="005C3886">
        <w:rPr>
          <w:rFonts w:cstheme="minorHAnsi"/>
          <w:szCs w:val="26"/>
        </w:rPr>
        <w:t>Francisco, California 94102</w:t>
      </w:r>
    </w:p>
    <w:p w:rsidR="00B91B25" w:rsidP="0071434A" w:rsidRDefault="004A7DAF" w14:paraId="273E6EA2" w14:textId="45B6FCD4">
      <w:pPr>
        <w:pStyle w:val="OP"/>
        <w:ind w:firstLine="0"/>
      </w:pPr>
      <w:r w:rsidRPr="00C7492D">
        <w:rPr>
          <w:rFonts w:cstheme="minorHAnsi"/>
          <w:szCs w:val="26"/>
        </w:rPr>
        <w:t xml:space="preserve">If no hard copy </w:t>
      </w:r>
      <w:r w:rsidRPr="00161C5D">
        <w:rPr>
          <w:color w:val="000000" w:themeColor="text1"/>
        </w:rPr>
        <w:t>exists</w:t>
      </w:r>
      <w:r w:rsidRPr="0B10B0AF">
        <w:t xml:space="preserve"> </w:t>
      </w:r>
      <w:r>
        <w:t xml:space="preserve">(the </w:t>
      </w:r>
      <w:r w:rsidRPr="0B10B0AF">
        <w:t>performance bond</w:t>
      </w:r>
      <w:r>
        <w:t xml:space="preserve"> is only in electronic version)</w:t>
      </w:r>
      <w:r w:rsidRPr="0B10B0AF">
        <w:t xml:space="preserve">, the </w:t>
      </w:r>
      <w:r w:rsidR="0037140E">
        <w:t>service provider</w:t>
      </w:r>
      <w:r w:rsidRPr="0B10B0AF">
        <w:t xml:space="preserve"> must submit </w:t>
      </w:r>
      <w:r>
        <w:t xml:space="preserve">to the Direction of Communications via email to </w:t>
      </w:r>
      <w:hyperlink w:history="1" r:id="rId26">
        <w:r w:rsidRPr="001F2672" w:rsidR="00FF4D97">
          <w:rPr>
            <w:rStyle w:val="Hyperlink"/>
          </w:rPr>
          <w:t>cdcompliance@cpuc.ca.gov</w:t>
        </w:r>
      </w:hyperlink>
      <w:r>
        <w:t xml:space="preserve"> </w:t>
      </w:r>
      <w:r w:rsidRPr="0B10B0AF">
        <w:t xml:space="preserve">an attestation with its </w:t>
      </w:r>
      <w:r w:rsidR="005F2D22">
        <w:t>Tier 1</w:t>
      </w:r>
      <w:r>
        <w:t xml:space="preserve"> </w:t>
      </w:r>
      <w:r w:rsidRPr="0B10B0AF">
        <w:t>advice letter filing stating that there is no original hard copy provided by the surety company and that the electronic bond is the same legal instrument as a paper bond.</w:t>
      </w:r>
    </w:p>
    <w:p w:rsidR="00B91B25" w:rsidP="0071434A" w:rsidRDefault="00B91B25" w14:paraId="08536896" w14:textId="18A53771">
      <w:pPr>
        <w:pStyle w:val="OP"/>
        <w:numPr>
          <w:ilvl w:val="0"/>
          <w:numId w:val="7"/>
        </w:numPr>
      </w:pPr>
      <w:r>
        <w:t xml:space="preserve">All interconnected </w:t>
      </w:r>
      <w:r w:rsidRPr="19E6B670" w:rsidR="00411786">
        <w:rPr>
          <w:color w:val="000000" w:themeColor="text1"/>
        </w:rPr>
        <w:t>Voice over Internet Protocol</w:t>
      </w:r>
      <w:r w:rsidR="00411786">
        <w:t xml:space="preserve"> service</w:t>
      </w:r>
      <w:r>
        <w:t xml:space="preserve"> providers </w:t>
      </w:r>
      <w:r w:rsidRPr="00D10C46">
        <w:t xml:space="preserve">must </w:t>
      </w:r>
      <w:r>
        <w:t>annually update</w:t>
      </w:r>
      <w:r w:rsidRPr="00D10C46">
        <w:t xml:space="preserve"> the</w:t>
      </w:r>
      <w:r>
        <w:t>ir</w:t>
      </w:r>
      <w:r w:rsidRPr="00D10C46">
        <w:t xml:space="preserve"> performance bond beginning </w:t>
      </w:r>
      <w:r w:rsidR="00400BB6">
        <w:t>March </w:t>
      </w:r>
      <w:r w:rsidRPr="00D10C46">
        <w:t>31, 2026, and continue annually thereafter.</w:t>
      </w:r>
    </w:p>
    <w:p w:rsidRPr="00547C63" w:rsidR="00820413" w:rsidP="00547C63" w:rsidRDefault="00820413" w14:paraId="68E55847" w14:textId="458986EE">
      <w:pPr>
        <w:pStyle w:val="OP"/>
        <w:numPr>
          <w:ilvl w:val="0"/>
          <w:numId w:val="7"/>
        </w:numPr>
      </w:pPr>
      <w:r w:rsidRPr="00547C63">
        <w:rPr>
          <w:szCs w:val="26"/>
        </w:rPr>
        <w:t>All interconnected Voice over Internet Protocol service providers shall</w:t>
      </w:r>
      <w:r w:rsidRPr="00547C63">
        <w:t xml:space="preserve"> remit public purpose program surcharges owed to the Commission in accordance with the established methodology in effect at the time the surcharge was accrued, along with accrued interest on late remittance of past</w:t>
      </w:r>
      <w:r w:rsidR="00844EAF">
        <w:noBreakHyphen/>
      </w:r>
      <w:r w:rsidRPr="00547C63">
        <w:t>due surcharges prior to the filing date of application.</w:t>
      </w:r>
    </w:p>
    <w:p w:rsidRPr="00820413" w:rsidR="00820413" w:rsidP="00820413" w:rsidRDefault="00820413" w14:paraId="79AC7C88" w14:textId="31ECF363">
      <w:pPr>
        <w:pStyle w:val="OP"/>
        <w:numPr>
          <w:ilvl w:val="0"/>
          <w:numId w:val="7"/>
        </w:numPr>
      </w:pPr>
      <w:r w:rsidRPr="00547C63">
        <w:t>For a period of 180 days from the issuance of this decision, new interconnected VoIP service providers who file an application shall have 10</w:t>
      </w:r>
      <w:r w:rsidR="00844EAF">
        <w:t> </w:t>
      </w:r>
      <w:r w:rsidR="006C00A2">
        <w:t>percent</w:t>
      </w:r>
      <w:r w:rsidRPr="00547C63">
        <w:t xml:space="preserve"> interest of past</w:t>
      </w:r>
      <w:r w:rsidR="00844EAF">
        <w:noBreakHyphen/>
      </w:r>
      <w:r w:rsidRPr="00547C63">
        <w:t>due surcharge waived from the date they filed an application or registration to the date a decision is issued.</w:t>
      </w:r>
    </w:p>
    <w:p w:rsidR="00A96B31" w:rsidP="00547C63" w:rsidRDefault="00B91B25" w14:paraId="7BF7D33D" w14:textId="7B6403B2">
      <w:pPr>
        <w:pStyle w:val="OP"/>
        <w:numPr>
          <w:ilvl w:val="0"/>
          <w:numId w:val="7"/>
        </w:numPr>
      </w:pPr>
      <w:r>
        <w:t xml:space="preserve">All interconnected </w:t>
      </w:r>
      <w:r w:rsidRPr="19E6B670" w:rsidR="00411786">
        <w:rPr>
          <w:color w:val="000000" w:themeColor="text1"/>
        </w:rPr>
        <w:t>Voice over Internet Protocol</w:t>
      </w:r>
      <w:r w:rsidR="00411786">
        <w:t xml:space="preserve"> service</w:t>
      </w:r>
      <w:r>
        <w:t xml:space="preserve"> providers must pay the</w:t>
      </w:r>
      <w:r w:rsidRPr="008A7C32">
        <w:t xml:space="preserve"> C</w:t>
      </w:r>
      <w:r w:rsidR="00671D8C">
        <w:t xml:space="preserve">alifornia Public Utilities Commission </w:t>
      </w:r>
      <w:r w:rsidRPr="008A7C32">
        <w:t xml:space="preserve">User </w:t>
      </w:r>
      <w:r w:rsidR="00B645B9">
        <w:t>F</w:t>
      </w:r>
      <w:r w:rsidRPr="008A7C32">
        <w:t xml:space="preserve">ee </w:t>
      </w:r>
      <w:r w:rsidR="003E704B">
        <w:t xml:space="preserve">quarterly or </w:t>
      </w:r>
      <w:r>
        <w:t>annually</w:t>
      </w:r>
      <w:r w:rsidR="003E704B">
        <w:t xml:space="preserve"> as described in </w:t>
      </w:r>
      <w:r w:rsidR="00522993">
        <w:t>Section</w:t>
      </w:r>
      <w:r w:rsidR="00844EAF">
        <w:t> </w:t>
      </w:r>
      <w:r w:rsidR="003E704B">
        <w:t>8.2.2 of this decision</w:t>
      </w:r>
      <w:r w:rsidRPr="008A7C32">
        <w:t>.</w:t>
      </w:r>
    </w:p>
    <w:p w:rsidR="00A96B31" w:rsidP="00547C63" w:rsidRDefault="00151744" w14:paraId="76496FFA" w14:textId="0FCA131C">
      <w:pPr>
        <w:pStyle w:val="OP"/>
        <w:numPr>
          <w:ilvl w:val="0"/>
          <w:numId w:val="7"/>
        </w:numPr>
      </w:pPr>
      <w:r>
        <w:lastRenderedPageBreak/>
        <w:t xml:space="preserve">All interconnected </w:t>
      </w:r>
      <w:r w:rsidRPr="19E6B670" w:rsidR="00F824F5">
        <w:rPr>
          <w:color w:val="000000" w:themeColor="text1"/>
        </w:rPr>
        <w:t xml:space="preserve">Voice over Internet Protocol </w:t>
      </w:r>
      <w:r w:rsidR="00F824F5">
        <w:rPr>
          <w:color w:val="000000" w:themeColor="text1"/>
        </w:rPr>
        <w:t xml:space="preserve">(VoIP) </w:t>
      </w:r>
      <w:r w:rsidR="00411786">
        <w:t>service</w:t>
      </w:r>
      <w:r>
        <w:t xml:space="preserve"> providers are subject to Affiliate Transaction Reporting Requirements. Beginning </w:t>
      </w:r>
      <w:r w:rsidR="00400BB6">
        <w:t>May </w:t>
      </w:r>
      <w:r>
        <w:t>1, 202</w:t>
      </w:r>
      <w:r w:rsidR="00556C49">
        <w:t>6</w:t>
      </w:r>
      <w:r>
        <w:t>, interconnected VoIP providers shall file the report and continue annually thereafter.</w:t>
      </w:r>
    </w:p>
    <w:p w:rsidR="00B91B25" w:rsidP="00547C63" w:rsidRDefault="00D457DE" w14:paraId="67261B0F" w14:textId="7DDEF6C5">
      <w:pPr>
        <w:pStyle w:val="OP"/>
        <w:numPr>
          <w:ilvl w:val="0"/>
          <w:numId w:val="7"/>
        </w:numPr>
      </w:pPr>
      <w:r>
        <w:t xml:space="preserve">All interconnected </w:t>
      </w:r>
      <w:r w:rsidRPr="19E6B670" w:rsidR="00411786">
        <w:rPr>
          <w:color w:val="000000" w:themeColor="text1"/>
        </w:rPr>
        <w:t>Voice over Internet Protocol</w:t>
      </w:r>
      <w:r w:rsidR="00411786">
        <w:t xml:space="preserve"> (VoIP) service</w:t>
      </w:r>
      <w:r>
        <w:t xml:space="preserve"> providers with the exception of interconnected VoIP providers affiliated with an incumbent are exempt from the requirement to maintain books and records in accordance with the Uniform System of Accounts specified in </w:t>
      </w:r>
      <w:r w:rsidR="00B47779">
        <w:t>Title </w:t>
      </w:r>
      <w:r>
        <w:t xml:space="preserve">47 I.E. </w:t>
      </w:r>
      <w:r w:rsidR="00D8452D">
        <w:t>Part </w:t>
      </w:r>
      <w:r>
        <w:t>32.</w:t>
      </w:r>
    </w:p>
    <w:p w:rsidR="00A96B31" w:rsidP="00547C63" w:rsidRDefault="000A43EB" w14:paraId="5E554035" w14:textId="294438B4">
      <w:pPr>
        <w:pStyle w:val="OP"/>
        <w:numPr>
          <w:ilvl w:val="0"/>
          <w:numId w:val="7"/>
        </w:numPr>
      </w:pPr>
      <w:r w:rsidRPr="00D10C46">
        <w:t xml:space="preserve">All </w:t>
      </w:r>
      <w:r>
        <w:t xml:space="preserve">interconnected </w:t>
      </w:r>
      <w:r w:rsidRPr="19E6B670" w:rsidR="00411786">
        <w:rPr>
          <w:color w:val="000000" w:themeColor="text1"/>
        </w:rPr>
        <w:t>Voice over Internet Protocol</w:t>
      </w:r>
      <w:r w:rsidR="00411786">
        <w:t xml:space="preserve"> (VoIP) service</w:t>
      </w:r>
      <w:r>
        <w:t xml:space="preserve"> providers</w:t>
      </w:r>
      <w:r w:rsidR="00F07CD3">
        <w:t>,</w:t>
      </w:r>
      <w:r>
        <w:t xml:space="preserve"> except nomadic</w:t>
      </w:r>
      <w:r w:rsidR="006951D5">
        <w:noBreakHyphen/>
      </w:r>
      <w:r w:rsidR="00411786">
        <w:t>only interconnected</w:t>
      </w:r>
      <w:r>
        <w:t xml:space="preserve"> VoIP </w:t>
      </w:r>
      <w:r w:rsidR="00411786">
        <w:t xml:space="preserve">service </w:t>
      </w:r>
      <w:r>
        <w:t>providers</w:t>
      </w:r>
      <w:r w:rsidR="00F07CD3">
        <w:t>,</w:t>
      </w:r>
      <w:r>
        <w:t xml:space="preserve"> are subject to the </w:t>
      </w:r>
      <w:r w:rsidRPr="00D10C46">
        <w:t xml:space="preserve">annual reporting requirements </w:t>
      </w:r>
      <w:r>
        <w:t xml:space="preserve">for operations and finances pursuant </w:t>
      </w:r>
      <w:r w:rsidRPr="00D10C46">
        <w:t xml:space="preserve">to </w:t>
      </w:r>
      <w:r w:rsidR="00EA24BE">
        <w:t>G</w:t>
      </w:r>
      <w:r w:rsidR="00DB544B">
        <w:t xml:space="preserve">eneral </w:t>
      </w:r>
      <w:r w:rsidR="00EA24BE">
        <w:t>O</w:t>
      </w:r>
      <w:r w:rsidR="00DB544B">
        <w:t>rder</w:t>
      </w:r>
      <w:r w:rsidR="00EA24BE">
        <w:t> </w:t>
      </w:r>
      <w:r w:rsidRPr="00D10C46">
        <w:t>104</w:t>
      </w:r>
      <w:r w:rsidR="006951D5">
        <w:noBreakHyphen/>
      </w:r>
      <w:r w:rsidRPr="00D10C46">
        <w:t>A</w:t>
      </w:r>
      <w:r w:rsidR="0072652B">
        <w:t xml:space="preserve"> and shall file the report beginning </w:t>
      </w:r>
      <w:r w:rsidR="00424385">
        <w:t>March</w:t>
      </w:r>
      <w:r w:rsidR="00844EAF">
        <w:t> </w:t>
      </w:r>
      <w:r w:rsidR="0072652B">
        <w:t>31, 2026 and continue annually thereafter</w:t>
      </w:r>
      <w:r>
        <w:t>.</w:t>
      </w:r>
    </w:p>
    <w:p w:rsidR="000A43EB" w:rsidP="00547C63" w:rsidRDefault="000A43EB" w14:paraId="4F078251" w14:textId="0D4A3604">
      <w:pPr>
        <w:pStyle w:val="OP"/>
        <w:numPr>
          <w:ilvl w:val="0"/>
          <w:numId w:val="7"/>
        </w:numPr>
      </w:pPr>
      <w:r>
        <w:t>Nomadic</w:t>
      </w:r>
      <w:r w:rsidR="006951D5">
        <w:noBreakHyphen/>
      </w:r>
      <w:r w:rsidR="00411786">
        <w:t xml:space="preserve">only interconnected </w:t>
      </w:r>
      <w:r w:rsidRPr="19E6B670" w:rsidR="00411786">
        <w:rPr>
          <w:color w:val="000000" w:themeColor="text1"/>
        </w:rPr>
        <w:t>Voice over Internet Protocol</w:t>
      </w:r>
      <w:r w:rsidR="00411786">
        <w:t xml:space="preserve"> service </w:t>
      </w:r>
      <w:r>
        <w:t xml:space="preserve">providers are exempt from the </w:t>
      </w:r>
      <w:r w:rsidRPr="00D10C46">
        <w:t xml:space="preserve">annual reporting requirements </w:t>
      </w:r>
      <w:r>
        <w:t xml:space="preserve">for operations and finances pursuant </w:t>
      </w:r>
      <w:r w:rsidRPr="00D10C46">
        <w:t xml:space="preserve">to </w:t>
      </w:r>
      <w:r w:rsidR="00EA24BE">
        <w:t>G</w:t>
      </w:r>
      <w:r w:rsidR="00CB2220">
        <w:t xml:space="preserve">eneral </w:t>
      </w:r>
      <w:r w:rsidR="00EA24BE">
        <w:t>O</w:t>
      </w:r>
      <w:r w:rsidR="00CB2220">
        <w:t>rder</w:t>
      </w:r>
      <w:r w:rsidR="00EA24BE">
        <w:t> </w:t>
      </w:r>
      <w:r w:rsidRPr="00D10C46">
        <w:t>104</w:t>
      </w:r>
      <w:r w:rsidR="006951D5">
        <w:noBreakHyphen/>
      </w:r>
      <w:r w:rsidRPr="00D10C46">
        <w:t>A</w:t>
      </w:r>
      <w:r>
        <w:t>.</w:t>
      </w:r>
    </w:p>
    <w:p w:rsidR="00A96B31" w:rsidP="00547C63" w:rsidRDefault="00336AF0" w14:paraId="3C9C2FD3" w14:textId="70DFB8A0">
      <w:pPr>
        <w:pStyle w:val="OP"/>
        <w:numPr>
          <w:ilvl w:val="0"/>
          <w:numId w:val="7"/>
        </w:numPr>
      </w:pPr>
      <w:bookmarkStart w:name="_Hlk176533634" w:id="260"/>
      <w:r>
        <w:t>All</w:t>
      </w:r>
      <w:r w:rsidRPr="00336AF0">
        <w:t xml:space="preserve"> </w:t>
      </w:r>
      <w:r>
        <w:t xml:space="preserve">interconnected </w:t>
      </w:r>
      <w:r w:rsidRPr="19E6B670">
        <w:rPr>
          <w:color w:val="000000" w:themeColor="text1"/>
        </w:rPr>
        <w:t>Voice over Internet Protocol</w:t>
      </w:r>
      <w:r>
        <w:t xml:space="preserve"> (VoIP) service providers</w:t>
      </w:r>
      <w:r w:rsidR="00F07CD3">
        <w:t>,</w:t>
      </w:r>
      <w:r>
        <w:t xml:space="preserve"> including nomadic</w:t>
      </w:r>
      <w:r w:rsidR="006951D5">
        <w:noBreakHyphen/>
      </w:r>
      <w:r>
        <w:t>only interconnected VoIP service providers</w:t>
      </w:r>
      <w:r w:rsidR="00F07CD3">
        <w:t>,</w:t>
      </w:r>
      <w:r>
        <w:t xml:space="preserve"> shall submit</w:t>
      </w:r>
      <w:r w:rsidRPr="0047346B" w:rsidR="00862468">
        <w:t xml:space="preserve"> </w:t>
      </w:r>
      <w:r w:rsidR="00B645B9">
        <w:t>an</w:t>
      </w:r>
      <w:r w:rsidRPr="0047346B" w:rsidR="00862468">
        <w:t xml:space="preserve"> annual affiliate transaction report to the California </w:t>
      </w:r>
      <w:r w:rsidR="007E4707">
        <w:t>Public Utilities</w:t>
      </w:r>
      <w:r w:rsidRPr="0047346B" w:rsidR="00862468">
        <w:t xml:space="preserve"> Commission</w:t>
      </w:r>
      <w:r w:rsidR="00893D67">
        <w:t>’</w:t>
      </w:r>
      <w:r w:rsidRPr="0047346B" w:rsidR="00862468">
        <w:t>s Director of the Communications Division</w:t>
      </w:r>
      <w:r w:rsidR="00E53C42">
        <w:t xml:space="preserve"> via </w:t>
      </w:r>
      <w:r w:rsidRPr="0047346B" w:rsidR="00862468">
        <w:t xml:space="preserve">email to </w:t>
      </w:r>
      <w:hyperlink w:history="1" r:id="rId27">
        <w:r w:rsidRPr="0047346B" w:rsidR="00862468">
          <w:rPr>
            <w:rStyle w:val="Hyperlink"/>
          </w:rPr>
          <w:t>cdcompliance@cpuc.ca.gov</w:t>
        </w:r>
      </w:hyperlink>
      <w:r w:rsidRPr="0047346B" w:rsidR="00862468">
        <w:t xml:space="preserve"> no later than </w:t>
      </w:r>
      <w:r w:rsidR="00400BB6">
        <w:t>May </w:t>
      </w:r>
      <w:r w:rsidRPr="0047346B" w:rsidR="00862468">
        <w:t>1.</w:t>
      </w:r>
    </w:p>
    <w:bookmarkEnd w:id="260"/>
    <w:p w:rsidRPr="0047346B" w:rsidR="0047346B" w:rsidP="00547C63" w:rsidRDefault="00F07CD3" w14:paraId="37EF78DD" w14:textId="66DFE6B4">
      <w:pPr>
        <w:pStyle w:val="OP"/>
        <w:numPr>
          <w:ilvl w:val="0"/>
          <w:numId w:val="7"/>
        </w:numPr>
      </w:pPr>
      <w:r>
        <w:rPr>
          <w:bCs/>
          <w:color w:val="000000" w:themeColor="text1"/>
        </w:rPr>
        <w:t xml:space="preserve">As </w:t>
      </w:r>
      <w:r w:rsidR="005125FE">
        <w:rPr>
          <w:bCs/>
          <w:color w:val="000000" w:themeColor="text1"/>
        </w:rPr>
        <w:t xml:space="preserve">public utility </w:t>
      </w:r>
      <w:r>
        <w:rPr>
          <w:bCs/>
          <w:color w:val="000000" w:themeColor="text1"/>
        </w:rPr>
        <w:t xml:space="preserve">telephone corporations, </w:t>
      </w:r>
      <w:r w:rsidR="005125FE">
        <w:rPr>
          <w:bCs/>
          <w:color w:val="000000" w:themeColor="text1"/>
        </w:rPr>
        <w:t>a</w:t>
      </w:r>
      <w:r w:rsidRPr="0047346B" w:rsidR="004A7DAF">
        <w:rPr>
          <w:bCs/>
          <w:color w:val="000000" w:themeColor="text1"/>
        </w:rPr>
        <w:t xml:space="preserve">ll interconnected </w:t>
      </w:r>
      <w:r w:rsidRPr="19E6B670" w:rsidR="00411786">
        <w:rPr>
          <w:color w:val="000000" w:themeColor="text1"/>
        </w:rPr>
        <w:t>Voice over Internet Protocol</w:t>
      </w:r>
      <w:r w:rsidR="00411786">
        <w:t xml:space="preserve"> service</w:t>
      </w:r>
      <w:r w:rsidRPr="0047346B" w:rsidR="004A7DAF">
        <w:rPr>
          <w:bCs/>
          <w:color w:val="000000" w:themeColor="text1"/>
        </w:rPr>
        <w:t xml:space="preserve"> providers are</w:t>
      </w:r>
      <w:r w:rsidRPr="0047346B" w:rsidR="00862468">
        <w:rPr>
          <w:color w:val="000000" w:themeColor="text1"/>
        </w:rPr>
        <w:t xml:space="preserve"> </w:t>
      </w:r>
      <w:r w:rsidRPr="0047346B" w:rsidR="00862468">
        <w:t xml:space="preserve">subject to all Consumer Protection Rules contained in </w:t>
      </w:r>
      <w:r w:rsidR="00053CBF">
        <w:t>General Order 1</w:t>
      </w:r>
      <w:r w:rsidRPr="0047346B" w:rsidR="00862468">
        <w:t xml:space="preserve">68; and all </w:t>
      </w:r>
      <w:r w:rsidR="005125FE">
        <w:t xml:space="preserve">other </w:t>
      </w:r>
      <w:r w:rsidRPr="0047346B" w:rsidR="00862468">
        <w:t xml:space="preserve">applicable California </w:t>
      </w:r>
      <w:r w:rsidR="007E4707">
        <w:t>Public Utilities</w:t>
      </w:r>
      <w:r w:rsidRPr="0047346B" w:rsidR="00862468">
        <w:t xml:space="preserve"> Commission rules, decisions, </w:t>
      </w:r>
      <w:r w:rsidR="00D722D9">
        <w:t>General Or</w:t>
      </w:r>
      <w:r w:rsidRPr="0047346B" w:rsidR="00862468">
        <w:t>ders, and statutes that pertain to California pu</w:t>
      </w:r>
      <w:r w:rsidR="00D722D9">
        <w:t>blic util</w:t>
      </w:r>
      <w:r w:rsidRPr="0047346B" w:rsidR="00862468">
        <w:t>it</w:t>
      </w:r>
      <w:r w:rsidR="005125FE">
        <w:t>y telephone corporations</w:t>
      </w:r>
      <w:r w:rsidRPr="0047346B" w:rsidR="00862468">
        <w:t xml:space="preserve"> on an ongoing basis.</w:t>
      </w:r>
    </w:p>
    <w:p w:rsidR="0047346B" w:rsidP="00547C63" w:rsidRDefault="00DE4EA7" w14:paraId="5CAC2124" w14:textId="22B911A7">
      <w:pPr>
        <w:pStyle w:val="OP"/>
        <w:numPr>
          <w:ilvl w:val="0"/>
          <w:numId w:val="7"/>
        </w:numPr>
      </w:pPr>
      <w:r>
        <w:lastRenderedPageBreak/>
        <w:t xml:space="preserve">All interconnected </w:t>
      </w:r>
      <w:r w:rsidRPr="19E6B670" w:rsidR="00411786">
        <w:rPr>
          <w:color w:val="000000" w:themeColor="text1"/>
        </w:rPr>
        <w:t>Voice over Internet Protocol</w:t>
      </w:r>
      <w:r w:rsidR="00411786">
        <w:t xml:space="preserve"> service </w:t>
      </w:r>
      <w:r>
        <w:t>providers</w:t>
      </w:r>
      <w:r w:rsidR="00CA3E42">
        <w:t>,</w:t>
      </w:r>
      <w:r>
        <w:t xml:space="preserve"> except affiliates of small incumbent local exchange carriers</w:t>
      </w:r>
      <w:r w:rsidR="00CA3E42">
        <w:t>,</w:t>
      </w:r>
      <w:r>
        <w:t xml:space="preserve"> are exempt from rate regulation.</w:t>
      </w:r>
    </w:p>
    <w:p w:rsidRPr="00DE0551" w:rsidR="0047346B" w:rsidP="00547C63" w:rsidRDefault="00090BC7" w14:paraId="080A46D5" w14:textId="04E8F072">
      <w:pPr>
        <w:pStyle w:val="OP"/>
        <w:numPr>
          <w:ilvl w:val="0"/>
          <w:numId w:val="7"/>
        </w:numPr>
      </w:pPr>
      <w:r w:rsidRPr="00335AF5">
        <w:t>In</w:t>
      </w:r>
      <w:r w:rsidR="00742BE3">
        <w:t xml:space="preserve"> the event an</w:t>
      </w:r>
      <w:r w:rsidRPr="0047346B">
        <w:rPr>
          <w:bCs/>
        </w:rPr>
        <w:t xml:space="preserve"> interconnected </w:t>
      </w:r>
      <w:r w:rsidRPr="19E6B670" w:rsidR="0088584E">
        <w:rPr>
          <w:color w:val="000000" w:themeColor="text1"/>
        </w:rPr>
        <w:t xml:space="preserve">Voice over Internet Protocol </w:t>
      </w:r>
      <w:r w:rsidR="0088584E">
        <w:rPr>
          <w:color w:val="000000" w:themeColor="text1"/>
        </w:rPr>
        <w:t xml:space="preserve">(VoIP) </w:t>
      </w:r>
      <w:r w:rsidR="00411786">
        <w:t>service</w:t>
      </w:r>
      <w:r w:rsidRPr="0047346B">
        <w:rPr>
          <w:bCs/>
        </w:rPr>
        <w:t xml:space="preserve"> provider </w:t>
      </w:r>
      <w:r w:rsidR="00742BE3">
        <w:rPr>
          <w:bCs/>
        </w:rPr>
        <w:t xml:space="preserve">offering </w:t>
      </w:r>
      <w:proofErr w:type="spellStart"/>
      <w:r w:rsidR="00742BE3">
        <w:rPr>
          <w:bCs/>
        </w:rPr>
        <w:t>nontariffed</w:t>
      </w:r>
      <w:proofErr w:type="spellEnd"/>
      <w:r w:rsidR="00742BE3">
        <w:rPr>
          <w:bCs/>
        </w:rPr>
        <w:t xml:space="preserve"> services</w:t>
      </w:r>
      <w:r w:rsidRPr="0047346B">
        <w:rPr>
          <w:bCs/>
        </w:rPr>
        <w:t xml:space="preserve"> </w:t>
      </w:r>
      <w:r w:rsidR="00411786">
        <w:t>plans</w:t>
      </w:r>
      <w:r w:rsidRPr="00335AF5">
        <w:t xml:space="preserve"> to offer services that require a tariff or schedule, such as basic service, </w:t>
      </w:r>
      <w:r>
        <w:t>the interconnected VoIP provider</w:t>
      </w:r>
      <w:r w:rsidRPr="00335AF5">
        <w:t xml:space="preserve"> sh</w:t>
      </w:r>
      <w:r w:rsidR="00742BE3">
        <w:t>all</w:t>
      </w:r>
      <w:r w:rsidRPr="00335AF5">
        <w:t xml:space="preserve"> submit proposed tariffs and/or user guides to the</w:t>
      </w:r>
      <w:r w:rsidR="003E0FF3">
        <w:t xml:space="preserve"> California </w:t>
      </w:r>
      <w:r w:rsidR="007E4707">
        <w:t>Public Utilities</w:t>
      </w:r>
      <w:r w:rsidRPr="00335AF5">
        <w:t xml:space="preserve"> Commission</w:t>
      </w:r>
      <w:r w:rsidR="00893D67">
        <w:t>’</w:t>
      </w:r>
      <w:r w:rsidRPr="00335AF5">
        <w:t xml:space="preserve">s Communications Division via </w:t>
      </w:r>
      <w:r w:rsidR="005F2D22">
        <w:t>Tier 2</w:t>
      </w:r>
      <w:r w:rsidR="00E21830">
        <w:t xml:space="preserve"> advice letter</w:t>
      </w:r>
      <w:r w:rsidRPr="00335AF5">
        <w:t xml:space="preserve">s using the </w:t>
      </w:r>
      <w:r w:rsidR="00053CBF">
        <w:t>General Order 9</w:t>
      </w:r>
      <w:r w:rsidRPr="00335AF5">
        <w:t>6</w:t>
      </w:r>
      <w:r w:rsidR="006951D5">
        <w:noBreakHyphen/>
      </w:r>
      <w:r w:rsidRPr="00335AF5">
        <w:t xml:space="preserve">B advice letter process </w:t>
      </w:r>
      <w:r w:rsidR="00AA6629">
        <w:t>at least</w:t>
      </w:r>
      <w:r w:rsidRPr="00335AF5">
        <w:t xml:space="preserve"> 30 days before initiation of service.</w:t>
      </w:r>
    </w:p>
    <w:p w:rsidR="00055CBB" w:rsidP="00547C63" w:rsidRDefault="00336AF0" w14:paraId="72BA434A" w14:textId="4F6CFDF3">
      <w:pPr>
        <w:pStyle w:val="OP"/>
        <w:numPr>
          <w:ilvl w:val="0"/>
          <w:numId w:val="7"/>
        </w:numPr>
      </w:pPr>
      <w:r>
        <w:t xml:space="preserve">All tariffed telephone corporations, including interconnected </w:t>
      </w:r>
      <w:r w:rsidRPr="00671D8C" w:rsidR="00671D8C">
        <w:t xml:space="preserve">Voice over Internet Protocol </w:t>
      </w:r>
      <w:r w:rsidR="00CA3E42">
        <w:t>service providers</w:t>
      </w:r>
      <w:r w:rsidR="001576AF">
        <w:t>,</w:t>
      </w:r>
      <w:r>
        <w:t xml:space="preserve"> must annually submit its tariffs to the Director of the Communications Division via email to </w:t>
      </w:r>
      <w:hyperlink w:history="1" r:id="rId28">
        <w:r w:rsidRPr="008E3AFE">
          <w:rPr>
            <w:rStyle w:val="Hyperlink"/>
          </w:rPr>
          <w:t>CDCompliance@cpuc.ca.gov</w:t>
        </w:r>
      </w:hyperlink>
      <w:r>
        <w:rPr>
          <w:rStyle w:val="Hyperlink"/>
        </w:rPr>
        <w:t xml:space="preserve"> </w:t>
      </w:r>
      <w:r>
        <w:t xml:space="preserve">no later than </w:t>
      </w:r>
      <w:r w:rsidR="00424385">
        <w:t>February</w:t>
      </w:r>
      <w:r w:rsidR="00844EAF">
        <w:t> </w:t>
      </w:r>
      <w:r>
        <w:t>15 of each year.</w:t>
      </w:r>
    </w:p>
    <w:p w:rsidR="003345AC" w:rsidP="00547C63" w:rsidRDefault="00115B37" w14:paraId="07866720" w14:textId="48EA670B">
      <w:pPr>
        <w:pStyle w:val="OP"/>
        <w:numPr>
          <w:ilvl w:val="0"/>
          <w:numId w:val="7"/>
        </w:numPr>
      </w:pPr>
      <w:r w:rsidRPr="00476E84">
        <w:t>I</w:t>
      </w:r>
      <w:r>
        <w:t xml:space="preserve">nterconnected </w:t>
      </w:r>
      <w:r w:rsidRPr="19E6B670" w:rsidR="00411786">
        <w:rPr>
          <w:color w:val="000000" w:themeColor="text1"/>
        </w:rPr>
        <w:t>Voice over Internet Protocol</w:t>
      </w:r>
      <w:r w:rsidR="00411786">
        <w:t xml:space="preserve"> service</w:t>
      </w:r>
      <w:r>
        <w:t xml:space="preserve"> providers </w:t>
      </w:r>
      <w:r w:rsidR="00723F8A">
        <w:t>granted</w:t>
      </w:r>
      <w:r>
        <w:t xml:space="preserve"> operating authority and not affiliated with incumbents may file an advice letter for prospective authority to transfer control or assets pursuant to </w:t>
      </w:r>
      <w:r w:rsidR="007E4707">
        <w:t>Public Utilities</w:t>
      </w:r>
      <w:r>
        <w:t xml:space="preserve"> Code </w:t>
      </w:r>
      <w:r w:rsidR="00411786">
        <w:t>Sections</w:t>
      </w:r>
      <w:r w:rsidR="00296BCD">
        <w:t> </w:t>
      </w:r>
      <w:r>
        <w:t>851</w:t>
      </w:r>
      <w:r w:rsidR="006951D5">
        <w:noBreakHyphen/>
      </w:r>
      <w:r>
        <w:t xml:space="preserve">854 to the extent that the conditions set forth in </w:t>
      </w:r>
      <w:r w:rsidR="00C04D12">
        <w:t>Appendix </w:t>
      </w:r>
      <w:r>
        <w:t>G of this order are satisfied.</w:t>
      </w:r>
    </w:p>
    <w:p w:rsidR="00DE0D5B" w:rsidP="00547C63" w:rsidRDefault="00DE0D5B" w14:paraId="6BED95E6" w14:textId="5E000B42">
      <w:pPr>
        <w:pStyle w:val="CoL"/>
        <w:numPr>
          <w:ilvl w:val="0"/>
          <w:numId w:val="7"/>
        </w:numPr>
      </w:pPr>
      <w:r>
        <w:t xml:space="preserve">All interconnected </w:t>
      </w:r>
      <w:r w:rsidRPr="19E6B670" w:rsidR="007C67FE">
        <w:rPr>
          <w:color w:val="000000" w:themeColor="text1"/>
        </w:rPr>
        <w:t>Voice over Internet Protocol</w:t>
      </w:r>
      <w:r w:rsidR="007C67FE">
        <w:t xml:space="preserve"> </w:t>
      </w:r>
      <w:r>
        <w:t>service providers with the exception of affiliates associated with incumbents, whether fixed or nomadic, are exempt from Sections 816</w:t>
      </w:r>
      <w:r w:rsidR="006951D5">
        <w:noBreakHyphen/>
      </w:r>
      <w:r>
        <w:t>830 pertaining to the issuance of stocks and securities and from Section 851 transfers only when the transfer or encumbrance is for purposes of securing debt.</w:t>
      </w:r>
    </w:p>
    <w:p w:rsidR="00DE0D5B" w:rsidP="00547C63" w:rsidRDefault="00DE0D5B" w14:paraId="54F4D424" w14:textId="7870D97B">
      <w:pPr>
        <w:pStyle w:val="CoL"/>
        <w:numPr>
          <w:ilvl w:val="0"/>
          <w:numId w:val="7"/>
        </w:numPr>
      </w:pPr>
      <w:r>
        <w:t>All full facilities</w:t>
      </w:r>
      <w:r w:rsidR="00844EAF">
        <w:noBreakHyphen/>
      </w:r>
      <w:r>
        <w:t>based C</w:t>
      </w:r>
      <w:r w:rsidR="001F52DB">
        <w:t>ompetitive Local Exchange Carrier</w:t>
      </w:r>
      <w:r>
        <w:t xml:space="preserve">s </w:t>
      </w:r>
      <w:r w:rsidR="00B82670">
        <w:t xml:space="preserve">with the exception of affiliates associated with incumbents </w:t>
      </w:r>
      <w:r>
        <w:t xml:space="preserve">are exempt from </w:t>
      </w:r>
      <w:r>
        <w:lastRenderedPageBreak/>
        <w:t>Sections 816</w:t>
      </w:r>
      <w:r w:rsidR="006951D5">
        <w:noBreakHyphen/>
      </w:r>
      <w:r>
        <w:t>830 pertaining to the issuance of stocks and securities and from Section 851 transfers only when the transfer or encumbrance is for purposes of securing debt.</w:t>
      </w:r>
    </w:p>
    <w:p w:rsidR="00DE6C8F" w:rsidP="00547C63" w:rsidRDefault="007C67FE" w14:paraId="7FB2B7DD" w14:textId="53A3437E">
      <w:pPr>
        <w:pStyle w:val="OP"/>
        <w:keepNext/>
        <w:numPr>
          <w:ilvl w:val="0"/>
          <w:numId w:val="7"/>
        </w:numPr>
      </w:pPr>
      <w:r>
        <w:t xml:space="preserve">The California </w:t>
      </w:r>
      <w:r w:rsidR="007E4707">
        <w:t>Public Utilities</w:t>
      </w:r>
      <w:r w:rsidRPr="00335AF5">
        <w:t xml:space="preserve"> </w:t>
      </w:r>
      <w:r>
        <w:t xml:space="preserve">Commission’s </w:t>
      </w:r>
      <w:r w:rsidR="00DE6C8F">
        <w:t>Communications Division</w:t>
      </w:r>
      <w:r w:rsidR="00893D67">
        <w:t>’</w:t>
      </w:r>
      <w:r w:rsidR="00DE6C8F">
        <w:t xml:space="preserve">s Citation Program pursuant to </w:t>
      </w:r>
      <w:r w:rsidR="00263840">
        <w:t>Resolution </w:t>
      </w:r>
      <w:r w:rsidR="00DE6C8F">
        <w:t>T</w:t>
      </w:r>
      <w:r w:rsidR="006951D5">
        <w:noBreakHyphen/>
      </w:r>
      <w:r w:rsidR="00DE6C8F">
        <w:t xml:space="preserve">17601 </w:t>
      </w:r>
      <w:r w:rsidR="009B5941">
        <w:t xml:space="preserve">is applicable </w:t>
      </w:r>
      <w:r w:rsidR="00DE6C8F">
        <w:t xml:space="preserve">to all interconnected </w:t>
      </w:r>
      <w:r w:rsidRPr="19E6B670" w:rsidR="00411786">
        <w:rPr>
          <w:color w:val="000000" w:themeColor="text1"/>
        </w:rPr>
        <w:t xml:space="preserve">Voice over Internet </w:t>
      </w:r>
      <w:r w:rsidRPr="0071434A" w:rsidR="00411786">
        <w:t>Protocol</w:t>
      </w:r>
      <w:r w:rsidR="00411786">
        <w:t xml:space="preserve"> service </w:t>
      </w:r>
      <w:r w:rsidR="00DE6C8F">
        <w:t>providers.</w:t>
      </w:r>
    </w:p>
    <w:p w:rsidR="00E155FF" w:rsidP="00547C63" w:rsidRDefault="00E155FF" w14:paraId="4DAE81E6" w14:textId="3F20AF2E">
      <w:pPr>
        <w:pStyle w:val="CoL"/>
        <w:numPr>
          <w:ilvl w:val="0"/>
          <w:numId w:val="7"/>
        </w:numPr>
      </w:pPr>
      <w:r>
        <w:t xml:space="preserve">All interconnected </w:t>
      </w:r>
      <w:r w:rsidR="00AA3371">
        <w:t>Voice over Internet Protocol</w:t>
      </w:r>
      <w:r>
        <w:t xml:space="preserve"> service providers seeking and obtaining facilities</w:t>
      </w:r>
      <w:r w:rsidR="00844EAF">
        <w:noBreakHyphen/>
      </w:r>
      <w:r>
        <w:t xml:space="preserve">based operating authority in the territories of </w:t>
      </w:r>
      <w:r w:rsidRPr="00494986">
        <w:t>Calaveras Telephone Company, Cal</w:t>
      </w:r>
      <w:r w:rsidR="00844EAF">
        <w:noBreakHyphen/>
      </w:r>
      <w:r w:rsidRPr="00494986">
        <w:t>Ore Telephone Company, Ducor Telephone Company, Foresthill Telephone Company, Kerman Telephone Company, Pinnacles Telephone Company, The Ponderosa Telephone Company, Sierra Telephone Company, Siskiyou Telephone Company, Volcano Telephone Company, Happy Valley Telephone Company, Hornitos Telephone Company, and Winterhaven Telephone Company</w:t>
      </w:r>
      <w:r>
        <w:t>)</w:t>
      </w:r>
      <w:r w:rsidRPr="00494986">
        <w:t xml:space="preserve"> shall comply with the applicable rules adopted in </w:t>
      </w:r>
      <w:r w:rsidR="00C04D12">
        <w:t>Appendix</w:t>
      </w:r>
      <w:r w:rsidR="00844EAF">
        <w:t> </w:t>
      </w:r>
      <w:r>
        <w:t xml:space="preserve">A and </w:t>
      </w:r>
      <w:r w:rsidR="00C04D12">
        <w:t>Appendix</w:t>
      </w:r>
      <w:r w:rsidR="00844EAF">
        <w:t> </w:t>
      </w:r>
      <w:r>
        <w:t>B of D.20</w:t>
      </w:r>
      <w:r w:rsidR="00844EAF">
        <w:noBreakHyphen/>
      </w:r>
      <w:r>
        <w:t>08</w:t>
      </w:r>
      <w:r w:rsidR="00844EAF">
        <w:noBreakHyphen/>
      </w:r>
      <w:r>
        <w:t>011</w:t>
      </w:r>
      <w:r w:rsidRPr="00494986">
        <w:t>.</w:t>
      </w:r>
    </w:p>
    <w:p w:rsidRPr="001F52DB" w:rsidR="00E155FF" w:rsidP="001F52DB" w:rsidRDefault="00E155FF" w14:paraId="43D38345" w14:textId="4590AAEF">
      <w:pPr>
        <w:pStyle w:val="OP"/>
        <w:keepNext/>
        <w:ind w:firstLine="0"/>
        <w:rPr>
          <w:u w:val="single"/>
        </w:rPr>
      </w:pPr>
      <w:r>
        <w:rPr>
          <w:u w:val="single"/>
        </w:rPr>
        <w:t>Procedural Matters</w:t>
      </w:r>
    </w:p>
    <w:p w:rsidR="00B50C9F" w:rsidP="00547C63" w:rsidRDefault="004C2C03" w14:paraId="2305556D" w14:textId="4E08918C">
      <w:pPr>
        <w:pStyle w:val="OP"/>
        <w:keepNext/>
        <w:numPr>
          <w:ilvl w:val="0"/>
          <w:numId w:val="7"/>
        </w:numPr>
      </w:pPr>
      <w:r w:rsidRPr="004C2C03">
        <w:t xml:space="preserve">The motion of Comcast Phone of California, LLC d/b/a Comcast Digital Phone and its affiliates: Comcast IP Phone, LLC, Blueface US, LLC, Masergy to file under seal a confidential version of the response to the Administrative Law Judge’s Ruling issued </w:t>
      </w:r>
      <w:r w:rsidR="00424385">
        <w:t>February</w:t>
      </w:r>
      <w:r w:rsidR="00844EAF">
        <w:t> </w:t>
      </w:r>
      <w:r w:rsidRPr="004C2C03">
        <w:t>16, 2023 is granted</w:t>
      </w:r>
      <w:r w:rsidR="007C67FE">
        <w:t xml:space="preserve"> for a period of three years</w:t>
      </w:r>
      <w:r w:rsidRPr="004C2C03">
        <w:t>, and this information shall not be publicly disclosed except on further Commission order or Administrative Law Judge ruling.</w:t>
      </w:r>
    </w:p>
    <w:p w:rsidR="00B50C9F" w:rsidP="00547C63" w:rsidRDefault="004C2C03" w14:paraId="1667BA45" w14:textId="39C492EF">
      <w:pPr>
        <w:pStyle w:val="OP"/>
        <w:keepNext/>
        <w:numPr>
          <w:ilvl w:val="0"/>
          <w:numId w:val="7"/>
        </w:numPr>
      </w:pPr>
      <w:r w:rsidRPr="004C2C03">
        <w:t>The motion of Charter Fiberlink CA</w:t>
      </w:r>
      <w:r w:rsidR="00844EAF">
        <w:noBreakHyphen/>
      </w:r>
      <w:r w:rsidRPr="004C2C03">
        <w:t xml:space="preserve">CCO, LLC, Time Warner Cable Information Services (California), and LLC, Bright House Networks Information Services (California), LLC to file under seal a confidential version of the response to the Administrative Law Judge’s Ruling issued </w:t>
      </w:r>
      <w:r w:rsidR="00424385">
        <w:t>February</w:t>
      </w:r>
      <w:r w:rsidR="00844EAF">
        <w:t> </w:t>
      </w:r>
      <w:r w:rsidRPr="004C2C03">
        <w:t>16, 2023 is granted</w:t>
      </w:r>
      <w:r w:rsidR="009147E6">
        <w:t xml:space="preserve"> for </w:t>
      </w:r>
      <w:r w:rsidR="009147E6">
        <w:lastRenderedPageBreak/>
        <w:t>a period of three years</w:t>
      </w:r>
      <w:r w:rsidRPr="004C2C03">
        <w:t>, and this information shall not be publicly disclosed except on further Commission order or Administrative Law Judge ruling.</w:t>
      </w:r>
    </w:p>
    <w:p w:rsidR="004C2C03" w:rsidP="005504F3" w:rsidRDefault="004C2C03" w14:paraId="56811185" w14:textId="373F6739">
      <w:pPr>
        <w:pStyle w:val="OP"/>
        <w:numPr>
          <w:ilvl w:val="0"/>
          <w:numId w:val="7"/>
        </w:numPr>
      </w:pPr>
      <w:r w:rsidRPr="004C2C03">
        <w:t>All motions not addressed in this decision are denied.</w:t>
      </w:r>
    </w:p>
    <w:p w:rsidRPr="003345AC" w:rsidR="00862468" w:rsidP="00547C63" w:rsidRDefault="00524E72" w14:paraId="230BAE20" w14:textId="4A360A9D">
      <w:pPr>
        <w:pStyle w:val="OP"/>
        <w:keepNext/>
        <w:numPr>
          <w:ilvl w:val="0"/>
          <w:numId w:val="7"/>
        </w:numPr>
      </w:pPr>
      <w:r>
        <w:t>The statutory deadline for completion of this proceeding is extended to August 1, 2026.</w:t>
      </w:r>
    </w:p>
    <w:p w:rsidR="008F0116" w:rsidP="00C67422" w:rsidRDefault="008F0116" w14:paraId="7A055A80" w14:textId="77777777">
      <w:pPr>
        <w:pStyle w:val="Standard"/>
        <w:keepNext/>
      </w:pPr>
      <w:r>
        <w:t>This order is effective today.</w:t>
      </w:r>
    </w:p>
    <w:p w:rsidR="009C13BE" w:rsidP="00C67422" w:rsidRDefault="008F0116" w14:paraId="12A52046" w14:textId="164209D9">
      <w:pPr>
        <w:pStyle w:val="Standard"/>
        <w:keepNext/>
      </w:pPr>
      <w:r>
        <w:t xml:space="preserve">Dated </w:t>
      </w:r>
      <w:r w:rsidR="00F66B62">
        <w:t>__________</w:t>
      </w:r>
      <w:r w:rsidR="002677B6">
        <w:t>__________</w:t>
      </w:r>
      <w:r>
        <w:t xml:space="preserve">, at </w:t>
      </w:r>
      <w:r w:rsidR="003E581E">
        <w:t>Bakersfield</w:t>
      </w:r>
      <w:r>
        <w:t>, California</w:t>
      </w:r>
      <w:r w:rsidR="00F66B62">
        <w:t>.</w:t>
      </w:r>
    </w:p>
    <w:p w:rsidR="00F66B62" w:rsidP="00C67422" w:rsidRDefault="00F66B62" w14:paraId="55092080" w14:textId="77777777">
      <w:pPr>
        <w:pStyle w:val="Standard"/>
        <w:keepNext/>
      </w:pPr>
    </w:p>
    <w:p w:rsidR="00423FE8" w:rsidP="00C67422" w:rsidRDefault="00423FE8" w14:paraId="1F863831" w14:textId="77777777">
      <w:pPr>
        <w:pStyle w:val="Standard"/>
        <w:keepNext/>
      </w:pPr>
    </w:p>
    <w:p w:rsidR="00F66B62" w:rsidP="00F66B62" w:rsidRDefault="00F66B62" w14:paraId="1A630480" w14:textId="77777777">
      <w:pPr>
        <w:pStyle w:val="Standard"/>
      </w:pPr>
    </w:p>
    <w:p w:rsidR="00977E2A" w:rsidP="00F66B62" w:rsidRDefault="00977E2A" w14:paraId="1C58B6AF" w14:textId="77777777">
      <w:pPr>
        <w:pStyle w:val="Standard"/>
        <w:sectPr w:rsidR="00977E2A" w:rsidSect="00537C73">
          <w:footerReference w:type="default" r:id="rId29"/>
          <w:pgSz w:w="12240" w:h="15840"/>
          <w:pgMar w:top="1728" w:right="1440" w:bottom="1440" w:left="1440" w:header="720" w:footer="720" w:gutter="0"/>
          <w:pgNumType w:start="2"/>
          <w:cols w:space="720"/>
          <w:docGrid w:linePitch="360"/>
        </w:sectPr>
      </w:pPr>
    </w:p>
    <w:p w:rsidR="00C94729" w:rsidP="00C94729" w:rsidRDefault="00C94729" w14:paraId="2923E661" w14:textId="77777777">
      <w:pPr>
        <w:ind w:firstLine="0"/>
      </w:pPr>
      <w:bookmarkStart w:name="_Hlk181630339" w:id="261"/>
    </w:p>
    <w:p w:rsidR="00C94729" w:rsidP="00C94729" w:rsidRDefault="00C94729" w14:paraId="6149D786" w14:textId="77777777">
      <w:pPr>
        <w:ind w:firstLine="0"/>
      </w:pPr>
    </w:p>
    <w:p w:rsidR="00C94729" w:rsidP="00C94729" w:rsidRDefault="00C94729" w14:paraId="68DE2A09" w14:textId="77777777">
      <w:pPr>
        <w:ind w:firstLine="0"/>
      </w:pPr>
    </w:p>
    <w:p w:rsidR="00C94729" w:rsidP="00C94729" w:rsidRDefault="00C94729" w14:paraId="2DFF8CDD" w14:textId="77777777">
      <w:pPr>
        <w:ind w:firstLine="0"/>
      </w:pPr>
    </w:p>
    <w:p w:rsidR="00C94729" w:rsidP="00C94729" w:rsidRDefault="00C94729" w14:paraId="3FCBBBD9" w14:textId="77777777">
      <w:pPr>
        <w:ind w:firstLine="0"/>
      </w:pPr>
    </w:p>
    <w:p w:rsidR="00C94729" w:rsidP="00C94729" w:rsidRDefault="00C94729" w14:paraId="05F24B34" w14:textId="77777777">
      <w:pPr>
        <w:ind w:firstLine="0"/>
      </w:pPr>
    </w:p>
    <w:p w:rsidR="00C94729" w:rsidP="00C94729" w:rsidRDefault="00C94729" w14:paraId="3B3BB56D" w14:textId="77777777">
      <w:pPr>
        <w:ind w:firstLine="0"/>
      </w:pPr>
    </w:p>
    <w:p w:rsidR="00C94729" w:rsidP="00C94729" w:rsidRDefault="00C94729" w14:paraId="27883C67" w14:textId="77777777">
      <w:pPr>
        <w:ind w:firstLine="0"/>
        <w:jc w:val="center"/>
        <w:rPr>
          <w:b/>
          <w:bCs/>
          <w:sz w:val="50"/>
        </w:rPr>
      </w:pPr>
      <w:r>
        <w:rPr>
          <w:b/>
          <w:bCs/>
          <w:sz w:val="50"/>
        </w:rPr>
        <w:t>APPENDIX A</w:t>
      </w:r>
    </w:p>
    <w:bookmarkEnd w:id="261"/>
    <w:p w:rsidR="009C13BE" w:rsidP="004B54CB" w:rsidRDefault="009C13BE" w14:paraId="1907BB8A" w14:textId="77777777">
      <w:pPr>
        <w:jc w:val="center"/>
        <w:sectPr w:rsidR="009C13BE" w:rsidSect="00977FD1">
          <w:footerReference w:type="default" r:id="rId30"/>
          <w:pgSz w:w="12240" w:h="15840"/>
          <w:pgMar w:top="1728" w:right="1440" w:bottom="1440" w:left="1440" w:header="720" w:footer="720" w:gutter="0"/>
          <w:pgNumType w:start="1"/>
          <w:cols w:space="720"/>
          <w:docGrid w:linePitch="360"/>
        </w:sectPr>
      </w:pPr>
    </w:p>
    <w:p w:rsidR="00A532BA" w:rsidP="00A532BA" w:rsidRDefault="00A532BA" w14:paraId="4C507F12" w14:textId="77777777">
      <w:pPr>
        <w:spacing w:after="200" w:line="276" w:lineRule="auto"/>
        <w:ind w:right="-18" w:firstLine="0"/>
        <w:jc w:val="center"/>
        <w:rPr>
          <w:rFonts w:ascii="Arial" w:hAnsi="Arial" w:cs="Arial"/>
          <w:b/>
          <w:szCs w:val="26"/>
        </w:rPr>
      </w:pPr>
    </w:p>
    <w:p w:rsidRPr="00950665" w:rsidR="00A532BA" w:rsidP="00A532BA" w:rsidRDefault="00A532BA" w14:paraId="025340F7" w14:textId="7E5CE1D4">
      <w:pPr>
        <w:spacing w:after="200" w:line="276" w:lineRule="auto"/>
        <w:ind w:right="-18" w:firstLine="0"/>
        <w:jc w:val="center"/>
        <w:rPr>
          <w:rFonts w:ascii="Arial" w:hAnsi="Arial" w:cs="Arial"/>
          <w:b/>
          <w:szCs w:val="26"/>
        </w:rPr>
      </w:pPr>
      <w:r w:rsidRPr="00950665">
        <w:rPr>
          <w:rFonts w:ascii="Arial" w:hAnsi="Arial" w:cs="Arial"/>
          <w:b/>
          <w:szCs w:val="26"/>
        </w:rPr>
        <w:t xml:space="preserve">APPENDIX </w:t>
      </w:r>
      <w:r>
        <w:rPr>
          <w:rFonts w:ascii="Arial" w:hAnsi="Arial" w:cs="Arial"/>
          <w:b/>
          <w:szCs w:val="26"/>
        </w:rPr>
        <w:t>A</w:t>
      </w:r>
    </w:p>
    <w:p w:rsidRPr="00D47E0C" w:rsidR="00D47E0C" w:rsidP="00D47E0C" w:rsidRDefault="00A532BA" w14:paraId="41ABC947" w14:textId="6263D303">
      <w:pPr>
        <w:ind w:firstLine="0"/>
        <w:jc w:val="center"/>
        <w:rPr>
          <w:b/>
          <w:bCs/>
        </w:rPr>
        <w:sectPr w:rsidRPr="00D47E0C" w:rsidR="00D47E0C" w:rsidSect="00977FD1">
          <w:footerReference w:type="default" r:id="rId31"/>
          <w:pgSz w:w="12240" w:h="15840"/>
          <w:pgMar w:top="1728" w:right="1440" w:bottom="1440" w:left="1440" w:header="720" w:footer="720" w:gutter="0"/>
          <w:pgNumType w:start="1"/>
          <w:cols w:space="720"/>
          <w:docGrid w:linePitch="360"/>
        </w:sectPr>
      </w:pPr>
      <w:r w:rsidRPr="00950665">
        <w:rPr>
          <w:rFonts w:cs="Calibri"/>
          <w:b/>
          <w:bCs/>
          <w:szCs w:val="26"/>
        </w:rPr>
        <w:t>Under Separate Cover</w:t>
      </w:r>
    </w:p>
    <w:p w:rsidR="00D37C41" w:rsidP="00D37C41" w:rsidRDefault="00D37C41" w14:paraId="713254A9" w14:textId="77777777">
      <w:pPr>
        <w:ind w:firstLine="0"/>
      </w:pPr>
    </w:p>
    <w:p w:rsidR="00D37C41" w:rsidP="00D37C41" w:rsidRDefault="00D37C41" w14:paraId="32E6D546" w14:textId="77777777">
      <w:pPr>
        <w:ind w:firstLine="0"/>
      </w:pPr>
    </w:p>
    <w:p w:rsidR="00D37C41" w:rsidP="00D37C41" w:rsidRDefault="00D37C41" w14:paraId="5C90BE43" w14:textId="77777777">
      <w:pPr>
        <w:ind w:firstLine="0"/>
      </w:pPr>
    </w:p>
    <w:p w:rsidR="00D37C41" w:rsidP="00D37C41" w:rsidRDefault="00D37C41" w14:paraId="37DFF665" w14:textId="77777777">
      <w:pPr>
        <w:ind w:firstLine="0"/>
      </w:pPr>
    </w:p>
    <w:p w:rsidR="00D37C41" w:rsidP="00D37C41" w:rsidRDefault="00D37C41" w14:paraId="25FC434E" w14:textId="77777777">
      <w:pPr>
        <w:ind w:firstLine="0"/>
      </w:pPr>
    </w:p>
    <w:p w:rsidR="00D37C41" w:rsidP="00D37C41" w:rsidRDefault="00D37C41" w14:paraId="59AECD2B" w14:textId="77777777">
      <w:pPr>
        <w:ind w:firstLine="0"/>
      </w:pPr>
    </w:p>
    <w:p w:rsidR="00D37C41" w:rsidP="00D37C41" w:rsidRDefault="00D37C41" w14:paraId="2201CF8D" w14:textId="77777777">
      <w:pPr>
        <w:ind w:firstLine="0"/>
      </w:pPr>
    </w:p>
    <w:p w:rsidRPr="004E6CDC" w:rsidR="004D2E16" w:rsidP="00FE676C" w:rsidRDefault="004D2E16" w14:paraId="106235F0" w14:textId="664D63D6">
      <w:pPr>
        <w:pStyle w:val="AppendixCover"/>
        <w:ind w:firstLine="0"/>
      </w:pPr>
      <w:r w:rsidRPr="004E6CDC">
        <w:t>A</w:t>
      </w:r>
      <w:r>
        <w:t>PPENDIX</w:t>
      </w:r>
      <w:r w:rsidRPr="004E6CDC">
        <w:t xml:space="preserve"> </w:t>
      </w:r>
      <w:r>
        <w:t>B</w:t>
      </w:r>
    </w:p>
    <w:p w:rsidR="004D2E16" w:rsidP="004D2E16" w:rsidRDefault="004D2E16" w14:paraId="22BBF28F" w14:textId="77777777">
      <w:pPr>
        <w:jc w:val="center"/>
        <w:sectPr w:rsidR="004D2E16" w:rsidSect="00977FD1">
          <w:footerReference w:type="default" r:id="rId32"/>
          <w:pgSz w:w="12240" w:h="15840"/>
          <w:pgMar w:top="1728" w:right="1440" w:bottom="1440" w:left="1440" w:header="720" w:footer="720" w:gutter="0"/>
          <w:pgNumType w:start="1"/>
          <w:cols w:space="720"/>
          <w:docGrid w:linePitch="360"/>
        </w:sectPr>
      </w:pPr>
    </w:p>
    <w:p w:rsidR="00D47E0C" w:rsidP="00D47E0C" w:rsidRDefault="00D47E0C" w14:paraId="50D6A01B" w14:textId="77777777">
      <w:pPr>
        <w:spacing w:after="160" w:line="259" w:lineRule="auto"/>
        <w:ind w:firstLine="0"/>
        <w:jc w:val="center"/>
        <w:rPr>
          <w:rFonts w:cs="Calibri"/>
          <w:b/>
          <w:szCs w:val="26"/>
          <w:u w:val="single"/>
        </w:rPr>
      </w:pPr>
    </w:p>
    <w:p w:rsidRPr="00645D56" w:rsidR="00D47E0C" w:rsidP="00645D56" w:rsidRDefault="00A532BA" w14:paraId="50839659" w14:textId="691E1003">
      <w:pPr>
        <w:spacing w:after="200" w:line="276" w:lineRule="auto"/>
        <w:ind w:right="-18" w:firstLine="0"/>
        <w:jc w:val="center"/>
        <w:rPr>
          <w:rFonts w:ascii="Arial" w:hAnsi="Arial" w:cs="Arial"/>
          <w:b/>
          <w:szCs w:val="26"/>
        </w:rPr>
      </w:pPr>
      <w:r w:rsidRPr="00645D56">
        <w:rPr>
          <w:rFonts w:ascii="Arial" w:hAnsi="Arial" w:cs="Arial"/>
          <w:b/>
          <w:szCs w:val="26"/>
        </w:rPr>
        <w:t>APPENDIX B</w:t>
      </w:r>
    </w:p>
    <w:p w:rsidRPr="00645D56" w:rsidR="00CF1ACB" w:rsidP="00645D56" w:rsidRDefault="00D2338C" w14:paraId="6C349441" w14:textId="5F4BADF0">
      <w:pPr>
        <w:spacing w:after="160" w:line="259" w:lineRule="auto"/>
        <w:ind w:firstLine="0"/>
        <w:jc w:val="center"/>
        <w:rPr>
          <w:color w:val="000000" w:themeColor="text1"/>
          <w:szCs w:val="26"/>
        </w:rPr>
      </w:pPr>
      <w:r w:rsidRPr="00645D56">
        <w:rPr>
          <w:rFonts w:cs="Calibri"/>
          <w:b/>
          <w:bCs/>
          <w:szCs w:val="26"/>
        </w:rPr>
        <w:t>Under Separate Cover</w:t>
      </w:r>
    </w:p>
    <w:p w:rsidRPr="00D47E0C" w:rsidR="00273EDC" w:rsidP="00C43D01" w:rsidRDefault="00273EDC" w14:paraId="70E596EA" w14:textId="5E6EB6F8">
      <w:pPr>
        <w:spacing w:after="160" w:line="259" w:lineRule="auto"/>
        <w:ind w:firstLine="0"/>
        <w:jc w:val="center"/>
        <w:rPr>
          <w:b/>
          <w:szCs w:val="26"/>
        </w:rPr>
      </w:pPr>
    </w:p>
    <w:p w:rsidR="00E432EA" w:rsidP="00E432EA" w:rsidRDefault="00E432EA" w14:paraId="7CF4682B" w14:textId="77777777">
      <w:pPr>
        <w:spacing w:after="160" w:line="259" w:lineRule="auto"/>
        <w:ind w:firstLine="0"/>
        <w:rPr>
          <w:b/>
        </w:rPr>
        <w:sectPr w:rsidR="00E432EA" w:rsidSect="00977FD1">
          <w:footerReference w:type="default" r:id="rId33"/>
          <w:pgSz w:w="12240" w:h="15840"/>
          <w:pgMar w:top="1728" w:right="1440" w:bottom="1440" w:left="1440" w:header="720" w:footer="720" w:gutter="0"/>
          <w:pgNumType w:start="1"/>
          <w:cols w:space="720"/>
          <w:docGrid w:linePitch="360"/>
        </w:sectPr>
      </w:pPr>
    </w:p>
    <w:p w:rsidR="00D37C41" w:rsidP="00D37C41" w:rsidRDefault="00D37C41" w14:paraId="3A842166" w14:textId="77777777">
      <w:pPr>
        <w:ind w:firstLine="0"/>
      </w:pPr>
    </w:p>
    <w:p w:rsidR="00D37C41" w:rsidP="00D37C41" w:rsidRDefault="00D37C41" w14:paraId="7A022356" w14:textId="77777777">
      <w:pPr>
        <w:ind w:firstLine="0"/>
      </w:pPr>
    </w:p>
    <w:p w:rsidR="00D37C41" w:rsidP="00D37C41" w:rsidRDefault="00D37C41" w14:paraId="3F129FEA" w14:textId="77777777">
      <w:pPr>
        <w:ind w:firstLine="0"/>
      </w:pPr>
    </w:p>
    <w:p w:rsidR="00D37C41" w:rsidP="00D37C41" w:rsidRDefault="00D37C41" w14:paraId="488DAFA5" w14:textId="77777777">
      <w:pPr>
        <w:ind w:firstLine="0"/>
      </w:pPr>
    </w:p>
    <w:p w:rsidR="00D37C41" w:rsidP="00D37C41" w:rsidRDefault="00D37C41" w14:paraId="7E982C66" w14:textId="77777777">
      <w:pPr>
        <w:ind w:firstLine="0"/>
      </w:pPr>
    </w:p>
    <w:p w:rsidR="00D37C41" w:rsidP="00D37C41" w:rsidRDefault="00D37C41" w14:paraId="2EEC2EA1" w14:textId="77777777">
      <w:pPr>
        <w:ind w:firstLine="0"/>
      </w:pPr>
    </w:p>
    <w:p w:rsidR="00D37C41" w:rsidP="00D37C41" w:rsidRDefault="00D37C41" w14:paraId="35C5ADC8" w14:textId="77777777">
      <w:pPr>
        <w:ind w:firstLine="0"/>
      </w:pPr>
    </w:p>
    <w:p w:rsidRPr="004E6CDC" w:rsidR="00273EDC" w:rsidP="00564BEC" w:rsidRDefault="00273EDC" w14:paraId="701BB14B" w14:textId="4F77B1D6">
      <w:pPr>
        <w:ind w:firstLine="0"/>
        <w:jc w:val="center"/>
        <w:rPr>
          <w:b/>
          <w:sz w:val="44"/>
          <w:szCs w:val="44"/>
        </w:rPr>
      </w:pPr>
      <w:r w:rsidRPr="004E6CDC">
        <w:rPr>
          <w:b/>
          <w:sz w:val="44"/>
          <w:szCs w:val="44"/>
        </w:rPr>
        <w:t>A</w:t>
      </w:r>
      <w:r>
        <w:rPr>
          <w:b/>
          <w:sz w:val="44"/>
          <w:szCs w:val="44"/>
        </w:rPr>
        <w:t>PPENDIX</w:t>
      </w:r>
      <w:r w:rsidRPr="004E6CDC">
        <w:rPr>
          <w:b/>
          <w:sz w:val="44"/>
          <w:szCs w:val="44"/>
        </w:rPr>
        <w:t xml:space="preserve"> </w:t>
      </w:r>
      <w:r>
        <w:rPr>
          <w:b/>
          <w:sz w:val="44"/>
          <w:szCs w:val="44"/>
        </w:rPr>
        <w:t>C</w:t>
      </w:r>
    </w:p>
    <w:p w:rsidR="00273EDC" w:rsidP="00273EDC" w:rsidRDefault="00273EDC" w14:paraId="716D8CB2" w14:textId="77777777">
      <w:pPr>
        <w:jc w:val="center"/>
        <w:sectPr w:rsidR="00273EDC" w:rsidSect="00977FD1">
          <w:footerReference w:type="default" r:id="rId34"/>
          <w:pgSz w:w="12240" w:h="15840"/>
          <w:pgMar w:top="1728" w:right="1440" w:bottom="1440" w:left="1440" w:header="720" w:footer="720" w:gutter="0"/>
          <w:pgNumType w:start="1"/>
          <w:cols w:space="720"/>
          <w:docGrid w:linePitch="360"/>
        </w:sectPr>
      </w:pPr>
    </w:p>
    <w:p w:rsidR="00A532BA" w:rsidP="00A532BA" w:rsidRDefault="00A532BA" w14:paraId="2B916893" w14:textId="77777777">
      <w:pPr>
        <w:ind w:firstLine="0"/>
        <w:jc w:val="center"/>
        <w:rPr>
          <w:rFonts w:ascii="Arial" w:hAnsi="Arial"/>
          <w:b/>
          <w:bCs/>
        </w:rPr>
      </w:pPr>
      <w:bookmarkStart w:name="_Toc174702346" w:id="262"/>
    </w:p>
    <w:p w:rsidR="00A532BA" w:rsidP="00645D56" w:rsidRDefault="00A532BA" w14:paraId="360DDD00" w14:textId="27B3087D">
      <w:pPr>
        <w:ind w:firstLine="0"/>
        <w:jc w:val="center"/>
        <w:rPr>
          <w:rFonts w:eastAsia="Times New Roman" w:cs="Segoe UI"/>
          <w:b/>
          <w:bCs/>
          <w:szCs w:val="26"/>
        </w:rPr>
      </w:pPr>
      <w:r>
        <w:rPr>
          <w:rFonts w:ascii="Arial" w:hAnsi="Arial"/>
          <w:b/>
          <w:bCs/>
        </w:rPr>
        <w:t>APPENDIX C</w:t>
      </w:r>
      <w:bookmarkEnd w:id="262"/>
    </w:p>
    <w:p w:rsidRPr="00A532BA" w:rsidR="0084389D" w:rsidP="00645D56" w:rsidRDefault="00D2338C" w14:paraId="1AE174CB" w14:textId="27A164F0">
      <w:pPr>
        <w:ind w:firstLine="0"/>
        <w:jc w:val="center"/>
        <w:rPr>
          <w:b/>
          <w:bCs/>
          <w:szCs w:val="26"/>
        </w:rPr>
      </w:pPr>
      <w:r w:rsidRPr="00645D56">
        <w:rPr>
          <w:b/>
          <w:bCs/>
          <w:szCs w:val="26"/>
        </w:rPr>
        <w:t>Under Separate Cover</w:t>
      </w:r>
    </w:p>
    <w:p w:rsidR="0084389D" w:rsidP="00273EDC" w:rsidRDefault="0084389D" w14:paraId="7C57987A" w14:textId="77777777">
      <w:pPr>
        <w:jc w:val="center"/>
        <w:rPr>
          <w:b/>
        </w:rPr>
      </w:pPr>
    </w:p>
    <w:p w:rsidR="0084389D" w:rsidP="00564BEC" w:rsidRDefault="0084389D" w14:paraId="4C213DF7" w14:textId="77777777">
      <w:pPr>
        <w:ind w:firstLine="0"/>
        <w:jc w:val="center"/>
        <w:rPr>
          <w:b/>
        </w:rPr>
      </w:pPr>
    </w:p>
    <w:p w:rsidR="00E432EA" w:rsidP="00E432EA" w:rsidRDefault="00E432EA" w14:paraId="78262B9B" w14:textId="77777777">
      <w:pPr>
        <w:ind w:firstLine="0"/>
        <w:rPr>
          <w:b/>
        </w:rPr>
        <w:sectPr w:rsidR="00E432EA" w:rsidSect="00977FD1">
          <w:footerReference w:type="default" r:id="rId35"/>
          <w:pgSz w:w="12240" w:h="15840"/>
          <w:pgMar w:top="1728" w:right="1440" w:bottom="1440" w:left="1440" w:header="720" w:footer="720" w:gutter="0"/>
          <w:pgNumType w:start="1"/>
          <w:cols w:space="720"/>
          <w:docGrid w:linePitch="360"/>
        </w:sectPr>
      </w:pPr>
    </w:p>
    <w:p w:rsidR="00D37C41" w:rsidP="00D37C41" w:rsidRDefault="00D37C41" w14:paraId="7BA89C95" w14:textId="77777777">
      <w:pPr>
        <w:ind w:firstLine="0"/>
      </w:pPr>
    </w:p>
    <w:p w:rsidR="00D37C41" w:rsidP="00D37C41" w:rsidRDefault="00D37C41" w14:paraId="0E8BF28C" w14:textId="77777777">
      <w:pPr>
        <w:ind w:firstLine="0"/>
      </w:pPr>
    </w:p>
    <w:p w:rsidR="00D37C41" w:rsidP="00D37C41" w:rsidRDefault="00D37C41" w14:paraId="29E4A66C" w14:textId="77777777">
      <w:pPr>
        <w:ind w:firstLine="0"/>
      </w:pPr>
    </w:p>
    <w:p w:rsidR="00D37C41" w:rsidP="00D37C41" w:rsidRDefault="00D37C41" w14:paraId="43D1549A" w14:textId="77777777">
      <w:pPr>
        <w:ind w:firstLine="0"/>
      </w:pPr>
    </w:p>
    <w:p w:rsidR="00D37C41" w:rsidP="00D37C41" w:rsidRDefault="00D37C41" w14:paraId="50A769D7" w14:textId="77777777">
      <w:pPr>
        <w:ind w:firstLine="0"/>
      </w:pPr>
    </w:p>
    <w:p w:rsidR="00D37C41" w:rsidP="00D37C41" w:rsidRDefault="00D37C41" w14:paraId="41944B66" w14:textId="77777777">
      <w:pPr>
        <w:ind w:firstLine="0"/>
      </w:pPr>
    </w:p>
    <w:p w:rsidR="00D37C41" w:rsidP="00D37C41" w:rsidRDefault="00D37C41" w14:paraId="711D7047" w14:textId="77777777">
      <w:pPr>
        <w:ind w:firstLine="0"/>
      </w:pPr>
    </w:p>
    <w:p w:rsidRPr="00DD0B50" w:rsidR="001F203D" w:rsidP="00863587" w:rsidRDefault="001F203D" w14:paraId="574EF7A6" w14:textId="77777777">
      <w:pPr>
        <w:ind w:firstLine="0"/>
        <w:rPr>
          <w:b/>
        </w:rPr>
      </w:pPr>
    </w:p>
    <w:p w:rsidRPr="004E6CDC" w:rsidR="00366B32" w:rsidP="00564BEC" w:rsidRDefault="00366B32" w14:paraId="5D0347AF" w14:textId="341F99B8">
      <w:pPr>
        <w:ind w:firstLine="0"/>
        <w:jc w:val="center"/>
        <w:rPr>
          <w:b/>
          <w:sz w:val="44"/>
          <w:szCs w:val="44"/>
        </w:rPr>
      </w:pPr>
      <w:r w:rsidRPr="004E6CDC">
        <w:rPr>
          <w:b/>
          <w:sz w:val="44"/>
          <w:szCs w:val="44"/>
        </w:rPr>
        <w:t>A</w:t>
      </w:r>
      <w:r>
        <w:rPr>
          <w:b/>
          <w:sz w:val="44"/>
          <w:szCs w:val="44"/>
        </w:rPr>
        <w:t>PPENDIX</w:t>
      </w:r>
      <w:r w:rsidRPr="004E6CDC">
        <w:rPr>
          <w:b/>
          <w:sz w:val="44"/>
          <w:szCs w:val="44"/>
        </w:rPr>
        <w:t xml:space="preserve"> </w:t>
      </w:r>
      <w:r w:rsidR="001F203D">
        <w:rPr>
          <w:b/>
          <w:sz w:val="44"/>
          <w:szCs w:val="44"/>
        </w:rPr>
        <w:t>D</w:t>
      </w:r>
    </w:p>
    <w:p w:rsidR="00366B32" w:rsidP="00366B32" w:rsidRDefault="00366B32" w14:paraId="61E1E036" w14:textId="77777777">
      <w:pPr>
        <w:sectPr w:rsidR="00366B32" w:rsidSect="00977FD1">
          <w:footerReference w:type="default" r:id="rId36"/>
          <w:pgSz w:w="12240" w:h="15840"/>
          <w:pgMar w:top="1728" w:right="1440" w:bottom="1440" w:left="1440" w:header="720" w:footer="720" w:gutter="0"/>
          <w:pgNumType w:start="1"/>
          <w:cols w:space="720"/>
          <w:docGrid w:linePitch="360"/>
        </w:sectPr>
      </w:pPr>
    </w:p>
    <w:p w:rsidRPr="002F2EC2" w:rsidR="00366B32" w:rsidP="002F2EC2" w:rsidRDefault="00A31D12" w14:paraId="31635714" w14:textId="5CD11437">
      <w:pPr>
        <w:spacing w:after="240" w:line="240" w:lineRule="auto"/>
        <w:ind w:firstLine="0"/>
        <w:jc w:val="center"/>
        <w:rPr>
          <w:rFonts w:ascii="Arial" w:hAnsi="Arial"/>
          <w:b/>
          <w:bCs/>
        </w:rPr>
      </w:pPr>
      <w:bookmarkStart w:name="_Toc174702347" w:id="263"/>
      <w:r w:rsidRPr="002F2EC2">
        <w:rPr>
          <w:rFonts w:ascii="Arial" w:hAnsi="Arial"/>
          <w:b/>
          <w:bCs/>
        </w:rPr>
        <w:lastRenderedPageBreak/>
        <w:t>APPENDIX</w:t>
      </w:r>
      <w:r w:rsidRPr="002F2EC2" w:rsidR="00366B32">
        <w:rPr>
          <w:rFonts w:ascii="Arial" w:hAnsi="Arial"/>
          <w:b/>
          <w:bCs/>
        </w:rPr>
        <w:t xml:space="preserve"> </w:t>
      </w:r>
      <w:r w:rsidRPr="002F2EC2" w:rsidR="001F203D">
        <w:rPr>
          <w:rFonts w:ascii="Arial" w:hAnsi="Arial"/>
          <w:b/>
          <w:bCs/>
        </w:rPr>
        <w:t>D</w:t>
      </w:r>
      <w:bookmarkEnd w:id="263"/>
    </w:p>
    <w:p w:rsidRPr="001F203D" w:rsidR="005C29EA" w:rsidP="002F2EC2" w:rsidRDefault="001F203D" w14:paraId="158A69A8" w14:textId="629910D4">
      <w:pPr>
        <w:spacing w:after="180" w:line="240" w:lineRule="auto"/>
        <w:ind w:firstLine="0"/>
        <w:jc w:val="center"/>
        <w:rPr>
          <w:rFonts w:cs="Arial"/>
          <w:b/>
          <w:bCs/>
          <w:color w:val="000000" w:themeColor="text1"/>
          <w:szCs w:val="26"/>
        </w:rPr>
      </w:pPr>
      <w:r w:rsidRPr="001F203D">
        <w:rPr>
          <w:rFonts w:cs="Arial"/>
          <w:b/>
          <w:bCs/>
          <w:color w:val="000000" w:themeColor="text1"/>
          <w:szCs w:val="26"/>
        </w:rPr>
        <w:t xml:space="preserve">List of </w:t>
      </w:r>
      <w:r w:rsidRPr="001F203D">
        <w:rPr>
          <w:rFonts w:cs="Arial"/>
          <w:b/>
          <w:bCs/>
          <w:color w:val="000000" w:themeColor="text1"/>
        </w:rPr>
        <w:t xml:space="preserve">Currently Operating Interconnected VoIP </w:t>
      </w:r>
      <w:r w:rsidR="00F77351">
        <w:rPr>
          <w:rFonts w:cs="Arial"/>
          <w:b/>
          <w:bCs/>
          <w:color w:val="000000" w:themeColor="text1"/>
        </w:rPr>
        <w:t xml:space="preserve">Service </w:t>
      </w:r>
      <w:r w:rsidRPr="001F203D">
        <w:rPr>
          <w:rFonts w:cs="Arial"/>
          <w:b/>
          <w:bCs/>
          <w:color w:val="000000" w:themeColor="text1"/>
        </w:rPr>
        <w:t xml:space="preserve">Providers Already Registered Through the </w:t>
      </w:r>
      <w:r w:rsidR="000645F4">
        <w:rPr>
          <w:rFonts w:cs="Arial"/>
          <w:b/>
          <w:bCs/>
          <w:color w:val="000000" w:themeColor="text1"/>
        </w:rPr>
        <w:t>Section </w:t>
      </w:r>
      <w:r w:rsidRPr="001F203D">
        <w:rPr>
          <w:rFonts w:cs="Arial"/>
          <w:b/>
          <w:bCs/>
          <w:color w:val="000000" w:themeColor="text1"/>
        </w:rPr>
        <w:t xml:space="preserve">285 Process Subject to Migration to </w:t>
      </w:r>
      <w:r w:rsidR="00CB67D5">
        <w:rPr>
          <w:rFonts w:cs="Arial"/>
          <w:b/>
          <w:bCs/>
          <w:color w:val="000000" w:themeColor="text1"/>
        </w:rPr>
        <w:t>Non</w:t>
      </w:r>
      <w:r w:rsidR="006951D5">
        <w:rPr>
          <w:rFonts w:cs="Arial"/>
          <w:b/>
          <w:bCs/>
          <w:color w:val="000000" w:themeColor="text1"/>
        </w:rPr>
        <w:noBreakHyphen/>
      </w:r>
      <w:r w:rsidR="002F2EC2">
        <w:rPr>
          <w:rFonts w:cs="Arial"/>
          <w:b/>
          <w:bCs/>
          <w:color w:val="000000" w:themeColor="text1"/>
        </w:rPr>
        <w:t>f</w:t>
      </w:r>
      <w:r w:rsidR="00CB67D5">
        <w:rPr>
          <w:rFonts w:cs="Arial"/>
          <w:b/>
          <w:bCs/>
          <w:color w:val="000000" w:themeColor="text1"/>
        </w:rPr>
        <w:t>acilities</w:t>
      </w:r>
      <w:r w:rsidR="006951D5">
        <w:rPr>
          <w:rFonts w:cs="Arial"/>
          <w:b/>
          <w:bCs/>
          <w:color w:val="000000" w:themeColor="text1"/>
        </w:rPr>
        <w:noBreakHyphen/>
      </w:r>
      <w:r w:rsidR="00CB67D5">
        <w:rPr>
          <w:rFonts w:cs="Arial"/>
          <w:b/>
          <w:bCs/>
          <w:color w:val="000000" w:themeColor="text1"/>
        </w:rPr>
        <w:t xml:space="preserve">Based Fixed Interconnected VoIP </w:t>
      </w:r>
      <w:r w:rsidRPr="001F203D">
        <w:rPr>
          <w:rFonts w:cs="Arial"/>
          <w:b/>
          <w:bCs/>
          <w:color w:val="000000" w:themeColor="text1"/>
        </w:rPr>
        <w:t>Operating Authority</w:t>
      </w:r>
    </w:p>
    <w:p w:rsidR="005C29EA" w:rsidP="00F77351" w:rsidRDefault="006173F6" w14:paraId="7A04152A" w14:textId="45F58E13">
      <w:pPr>
        <w:ind w:firstLine="0"/>
        <w:rPr>
          <w:rFonts w:cs="Arial"/>
          <w:color w:val="000000" w:themeColor="text1"/>
          <w:szCs w:val="26"/>
        </w:rPr>
      </w:pPr>
      <w:r>
        <w:rPr>
          <w:bCs/>
        </w:rPr>
        <w:t xml:space="preserve">*As of </w:t>
      </w:r>
      <w:r w:rsidR="00400BB6">
        <w:rPr>
          <w:bCs/>
        </w:rPr>
        <w:t>July </w:t>
      </w:r>
      <w:r>
        <w:rPr>
          <w:bCs/>
        </w:rPr>
        <w:t>30, 2024</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70"/>
        <w:gridCol w:w="1036"/>
        <w:gridCol w:w="1303"/>
        <w:gridCol w:w="5851"/>
      </w:tblGrid>
      <w:tr w:rsidRPr="00782FA6" w:rsidR="006D2BF7" w:rsidTr="00E52317" w14:paraId="62B96E73" w14:textId="77777777">
        <w:trPr>
          <w:trHeight w:val="413"/>
        </w:trPr>
        <w:tc>
          <w:tcPr>
            <w:tcW w:w="1170" w:type="dxa"/>
            <w:tcBorders>
              <w:top w:val="single" w:color="auto" w:sz="4" w:space="0"/>
            </w:tcBorders>
            <w:noWrap/>
            <w:vAlign w:val="center"/>
          </w:tcPr>
          <w:p w:rsidRPr="00E52317" w:rsidR="006D2BF7" w:rsidP="006D2BF7" w:rsidRDefault="006D2BF7" w14:paraId="32F5C96A" w14:textId="066AB03C">
            <w:pPr>
              <w:spacing w:line="240" w:lineRule="auto"/>
              <w:ind w:firstLine="0"/>
              <w:jc w:val="center"/>
              <w:rPr>
                <w:rFonts w:eastAsia="Aptos" w:cs="Times New Roman"/>
                <w:b/>
                <w:bCs/>
                <w:sz w:val="20"/>
                <w:szCs w:val="20"/>
              </w:rPr>
            </w:pPr>
            <w:r w:rsidRPr="00E52317">
              <w:rPr>
                <w:rFonts w:eastAsia="Aptos" w:cs="Times New Roman"/>
                <w:b/>
                <w:bCs/>
                <w:sz w:val="20"/>
                <w:szCs w:val="20"/>
              </w:rPr>
              <w:t>Corporate ID Number</w:t>
            </w:r>
          </w:p>
        </w:tc>
        <w:tc>
          <w:tcPr>
            <w:tcW w:w="1036" w:type="dxa"/>
            <w:tcBorders>
              <w:top w:val="single" w:color="auto" w:sz="4" w:space="0"/>
            </w:tcBorders>
            <w:noWrap/>
            <w:vAlign w:val="center"/>
          </w:tcPr>
          <w:p w:rsidRPr="00E52317" w:rsidR="006D2BF7" w:rsidP="006D2BF7" w:rsidRDefault="006D2BF7" w14:paraId="1A3CC6E5" w14:textId="18AECFB4">
            <w:pPr>
              <w:spacing w:line="240" w:lineRule="auto"/>
              <w:ind w:firstLine="0"/>
              <w:jc w:val="center"/>
              <w:rPr>
                <w:rFonts w:eastAsia="Aptos" w:cs="Times New Roman"/>
                <w:b/>
                <w:bCs/>
                <w:sz w:val="20"/>
                <w:szCs w:val="20"/>
              </w:rPr>
            </w:pPr>
            <w:r>
              <w:rPr>
                <w:rFonts w:eastAsia="Aptos" w:cs="Times New Roman"/>
                <w:b/>
                <w:bCs/>
                <w:sz w:val="20"/>
                <w:szCs w:val="20"/>
              </w:rPr>
              <w:t xml:space="preserve">Current </w:t>
            </w:r>
            <w:r w:rsidRPr="00E52317">
              <w:rPr>
                <w:rFonts w:eastAsia="Aptos" w:cs="Times New Roman"/>
                <w:b/>
                <w:bCs/>
                <w:sz w:val="20"/>
                <w:szCs w:val="20"/>
              </w:rPr>
              <w:t>Utility Type</w:t>
            </w:r>
          </w:p>
        </w:tc>
        <w:tc>
          <w:tcPr>
            <w:tcW w:w="1303" w:type="dxa"/>
            <w:tcBorders>
              <w:top w:val="single" w:color="auto" w:sz="4" w:space="0"/>
            </w:tcBorders>
          </w:tcPr>
          <w:p w:rsidRPr="006D2BF7" w:rsidR="006D2BF7" w:rsidP="006D2BF7" w:rsidRDefault="006D2BF7" w14:paraId="6D589EB2" w14:textId="197B5F7E">
            <w:pPr>
              <w:spacing w:line="240" w:lineRule="auto"/>
              <w:ind w:firstLine="0"/>
              <w:jc w:val="center"/>
              <w:rPr>
                <w:rFonts w:eastAsia="Aptos" w:cs="Times New Roman"/>
                <w:b/>
                <w:bCs/>
                <w:sz w:val="20"/>
                <w:szCs w:val="20"/>
              </w:rPr>
            </w:pPr>
            <w:r>
              <w:rPr>
                <w:rFonts w:eastAsia="Aptos" w:cs="Times New Roman"/>
                <w:b/>
                <w:bCs/>
                <w:sz w:val="20"/>
                <w:szCs w:val="20"/>
              </w:rPr>
              <w:t>New Utility Type</w:t>
            </w:r>
          </w:p>
        </w:tc>
        <w:tc>
          <w:tcPr>
            <w:tcW w:w="5851" w:type="dxa"/>
            <w:tcBorders>
              <w:top w:val="single" w:color="auto" w:sz="4" w:space="0"/>
            </w:tcBorders>
            <w:noWrap/>
            <w:vAlign w:val="center"/>
          </w:tcPr>
          <w:p w:rsidRPr="00E52317" w:rsidR="006D2BF7" w:rsidP="00E52317" w:rsidRDefault="006D2BF7" w14:paraId="28A6FB6F" w14:textId="3FC1153D">
            <w:pPr>
              <w:spacing w:line="240" w:lineRule="auto"/>
              <w:ind w:firstLine="0"/>
              <w:jc w:val="center"/>
              <w:rPr>
                <w:rFonts w:eastAsia="Aptos" w:cs="Times New Roman"/>
                <w:b/>
                <w:bCs/>
                <w:sz w:val="20"/>
                <w:szCs w:val="20"/>
              </w:rPr>
            </w:pPr>
            <w:r w:rsidRPr="00E52317">
              <w:rPr>
                <w:rFonts w:eastAsia="Aptos" w:cs="Times New Roman"/>
                <w:b/>
                <w:bCs/>
                <w:sz w:val="20"/>
                <w:szCs w:val="20"/>
              </w:rPr>
              <w:t>Utility Name</w:t>
            </w:r>
          </w:p>
        </w:tc>
      </w:tr>
      <w:tr w:rsidRPr="00782FA6" w:rsidR="006D2BF7" w:rsidTr="00E52317" w14:paraId="1F4E09E4" w14:textId="77777777">
        <w:trPr>
          <w:trHeight w:val="300"/>
        </w:trPr>
        <w:tc>
          <w:tcPr>
            <w:tcW w:w="1170" w:type="dxa"/>
            <w:tcBorders>
              <w:top w:val="single" w:color="auto" w:sz="4" w:space="0"/>
            </w:tcBorders>
            <w:noWrap/>
            <w:vAlign w:val="center"/>
          </w:tcPr>
          <w:p w:rsidRPr="00782FA6" w:rsidR="006D2BF7" w:rsidP="006D2BF7" w:rsidRDefault="006D2BF7" w14:paraId="2CE64D55" w14:textId="27661790">
            <w:pPr>
              <w:spacing w:line="240" w:lineRule="auto"/>
              <w:ind w:firstLine="0"/>
              <w:jc w:val="center"/>
              <w:rPr>
                <w:rFonts w:eastAsia="Aptos" w:cs="Times New Roman"/>
                <w:sz w:val="20"/>
                <w:szCs w:val="20"/>
              </w:rPr>
            </w:pPr>
            <w:r w:rsidRPr="00782FA6">
              <w:rPr>
                <w:rFonts w:eastAsia="Aptos" w:cs="Times New Roman"/>
                <w:sz w:val="20"/>
                <w:szCs w:val="20"/>
              </w:rPr>
              <w:t>1107</w:t>
            </w:r>
          </w:p>
        </w:tc>
        <w:tc>
          <w:tcPr>
            <w:tcW w:w="1036" w:type="dxa"/>
            <w:tcBorders>
              <w:top w:val="single" w:color="auto" w:sz="4" w:space="0"/>
            </w:tcBorders>
            <w:noWrap/>
            <w:vAlign w:val="center"/>
          </w:tcPr>
          <w:p w:rsidRPr="00782FA6" w:rsidR="006D2BF7" w:rsidP="006D2BF7" w:rsidRDefault="006D2BF7" w14:paraId="1A31829C" w14:textId="12A2C0D6">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Borders>
              <w:top w:val="single" w:color="auto" w:sz="4" w:space="0"/>
            </w:tcBorders>
          </w:tcPr>
          <w:p w:rsidRPr="00782FA6" w:rsidR="006D2BF7" w:rsidP="006D2BF7" w:rsidRDefault="006D2BF7" w14:paraId="05B2BC77" w14:textId="5C4C9CD2">
            <w:pPr>
              <w:spacing w:line="240" w:lineRule="auto"/>
              <w:ind w:firstLine="0"/>
              <w:rPr>
                <w:rFonts w:eastAsia="Aptos" w:cs="Times New Roman"/>
                <w:sz w:val="20"/>
                <w:szCs w:val="20"/>
              </w:rPr>
            </w:pPr>
            <w:r>
              <w:rPr>
                <w:rFonts w:eastAsia="Aptos" w:cs="Times New Roman"/>
                <w:sz w:val="20"/>
                <w:szCs w:val="20"/>
              </w:rPr>
              <w:t>DV</w:t>
            </w:r>
            <w:r w:rsidR="00DB248A">
              <w:rPr>
                <w:rFonts w:eastAsia="Aptos" w:cs="Times New Roman"/>
                <w:sz w:val="20"/>
                <w:szCs w:val="20"/>
              </w:rPr>
              <w:t>F</w:t>
            </w:r>
          </w:p>
        </w:tc>
        <w:tc>
          <w:tcPr>
            <w:tcW w:w="5851" w:type="dxa"/>
            <w:tcBorders>
              <w:top w:val="single" w:color="auto" w:sz="4" w:space="0"/>
            </w:tcBorders>
            <w:noWrap/>
            <w:vAlign w:val="center"/>
          </w:tcPr>
          <w:p w:rsidRPr="00782FA6" w:rsidR="006D2BF7" w:rsidP="006D2BF7" w:rsidRDefault="006D2BF7" w14:paraId="786C4E25" w14:textId="7BCD1530">
            <w:pPr>
              <w:spacing w:line="240" w:lineRule="auto"/>
              <w:ind w:firstLine="0"/>
              <w:rPr>
                <w:rFonts w:eastAsia="Aptos" w:cs="Times New Roman"/>
                <w:sz w:val="20"/>
                <w:szCs w:val="20"/>
              </w:rPr>
            </w:pPr>
            <w:r w:rsidRPr="00782FA6">
              <w:rPr>
                <w:rFonts w:eastAsia="Aptos" w:cs="Times New Roman"/>
                <w:sz w:val="20"/>
                <w:szCs w:val="20"/>
              </w:rPr>
              <w:t xml:space="preserve">Vocal Ip </w:t>
            </w:r>
            <w:proofErr w:type="spellStart"/>
            <w:r w:rsidRPr="00782FA6">
              <w:rPr>
                <w:rFonts w:eastAsia="Aptos" w:cs="Times New Roman"/>
                <w:sz w:val="20"/>
                <w:szCs w:val="20"/>
              </w:rPr>
              <w:t>Networx</w:t>
            </w:r>
            <w:proofErr w:type="spellEnd"/>
            <w:r w:rsidRPr="00782FA6">
              <w:rPr>
                <w:rFonts w:eastAsia="Aptos" w:cs="Times New Roman"/>
                <w:sz w:val="20"/>
                <w:szCs w:val="20"/>
              </w:rPr>
              <w:t>, Ltd.</w:t>
            </w:r>
          </w:p>
        </w:tc>
      </w:tr>
      <w:tr w:rsidRPr="00782FA6" w:rsidR="00DB248A" w:rsidTr="00E52317" w14:paraId="21716EC2" w14:textId="77777777">
        <w:trPr>
          <w:trHeight w:val="300"/>
        </w:trPr>
        <w:tc>
          <w:tcPr>
            <w:tcW w:w="1170" w:type="dxa"/>
            <w:noWrap/>
            <w:vAlign w:val="center"/>
            <w:hideMark/>
          </w:tcPr>
          <w:p w:rsidRPr="00782FA6" w:rsidR="00DB248A" w:rsidP="00DB248A" w:rsidRDefault="00DB248A" w14:paraId="64CB6245" w14:textId="77777777">
            <w:pPr>
              <w:spacing w:line="240" w:lineRule="auto"/>
              <w:ind w:firstLine="0"/>
              <w:jc w:val="center"/>
              <w:rPr>
                <w:rFonts w:eastAsia="Aptos" w:cs="Times New Roman"/>
                <w:sz w:val="20"/>
                <w:szCs w:val="20"/>
              </w:rPr>
            </w:pPr>
            <w:r w:rsidRPr="00782FA6">
              <w:rPr>
                <w:rFonts w:eastAsia="Aptos" w:cs="Times New Roman"/>
                <w:sz w:val="20"/>
                <w:szCs w:val="20"/>
              </w:rPr>
              <w:t>1109</w:t>
            </w:r>
          </w:p>
        </w:tc>
        <w:tc>
          <w:tcPr>
            <w:tcW w:w="1036" w:type="dxa"/>
            <w:noWrap/>
            <w:vAlign w:val="center"/>
            <w:hideMark/>
          </w:tcPr>
          <w:p w:rsidRPr="00782FA6" w:rsidR="00DB248A" w:rsidP="00DB248A" w:rsidRDefault="00DB248A" w14:paraId="6985CDA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FB373E0" w14:textId="708FA32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D30532B" w14:textId="34F4D59B">
            <w:pPr>
              <w:spacing w:line="240" w:lineRule="auto"/>
              <w:ind w:firstLine="0"/>
              <w:rPr>
                <w:rFonts w:eastAsia="Aptos" w:cs="Times New Roman"/>
                <w:sz w:val="20"/>
                <w:szCs w:val="20"/>
              </w:rPr>
            </w:pPr>
            <w:proofErr w:type="spellStart"/>
            <w:r w:rsidRPr="00782FA6">
              <w:rPr>
                <w:rFonts w:eastAsia="Aptos" w:cs="Times New Roman"/>
                <w:sz w:val="20"/>
                <w:szCs w:val="20"/>
              </w:rPr>
              <w:t>Xcast</w:t>
            </w:r>
            <w:proofErr w:type="spellEnd"/>
            <w:r w:rsidRPr="00782FA6">
              <w:rPr>
                <w:rFonts w:eastAsia="Aptos" w:cs="Times New Roman"/>
                <w:sz w:val="20"/>
                <w:szCs w:val="20"/>
              </w:rPr>
              <w:t xml:space="preserve"> Labs, Inc.</w:t>
            </w:r>
          </w:p>
        </w:tc>
      </w:tr>
      <w:tr w:rsidRPr="00782FA6" w:rsidR="00DB248A" w:rsidTr="00E52317" w14:paraId="20499939" w14:textId="77777777">
        <w:trPr>
          <w:trHeight w:val="300"/>
        </w:trPr>
        <w:tc>
          <w:tcPr>
            <w:tcW w:w="1170" w:type="dxa"/>
            <w:noWrap/>
            <w:vAlign w:val="center"/>
            <w:hideMark/>
          </w:tcPr>
          <w:p w:rsidRPr="00782FA6" w:rsidR="00DB248A" w:rsidP="00DB248A" w:rsidRDefault="00DB248A" w14:paraId="17B2D954" w14:textId="77777777">
            <w:pPr>
              <w:spacing w:line="240" w:lineRule="auto"/>
              <w:ind w:firstLine="0"/>
              <w:jc w:val="center"/>
              <w:rPr>
                <w:rFonts w:eastAsia="Aptos" w:cs="Times New Roman"/>
                <w:sz w:val="20"/>
                <w:szCs w:val="20"/>
              </w:rPr>
            </w:pPr>
            <w:r w:rsidRPr="00782FA6">
              <w:rPr>
                <w:rFonts w:eastAsia="Aptos" w:cs="Times New Roman"/>
                <w:sz w:val="20"/>
                <w:szCs w:val="20"/>
              </w:rPr>
              <w:t>1115</w:t>
            </w:r>
          </w:p>
        </w:tc>
        <w:tc>
          <w:tcPr>
            <w:tcW w:w="1036" w:type="dxa"/>
            <w:noWrap/>
            <w:vAlign w:val="center"/>
            <w:hideMark/>
          </w:tcPr>
          <w:p w:rsidRPr="00782FA6" w:rsidR="00DB248A" w:rsidP="00DB248A" w:rsidRDefault="00DB248A" w14:paraId="43481E9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9E58D92" w14:textId="29DB86E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0CB6898" w14:textId="127126AE">
            <w:pPr>
              <w:spacing w:line="240" w:lineRule="auto"/>
              <w:ind w:firstLine="0"/>
              <w:rPr>
                <w:rFonts w:eastAsia="Aptos" w:cs="Times New Roman"/>
                <w:sz w:val="20"/>
                <w:szCs w:val="20"/>
              </w:rPr>
            </w:pPr>
            <w:r w:rsidRPr="00782FA6">
              <w:rPr>
                <w:rFonts w:eastAsia="Aptos" w:cs="Times New Roman"/>
                <w:sz w:val="20"/>
                <w:szCs w:val="20"/>
              </w:rPr>
              <w:t>Voda Networks, Inc.</w:t>
            </w:r>
          </w:p>
        </w:tc>
      </w:tr>
      <w:tr w:rsidRPr="00782FA6" w:rsidR="00DB248A" w:rsidTr="00E52317" w14:paraId="0DB8C7E1" w14:textId="77777777">
        <w:trPr>
          <w:trHeight w:val="300"/>
        </w:trPr>
        <w:tc>
          <w:tcPr>
            <w:tcW w:w="1170" w:type="dxa"/>
            <w:noWrap/>
            <w:vAlign w:val="center"/>
            <w:hideMark/>
          </w:tcPr>
          <w:p w:rsidRPr="00782FA6" w:rsidR="00DB248A" w:rsidP="00DB248A" w:rsidRDefault="00DB248A" w14:paraId="4287DF9F" w14:textId="77777777">
            <w:pPr>
              <w:spacing w:line="240" w:lineRule="auto"/>
              <w:ind w:firstLine="0"/>
              <w:jc w:val="center"/>
              <w:rPr>
                <w:rFonts w:eastAsia="Aptos" w:cs="Times New Roman"/>
                <w:sz w:val="20"/>
                <w:szCs w:val="20"/>
              </w:rPr>
            </w:pPr>
            <w:r w:rsidRPr="00782FA6">
              <w:rPr>
                <w:rFonts w:eastAsia="Aptos" w:cs="Times New Roman"/>
                <w:sz w:val="20"/>
                <w:szCs w:val="20"/>
              </w:rPr>
              <w:t>1116</w:t>
            </w:r>
          </w:p>
        </w:tc>
        <w:tc>
          <w:tcPr>
            <w:tcW w:w="1036" w:type="dxa"/>
            <w:noWrap/>
            <w:vAlign w:val="center"/>
            <w:hideMark/>
          </w:tcPr>
          <w:p w:rsidRPr="00782FA6" w:rsidR="00DB248A" w:rsidP="00DB248A" w:rsidRDefault="00DB248A" w14:paraId="719AAE4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D0AEF73" w14:textId="6E654BC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61CB9A0" w14:textId="1674E1E6">
            <w:pPr>
              <w:spacing w:line="240" w:lineRule="auto"/>
              <w:ind w:firstLine="0"/>
              <w:rPr>
                <w:rFonts w:eastAsia="Aptos" w:cs="Times New Roman"/>
                <w:sz w:val="20"/>
                <w:szCs w:val="20"/>
              </w:rPr>
            </w:pPr>
            <w:r w:rsidRPr="00782FA6">
              <w:rPr>
                <w:rFonts w:eastAsia="Aptos" w:cs="Times New Roman"/>
                <w:sz w:val="20"/>
                <w:szCs w:val="20"/>
              </w:rPr>
              <w:t>NetFortris Acquisition Co., Inc.</w:t>
            </w:r>
          </w:p>
        </w:tc>
      </w:tr>
      <w:tr w:rsidRPr="00782FA6" w:rsidR="00DB248A" w:rsidTr="00E52317" w14:paraId="154D069C" w14:textId="77777777">
        <w:trPr>
          <w:trHeight w:val="300"/>
        </w:trPr>
        <w:tc>
          <w:tcPr>
            <w:tcW w:w="1170" w:type="dxa"/>
            <w:noWrap/>
            <w:vAlign w:val="center"/>
            <w:hideMark/>
          </w:tcPr>
          <w:p w:rsidRPr="00782FA6" w:rsidR="00DB248A" w:rsidP="00DB248A" w:rsidRDefault="00DB248A" w14:paraId="04D8C1AF" w14:textId="77777777">
            <w:pPr>
              <w:spacing w:line="240" w:lineRule="auto"/>
              <w:ind w:firstLine="0"/>
              <w:jc w:val="center"/>
              <w:rPr>
                <w:rFonts w:eastAsia="Aptos" w:cs="Times New Roman"/>
                <w:sz w:val="20"/>
                <w:szCs w:val="20"/>
              </w:rPr>
            </w:pPr>
            <w:r w:rsidRPr="00782FA6">
              <w:rPr>
                <w:rFonts w:eastAsia="Aptos" w:cs="Times New Roman"/>
                <w:sz w:val="20"/>
                <w:szCs w:val="20"/>
              </w:rPr>
              <w:t>1117</w:t>
            </w:r>
          </w:p>
        </w:tc>
        <w:tc>
          <w:tcPr>
            <w:tcW w:w="1036" w:type="dxa"/>
            <w:noWrap/>
            <w:vAlign w:val="center"/>
            <w:hideMark/>
          </w:tcPr>
          <w:p w:rsidRPr="00782FA6" w:rsidR="00DB248A" w:rsidP="00DB248A" w:rsidRDefault="00DB248A" w14:paraId="0A8AF9D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BE59655" w14:textId="3E87B50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0A08255" w14:textId="4790DFC6">
            <w:pPr>
              <w:spacing w:line="240" w:lineRule="auto"/>
              <w:ind w:firstLine="0"/>
              <w:rPr>
                <w:rFonts w:eastAsia="Aptos" w:cs="Times New Roman"/>
                <w:sz w:val="20"/>
                <w:szCs w:val="20"/>
              </w:rPr>
            </w:pPr>
            <w:r w:rsidRPr="00782FA6">
              <w:rPr>
                <w:rFonts w:eastAsia="Aptos" w:cs="Times New Roman"/>
                <w:sz w:val="20"/>
                <w:szCs w:val="20"/>
              </w:rPr>
              <w:t>2Talk, LLC</w:t>
            </w:r>
          </w:p>
        </w:tc>
      </w:tr>
      <w:tr w:rsidRPr="00782FA6" w:rsidR="00DB248A" w:rsidTr="00E52317" w14:paraId="5999A7D7" w14:textId="77777777">
        <w:trPr>
          <w:trHeight w:val="300"/>
        </w:trPr>
        <w:tc>
          <w:tcPr>
            <w:tcW w:w="1170" w:type="dxa"/>
            <w:noWrap/>
            <w:vAlign w:val="center"/>
            <w:hideMark/>
          </w:tcPr>
          <w:p w:rsidRPr="00782FA6" w:rsidR="00DB248A" w:rsidP="00DB248A" w:rsidRDefault="00DB248A" w14:paraId="47035B40" w14:textId="77777777">
            <w:pPr>
              <w:spacing w:line="240" w:lineRule="auto"/>
              <w:ind w:firstLine="0"/>
              <w:jc w:val="center"/>
              <w:rPr>
                <w:rFonts w:eastAsia="Aptos" w:cs="Times New Roman"/>
                <w:sz w:val="20"/>
                <w:szCs w:val="20"/>
              </w:rPr>
            </w:pPr>
            <w:r w:rsidRPr="00782FA6">
              <w:rPr>
                <w:rFonts w:eastAsia="Aptos" w:cs="Times New Roman"/>
                <w:sz w:val="20"/>
                <w:szCs w:val="20"/>
              </w:rPr>
              <w:t>1118</w:t>
            </w:r>
          </w:p>
        </w:tc>
        <w:tc>
          <w:tcPr>
            <w:tcW w:w="1036" w:type="dxa"/>
            <w:noWrap/>
            <w:vAlign w:val="center"/>
            <w:hideMark/>
          </w:tcPr>
          <w:p w:rsidRPr="00782FA6" w:rsidR="00DB248A" w:rsidP="00DB248A" w:rsidRDefault="00DB248A" w14:paraId="66D0722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ECA3EC3" w14:textId="7C1178C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5B81C14" w14:textId="51C507D4">
            <w:pPr>
              <w:spacing w:line="240" w:lineRule="auto"/>
              <w:ind w:firstLine="0"/>
              <w:rPr>
                <w:rFonts w:eastAsia="Aptos" w:cs="Times New Roman"/>
                <w:sz w:val="20"/>
                <w:szCs w:val="20"/>
              </w:rPr>
            </w:pPr>
            <w:r w:rsidRPr="00782FA6">
              <w:rPr>
                <w:rFonts w:eastAsia="Aptos" w:cs="Times New Roman"/>
                <w:sz w:val="20"/>
                <w:szCs w:val="20"/>
              </w:rPr>
              <w:t>NEXTIVA. INC,</w:t>
            </w:r>
          </w:p>
        </w:tc>
      </w:tr>
      <w:tr w:rsidRPr="00782FA6" w:rsidR="00DB248A" w:rsidTr="00E52317" w14:paraId="3D7D4109" w14:textId="77777777">
        <w:trPr>
          <w:trHeight w:val="300"/>
        </w:trPr>
        <w:tc>
          <w:tcPr>
            <w:tcW w:w="1170" w:type="dxa"/>
            <w:noWrap/>
            <w:vAlign w:val="center"/>
            <w:hideMark/>
          </w:tcPr>
          <w:p w:rsidRPr="00782FA6" w:rsidR="00DB248A" w:rsidP="00DB248A" w:rsidRDefault="00DB248A" w14:paraId="76C8D1C6" w14:textId="77777777">
            <w:pPr>
              <w:spacing w:line="240" w:lineRule="auto"/>
              <w:ind w:firstLine="0"/>
              <w:jc w:val="center"/>
              <w:rPr>
                <w:rFonts w:eastAsia="Aptos" w:cs="Times New Roman"/>
                <w:sz w:val="20"/>
                <w:szCs w:val="20"/>
              </w:rPr>
            </w:pPr>
            <w:r w:rsidRPr="00782FA6">
              <w:rPr>
                <w:rFonts w:eastAsia="Aptos" w:cs="Times New Roman"/>
                <w:sz w:val="20"/>
                <w:szCs w:val="20"/>
              </w:rPr>
              <w:t>1119</w:t>
            </w:r>
          </w:p>
        </w:tc>
        <w:tc>
          <w:tcPr>
            <w:tcW w:w="1036" w:type="dxa"/>
            <w:noWrap/>
            <w:vAlign w:val="center"/>
            <w:hideMark/>
          </w:tcPr>
          <w:p w:rsidRPr="00782FA6" w:rsidR="00DB248A" w:rsidP="00DB248A" w:rsidRDefault="00DB248A" w14:paraId="11247DA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3988051" w14:textId="0D767D7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FF48E7C" w14:textId="7FD68425">
            <w:pPr>
              <w:spacing w:line="240" w:lineRule="auto"/>
              <w:ind w:firstLine="0"/>
              <w:rPr>
                <w:rFonts w:eastAsia="Aptos" w:cs="Times New Roman"/>
                <w:sz w:val="20"/>
                <w:szCs w:val="20"/>
              </w:rPr>
            </w:pPr>
            <w:r w:rsidRPr="00782FA6">
              <w:rPr>
                <w:rFonts w:eastAsia="Aptos" w:cs="Times New Roman"/>
                <w:sz w:val="20"/>
                <w:szCs w:val="20"/>
              </w:rPr>
              <w:t>INTERGLOBE COMMUNICATIONS, INC.</w:t>
            </w:r>
          </w:p>
        </w:tc>
      </w:tr>
      <w:tr w:rsidRPr="00782FA6" w:rsidR="00DB248A" w:rsidTr="00E52317" w14:paraId="2994C688" w14:textId="77777777">
        <w:trPr>
          <w:trHeight w:val="300"/>
        </w:trPr>
        <w:tc>
          <w:tcPr>
            <w:tcW w:w="1170" w:type="dxa"/>
            <w:noWrap/>
            <w:vAlign w:val="center"/>
            <w:hideMark/>
          </w:tcPr>
          <w:p w:rsidRPr="00782FA6" w:rsidR="00DB248A" w:rsidP="00DB248A" w:rsidRDefault="00DB248A" w14:paraId="0934C6D2" w14:textId="77777777">
            <w:pPr>
              <w:spacing w:line="240" w:lineRule="auto"/>
              <w:ind w:firstLine="0"/>
              <w:jc w:val="center"/>
              <w:rPr>
                <w:rFonts w:eastAsia="Aptos" w:cs="Times New Roman"/>
                <w:sz w:val="20"/>
                <w:szCs w:val="20"/>
              </w:rPr>
            </w:pPr>
            <w:r w:rsidRPr="00782FA6">
              <w:rPr>
                <w:rFonts w:eastAsia="Aptos" w:cs="Times New Roman"/>
                <w:sz w:val="20"/>
                <w:szCs w:val="20"/>
              </w:rPr>
              <w:t>1122</w:t>
            </w:r>
          </w:p>
        </w:tc>
        <w:tc>
          <w:tcPr>
            <w:tcW w:w="1036" w:type="dxa"/>
            <w:noWrap/>
            <w:vAlign w:val="center"/>
            <w:hideMark/>
          </w:tcPr>
          <w:p w:rsidRPr="00782FA6" w:rsidR="00DB248A" w:rsidP="00DB248A" w:rsidRDefault="00DB248A" w14:paraId="48BC23E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4624F70" w14:textId="4BF4679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4B9546A" w14:textId="6C7F8D72">
            <w:pPr>
              <w:spacing w:line="240" w:lineRule="auto"/>
              <w:ind w:firstLine="0"/>
              <w:rPr>
                <w:rFonts w:eastAsia="Aptos" w:cs="Times New Roman"/>
                <w:sz w:val="20"/>
                <w:szCs w:val="20"/>
              </w:rPr>
            </w:pPr>
            <w:r w:rsidRPr="00782FA6">
              <w:rPr>
                <w:rFonts w:eastAsia="Aptos" w:cs="Times New Roman"/>
                <w:sz w:val="20"/>
                <w:szCs w:val="20"/>
              </w:rPr>
              <w:t>Network Innovations, LLC</w:t>
            </w:r>
          </w:p>
        </w:tc>
      </w:tr>
      <w:tr w:rsidRPr="00782FA6" w:rsidR="00DB248A" w:rsidTr="00E52317" w14:paraId="52B2D821" w14:textId="77777777">
        <w:trPr>
          <w:trHeight w:val="300"/>
        </w:trPr>
        <w:tc>
          <w:tcPr>
            <w:tcW w:w="1170" w:type="dxa"/>
            <w:noWrap/>
            <w:vAlign w:val="center"/>
            <w:hideMark/>
          </w:tcPr>
          <w:p w:rsidRPr="00782FA6" w:rsidR="00DB248A" w:rsidP="00DB248A" w:rsidRDefault="00DB248A" w14:paraId="4B9107D4" w14:textId="77777777">
            <w:pPr>
              <w:spacing w:line="240" w:lineRule="auto"/>
              <w:ind w:firstLine="0"/>
              <w:jc w:val="center"/>
              <w:rPr>
                <w:rFonts w:eastAsia="Aptos" w:cs="Times New Roman"/>
                <w:sz w:val="20"/>
                <w:szCs w:val="20"/>
              </w:rPr>
            </w:pPr>
            <w:r w:rsidRPr="00782FA6">
              <w:rPr>
                <w:rFonts w:eastAsia="Aptos" w:cs="Times New Roman"/>
                <w:sz w:val="20"/>
                <w:szCs w:val="20"/>
              </w:rPr>
              <w:t>1123</w:t>
            </w:r>
          </w:p>
        </w:tc>
        <w:tc>
          <w:tcPr>
            <w:tcW w:w="1036" w:type="dxa"/>
            <w:noWrap/>
            <w:vAlign w:val="center"/>
            <w:hideMark/>
          </w:tcPr>
          <w:p w:rsidRPr="00782FA6" w:rsidR="00DB248A" w:rsidP="00DB248A" w:rsidRDefault="00DB248A" w14:paraId="15E6213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5FD398B" w14:textId="419F1DB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895F71B" w14:textId="7A8E73CB">
            <w:pPr>
              <w:spacing w:line="240" w:lineRule="auto"/>
              <w:ind w:firstLine="0"/>
              <w:rPr>
                <w:rFonts w:eastAsia="Aptos" w:cs="Times New Roman"/>
                <w:sz w:val="20"/>
                <w:szCs w:val="20"/>
              </w:rPr>
            </w:pPr>
            <w:proofErr w:type="spellStart"/>
            <w:r w:rsidRPr="00782FA6">
              <w:rPr>
                <w:rFonts w:eastAsia="Aptos" w:cs="Times New Roman"/>
                <w:sz w:val="20"/>
                <w:szCs w:val="20"/>
              </w:rPr>
              <w:t>AccessLine</w:t>
            </w:r>
            <w:proofErr w:type="spellEnd"/>
            <w:r w:rsidRPr="00782FA6">
              <w:rPr>
                <w:rFonts w:eastAsia="Aptos" w:cs="Times New Roman"/>
                <w:sz w:val="20"/>
                <w:szCs w:val="20"/>
              </w:rPr>
              <w:t xml:space="preserve"> Communications Corporation</w:t>
            </w:r>
          </w:p>
        </w:tc>
      </w:tr>
      <w:tr w:rsidRPr="00782FA6" w:rsidR="00DB248A" w:rsidTr="00E52317" w14:paraId="17D3FAFB" w14:textId="77777777">
        <w:trPr>
          <w:trHeight w:val="300"/>
        </w:trPr>
        <w:tc>
          <w:tcPr>
            <w:tcW w:w="1170" w:type="dxa"/>
            <w:noWrap/>
            <w:vAlign w:val="center"/>
            <w:hideMark/>
          </w:tcPr>
          <w:p w:rsidRPr="00782FA6" w:rsidR="00DB248A" w:rsidP="00DB248A" w:rsidRDefault="00DB248A" w14:paraId="321A5A62" w14:textId="77777777">
            <w:pPr>
              <w:spacing w:line="240" w:lineRule="auto"/>
              <w:ind w:firstLine="0"/>
              <w:jc w:val="center"/>
              <w:rPr>
                <w:rFonts w:eastAsia="Aptos" w:cs="Times New Roman"/>
                <w:sz w:val="20"/>
                <w:szCs w:val="20"/>
              </w:rPr>
            </w:pPr>
            <w:r w:rsidRPr="00782FA6">
              <w:rPr>
                <w:rFonts w:eastAsia="Aptos" w:cs="Times New Roman"/>
                <w:sz w:val="20"/>
                <w:szCs w:val="20"/>
              </w:rPr>
              <w:t>1124</w:t>
            </w:r>
          </w:p>
        </w:tc>
        <w:tc>
          <w:tcPr>
            <w:tcW w:w="1036" w:type="dxa"/>
            <w:noWrap/>
            <w:vAlign w:val="center"/>
            <w:hideMark/>
          </w:tcPr>
          <w:p w:rsidRPr="00782FA6" w:rsidR="00DB248A" w:rsidP="00DB248A" w:rsidRDefault="00DB248A" w14:paraId="380A26C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2C33AEA" w14:textId="37D3F71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87DD36A" w14:textId="1E955AA5">
            <w:pPr>
              <w:spacing w:line="240" w:lineRule="auto"/>
              <w:ind w:firstLine="0"/>
              <w:rPr>
                <w:rFonts w:eastAsia="Aptos" w:cs="Times New Roman"/>
                <w:sz w:val="20"/>
                <w:szCs w:val="20"/>
              </w:rPr>
            </w:pPr>
            <w:r w:rsidRPr="00782FA6">
              <w:rPr>
                <w:rFonts w:eastAsia="Aptos" w:cs="Times New Roman"/>
                <w:sz w:val="20"/>
                <w:szCs w:val="20"/>
              </w:rPr>
              <w:t>UT&amp;T LLC</w:t>
            </w:r>
          </w:p>
        </w:tc>
      </w:tr>
      <w:tr w:rsidRPr="00782FA6" w:rsidR="00DB248A" w:rsidTr="00E52317" w14:paraId="290DA66A" w14:textId="77777777">
        <w:trPr>
          <w:trHeight w:val="300"/>
        </w:trPr>
        <w:tc>
          <w:tcPr>
            <w:tcW w:w="1170" w:type="dxa"/>
            <w:noWrap/>
            <w:vAlign w:val="center"/>
            <w:hideMark/>
          </w:tcPr>
          <w:p w:rsidRPr="00782FA6" w:rsidR="00DB248A" w:rsidP="00DB248A" w:rsidRDefault="00DB248A" w14:paraId="3A504055" w14:textId="77777777">
            <w:pPr>
              <w:spacing w:line="240" w:lineRule="auto"/>
              <w:ind w:firstLine="0"/>
              <w:jc w:val="center"/>
              <w:rPr>
                <w:rFonts w:eastAsia="Aptos" w:cs="Times New Roman"/>
                <w:sz w:val="20"/>
                <w:szCs w:val="20"/>
              </w:rPr>
            </w:pPr>
            <w:r w:rsidRPr="00782FA6">
              <w:rPr>
                <w:rFonts w:eastAsia="Aptos" w:cs="Times New Roman"/>
                <w:sz w:val="20"/>
                <w:szCs w:val="20"/>
              </w:rPr>
              <w:t>1125</w:t>
            </w:r>
          </w:p>
        </w:tc>
        <w:tc>
          <w:tcPr>
            <w:tcW w:w="1036" w:type="dxa"/>
            <w:noWrap/>
            <w:vAlign w:val="center"/>
            <w:hideMark/>
          </w:tcPr>
          <w:p w:rsidRPr="00782FA6" w:rsidR="00DB248A" w:rsidP="00DB248A" w:rsidRDefault="00DB248A" w14:paraId="33C0CBD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E0104C3" w14:textId="6F1136E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6595546" w14:textId="76B80E14">
            <w:pPr>
              <w:spacing w:line="240" w:lineRule="auto"/>
              <w:ind w:firstLine="0"/>
              <w:rPr>
                <w:rFonts w:eastAsia="Aptos" w:cs="Times New Roman"/>
                <w:sz w:val="20"/>
                <w:szCs w:val="20"/>
              </w:rPr>
            </w:pPr>
            <w:r w:rsidRPr="00782FA6">
              <w:rPr>
                <w:rFonts w:eastAsia="Aptos" w:cs="Times New Roman"/>
                <w:sz w:val="20"/>
                <w:szCs w:val="20"/>
              </w:rPr>
              <w:t>Smart Choice Communications, LLC</w:t>
            </w:r>
          </w:p>
        </w:tc>
      </w:tr>
      <w:tr w:rsidRPr="00782FA6" w:rsidR="00DB248A" w:rsidTr="00E52317" w14:paraId="73BC5A27" w14:textId="77777777">
        <w:trPr>
          <w:trHeight w:val="300"/>
        </w:trPr>
        <w:tc>
          <w:tcPr>
            <w:tcW w:w="1170" w:type="dxa"/>
            <w:noWrap/>
            <w:vAlign w:val="center"/>
            <w:hideMark/>
          </w:tcPr>
          <w:p w:rsidRPr="00782FA6" w:rsidR="00DB248A" w:rsidP="00DB248A" w:rsidRDefault="00DB248A" w14:paraId="0BB5F7EB" w14:textId="77777777">
            <w:pPr>
              <w:spacing w:line="240" w:lineRule="auto"/>
              <w:ind w:firstLine="0"/>
              <w:jc w:val="center"/>
              <w:rPr>
                <w:rFonts w:eastAsia="Aptos" w:cs="Times New Roman"/>
                <w:sz w:val="20"/>
                <w:szCs w:val="20"/>
              </w:rPr>
            </w:pPr>
            <w:r w:rsidRPr="00782FA6">
              <w:rPr>
                <w:rFonts w:eastAsia="Aptos" w:cs="Times New Roman"/>
                <w:sz w:val="20"/>
                <w:szCs w:val="20"/>
              </w:rPr>
              <w:t>1127</w:t>
            </w:r>
          </w:p>
        </w:tc>
        <w:tc>
          <w:tcPr>
            <w:tcW w:w="1036" w:type="dxa"/>
            <w:noWrap/>
            <w:vAlign w:val="center"/>
            <w:hideMark/>
          </w:tcPr>
          <w:p w:rsidRPr="00782FA6" w:rsidR="00DB248A" w:rsidP="00DB248A" w:rsidRDefault="00DB248A" w14:paraId="5EF4A9D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EB9C279" w14:textId="4E6A5F4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B23A0A6" w14:textId="58206B1B">
            <w:pPr>
              <w:spacing w:line="240" w:lineRule="auto"/>
              <w:ind w:firstLine="0"/>
              <w:rPr>
                <w:rFonts w:eastAsia="Aptos" w:cs="Times New Roman"/>
                <w:sz w:val="20"/>
                <w:szCs w:val="20"/>
              </w:rPr>
            </w:pPr>
            <w:proofErr w:type="spellStart"/>
            <w:r w:rsidRPr="00782FA6">
              <w:rPr>
                <w:rFonts w:eastAsia="Aptos" w:cs="Times New Roman"/>
                <w:sz w:val="20"/>
                <w:szCs w:val="20"/>
              </w:rPr>
              <w:t>Telmate</w:t>
            </w:r>
            <w:proofErr w:type="spellEnd"/>
            <w:r w:rsidRPr="00782FA6">
              <w:rPr>
                <w:rFonts w:eastAsia="Aptos" w:cs="Times New Roman"/>
                <w:sz w:val="20"/>
                <w:szCs w:val="20"/>
              </w:rPr>
              <w:t>, LLC</w:t>
            </w:r>
          </w:p>
        </w:tc>
      </w:tr>
      <w:tr w:rsidRPr="00782FA6" w:rsidR="00DB248A" w:rsidTr="00E52317" w14:paraId="5AA1EA61" w14:textId="77777777">
        <w:trPr>
          <w:trHeight w:val="300"/>
        </w:trPr>
        <w:tc>
          <w:tcPr>
            <w:tcW w:w="1170" w:type="dxa"/>
            <w:noWrap/>
            <w:vAlign w:val="center"/>
            <w:hideMark/>
          </w:tcPr>
          <w:p w:rsidRPr="00782FA6" w:rsidR="00DB248A" w:rsidP="00DB248A" w:rsidRDefault="00DB248A" w14:paraId="1BDB88B9" w14:textId="77777777">
            <w:pPr>
              <w:spacing w:line="240" w:lineRule="auto"/>
              <w:ind w:firstLine="0"/>
              <w:jc w:val="center"/>
              <w:rPr>
                <w:rFonts w:eastAsia="Aptos" w:cs="Times New Roman"/>
                <w:sz w:val="20"/>
                <w:szCs w:val="20"/>
              </w:rPr>
            </w:pPr>
            <w:r w:rsidRPr="00782FA6">
              <w:rPr>
                <w:rFonts w:eastAsia="Aptos" w:cs="Times New Roman"/>
                <w:sz w:val="20"/>
                <w:szCs w:val="20"/>
              </w:rPr>
              <w:t>1130</w:t>
            </w:r>
          </w:p>
        </w:tc>
        <w:tc>
          <w:tcPr>
            <w:tcW w:w="1036" w:type="dxa"/>
            <w:noWrap/>
            <w:vAlign w:val="center"/>
            <w:hideMark/>
          </w:tcPr>
          <w:p w:rsidRPr="00782FA6" w:rsidR="00DB248A" w:rsidP="00DB248A" w:rsidRDefault="00DB248A" w14:paraId="5018F31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3BE8274" w14:textId="70A2C1C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8331ABD" w14:textId="676689BA">
            <w:pPr>
              <w:spacing w:line="240" w:lineRule="auto"/>
              <w:ind w:firstLine="0"/>
              <w:rPr>
                <w:rFonts w:eastAsia="Aptos" w:cs="Times New Roman"/>
                <w:sz w:val="20"/>
                <w:szCs w:val="20"/>
              </w:rPr>
            </w:pPr>
            <w:proofErr w:type="spellStart"/>
            <w:r w:rsidRPr="00782FA6">
              <w:rPr>
                <w:rFonts w:eastAsia="Aptos" w:cs="Times New Roman"/>
                <w:sz w:val="20"/>
                <w:szCs w:val="20"/>
              </w:rPr>
              <w:t>Cebridge</w:t>
            </w:r>
            <w:proofErr w:type="spellEnd"/>
            <w:r w:rsidRPr="00782FA6">
              <w:rPr>
                <w:rFonts w:eastAsia="Aptos" w:cs="Times New Roman"/>
                <w:sz w:val="20"/>
                <w:szCs w:val="20"/>
              </w:rPr>
              <w:t xml:space="preserve"> Telecom CA, LLC</w:t>
            </w:r>
          </w:p>
        </w:tc>
      </w:tr>
      <w:tr w:rsidRPr="00782FA6" w:rsidR="00DB248A" w:rsidTr="00E52317" w14:paraId="550EABFA" w14:textId="77777777">
        <w:trPr>
          <w:trHeight w:val="300"/>
        </w:trPr>
        <w:tc>
          <w:tcPr>
            <w:tcW w:w="1170" w:type="dxa"/>
            <w:noWrap/>
            <w:vAlign w:val="center"/>
            <w:hideMark/>
          </w:tcPr>
          <w:p w:rsidRPr="00782FA6" w:rsidR="00DB248A" w:rsidP="00DB248A" w:rsidRDefault="00DB248A" w14:paraId="10A97B09" w14:textId="77777777">
            <w:pPr>
              <w:spacing w:line="240" w:lineRule="auto"/>
              <w:ind w:firstLine="0"/>
              <w:jc w:val="center"/>
              <w:rPr>
                <w:rFonts w:eastAsia="Aptos" w:cs="Times New Roman"/>
                <w:sz w:val="20"/>
                <w:szCs w:val="20"/>
              </w:rPr>
            </w:pPr>
            <w:r w:rsidRPr="00782FA6">
              <w:rPr>
                <w:rFonts w:eastAsia="Aptos" w:cs="Times New Roman"/>
                <w:sz w:val="20"/>
                <w:szCs w:val="20"/>
              </w:rPr>
              <w:t>1132</w:t>
            </w:r>
          </w:p>
        </w:tc>
        <w:tc>
          <w:tcPr>
            <w:tcW w:w="1036" w:type="dxa"/>
            <w:noWrap/>
            <w:vAlign w:val="center"/>
            <w:hideMark/>
          </w:tcPr>
          <w:p w:rsidRPr="00782FA6" w:rsidR="00DB248A" w:rsidP="00DB248A" w:rsidRDefault="00DB248A" w14:paraId="50E1BC0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9EAA869" w14:textId="09F9152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EF7DF8A" w14:textId="1E9F8CD6">
            <w:pPr>
              <w:spacing w:line="240" w:lineRule="auto"/>
              <w:ind w:firstLine="0"/>
              <w:rPr>
                <w:rFonts w:eastAsia="Aptos" w:cs="Times New Roman"/>
                <w:sz w:val="20"/>
                <w:szCs w:val="20"/>
              </w:rPr>
            </w:pPr>
            <w:r w:rsidRPr="00782FA6">
              <w:rPr>
                <w:rFonts w:eastAsia="Aptos" w:cs="Times New Roman"/>
                <w:sz w:val="20"/>
                <w:szCs w:val="20"/>
              </w:rPr>
              <w:t>Lightyear Network Solutions, LLC</w:t>
            </w:r>
          </w:p>
        </w:tc>
      </w:tr>
      <w:tr w:rsidRPr="00782FA6" w:rsidR="00DB248A" w:rsidTr="00E52317" w14:paraId="38B4AA20" w14:textId="77777777">
        <w:trPr>
          <w:trHeight w:val="300"/>
        </w:trPr>
        <w:tc>
          <w:tcPr>
            <w:tcW w:w="1170" w:type="dxa"/>
            <w:noWrap/>
            <w:vAlign w:val="center"/>
            <w:hideMark/>
          </w:tcPr>
          <w:p w:rsidRPr="00782FA6" w:rsidR="00DB248A" w:rsidP="00DB248A" w:rsidRDefault="00DB248A" w14:paraId="2EE87E59" w14:textId="77777777">
            <w:pPr>
              <w:spacing w:line="240" w:lineRule="auto"/>
              <w:ind w:firstLine="0"/>
              <w:jc w:val="center"/>
              <w:rPr>
                <w:rFonts w:eastAsia="Aptos" w:cs="Times New Roman"/>
                <w:sz w:val="20"/>
                <w:szCs w:val="20"/>
              </w:rPr>
            </w:pPr>
            <w:r w:rsidRPr="00782FA6">
              <w:rPr>
                <w:rFonts w:eastAsia="Aptos" w:cs="Times New Roman"/>
                <w:sz w:val="20"/>
                <w:szCs w:val="20"/>
              </w:rPr>
              <w:t>1135</w:t>
            </w:r>
          </w:p>
        </w:tc>
        <w:tc>
          <w:tcPr>
            <w:tcW w:w="1036" w:type="dxa"/>
            <w:noWrap/>
            <w:vAlign w:val="center"/>
            <w:hideMark/>
          </w:tcPr>
          <w:p w:rsidRPr="00782FA6" w:rsidR="00DB248A" w:rsidP="00DB248A" w:rsidRDefault="00DB248A" w14:paraId="2843DEB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3432F58" w14:textId="024945E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EC41022" w14:textId="6A4BA699">
            <w:pPr>
              <w:spacing w:line="240" w:lineRule="auto"/>
              <w:ind w:firstLine="0"/>
              <w:rPr>
                <w:rFonts w:eastAsia="Aptos" w:cs="Times New Roman"/>
                <w:sz w:val="20"/>
                <w:szCs w:val="20"/>
              </w:rPr>
            </w:pPr>
            <w:r w:rsidRPr="00782FA6">
              <w:rPr>
                <w:rFonts w:eastAsia="Aptos" w:cs="Times New Roman"/>
                <w:sz w:val="20"/>
                <w:szCs w:val="20"/>
              </w:rPr>
              <w:t>Vonage America LLC</w:t>
            </w:r>
          </w:p>
        </w:tc>
      </w:tr>
      <w:tr w:rsidRPr="00782FA6" w:rsidR="00DB248A" w:rsidTr="00E52317" w14:paraId="138CF3B5" w14:textId="77777777">
        <w:trPr>
          <w:trHeight w:val="300"/>
        </w:trPr>
        <w:tc>
          <w:tcPr>
            <w:tcW w:w="1170" w:type="dxa"/>
            <w:noWrap/>
            <w:vAlign w:val="center"/>
            <w:hideMark/>
          </w:tcPr>
          <w:p w:rsidRPr="00782FA6" w:rsidR="00DB248A" w:rsidP="00DB248A" w:rsidRDefault="00DB248A" w14:paraId="05EF5E07" w14:textId="77777777">
            <w:pPr>
              <w:spacing w:line="240" w:lineRule="auto"/>
              <w:ind w:firstLine="0"/>
              <w:jc w:val="center"/>
              <w:rPr>
                <w:rFonts w:eastAsia="Aptos" w:cs="Times New Roman"/>
                <w:sz w:val="20"/>
                <w:szCs w:val="20"/>
              </w:rPr>
            </w:pPr>
            <w:r w:rsidRPr="00782FA6">
              <w:rPr>
                <w:rFonts w:eastAsia="Aptos" w:cs="Times New Roman"/>
                <w:sz w:val="20"/>
                <w:szCs w:val="20"/>
              </w:rPr>
              <w:t>1136</w:t>
            </w:r>
          </w:p>
        </w:tc>
        <w:tc>
          <w:tcPr>
            <w:tcW w:w="1036" w:type="dxa"/>
            <w:noWrap/>
            <w:vAlign w:val="center"/>
            <w:hideMark/>
          </w:tcPr>
          <w:p w:rsidRPr="00782FA6" w:rsidR="00DB248A" w:rsidP="00DB248A" w:rsidRDefault="00DB248A" w14:paraId="4AF6E23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F1038D6" w14:textId="0600764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C508615" w14:textId="737C3528">
            <w:pPr>
              <w:spacing w:line="240" w:lineRule="auto"/>
              <w:ind w:firstLine="0"/>
              <w:rPr>
                <w:rFonts w:eastAsia="Aptos" w:cs="Times New Roman"/>
                <w:sz w:val="20"/>
                <w:szCs w:val="20"/>
              </w:rPr>
            </w:pPr>
            <w:proofErr w:type="spellStart"/>
            <w:r w:rsidRPr="00782FA6">
              <w:rPr>
                <w:rFonts w:eastAsia="Aptos" w:cs="Times New Roman"/>
                <w:sz w:val="20"/>
                <w:szCs w:val="20"/>
              </w:rPr>
              <w:t>Nobelbiz</w:t>
            </w:r>
            <w:proofErr w:type="spellEnd"/>
            <w:r w:rsidRPr="00782FA6">
              <w:rPr>
                <w:rFonts w:eastAsia="Aptos" w:cs="Times New Roman"/>
                <w:sz w:val="20"/>
                <w:szCs w:val="20"/>
              </w:rPr>
              <w:t>, Inc.</w:t>
            </w:r>
          </w:p>
        </w:tc>
      </w:tr>
      <w:tr w:rsidRPr="00782FA6" w:rsidR="00DB248A" w:rsidTr="00E52317" w14:paraId="651B006B" w14:textId="77777777">
        <w:trPr>
          <w:trHeight w:val="300"/>
        </w:trPr>
        <w:tc>
          <w:tcPr>
            <w:tcW w:w="1170" w:type="dxa"/>
            <w:noWrap/>
            <w:vAlign w:val="center"/>
            <w:hideMark/>
          </w:tcPr>
          <w:p w:rsidRPr="00782FA6" w:rsidR="00DB248A" w:rsidP="00DB248A" w:rsidRDefault="00DB248A" w14:paraId="216E1330" w14:textId="77777777">
            <w:pPr>
              <w:spacing w:line="240" w:lineRule="auto"/>
              <w:ind w:firstLine="0"/>
              <w:jc w:val="center"/>
              <w:rPr>
                <w:rFonts w:eastAsia="Aptos" w:cs="Times New Roman"/>
                <w:sz w:val="20"/>
                <w:szCs w:val="20"/>
              </w:rPr>
            </w:pPr>
            <w:r w:rsidRPr="00782FA6">
              <w:rPr>
                <w:rFonts w:eastAsia="Aptos" w:cs="Times New Roman"/>
                <w:sz w:val="20"/>
                <w:szCs w:val="20"/>
              </w:rPr>
              <w:t>1138</w:t>
            </w:r>
          </w:p>
        </w:tc>
        <w:tc>
          <w:tcPr>
            <w:tcW w:w="1036" w:type="dxa"/>
            <w:noWrap/>
            <w:vAlign w:val="center"/>
            <w:hideMark/>
          </w:tcPr>
          <w:p w:rsidRPr="00782FA6" w:rsidR="00DB248A" w:rsidP="00DB248A" w:rsidRDefault="00DB248A" w14:paraId="16E2E74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09D357D" w14:textId="7B64A9E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9CED27A" w14:textId="2C616CF1">
            <w:pPr>
              <w:spacing w:line="240" w:lineRule="auto"/>
              <w:ind w:firstLine="0"/>
              <w:rPr>
                <w:rFonts w:eastAsia="Aptos" w:cs="Times New Roman"/>
                <w:sz w:val="20"/>
                <w:szCs w:val="20"/>
              </w:rPr>
            </w:pPr>
            <w:r w:rsidRPr="00782FA6">
              <w:rPr>
                <w:rFonts w:eastAsia="Aptos" w:cs="Times New Roman"/>
                <w:sz w:val="20"/>
                <w:szCs w:val="20"/>
              </w:rPr>
              <w:t>Impulse Advanced Communications, LLC</w:t>
            </w:r>
          </w:p>
        </w:tc>
      </w:tr>
      <w:tr w:rsidRPr="00782FA6" w:rsidR="00DB248A" w:rsidTr="00E52317" w14:paraId="445DF30E" w14:textId="77777777">
        <w:trPr>
          <w:trHeight w:val="300"/>
        </w:trPr>
        <w:tc>
          <w:tcPr>
            <w:tcW w:w="1170" w:type="dxa"/>
            <w:noWrap/>
            <w:vAlign w:val="center"/>
            <w:hideMark/>
          </w:tcPr>
          <w:p w:rsidRPr="00782FA6" w:rsidR="00DB248A" w:rsidP="00DB248A" w:rsidRDefault="00DB248A" w14:paraId="57EBF97D" w14:textId="77777777">
            <w:pPr>
              <w:spacing w:line="240" w:lineRule="auto"/>
              <w:ind w:firstLine="0"/>
              <w:jc w:val="center"/>
              <w:rPr>
                <w:rFonts w:eastAsia="Aptos" w:cs="Times New Roman"/>
                <w:sz w:val="20"/>
                <w:szCs w:val="20"/>
              </w:rPr>
            </w:pPr>
            <w:r w:rsidRPr="00782FA6">
              <w:rPr>
                <w:rFonts w:eastAsia="Aptos" w:cs="Times New Roman"/>
                <w:sz w:val="20"/>
                <w:szCs w:val="20"/>
              </w:rPr>
              <w:t>1139</w:t>
            </w:r>
          </w:p>
        </w:tc>
        <w:tc>
          <w:tcPr>
            <w:tcW w:w="1036" w:type="dxa"/>
            <w:noWrap/>
            <w:vAlign w:val="center"/>
            <w:hideMark/>
          </w:tcPr>
          <w:p w:rsidRPr="00782FA6" w:rsidR="00DB248A" w:rsidP="00DB248A" w:rsidRDefault="00DB248A" w14:paraId="12CF0A7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B824F53" w14:textId="35ADC97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BD1AA89" w14:textId="1A19D162">
            <w:pPr>
              <w:spacing w:line="240" w:lineRule="auto"/>
              <w:ind w:firstLine="0"/>
              <w:rPr>
                <w:rFonts w:eastAsia="Aptos" w:cs="Times New Roman"/>
                <w:sz w:val="20"/>
                <w:szCs w:val="20"/>
              </w:rPr>
            </w:pPr>
            <w:r w:rsidRPr="00782FA6">
              <w:rPr>
                <w:rFonts w:eastAsia="Aptos" w:cs="Times New Roman"/>
                <w:sz w:val="20"/>
                <w:szCs w:val="20"/>
              </w:rPr>
              <w:t>8x8, Inc.</w:t>
            </w:r>
          </w:p>
        </w:tc>
      </w:tr>
      <w:tr w:rsidRPr="00782FA6" w:rsidR="00DB248A" w:rsidTr="00E52317" w14:paraId="64F639CE" w14:textId="77777777">
        <w:trPr>
          <w:trHeight w:val="300"/>
        </w:trPr>
        <w:tc>
          <w:tcPr>
            <w:tcW w:w="1170" w:type="dxa"/>
            <w:noWrap/>
            <w:vAlign w:val="center"/>
            <w:hideMark/>
          </w:tcPr>
          <w:p w:rsidRPr="00782FA6" w:rsidR="00DB248A" w:rsidP="00DB248A" w:rsidRDefault="00DB248A" w14:paraId="63423B1F" w14:textId="77777777">
            <w:pPr>
              <w:spacing w:line="240" w:lineRule="auto"/>
              <w:ind w:firstLine="0"/>
              <w:jc w:val="center"/>
              <w:rPr>
                <w:rFonts w:eastAsia="Aptos" w:cs="Times New Roman"/>
                <w:sz w:val="20"/>
                <w:szCs w:val="20"/>
              </w:rPr>
            </w:pPr>
            <w:r w:rsidRPr="00782FA6">
              <w:rPr>
                <w:rFonts w:eastAsia="Aptos" w:cs="Times New Roman"/>
                <w:sz w:val="20"/>
                <w:szCs w:val="20"/>
              </w:rPr>
              <w:t>1141</w:t>
            </w:r>
          </w:p>
        </w:tc>
        <w:tc>
          <w:tcPr>
            <w:tcW w:w="1036" w:type="dxa"/>
            <w:noWrap/>
            <w:vAlign w:val="center"/>
            <w:hideMark/>
          </w:tcPr>
          <w:p w:rsidRPr="00782FA6" w:rsidR="00DB248A" w:rsidP="00DB248A" w:rsidRDefault="00DB248A" w14:paraId="7EE308B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8700DAC" w14:textId="5804BA2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6D19F34" w14:textId="012A223C">
            <w:pPr>
              <w:spacing w:line="240" w:lineRule="auto"/>
              <w:ind w:firstLine="0"/>
              <w:rPr>
                <w:rFonts w:eastAsia="Aptos" w:cs="Times New Roman"/>
                <w:sz w:val="20"/>
                <w:szCs w:val="20"/>
              </w:rPr>
            </w:pPr>
            <w:r w:rsidRPr="00782FA6">
              <w:rPr>
                <w:rFonts w:eastAsia="Aptos" w:cs="Times New Roman"/>
                <w:sz w:val="20"/>
                <w:szCs w:val="20"/>
              </w:rPr>
              <w:t>PNG Telecommunications, Inc.</w:t>
            </w:r>
          </w:p>
        </w:tc>
      </w:tr>
      <w:tr w:rsidRPr="00782FA6" w:rsidR="00DB248A" w:rsidTr="00E52317" w14:paraId="39BAF47B" w14:textId="77777777">
        <w:trPr>
          <w:trHeight w:val="300"/>
        </w:trPr>
        <w:tc>
          <w:tcPr>
            <w:tcW w:w="1170" w:type="dxa"/>
            <w:noWrap/>
            <w:vAlign w:val="center"/>
            <w:hideMark/>
          </w:tcPr>
          <w:p w:rsidRPr="00782FA6" w:rsidR="00DB248A" w:rsidP="00DB248A" w:rsidRDefault="00DB248A" w14:paraId="55149310" w14:textId="77777777">
            <w:pPr>
              <w:spacing w:line="240" w:lineRule="auto"/>
              <w:ind w:firstLine="0"/>
              <w:jc w:val="center"/>
              <w:rPr>
                <w:rFonts w:eastAsia="Aptos" w:cs="Times New Roman"/>
                <w:sz w:val="20"/>
                <w:szCs w:val="20"/>
              </w:rPr>
            </w:pPr>
            <w:r w:rsidRPr="00782FA6">
              <w:rPr>
                <w:rFonts w:eastAsia="Aptos" w:cs="Times New Roman"/>
                <w:sz w:val="20"/>
                <w:szCs w:val="20"/>
              </w:rPr>
              <w:t>1142</w:t>
            </w:r>
          </w:p>
        </w:tc>
        <w:tc>
          <w:tcPr>
            <w:tcW w:w="1036" w:type="dxa"/>
            <w:noWrap/>
            <w:vAlign w:val="center"/>
            <w:hideMark/>
          </w:tcPr>
          <w:p w:rsidRPr="00782FA6" w:rsidR="00DB248A" w:rsidP="00DB248A" w:rsidRDefault="00DB248A" w14:paraId="115AB6F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E275CCC" w14:textId="3E64A49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02ACA25" w14:textId="0DC949F8">
            <w:pPr>
              <w:spacing w:line="240" w:lineRule="auto"/>
              <w:ind w:firstLine="0"/>
              <w:rPr>
                <w:rFonts w:eastAsia="Aptos" w:cs="Times New Roman"/>
                <w:sz w:val="20"/>
                <w:szCs w:val="20"/>
              </w:rPr>
            </w:pPr>
            <w:r w:rsidRPr="00782FA6">
              <w:rPr>
                <w:rFonts w:eastAsia="Aptos" w:cs="Times New Roman"/>
                <w:sz w:val="20"/>
                <w:szCs w:val="20"/>
              </w:rPr>
              <w:t>CARYCO Tech</w:t>
            </w:r>
          </w:p>
        </w:tc>
      </w:tr>
      <w:tr w:rsidRPr="00782FA6" w:rsidR="00DB248A" w:rsidTr="00E52317" w14:paraId="7390A277" w14:textId="77777777">
        <w:trPr>
          <w:trHeight w:val="300"/>
        </w:trPr>
        <w:tc>
          <w:tcPr>
            <w:tcW w:w="1170" w:type="dxa"/>
            <w:noWrap/>
            <w:vAlign w:val="center"/>
            <w:hideMark/>
          </w:tcPr>
          <w:p w:rsidRPr="00782FA6" w:rsidR="00DB248A" w:rsidP="00DB248A" w:rsidRDefault="00DB248A" w14:paraId="5441DB4A" w14:textId="77777777">
            <w:pPr>
              <w:spacing w:line="240" w:lineRule="auto"/>
              <w:ind w:firstLine="0"/>
              <w:jc w:val="center"/>
              <w:rPr>
                <w:rFonts w:eastAsia="Aptos" w:cs="Times New Roman"/>
                <w:sz w:val="20"/>
                <w:szCs w:val="20"/>
              </w:rPr>
            </w:pPr>
            <w:r w:rsidRPr="00782FA6">
              <w:rPr>
                <w:rFonts w:eastAsia="Aptos" w:cs="Times New Roman"/>
                <w:sz w:val="20"/>
                <w:szCs w:val="20"/>
              </w:rPr>
              <w:t>1143</w:t>
            </w:r>
          </w:p>
        </w:tc>
        <w:tc>
          <w:tcPr>
            <w:tcW w:w="1036" w:type="dxa"/>
            <w:noWrap/>
            <w:vAlign w:val="center"/>
            <w:hideMark/>
          </w:tcPr>
          <w:p w:rsidRPr="00782FA6" w:rsidR="00DB248A" w:rsidP="00DB248A" w:rsidRDefault="00DB248A" w14:paraId="7D86801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046E200" w14:textId="4C76E3B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BED0D3C" w14:textId="471FF6AB">
            <w:pPr>
              <w:spacing w:line="240" w:lineRule="auto"/>
              <w:ind w:firstLine="0"/>
              <w:rPr>
                <w:rFonts w:eastAsia="Aptos" w:cs="Times New Roman"/>
                <w:sz w:val="20"/>
                <w:szCs w:val="20"/>
              </w:rPr>
            </w:pPr>
            <w:proofErr w:type="spellStart"/>
            <w:r w:rsidRPr="00782FA6">
              <w:rPr>
                <w:rFonts w:eastAsia="Aptos" w:cs="Times New Roman"/>
                <w:sz w:val="20"/>
                <w:szCs w:val="20"/>
              </w:rPr>
              <w:t>Tierzero</w:t>
            </w:r>
            <w:proofErr w:type="spellEnd"/>
          </w:p>
        </w:tc>
      </w:tr>
      <w:tr w:rsidRPr="00782FA6" w:rsidR="00DB248A" w:rsidTr="00E52317" w14:paraId="51CCBF53" w14:textId="77777777">
        <w:trPr>
          <w:trHeight w:val="300"/>
        </w:trPr>
        <w:tc>
          <w:tcPr>
            <w:tcW w:w="1170" w:type="dxa"/>
            <w:noWrap/>
            <w:vAlign w:val="center"/>
            <w:hideMark/>
          </w:tcPr>
          <w:p w:rsidRPr="00782FA6" w:rsidR="00DB248A" w:rsidP="00DB248A" w:rsidRDefault="00DB248A" w14:paraId="0EB5AE03" w14:textId="77777777">
            <w:pPr>
              <w:spacing w:line="240" w:lineRule="auto"/>
              <w:ind w:firstLine="0"/>
              <w:jc w:val="center"/>
              <w:rPr>
                <w:rFonts w:eastAsia="Aptos" w:cs="Times New Roman"/>
                <w:sz w:val="20"/>
                <w:szCs w:val="20"/>
              </w:rPr>
            </w:pPr>
            <w:r w:rsidRPr="00782FA6">
              <w:rPr>
                <w:rFonts w:eastAsia="Aptos" w:cs="Times New Roman"/>
                <w:sz w:val="20"/>
                <w:szCs w:val="20"/>
              </w:rPr>
              <w:t>1144</w:t>
            </w:r>
          </w:p>
        </w:tc>
        <w:tc>
          <w:tcPr>
            <w:tcW w:w="1036" w:type="dxa"/>
            <w:noWrap/>
            <w:vAlign w:val="center"/>
            <w:hideMark/>
          </w:tcPr>
          <w:p w:rsidRPr="00782FA6" w:rsidR="00DB248A" w:rsidP="00DB248A" w:rsidRDefault="00DB248A" w14:paraId="6AE1697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24A285F" w14:textId="23CDADC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497621A" w14:textId="2A58F8B6">
            <w:pPr>
              <w:spacing w:line="240" w:lineRule="auto"/>
              <w:ind w:firstLine="0"/>
              <w:rPr>
                <w:rFonts w:eastAsia="Aptos" w:cs="Times New Roman"/>
                <w:sz w:val="20"/>
                <w:szCs w:val="20"/>
              </w:rPr>
            </w:pPr>
            <w:proofErr w:type="spellStart"/>
            <w:r w:rsidRPr="00782FA6">
              <w:rPr>
                <w:rFonts w:eastAsia="Aptos" w:cs="Times New Roman"/>
                <w:sz w:val="20"/>
                <w:szCs w:val="20"/>
              </w:rPr>
              <w:t>Ringcentral</w:t>
            </w:r>
            <w:proofErr w:type="spellEnd"/>
            <w:r w:rsidRPr="00782FA6">
              <w:rPr>
                <w:rFonts w:eastAsia="Aptos" w:cs="Times New Roman"/>
                <w:sz w:val="20"/>
                <w:szCs w:val="20"/>
              </w:rPr>
              <w:t>, Inc.</w:t>
            </w:r>
          </w:p>
        </w:tc>
      </w:tr>
      <w:tr w:rsidRPr="00782FA6" w:rsidR="00DB248A" w:rsidTr="00E52317" w14:paraId="42417DF6" w14:textId="77777777">
        <w:trPr>
          <w:trHeight w:val="300"/>
        </w:trPr>
        <w:tc>
          <w:tcPr>
            <w:tcW w:w="1170" w:type="dxa"/>
            <w:noWrap/>
            <w:vAlign w:val="center"/>
            <w:hideMark/>
          </w:tcPr>
          <w:p w:rsidRPr="00782FA6" w:rsidR="00DB248A" w:rsidP="00DB248A" w:rsidRDefault="00DB248A" w14:paraId="36D4B78F" w14:textId="77777777">
            <w:pPr>
              <w:spacing w:line="240" w:lineRule="auto"/>
              <w:ind w:firstLine="0"/>
              <w:jc w:val="center"/>
              <w:rPr>
                <w:rFonts w:eastAsia="Aptos" w:cs="Times New Roman"/>
                <w:sz w:val="20"/>
                <w:szCs w:val="20"/>
              </w:rPr>
            </w:pPr>
            <w:r w:rsidRPr="00782FA6">
              <w:rPr>
                <w:rFonts w:eastAsia="Aptos" w:cs="Times New Roman"/>
                <w:sz w:val="20"/>
                <w:szCs w:val="20"/>
              </w:rPr>
              <w:t>1146</w:t>
            </w:r>
          </w:p>
        </w:tc>
        <w:tc>
          <w:tcPr>
            <w:tcW w:w="1036" w:type="dxa"/>
            <w:noWrap/>
            <w:vAlign w:val="center"/>
            <w:hideMark/>
          </w:tcPr>
          <w:p w:rsidRPr="00782FA6" w:rsidR="00DB248A" w:rsidP="00DB248A" w:rsidRDefault="00DB248A" w14:paraId="1992ABB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CFF53FC" w14:textId="37F983F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AD238E3" w14:textId="61FB9E93">
            <w:pPr>
              <w:spacing w:line="240" w:lineRule="auto"/>
              <w:ind w:firstLine="0"/>
              <w:rPr>
                <w:rFonts w:eastAsia="Aptos" w:cs="Times New Roman"/>
                <w:sz w:val="20"/>
                <w:szCs w:val="20"/>
              </w:rPr>
            </w:pPr>
            <w:proofErr w:type="spellStart"/>
            <w:r w:rsidRPr="00782FA6">
              <w:rPr>
                <w:rFonts w:eastAsia="Aptos" w:cs="Times New Roman"/>
                <w:sz w:val="20"/>
                <w:szCs w:val="20"/>
              </w:rPr>
              <w:t>Jivetel</w:t>
            </w:r>
            <w:proofErr w:type="spellEnd"/>
            <w:r w:rsidRPr="00782FA6">
              <w:rPr>
                <w:rFonts w:eastAsia="Aptos" w:cs="Times New Roman"/>
                <w:sz w:val="20"/>
                <w:szCs w:val="20"/>
              </w:rPr>
              <w:t>, LLC</w:t>
            </w:r>
          </w:p>
        </w:tc>
      </w:tr>
      <w:tr w:rsidRPr="00782FA6" w:rsidR="00DB248A" w:rsidTr="00E52317" w14:paraId="0CE3D7CD" w14:textId="77777777">
        <w:trPr>
          <w:trHeight w:val="300"/>
        </w:trPr>
        <w:tc>
          <w:tcPr>
            <w:tcW w:w="1170" w:type="dxa"/>
            <w:noWrap/>
            <w:vAlign w:val="center"/>
            <w:hideMark/>
          </w:tcPr>
          <w:p w:rsidRPr="00782FA6" w:rsidR="00DB248A" w:rsidP="00DB248A" w:rsidRDefault="00DB248A" w14:paraId="658A22D4" w14:textId="77777777">
            <w:pPr>
              <w:spacing w:line="240" w:lineRule="auto"/>
              <w:ind w:firstLine="0"/>
              <w:jc w:val="center"/>
              <w:rPr>
                <w:rFonts w:eastAsia="Aptos" w:cs="Times New Roman"/>
                <w:sz w:val="20"/>
                <w:szCs w:val="20"/>
              </w:rPr>
            </w:pPr>
            <w:r w:rsidRPr="00782FA6">
              <w:rPr>
                <w:rFonts w:eastAsia="Aptos" w:cs="Times New Roman"/>
                <w:sz w:val="20"/>
                <w:szCs w:val="20"/>
              </w:rPr>
              <w:t>1148</w:t>
            </w:r>
          </w:p>
        </w:tc>
        <w:tc>
          <w:tcPr>
            <w:tcW w:w="1036" w:type="dxa"/>
            <w:noWrap/>
            <w:vAlign w:val="center"/>
            <w:hideMark/>
          </w:tcPr>
          <w:p w:rsidRPr="00782FA6" w:rsidR="00DB248A" w:rsidP="00DB248A" w:rsidRDefault="00DB248A" w14:paraId="7F66FE6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9E093F8" w14:textId="5309FF5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D3A71A9" w14:textId="3A459136">
            <w:pPr>
              <w:spacing w:line="240" w:lineRule="auto"/>
              <w:ind w:firstLine="0"/>
              <w:rPr>
                <w:rFonts w:eastAsia="Aptos" w:cs="Times New Roman"/>
                <w:sz w:val="20"/>
                <w:szCs w:val="20"/>
              </w:rPr>
            </w:pPr>
            <w:proofErr w:type="spellStart"/>
            <w:r w:rsidRPr="00782FA6">
              <w:rPr>
                <w:rFonts w:eastAsia="Aptos" w:cs="Times New Roman"/>
                <w:sz w:val="20"/>
                <w:szCs w:val="20"/>
              </w:rPr>
              <w:t>Intrado</w:t>
            </w:r>
            <w:proofErr w:type="spellEnd"/>
            <w:r w:rsidRPr="00782FA6">
              <w:rPr>
                <w:rFonts w:eastAsia="Aptos" w:cs="Times New Roman"/>
                <w:sz w:val="20"/>
                <w:szCs w:val="20"/>
              </w:rPr>
              <w:t xml:space="preserve"> IP Communications, Inc.</w:t>
            </w:r>
          </w:p>
        </w:tc>
      </w:tr>
      <w:tr w:rsidRPr="00782FA6" w:rsidR="00DB248A" w:rsidTr="00E52317" w14:paraId="7FF6F81D" w14:textId="77777777">
        <w:trPr>
          <w:trHeight w:val="300"/>
        </w:trPr>
        <w:tc>
          <w:tcPr>
            <w:tcW w:w="1170" w:type="dxa"/>
            <w:noWrap/>
            <w:vAlign w:val="center"/>
            <w:hideMark/>
          </w:tcPr>
          <w:p w:rsidRPr="00782FA6" w:rsidR="00DB248A" w:rsidP="00DB248A" w:rsidRDefault="00DB248A" w14:paraId="1BDA82D4" w14:textId="77777777">
            <w:pPr>
              <w:spacing w:line="240" w:lineRule="auto"/>
              <w:ind w:firstLine="0"/>
              <w:jc w:val="center"/>
              <w:rPr>
                <w:rFonts w:eastAsia="Aptos" w:cs="Times New Roman"/>
                <w:sz w:val="20"/>
                <w:szCs w:val="20"/>
              </w:rPr>
            </w:pPr>
            <w:r w:rsidRPr="00782FA6">
              <w:rPr>
                <w:rFonts w:eastAsia="Aptos" w:cs="Times New Roman"/>
                <w:sz w:val="20"/>
                <w:szCs w:val="20"/>
              </w:rPr>
              <w:t>1150</w:t>
            </w:r>
          </w:p>
        </w:tc>
        <w:tc>
          <w:tcPr>
            <w:tcW w:w="1036" w:type="dxa"/>
            <w:noWrap/>
            <w:vAlign w:val="center"/>
            <w:hideMark/>
          </w:tcPr>
          <w:p w:rsidRPr="00782FA6" w:rsidR="00DB248A" w:rsidP="00DB248A" w:rsidRDefault="00DB248A" w14:paraId="28D9D11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FF66F0C" w14:textId="25279D7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73628AE" w14:textId="57995248">
            <w:pPr>
              <w:spacing w:line="240" w:lineRule="auto"/>
              <w:ind w:firstLine="0"/>
              <w:rPr>
                <w:rFonts w:eastAsia="Aptos" w:cs="Times New Roman"/>
                <w:sz w:val="20"/>
                <w:szCs w:val="20"/>
              </w:rPr>
            </w:pPr>
            <w:r w:rsidRPr="00782FA6">
              <w:rPr>
                <w:rFonts w:eastAsia="Aptos" w:cs="Times New Roman"/>
                <w:sz w:val="20"/>
                <w:szCs w:val="20"/>
              </w:rPr>
              <w:t>Vonage Business, Inc.</w:t>
            </w:r>
          </w:p>
        </w:tc>
      </w:tr>
      <w:tr w:rsidRPr="00782FA6" w:rsidR="00DB248A" w:rsidTr="00E52317" w14:paraId="18080F4D" w14:textId="77777777">
        <w:trPr>
          <w:trHeight w:val="300"/>
        </w:trPr>
        <w:tc>
          <w:tcPr>
            <w:tcW w:w="1170" w:type="dxa"/>
            <w:noWrap/>
            <w:vAlign w:val="center"/>
            <w:hideMark/>
          </w:tcPr>
          <w:p w:rsidRPr="00782FA6" w:rsidR="00DB248A" w:rsidP="00DB248A" w:rsidRDefault="00DB248A" w14:paraId="40995D8E" w14:textId="77777777">
            <w:pPr>
              <w:spacing w:line="240" w:lineRule="auto"/>
              <w:ind w:firstLine="0"/>
              <w:jc w:val="center"/>
              <w:rPr>
                <w:rFonts w:eastAsia="Aptos" w:cs="Times New Roman"/>
                <w:sz w:val="20"/>
                <w:szCs w:val="20"/>
              </w:rPr>
            </w:pPr>
            <w:r w:rsidRPr="00782FA6">
              <w:rPr>
                <w:rFonts w:eastAsia="Aptos" w:cs="Times New Roman"/>
                <w:sz w:val="20"/>
                <w:szCs w:val="20"/>
              </w:rPr>
              <w:t>1151</w:t>
            </w:r>
          </w:p>
        </w:tc>
        <w:tc>
          <w:tcPr>
            <w:tcW w:w="1036" w:type="dxa"/>
            <w:noWrap/>
            <w:vAlign w:val="center"/>
            <w:hideMark/>
          </w:tcPr>
          <w:p w:rsidRPr="00782FA6" w:rsidR="00DB248A" w:rsidP="00DB248A" w:rsidRDefault="00DB248A" w14:paraId="56A6F58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1A0F790" w14:textId="2146A30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E259621" w14:textId="1C0EDF80">
            <w:pPr>
              <w:spacing w:line="240" w:lineRule="auto"/>
              <w:ind w:firstLine="0"/>
              <w:rPr>
                <w:rFonts w:eastAsia="Aptos" w:cs="Times New Roman"/>
                <w:sz w:val="20"/>
                <w:szCs w:val="20"/>
              </w:rPr>
            </w:pPr>
            <w:proofErr w:type="spellStart"/>
            <w:r w:rsidRPr="00782FA6">
              <w:rPr>
                <w:rFonts w:eastAsia="Aptos" w:cs="Times New Roman"/>
                <w:sz w:val="20"/>
                <w:szCs w:val="20"/>
              </w:rPr>
              <w:t>DigitalPath</w:t>
            </w:r>
            <w:proofErr w:type="spellEnd"/>
            <w:r w:rsidRPr="00782FA6">
              <w:rPr>
                <w:rFonts w:eastAsia="Aptos" w:cs="Times New Roman"/>
                <w:sz w:val="20"/>
                <w:szCs w:val="20"/>
              </w:rPr>
              <w:t>, Inc.</w:t>
            </w:r>
          </w:p>
        </w:tc>
      </w:tr>
      <w:tr w:rsidRPr="00782FA6" w:rsidR="00DB248A" w:rsidTr="00E52317" w14:paraId="1D065D74" w14:textId="77777777">
        <w:trPr>
          <w:trHeight w:val="300"/>
        </w:trPr>
        <w:tc>
          <w:tcPr>
            <w:tcW w:w="1170" w:type="dxa"/>
            <w:noWrap/>
            <w:vAlign w:val="center"/>
            <w:hideMark/>
          </w:tcPr>
          <w:p w:rsidRPr="00782FA6" w:rsidR="00DB248A" w:rsidP="00DB248A" w:rsidRDefault="00DB248A" w14:paraId="083FB612" w14:textId="77777777">
            <w:pPr>
              <w:spacing w:line="240" w:lineRule="auto"/>
              <w:ind w:firstLine="0"/>
              <w:jc w:val="center"/>
              <w:rPr>
                <w:rFonts w:eastAsia="Aptos" w:cs="Times New Roman"/>
                <w:sz w:val="20"/>
                <w:szCs w:val="20"/>
              </w:rPr>
            </w:pPr>
            <w:r w:rsidRPr="00782FA6">
              <w:rPr>
                <w:rFonts w:eastAsia="Aptos" w:cs="Times New Roman"/>
                <w:sz w:val="20"/>
                <w:szCs w:val="20"/>
              </w:rPr>
              <w:t>1152</w:t>
            </w:r>
          </w:p>
        </w:tc>
        <w:tc>
          <w:tcPr>
            <w:tcW w:w="1036" w:type="dxa"/>
            <w:noWrap/>
            <w:vAlign w:val="center"/>
            <w:hideMark/>
          </w:tcPr>
          <w:p w:rsidRPr="00782FA6" w:rsidR="00DB248A" w:rsidP="00DB248A" w:rsidRDefault="00DB248A" w14:paraId="0F3893C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2F17C0C" w14:textId="52CB460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88903F8" w14:textId="1745FC6C">
            <w:pPr>
              <w:spacing w:line="240" w:lineRule="auto"/>
              <w:ind w:firstLine="0"/>
              <w:rPr>
                <w:rFonts w:eastAsia="Aptos" w:cs="Times New Roman"/>
                <w:sz w:val="20"/>
                <w:szCs w:val="20"/>
              </w:rPr>
            </w:pPr>
            <w:r w:rsidRPr="00782FA6">
              <w:rPr>
                <w:rFonts w:eastAsia="Aptos" w:cs="Times New Roman"/>
                <w:sz w:val="20"/>
                <w:szCs w:val="20"/>
              </w:rPr>
              <w:t>BCT Consulting, LLC</w:t>
            </w:r>
          </w:p>
        </w:tc>
      </w:tr>
      <w:tr w:rsidRPr="00782FA6" w:rsidR="00DB248A" w:rsidTr="00E52317" w14:paraId="6F0682AC" w14:textId="77777777">
        <w:trPr>
          <w:trHeight w:val="300"/>
        </w:trPr>
        <w:tc>
          <w:tcPr>
            <w:tcW w:w="1170" w:type="dxa"/>
            <w:noWrap/>
            <w:vAlign w:val="center"/>
            <w:hideMark/>
          </w:tcPr>
          <w:p w:rsidRPr="00782FA6" w:rsidR="00DB248A" w:rsidP="00DB248A" w:rsidRDefault="00DB248A" w14:paraId="183BFF23" w14:textId="77777777">
            <w:pPr>
              <w:spacing w:line="240" w:lineRule="auto"/>
              <w:ind w:firstLine="0"/>
              <w:jc w:val="center"/>
              <w:rPr>
                <w:rFonts w:eastAsia="Aptos" w:cs="Times New Roman"/>
                <w:sz w:val="20"/>
                <w:szCs w:val="20"/>
              </w:rPr>
            </w:pPr>
            <w:r w:rsidRPr="00782FA6">
              <w:rPr>
                <w:rFonts w:eastAsia="Aptos" w:cs="Times New Roman"/>
                <w:sz w:val="20"/>
                <w:szCs w:val="20"/>
              </w:rPr>
              <w:t>1155</w:t>
            </w:r>
          </w:p>
        </w:tc>
        <w:tc>
          <w:tcPr>
            <w:tcW w:w="1036" w:type="dxa"/>
            <w:noWrap/>
            <w:vAlign w:val="center"/>
            <w:hideMark/>
          </w:tcPr>
          <w:p w:rsidRPr="00782FA6" w:rsidR="00DB248A" w:rsidP="00DB248A" w:rsidRDefault="00DB248A" w14:paraId="50B7ACF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A99B47F" w14:textId="759E781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172817A" w14:textId="3530C246">
            <w:pPr>
              <w:spacing w:line="240" w:lineRule="auto"/>
              <w:ind w:firstLine="0"/>
              <w:rPr>
                <w:rFonts w:eastAsia="Aptos" w:cs="Times New Roman"/>
                <w:sz w:val="20"/>
                <w:szCs w:val="20"/>
              </w:rPr>
            </w:pPr>
            <w:r w:rsidRPr="00782FA6">
              <w:rPr>
                <w:rFonts w:eastAsia="Aptos" w:cs="Times New Roman"/>
                <w:sz w:val="20"/>
                <w:szCs w:val="20"/>
              </w:rPr>
              <w:t>EZ Network Systems, Inc.</w:t>
            </w:r>
          </w:p>
        </w:tc>
      </w:tr>
      <w:tr w:rsidRPr="00782FA6" w:rsidR="00DB248A" w:rsidTr="00E52317" w14:paraId="67DB0D3F" w14:textId="77777777">
        <w:trPr>
          <w:trHeight w:val="300"/>
        </w:trPr>
        <w:tc>
          <w:tcPr>
            <w:tcW w:w="1170" w:type="dxa"/>
            <w:noWrap/>
            <w:vAlign w:val="center"/>
            <w:hideMark/>
          </w:tcPr>
          <w:p w:rsidRPr="00782FA6" w:rsidR="00DB248A" w:rsidP="00DB248A" w:rsidRDefault="00DB248A" w14:paraId="67CFE8B5" w14:textId="77777777">
            <w:pPr>
              <w:spacing w:line="240" w:lineRule="auto"/>
              <w:ind w:firstLine="0"/>
              <w:jc w:val="center"/>
              <w:rPr>
                <w:rFonts w:eastAsia="Aptos" w:cs="Times New Roman"/>
                <w:sz w:val="20"/>
                <w:szCs w:val="20"/>
              </w:rPr>
            </w:pPr>
            <w:r w:rsidRPr="00782FA6">
              <w:rPr>
                <w:rFonts w:eastAsia="Aptos" w:cs="Times New Roman"/>
                <w:sz w:val="20"/>
                <w:szCs w:val="20"/>
              </w:rPr>
              <w:t>1157</w:t>
            </w:r>
          </w:p>
        </w:tc>
        <w:tc>
          <w:tcPr>
            <w:tcW w:w="1036" w:type="dxa"/>
            <w:noWrap/>
            <w:vAlign w:val="center"/>
            <w:hideMark/>
          </w:tcPr>
          <w:p w:rsidRPr="00782FA6" w:rsidR="00DB248A" w:rsidP="00DB248A" w:rsidRDefault="00DB248A" w14:paraId="2E1F5B1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9F5F708" w14:textId="4658A4A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3F589EC" w14:textId="65AE4766">
            <w:pPr>
              <w:spacing w:line="240" w:lineRule="auto"/>
              <w:ind w:firstLine="0"/>
              <w:rPr>
                <w:rFonts w:eastAsia="Aptos" w:cs="Times New Roman"/>
                <w:sz w:val="20"/>
                <w:szCs w:val="20"/>
              </w:rPr>
            </w:pPr>
            <w:proofErr w:type="spellStart"/>
            <w:r w:rsidRPr="00782FA6">
              <w:rPr>
                <w:rFonts w:eastAsia="Aptos" w:cs="Times New Roman"/>
                <w:sz w:val="20"/>
                <w:szCs w:val="20"/>
              </w:rPr>
              <w:t>Fuze</w:t>
            </w:r>
            <w:proofErr w:type="spellEnd"/>
            <w:r w:rsidRPr="00782FA6">
              <w:rPr>
                <w:rFonts w:eastAsia="Aptos" w:cs="Times New Roman"/>
                <w:sz w:val="20"/>
                <w:szCs w:val="20"/>
              </w:rPr>
              <w:t>, Inc</w:t>
            </w:r>
          </w:p>
        </w:tc>
      </w:tr>
      <w:tr w:rsidRPr="00782FA6" w:rsidR="00DB248A" w:rsidTr="00E52317" w14:paraId="1D2AB045" w14:textId="77777777">
        <w:trPr>
          <w:trHeight w:val="300"/>
        </w:trPr>
        <w:tc>
          <w:tcPr>
            <w:tcW w:w="1170" w:type="dxa"/>
            <w:noWrap/>
            <w:vAlign w:val="center"/>
            <w:hideMark/>
          </w:tcPr>
          <w:p w:rsidRPr="00782FA6" w:rsidR="00DB248A" w:rsidP="00DB248A" w:rsidRDefault="00DB248A" w14:paraId="59982AE9" w14:textId="77777777">
            <w:pPr>
              <w:spacing w:line="240" w:lineRule="auto"/>
              <w:ind w:firstLine="0"/>
              <w:jc w:val="center"/>
              <w:rPr>
                <w:rFonts w:eastAsia="Aptos" w:cs="Times New Roman"/>
                <w:sz w:val="20"/>
                <w:szCs w:val="20"/>
              </w:rPr>
            </w:pPr>
            <w:r w:rsidRPr="00782FA6">
              <w:rPr>
                <w:rFonts w:eastAsia="Aptos" w:cs="Times New Roman"/>
                <w:sz w:val="20"/>
                <w:szCs w:val="20"/>
              </w:rPr>
              <w:t>1158</w:t>
            </w:r>
          </w:p>
        </w:tc>
        <w:tc>
          <w:tcPr>
            <w:tcW w:w="1036" w:type="dxa"/>
            <w:noWrap/>
            <w:vAlign w:val="center"/>
            <w:hideMark/>
          </w:tcPr>
          <w:p w:rsidRPr="00782FA6" w:rsidR="00DB248A" w:rsidP="00DB248A" w:rsidRDefault="00DB248A" w14:paraId="3DB3249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CF7DD57" w14:textId="227E71F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C9020BB" w14:textId="1C12EC17">
            <w:pPr>
              <w:spacing w:line="240" w:lineRule="auto"/>
              <w:ind w:firstLine="0"/>
              <w:rPr>
                <w:rFonts w:eastAsia="Aptos" w:cs="Times New Roman"/>
                <w:sz w:val="20"/>
                <w:szCs w:val="20"/>
              </w:rPr>
            </w:pPr>
            <w:r w:rsidRPr="00782FA6">
              <w:rPr>
                <w:rFonts w:eastAsia="Aptos" w:cs="Times New Roman"/>
                <w:sz w:val="20"/>
                <w:szCs w:val="20"/>
              </w:rPr>
              <w:t>Spectrum Advanced Services, LLC</w:t>
            </w:r>
          </w:p>
        </w:tc>
      </w:tr>
      <w:tr w:rsidRPr="00782FA6" w:rsidR="00DB248A" w:rsidTr="00E52317" w14:paraId="267A6C2B" w14:textId="77777777">
        <w:trPr>
          <w:trHeight w:val="300"/>
        </w:trPr>
        <w:tc>
          <w:tcPr>
            <w:tcW w:w="1170" w:type="dxa"/>
            <w:noWrap/>
            <w:vAlign w:val="center"/>
            <w:hideMark/>
          </w:tcPr>
          <w:p w:rsidRPr="00782FA6" w:rsidR="00DB248A" w:rsidP="00DB248A" w:rsidRDefault="00DB248A" w14:paraId="09B91632" w14:textId="77777777">
            <w:pPr>
              <w:spacing w:line="240" w:lineRule="auto"/>
              <w:ind w:firstLine="0"/>
              <w:jc w:val="center"/>
              <w:rPr>
                <w:rFonts w:eastAsia="Aptos" w:cs="Times New Roman"/>
                <w:sz w:val="20"/>
                <w:szCs w:val="20"/>
              </w:rPr>
            </w:pPr>
            <w:r w:rsidRPr="00782FA6">
              <w:rPr>
                <w:rFonts w:eastAsia="Aptos" w:cs="Times New Roman"/>
                <w:sz w:val="20"/>
                <w:szCs w:val="20"/>
              </w:rPr>
              <w:t>1164</w:t>
            </w:r>
          </w:p>
        </w:tc>
        <w:tc>
          <w:tcPr>
            <w:tcW w:w="1036" w:type="dxa"/>
            <w:noWrap/>
            <w:vAlign w:val="center"/>
            <w:hideMark/>
          </w:tcPr>
          <w:p w:rsidRPr="00782FA6" w:rsidR="00DB248A" w:rsidP="00DB248A" w:rsidRDefault="00DB248A" w14:paraId="1C95287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4994CAC" w14:textId="450EF29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13D84AB" w14:textId="6BF301CF">
            <w:pPr>
              <w:spacing w:line="240" w:lineRule="auto"/>
              <w:ind w:firstLine="0"/>
              <w:rPr>
                <w:rFonts w:eastAsia="Aptos" w:cs="Times New Roman"/>
                <w:sz w:val="20"/>
                <w:szCs w:val="20"/>
              </w:rPr>
            </w:pPr>
            <w:r w:rsidRPr="00782FA6">
              <w:rPr>
                <w:rFonts w:eastAsia="Aptos" w:cs="Times New Roman"/>
                <w:sz w:val="20"/>
                <w:szCs w:val="20"/>
              </w:rPr>
              <w:t>Callis Communications, Inc.</w:t>
            </w:r>
          </w:p>
        </w:tc>
      </w:tr>
      <w:tr w:rsidRPr="00782FA6" w:rsidR="00DB248A" w:rsidTr="00E52317" w14:paraId="042B2084" w14:textId="77777777">
        <w:trPr>
          <w:trHeight w:val="300"/>
        </w:trPr>
        <w:tc>
          <w:tcPr>
            <w:tcW w:w="1170" w:type="dxa"/>
            <w:noWrap/>
            <w:vAlign w:val="center"/>
            <w:hideMark/>
          </w:tcPr>
          <w:p w:rsidRPr="00782FA6" w:rsidR="00DB248A" w:rsidP="00DB248A" w:rsidRDefault="00DB248A" w14:paraId="419468D1" w14:textId="77777777">
            <w:pPr>
              <w:spacing w:line="240" w:lineRule="auto"/>
              <w:ind w:firstLine="0"/>
              <w:jc w:val="center"/>
              <w:rPr>
                <w:rFonts w:eastAsia="Aptos" w:cs="Times New Roman"/>
                <w:sz w:val="20"/>
                <w:szCs w:val="20"/>
              </w:rPr>
            </w:pPr>
            <w:r w:rsidRPr="00782FA6">
              <w:rPr>
                <w:rFonts w:eastAsia="Aptos" w:cs="Times New Roman"/>
                <w:sz w:val="20"/>
                <w:szCs w:val="20"/>
              </w:rPr>
              <w:lastRenderedPageBreak/>
              <w:t>1165</w:t>
            </w:r>
          </w:p>
        </w:tc>
        <w:tc>
          <w:tcPr>
            <w:tcW w:w="1036" w:type="dxa"/>
            <w:noWrap/>
            <w:vAlign w:val="center"/>
            <w:hideMark/>
          </w:tcPr>
          <w:p w:rsidRPr="00782FA6" w:rsidR="00DB248A" w:rsidP="00DB248A" w:rsidRDefault="00DB248A" w14:paraId="7585E06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200C654" w14:textId="1A08C00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BFFD93E" w14:textId="681F40AB">
            <w:pPr>
              <w:spacing w:line="240" w:lineRule="auto"/>
              <w:ind w:firstLine="0"/>
              <w:rPr>
                <w:rFonts w:eastAsia="Aptos" w:cs="Times New Roman"/>
                <w:sz w:val="20"/>
                <w:szCs w:val="20"/>
              </w:rPr>
            </w:pPr>
            <w:r w:rsidRPr="00782FA6">
              <w:rPr>
                <w:rFonts w:eastAsia="Aptos" w:cs="Times New Roman"/>
                <w:sz w:val="20"/>
                <w:szCs w:val="20"/>
              </w:rPr>
              <w:t>G3 Telecom USA, Inc.</w:t>
            </w:r>
          </w:p>
        </w:tc>
      </w:tr>
      <w:tr w:rsidRPr="00782FA6" w:rsidR="00DB248A" w:rsidTr="00E52317" w14:paraId="0D9A7E84" w14:textId="77777777">
        <w:trPr>
          <w:trHeight w:val="300"/>
        </w:trPr>
        <w:tc>
          <w:tcPr>
            <w:tcW w:w="1170" w:type="dxa"/>
            <w:noWrap/>
            <w:vAlign w:val="center"/>
            <w:hideMark/>
          </w:tcPr>
          <w:p w:rsidRPr="00782FA6" w:rsidR="00DB248A" w:rsidP="00DB248A" w:rsidRDefault="00DB248A" w14:paraId="058B239A" w14:textId="77777777">
            <w:pPr>
              <w:spacing w:line="240" w:lineRule="auto"/>
              <w:ind w:firstLine="0"/>
              <w:jc w:val="center"/>
              <w:rPr>
                <w:rFonts w:eastAsia="Aptos" w:cs="Times New Roman"/>
                <w:sz w:val="20"/>
                <w:szCs w:val="20"/>
              </w:rPr>
            </w:pPr>
            <w:r w:rsidRPr="00782FA6">
              <w:rPr>
                <w:rFonts w:eastAsia="Aptos" w:cs="Times New Roman"/>
                <w:sz w:val="20"/>
                <w:szCs w:val="20"/>
              </w:rPr>
              <w:t>1168</w:t>
            </w:r>
          </w:p>
        </w:tc>
        <w:tc>
          <w:tcPr>
            <w:tcW w:w="1036" w:type="dxa"/>
            <w:noWrap/>
            <w:vAlign w:val="center"/>
            <w:hideMark/>
          </w:tcPr>
          <w:p w:rsidRPr="00782FA6" w:rsidR="00DB248A" w:rsidP="00DB248A" w:rsidRDefault="00DB248A" w14:paraId="45E16E8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19D6CFC" w14:textId="77154AB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45A6252" w14:textId="42C52EB3">
            <w:pPr>
              <w:spacing w:line="240" w:lineRule="auto"/>
              <w:ind w:firstLine="0"/>
              <w:rPr>
                <w:rFonts w:eastAsia="Aptos" w:cs="Times New Roman"/>
                <w:sz w:val="20"/>
                <w:szCs w:val="20"/>
              </w:rPr>
            </w:pPr>
            <w:r w:rsidRPr="00782FA6">
              <w:rPr>
                <w:rFonts w:eastAsia="Aptos" w:cs="Times New Roman"/>
                <w:sz w:val="20"/>
                <w:szCs w:val="20"/>
              </w:rPr>
              <w:t>NPG Digital Phone, LLC</w:t>
            </w:r>
          </w:p>
        </w:tc>
      </w:tr>
      <w:tr w:rsidRPr="00782FA6" w:rsidR="00DB248A" w:rsidTr="00E52317" w14:paraId="30634129" w14:textId="77777777">
        <w:trPr>
          <w:trHeight w:val="300"/>
        </w:trPr>
        <w:tc>
          <w:tcPr>
            <w:tcW w:w="1170" w:type="dxa"/>
            <w:noWrap/>
            <w:vAlign w:val="center"/>
            <w:hideMark/>
          </w:tcPr>
          <w:p w:rsidRPr="00782FA6" w:rsidR="00DB248A" w:rsidP="00DB248A" w:rsidRDefault="00DB248A" w14:paraId="7AF450B6" w14:textId="77777777">
            <w:pPr>
              <w:spacing w:line="240" w:lineRule="auto"/>
              <w:ind w:firstLine="0"/>
              <w:jc w:val="center"/>
              <w:rPr>
                <w:rFonts w:eastAsia="Aptos" w:cs="Times New Roman"/>
                <w:sz w:val="20"/>
                <w:szCs w:val="20"/>
              </w:rPr>
            </w:pPr>
            <w:r w:rsidRPr="00782FA6">
              <w:rPr>
                <w:rFonts w:eastAsia="Aptos" w:cs="Times New Roman"/>
                <w:sz w:val="20"/>
                <w:szCs w:val="20"/>
              </w:rPr>
              <w:t>1171</w:t>
            </w:r>
          </w:p>
        </w:tc>
        <w:tc>
          <w:tcPr>
            <w:tcW w:w="1036" w:type="dxa"/>
            <w:noWrap/>
            <w:vAlign w:val="center"/>
            <w:hideMark/>
          </w:tcPr>
          <w:p w:rsidRPr="00782FA6" w:rsidR="00DB248A" w:rsidP="00DB248A" w:rsidRDefault="00DB248A" w14:paraId="09C9504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D28EA6B" w14:textId="3E3B4DE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B188417" w14:textId="2F6ABEDD">
            <w:pPr>
              <w:spacing w:line="240" w:lineRule="auto"/>
              <w:ind w:firstLine="0"/>
              <w:rPr>
                <w:rFonts w:eastAsia="Aptos" w:cs="Times New Roman"/>
                <w:sz w:val="20"/>
                <w:szCs w:val="20"/>
              </w:rPr>
            </w:pPr>
            <w:r w:rsidRPr="00782FA6">
              <w:rPr>
                <w:rFonts w:eastAsia="Aptos" w:cs="Times New Roman"/>
                <w:sz w:val="20"/>
                <w:szCs w:val="20"/>
              </w:rPr>
              <w:t>Avaya Cloud Inc.</w:t>
            </w:r>
          </w:p>
        </w:tc>
      </w:tr>
      <w:tr w:rsidRPr="00782FA6" w:rsidR="00DB248A" w:rsidTr="00E52317" w14:paraId="42E89854" w14:textId="77777777">
        <w:trPr>
          <w:trHeight w:val="300"/>
        </w:trPr>
        <w:tc>
          <w:tcPr>
            <w:tcW w:w="1170" w:type="dxa"/>
            <w:noWrap/>
            <w:vAlign w:val="center"/>
            <w:hideMark/>
          </w:tcPr>
          <w:p w:rsidRPr="00782FA6" w:rsidR="00DB248A" w:rsidP="00DB248A" w:rsidRDefault="00DB248A" w14:paraId="6AC79A3C" w14:textId="77777777">
            <w:pPr>
              <w:spacing w:line="240" w:lineRule="auto"/>
              <w:ind w:firstLine="0"/>
              <w:jc w:val="center"/>
              <w:rPr>
                <w:rFonts w:eastAsia="Aptos" w:cs="Times New Roman"/>
                <w:sz w:val="20"/>
                <w:szCs w:val="20"/>
              </w:rPr>
            </w:pPr>
            <w:r w:rsidRPr="00782FA6">
              <w:rPr>
                <w:rFonts w:eastAsia="Aptos" w:cs="Times New Roman"/>
                <w:sz w:val="20"/>
                <w:szCs w:val="20"/>
              </w:rPr>
              <w:t>1174</w:t>
            </w:r>
          </w:p>
        </w:tc>
        <w:tc>
          <w:tcPr>
            <w:tcW w:w="1036" w:type="dxa"/>
            <w:noWrap/>
            <w:vAlign w:val="center"/>
            <w:hideMark/>
          </w:tcPr>
          <w:p w:rsidRPr="00782FA6" w:rsidR="00DB248A" w:rsidP="00DB248A" w:rsidRDefault="00DB248A" w14:paraId="0674CF8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E2AEAC0" w14:textId="4049AEC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A4B59D2" w14:textId="15B5E550">
            <w:pPr>
              <w:spacing w:line="240" w:lineRule="auto"/>
              <w:ind w:firstLine="0"/>
              <w:rPr>
                <w:rFonts w:eastAsia="Aptos" w:cs="Times New Roman"/>
                <w:sz w:val="20"/>
                <w:szCs w:val="20"/>
              </w:rPr>
            </w:pPr>
            <w:r w:rsidRPr="00782FA6">
              <w:rPr>
                <w:rFonts w:eastAsia="Aptos" w:cs="Times New Roman"/>
                <w:sz w:val="20"/>
                <w:szCs w:val="20"/>
              </w:rPr>
              <w:t>Personal Network for Computing, Inc.</w:t>
            </w:r>
          </w:p>
        </w:tc>
      </w:tr>
      <w:tr w:rsidRPr="00782FA6" w:rsidR="00DB248A" w:rsidTr="00E52317" w14:paraId="02E6285B" w14:textId="77777777">
        <w:trPr>
          <w:trHeight w:val="300"/>
        </w:trPr>
        <w:tc>
          <w:tcPr>
            <w:tcW w:w="1170" w:type="dxa"/>
            <w:noWrap/>
            <w:vAlign w:val="center"/>
            <w:hideMark/>
          </w:tcPr>
          <w:p w:rsidRPr="00782FA6" w:rsidR="00DB248A" w:rsidP="00DB248A" w:rsidRDefault="00DB248A" w14:paraId="7028A940" w14:textId="77777777">
            <w:pPr>
              <w:spacing w:line="240" w:lineRule="auto"/>
              <w:ind w:firstLine="0"/>
              <w:jc w:val="center"/>
              <w:rPr>
                <w:rFonts w:eastAsia="Aptos" w:cs="Times New Roman"/>
                <w:sz w:val="20"/>
                <w:szCs w:val="20"/>
              </w:rPr>
            </w:pPr>
            <w:r w:rsidRPr="00782FA6">
              <w:rPr>
                <w:rFonts w:eastAsia="Aptos" w:cs="Times New Roman"/>
                <w:sz w:val="20"/>
                <w:szCs w:val="20"/>
              </w:rPr>
              <w:t>1175</w:t>
            </w:r>
          </w:p>
        </w:tc>
        <w:tc>
          <w:tcPr>
            <w:tcW w:w="1036" w:type="dxa"/>
            <w:noWrap/>
            <w:vAlign w:val="center"/>
            <w:hideMark/>
          </w:tcPr>
          <w:p w:rsidRPr="00782FA6" w:rsidR="00DB248A" w:rsidP="00DB248A" w:rsidRDefault="00DB248A" w14:paraId="62F1FB2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1CD64DB" w14:textId="558851E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83DE228" w14:textId="4F7CCCE6">
            <w:pPr>
              <w:spacing w:line="240" w:lineRule="auto"/>
              <w:ind w:firstLine="0"/>
              <w:rPr>
                <w:rFonts w:eastAsia="Aptos" w:cs="Times New Roman"/>
                <w:sz w:val="20"/>
                <w:szCs w:val="20"/>
              </w:rPr>
            </w:pPr>
            <w:r w:rsidRPr="00782FA6">
              <w:rPr>
                <w:rFonts w:eastAsia="Aptos" w:cs="Times New Roman"/>
                <w:sz w:val="20"/>
                <w:szCs w:val="20"/>
              </w:rPr>
              <w:t>Evolve IP</w:t>
            </w:r>
          </w:p>
        </w:tc>
      </w:tr>
      <w:tr w:rsidRPr="00782FA6" w:rsidR="00DB248A" w:rsidTr="00E52317" w14:paraId="70D60D49" w14:textId="77777777">
        <w:trPr>
          <w:trHeight w:val="300"/>
        </w:trPr>
        <w:tc>
          <w:tcPr>
            <w:tcW w:w="1170" w:type="dxa"/>
            <w:noWrap/>
            <w:vAlign w:val="center"/>
            <w:hideMark/>
          </w:tcPr>
          <w:p w:rsidRPr="00782FA6" w:rsidR="00DB248A" w:rsidP="00DB248A" w:rsidRDefault="00DB248A" w14:paraId="52A6CD73" w14:textId="77777777">
            <w:pPr>
              <w:spacing w:line="240" w:lineRule="auto"/>
              <w:ind w:firstLine="0"/>
              <w:jc w:val="center"/>
              <w:rPr>
                <w:rFonts w:eastAsia="Aptos" w:cs="Times New Roman"/>
                <w:sz w:val="20"/>
                <w:szCs w:val="20"/>
              </w:rPr>
            </w:pPr>
            <w:r w:rsidRPr="00782FA6">
              <w:rPr>
                <w:rFonts w:eastAsia="Aptos" w:cs="Times New Roman"/>
                <w:sz w:val="20"/>
                <w:szCs w:val="20"/>
              </w:rPr>
              <w:t>1177</w:t>
            </w:r>
          </w:p>
        </w:tc>
        <w:tc>
          <w:tcPr>
            <w:tcW w:w="1036" w:type="dxa"/>
            <w:noWrap/>
            <w:vAlign w:val="center"/>
            <w:hideMark/>
          </w:tcPr>
          <w:p w:rsidRPr="00782FA6" w:rsidR="00DB248A" w:rsidP="00DB248A" w:rsidRDefault="00DB248A" w14:paraId="64249CE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5E2DAA4" w14:textId="5A3BBFE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BA5335F" w14:textId="3FA2DC1B">
            <w:pPr>
              <w:spacing w:line="240" w:lineRule="auto"/>
              <w:ind w:firstLine="0"/>
              <w:rPr>
                <w:rFonts w:eastAsia="Aptos" w:cs="Times New Roman"/>
                <w:sz w:val="20"/>
                <w:szCs w:val="20"/>
              </w:rPr>
            </w:pPr>
            <w:proofErr w:type="spellStart"/>
            <w:r w:rsidRPr="00782FA6">
              <w:rPr>
                <w:rFonts w:eastAsia="Aptos" w:cs="Times New Roman"/>
                <w:sz w:val="20"/>
                <w:szCs w:val="20"/>
              </w:rPr>
              <w:t>Vodex</w:t>
            </w:r>
            <w:proofErr w:type="spellEnd"/>
            <w:r w:rsidRPr="00782FA6">
              <w:rPr>
                <w:rFonts w:eastAsia="Aptos" w:cs="Times New Roman"/>
                <w:sz w:val="20"/>
                <w:szCs w:val="20"/>
              </w:rPr>
              <w:t xml:space="preserve"> Communications Corporation</w:t>
            </w:r>
          </w:p>
        </w:tc>
      </w:tr>
      <w:tr w:rsidRPr="00782FA6" w:rsidR="00DB248A" w:rsidTr="00E52317" w14:paraId="40A954F8" w14:textId="77777777">
        <w:trPr>
          <w:trHeight w:val="300"/>
        </w:trPr>
        <w:tc>
          <w:tcPr>
            <w:tcW w:w="1170" w:type="dxa"/>
            <w:noWrap/>
            <w:vAlign w:val="center"/>
            <w:hideMark/>
          </w:tcPr>
          <w:p w:rsidRPr="00782FA6" w:rsidR="00DB248A" w:rsidP="00DB248A" w:rsidRDefault="00DB248A" w14:paraId="5EC8A095" w14:textId="77777777">
            <w:pPr>
              <w:spacing w:line="240" w:lineRule="auto"/>
              <w:ind w:firstLine="0"/>
              <w:jc w:val="center"/>
              <w:rPr>
                <w:rFonts w:eastAsia="Aptos" w:cs="Times New Roman"/>
                <w:sz w:val="20"/>
                <w:szCs w:val="20"/>
              </w:rPr>
            </w:pPr>
            <w:r w:rsidRPr="00782FA6">
              <w:rPr>
                <w:rFonts w:eastAsia="Aptos" w:cs="Times New Roman"/>
                <w:sz w:val="20"/>
                <w:szCs w:val="20"/>
              </w:rPr>
              <w:t>1178</w:t>
            </w:r>
          </w:p>
        </w:tc>
        <w:tc>
          <w:tcPr>
            <w:tcW w:w="1036" w:type="dxa"/>
            <w:noWrap/>
            <w:vAlign w:val="center"/>
            <w:hideMark/>
          </w:tcPr>
          <w:p w:rsidRPr="00782FA6" w:rsidR="00DB248A" w:rsidP="00DB248A" w:rsidRDefault="00DB248A" w14:paraId="51C556A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700D163" w14:textId="786C2AC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A9A65C4" w14:textId="4AEAA676">
            <w:pPr>
              <w:spacing w:line="240" w:lineRule="auto"/>
              <w:ind w:firstLine="0"/>
              <w:rPr>
                <w:rFonts w:eastAsia="Aptos" w:cs="Times New Roman"/>
                <w:sz w:val="20"/>
                <w:szCs w:val="20"/>
              </w:rPr>
            </w:pPr>
            <w:r w:rsidRPr="00782FA6">
              <w:rPr>
                <w:rFonts w:eastAsia="Aptos" w:cs="Times New Roman"/>
                <w:sz w:val="20"/>
                <w:szCs w:val="20"/>
              </w:rPr>
              <w:t>Greenfly Networks, Inc.</w:t>
            </w:r>
          </w:p>
        </w:tc>
      </w:tr>
      <w:tr w:rsidRPr="00782FA6" w:rsidR="00DB248A" w:rsidTr="00E52317" w14:paraId="4E7D452C" w14:textId="77777777">
        <w:trPr>
          <w:trHeight w:val="300"/>
        </w:trPr>
        <w:tc>
          <w:tcPr>
            <w:tcW w:w="1170" w:type="dxa"/>
            <w:noWrap/>
            <w:vAlign w:val="center"/>
            <w:hideMark/>
          </w:tcPr>
          <w:p w:rsidRPr="00782FA6" w:rsidR="00DB248A" w:rsidP="00DB248A" w:rsidRDefault="00DB248A" w14:paraId="3B2D94D2" w14:textId="77777777">
            <w:pPr>
              <w:spacing w:line="240" w:lineRule="auto"/>
              <w:ind w:firstLine="0"/>
              <w:jc w:val="center"/>
              <w:rPr>
                <w:rFonts w:eastAsia="Aptos" w:cs="Times New Roman"/>
                <w:sz w:val="20"/>
                <w:szCs w:val="20"/>
              </w:rPr>
            </w:pPr>
            <w:r w:rsidRPr="00782FA6">
              <w:rPr>
                <w:rFonts w:eastAsia="Aptos" w:cs="Times New Roman"/>
                <w:sz w:val="20"/>
                <w:szCs w:val="20"/>
              </w:rPr>
              <w:t>1181</w:t>
            </w:r>
          </w:p>
        </w:tc>
        <w:tc>
          <w:tcPr>
            <w:tcW w:w="1036" w:type="dxa"/>
            <w:noWrap/>
            <w:vAlign w:val="center"/>
            <w:hideMark/>
          </w:tcPr>
          <w:p w:rsidRPr="00782FA6" w:rsidR="00DB248A" w:rsidP="00DB248A" w:rsidRDefault="00DB248A" w14:paraId="5EB3174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88463C0" w14:textId="16DC8F0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78FDFB9" w14:textId="656D989B">
            <w:pPr>
              <w:spacing w:line="240" w:lineRule="auto"/>
              <w:ind w:firstLine="0"/>
              <w:rPr>
                <w:rFonts w:eastAsia="Aptos" w:cs="Times New Roman"/>
                <w:sz w:val="20"/>
                <w:szCs w:val="20"/>
              </w:rPr>
            </w:pPr>
            <w:proofErr w:type="spellStart"/>
            <w:r w:rsidRPr="00782FA6">
              <w:rPr>
                <w:rFonts w:eastAsia="Aptos" w:cs="Times New Roman"/>
                <w:sz w:val="20"/>
                <w:szCs w:val="20"/>
              </w:rPr>
              <w:t>Fastmetrics</w:t>
            </w:r>
            <w:proofErr w:type="spellEnd"/>
            <w:r w:rsidRPr="00782FA6">
              <w:rPr>
                <w:rFonts w:eastAsia="Aptos" w:cs="Times New Roman"/>
                <w:sz w:val="20"/>
                <w:szCs w:val="20"/>
              </w:rPr>
              <w:t>, LLC</w:t>
            </w:r>
          </w:p>
        </w:tc>
      </w:tr>
      <w:tr w:rsidRPr="00782FA6" w:rsidR="00DB248A" w:rsidTr="00E52317" w14:paraId="26F9525B" w14:textId="77777777">
        <w:trPr>
          <w:trHeight w:val="300"/>
        </w:trPr>
        <w:tc>
          <w:tcPr>
            <w:tcW w:w="1170" w:type="dxa"/>
            <w:noWrap/>
            <w:vAlign w:val="center"/>
            <w:hideMark/>
          </w:tcPr>
          <w:p w:rsidRPr="00782FA6" w:rsidR="00DB248A" w:rsidP="00DB248A" w:rsidRDefault="00DB248A" w14:paraId="36D39927" w14:textId="77777777">
            <w:pPr>
              <w:spacing w:line="240" w:lineRule="auto"/>
              <w:ind w:firstLine="0"/>
              <w:jc w:val="center"/>
              <w:rPr>
                <w:rFonts w:eastAsia="Aptos" w:cs="Times New Roman"/>
                <w:sz w:val="20"/>
                <w:szCs w:val="20"/>
              </w:rPr>
            </w:pPr>
            <w:r w:rsidRPr="00782FA6">
              <w:rPr>
                <w:rFonts w:eastAsia="Aptos" w:cs="Times New Roman"/>
                <w:sz w:val="20"/>
                <w:szCs w:val="20"/>
              </w:rPr>
              <w:t>1182</w:t>
            </w:r>
          </w:p>
        </w:tc>
        <w:tc>
          <w:tcPr>
            <w:tcW w:w="1036" w:type="dxa"/>
            <w:noWrap/>
            <w:vAlign w:val="center"/>
            <w:hideMark/>
          </w:tcPr>
          <w:p w:rsidRPr="00782FA6" w:rsidR="00DB248A" w:rsidP="00DB248A" w:rsidRDefault="00DB248A" w14:paraId="6EA743C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0EAB045" w14:textId="641A677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1E04EF6" w14:textId="49F396BD">
            <w:pPr>
              <w:spacing w:line="240" w:lineRule="auto"/>
              <w:ind w:firstLine="0"/>
              <w:rPr>
                <w:rFonts w:eastAsia="Aptos" w:cs="Times New Roman"/>
                <w:sz w:val="20"/>
                <w:szCs w:val="20"/>
              </w:rPr>
            </w:pPr>
            <w:proofErr w:type="spellStart"/>
            <w:r w:rsidRPr="00782FA6">
              <w:rPr>
                <w:rFonts w:eastAsia="Aptos" w:cs="Times New Roman"/>
                <w:sz w:val="20"/>
                <w:szCs w:val="20"/>
              </w:rPr>
              <w:t>SouthPoint</w:t>
            </w:r>
            <w:proofErr w:type="spellEnd"/>
            <w:r w:rsidRPr="00782FA6">
              <w:rPr>
                <w:rFonts w:eastAsia="Aptos" w:cs="Times New Roman"/>
                <w:sz w:val="20"/>
                <w:szCs w:val="20"/>
              </w:rPr>
              <w:t xml:space="preserve"> Communications, LLC</w:t>
            </w:r>
          </w:p>
        </w:tc>
      </w:tr>
      <w:tr w:rsidRPr="00782FA6" w:rsidR="00DB248A" w:rsidTr="00E52317" w14:paraId="21934331" w14:textId="77777777">
        <w:trPr>
          <w:trHeight w:val="300"/>
        </w:trPr>
        <w:tc>
          <w:tcPr>
            <w:tcW w:w="1170" w:type="dxa"/>
            <w:noWrap/>
            <w:vAlign w:val="center"/>
            <w:hideMark/>
          </w:tcPr>
          <w:p w:rsidRPr="00782FA6" w:rsidR="00DB248A" w:rsidP="00DB248A" w:rsidRDefault="00DB248A" w14:paraId="45D93D15" w14:textId="77777777">
            <w:pPr>
              <w:spacing w:line="240" w:lineRule="auto"/>
              <w:ind w:firstLine="0"/>
              <w:jc w:val="center"/>
              <w:rPr>
                <w:rFonts w:eastAsia="Aptos" w:cs="Times New Roman"/>
                <w:sz w:val="20"/>
                <w:szCs w:val="20"/>
              </w:rPr>
            </w:pPr>
            <w:r w:rsidRPr="00782FA6">
              <w:rPr>
                <w:rFonts w:eastAsia="Aptos" w:cs="Times New Roman"/>
                <w:sz w:val="20"/>
                <w:szCs w:val="20"/>
              </w:rPr>
              <w:t>1183</w:t>
            </w:r>
          </w:p>
        </w:tc>
        <w:tc>
          <w:tcPr>
            <w:tcW w:w="1036" w:type="dxa"/>
            <w:noWrap/>
            <w:vAlign w:val="center"/>
            <w:hideMark/>
          </w:tcPr>
          <w:p w:rsidRPr="00782FA6" w:rsidR="00DB248A" w:rsidP="00DB248A" w:rsidRDefault="00DB248A" w14:paraId="3A09282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EA2C4F4" w14:textId="74DAC05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C56D5C9" w14:textId="66791836">
            <w:pPr>
              <w:spacing w:line="240" w:lineRule="auto"/>
              <w:ind w:firstLine="0"/>
              <w:rPr>
                <w:rFonts w:eastAsia="Aptos" w:cs="Times New Roman"/>
                <w:sz w:val="20"/>
                <w:szCs w:val="20"/>
              </w:rPr>
            </w:pPr>
            <w:r w:rsidRPr="00782FA6">
              <w:rPr>
                <w:rFonts w:eastAsia="Aptos" w:cs="Times New Roman"/>
                <w:sz w:val="20"/>
                <w:szCs w:val="20"/>
              </w:rPr>
              <w:t>Phone.Com</w:t>
            </w:r>
          </w:p>
        </w:tc>
      </w:tr>
      <w:tr w:rsidRPr="00782FA6" w:rsidR="00DB248A" w:rsidTr="00E52317" w14:paraId="0FF9343F" w14:textId="77777777">
        <w:trPr>
          <w:trHeight w:val="300"/>
        </w:trPr>
        <w:tc>
          <w:tcPr>
            <w:tcW w:w="1170" w:type="dxa"/>
            <w:noWrap/>
            <w:vAlign w:val="center"/>
            <w:hideMark/>
          </w:tcPr>
          <w:p w:rsidRPr="00782FA6" w:rsidR="00DB248A" w:rsidP="00DB248A" w:rsidRDefault="00DB248A" w14:paraId="29858079" w14:textId="77777777">
            <w:pPr>
              <w:spacing w:line="240" w:lineRule="auto"/>
              <w:ind w:firstLine="0"/>
              <w:jc w:val="center"/>
              <w:rPr>
                <w:rFonts w:eastAsia="Aptos" w:cs="Times New Roman"/>
                <w:sz w:val="20"/>
                <w:szCs w:val="20"/>
              </w:rPr>
            </w:pPr>
            <w:r w:rsidRPr="00782FA6">
              <w:rPr>
                <w:rFonts w:eastAsia="Aptos" w:cs="Times New Roman"/>
                <w:sz w:val="20"/>
                <w:szCs w:val="20"/>
              </w:rPr>
              <w:t>1184</w:t>
            </w:r>
          </w:p>
        </w:tc>
        <w:tc>
          <w:tcPr>
            <w:tcW w:w="1036" w:type="dxa"/>
            <w:noWrap/>
            <w:vAlign w:val="center"/>
            <w:hideMark/>
          </w:tcPr>
          <w:p w:rsidRPr="00782FA6" w:rsidR="00DB248A" w:rsidP="00DB248A" w:rsidRDefault="00DB248A" w14:paraId="019E7B5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8E3C89B" w14:textId="60C2C05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7EED38F" w14:textId="556AAFB6">
            <w:pPr>
              <w:spacing w:line="240" w:lineRule="auto"/>
              <w:ind w:firstLine="0"/>
              <w:rPr>
                <w:rFonts w:eastAsia="Aptos" w:cs="Times New Roman"/>
                <w:sz w:val="20"/>
                <w:szCs w:val="20"/>
              </w:rPr>
            </w:pPr>
            <w:r w:rsidRPr="00782FA6">
              <w:rPr>
                <w:rFonts w:eastAsia="Aptos" w:cs="Times New Roman"/>
                <w:sz w:val="20"/>
                <w:szCs w:val="20"/>
              </w:rPr>
              <w:t>The Maynard Group, Inc.</w:t>
            </w:r>
          </w:p>
        </w:tc>
      </w:tr>
      <w:tr w:rsidRPr="00782FA6" w:rsidR="00DB248A" w:rsidTr="00E52317" w14:paraId="3C70F8B5" w14:textId="77777777">
        <w:trPr>
          <w:trHeight w:val="300"/>
        </w:trPr>
        <w:tc>
          <w:tcPr>
            <w:tcW w:w="1170" w:type="dxa"/>
            <w:noWrap/>
            <w:vAlign w:val="center"/>
            <w:hideMark/>
          </w:tcPr>
          <w:p w:rsidRPr="00782FA6" w:rsidR="00DB248A" w:rsidP="00DB248A" w:rsidRDefault="00DB248A" w14:paraId="665618B2" w14:textId="77777777">
            <w:pPr>
              <w:spacing w:line="240" w:lineRule="auto"/>
              <w:ind w:firstLine="0"/>
              <w:jc w:val="center"/>
              <w:rPr>
                <w:rFonts w:eastAsia="Aptos" w:cs="Times New Roman"/>
                <w:sz w:val="20"/>
                <w:szCs w:val="20"/>
              </w:rPr>
            </w:pPr>
            <w:r w:rsidRPr="00782FA6">
              <w:rPr>
                <w:rFonts w:eastAsia="Aptos" w:cs="Times New Roman"/>
                <w:sz w:val="20"/>
                <w:szCs w:val="20"/>
              </w:rPr>
              <w:t>1187</w:t>
            </w:r>
          </w:p>
        </w:tc>
        <w:tc>
          <w:tcPr>
            <w:tcW w:w="1036" w:type="dxa"/>
            <w:noWrap/>
            <w:vAlign w:val="center"/>
            <w:hideMark/>
          </w:tcPr>
          <w:p w:rsidRPr="00782FA6" w:rsidR="00DB248A" w:rsidP="00DB248A" w:rsidRDefault="00DB248A" w14:paraId="0FFE4D4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7037AB7" w14:textId="76E44EA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9E6F30F" w14:textId="5593ED4D">
            <w:pPr>
              <w:spacing w:line="240" w:lineRule="auto"/>
              <w:ind w:firstLine="0"/>
              <w:rPr>
                <w:rFonts w:eastAsia="Aptos" w:cs="Times New Roman"/>
                <w:sz w:val="20"/>
                <w:szCs w:val="20"/>
              </w:rPr>
            </w:pPr>
            <w:proofErr w:type="spellStart"/>
            <w:r w:rsidRPr="00782FA6">
              <w:rPr>
                <w:rFonts w:eastAsia="Aptos" w:cs="Times New Roman"/>
                <w:sz w:val="20"/>
                <w:szCs w:val="20"/>
              </w:rPr>
              <w:t>Meriplex</w:t>
            </w:r>
            <w:proofErr w:type="spellEnd"/>
            <w:r w:rsidRPr="00782FA6">
              <w:rPr>
                <w:rFonts w:eastAsia="Aptos" w:cs="Times New Roman"/>
                <w:sz w:val="20"/>
                <w:szCs w:val="20"/>
              </w:rPr>
              <w:t xml:space="preserve"> Telecom, LLC</w:t>
            </w:r>
          </w:p>
        </w:tc>
      </w:tr>
      <w:tr w:rsidRPr="00782FA6" w:rsidR="00DB248A" w:rsidTr="00E52317" w14:paraId="3F5ADEF5" w14:textId="77777777">
        <w:trPr>
          <w:trHeight w:val="300"/>
        </w:trPr>
        <w:tc>
          <w:tcPr>
            <w:tcW w:w="1170" w:type="dxa"/>
            <w:noWrap/>
            <w:vAlign w:val="center"/>
            <w:hideMark/>
          </w:tcPr>
          <w:p w:rsidRPr="00782FA6" w:rsidR="00DB248A" w:rsidP="00DB248A" w:rsidRDefault="00DB248A" w14:paraId="55020B00" w14:textId="77777777">
            <w:pPr>
              <w:spacing w:line="240" w:lineRule="auto"/>
              <w:ind w:firstLine="0"/>
              <w:jc w:val="center"/>
              <w:rPr>
                <w:rFonts w:eastAsia="Aptos" w:cs="Times New Roman"/>
                <w:sz w:val="20"/>
                <w:szCs w:val="20"/>
              </w:rPr>
            </w:pPr>
            <w:r w:rsidRPr="00782FA6">
              <w:rPr>
                <w:rFonts w:eastAsia="Aptos" w:cs="Times New Roman"/>
                <w:sz w:val="20"/>
                <w:szCs w:val="20"/>
              </w:rPr>
              <w:t>1191</w:t>
            </w:r>
          </w:p>
        </w:tc>
        <w:tc>
          <w:tcPr>
            <w:tcW w:w="1036" w:type="dxa"/>
            <w:noWrap/>
            <w:vAlign w:val="center"/>
            <w:hideMark/>
          </w:tcPr>
          <w:p w:rsidRPr="00782FA6" w:rsidR="00DB248A" w:rsidP="00DB248A" w:rsidRDefault="00DB248A" w14:paraId="4A6CD14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A338740" w14:textId="1B98B5A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BA52ED7" w14:textId="4B878CDB">
            <w:pPr>
              <w:spacing w:line="240" w:lineRule="auto"/>
              <w:ind w:firstLine="0"/>
              <w:rPr>
                <w:rFonts w:eastAsia="Aptos" w:cs="Times New Roman"/>
                <w:sz w:val="20"/>
                <w:szCs w:val="20"/>
              </w:rPr>
            </w:pPr>
            <w:r w:rsidRPr="00782FA6">
              <w:rPr>
                <w:rFonts w:eastAsia="Aptos" w:cs="Times New Roman"/>
                <w:sz w:val="20"/>
                <w:szCs w:val="20"/>
              </w:rPr>
              <w:t>Masergy Cloud Communications, Inc.</w:t>
            </w:r>
          </w:p>
        </w:tc>
      </w:tr>
      <w:tr w:rsidRPr="00782FA6" w:rsidR="00DB248A" w:rsidTr="00E52317" w14:paraId="2E823267" w14:textId="77777777">
        <w:trPr>
          <w:trHeight w:val="300"/>
        </w:trPr>
        <w:tc>
          <w:tcPr>
            <w:tcW w:w="1170" w:type="dxa"/>
            <w:noWrap/>
            <w:vAlign w:val="center"/>
            <w:hideMark/>
          </w:tcPr>
          <w:p w:rsidRPr="00782FA6" w:rsidR="00DB248A" w:rsidP="00DB248A" w:rsidRDefault="00DB248A" w14:paraId="1C283280" w14:textId="77777777">
            <w:pPr>
              <w:spacing w:line="240" w:lineRule="auto"/>
              <w:ind w:firstLine="0"/>
              <w:jc w:val="center"/>
              <w:rPr>
                <w:rFonts w:eastAsia="Aptos" w:cs="Times New Roman"/>
                <w:sz w:val="20"/>
                <w:szCs w:val="20"/>
              </w:rPr>
            </w:pPr>
            <w:r w:rsidRPr="00782FA6">
              <w:rPr>
                <w:rFonts w:eastAsia="Aptos" w:cs="Times New Roman"/>
                <w:sz w:val="20"/>
                <w:szCs w:val="20"/>
              </w:rPr>
              <w:t>1197</w:t>
            </w:r>
          </w:p>
        </w:tc>
        <w:tc>
          <w:tcPr>
            <w:tcW w:w="1036" w:type="dxa"/>
            <w:noWrap/>
            <w:vAlign w:val="center"/>
            <w:hideMark/>
          </w:tcPr>
          <w:p w:rsidRPr="00782FA6" w:rsidR="00DB248A" w:rsidP="00DB248A" w:rsidRDefault="00DB248A" w14:paraId="4D2615A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9CD562E" w14:textId="622F3C1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91916CF" w14:textId="15D865FD">
            <w:pPr>
              <w:spacing w:line="240" w:lineRule="auto"/>
              <w:ind w:firstLine="0"/>
              <w:rPr>
                <w:rFonts w:eastAsia="Aptos" w:cs="Times New Roman"/>
                <w:sz w:val="20"/>
                <w:szCs w:val="20"/>
              </w:rPr>
            </w:pPr>
            <w:r w:rsidRPr="00782FA6">
              <w:rPr>
                <w:rFonts w:eastAsia="Aptos" w:cs="Times New Roman"/>
                <w:sz w:val="20"/>
                <w:szCs w:val="20"/>
              </w:rPr>
              <w:t>IP Networked Services, Inc.</w:t>
            </w:r>
          </w:p>
        </w:tc>
      </w:tr>
      <w:tr w:rsidRPr="00782FA6" w:rsidR="00DB248A" w:rsidTr="00E52317" w14:paraId="31EC5C2B" w14:textId="77777777">
        <w:trPr>
          <w:trHeight w:val="300"/>
        </w:trPr>
        <w:tc>
          <w:tcPr>
            <w:tcW w:w="1170" w:type="dxa"/>
            <w:noWrap/>
            <w:vAlign w:val="center"/>
            <w:hideMark/>
          </w:tcPr>
          <w:p w:rsidRPr="00782FA6" w:rsidR="00DB248A" w:rsidP="00DB248A" w:rsidRDefault="00DB248A" w14:paraId="53D45A61" w14:textId="77777777">
            <w:pPr>
              <w:spacing w:line="240" w:lineRule="auto"/>
              <w:ind w:firstLine="0"/>
              <w:jc w:val="center"/>
              <w:rPr>
                <w:rFonts w:eastAsia="Aptos" w:cs="Times New Roman"/>
                <w:sz w:val="20"/>
                <w:szCs w:val="20"/>
              </w:rPr>
            </w:pPr>
            <w:r w:rsidRPr="00782FA6">
              <w:rPr>
                <w:rFonts w:eastAsia="Aptos" w:cs="Times New Roman"/>
                <w:sz w:val="20"/>
                <w:szCs w:val="20"/>
              </w:rPr>
              <w:t>1201</w:t>
            </w:r>
          </w:p>
        </w:tc>
        <w:tc>
          <w:tcPr>
            <w:tcW w:w="1036" w:type="dxa"/>
            <w:noWrap/>
            <w:vAlign w:val="center"/>
            <w:hideMark/>
          </w:tcPr>
          <w:p w:rsidRPr="00782FA6" w:rsidR="00DB248A" w:rsidP="00DB248A" w:rsidRDefault="00DB248A" w14:paraId="149C279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25E343B" w14:textId="3F4F882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5A771FE" w14:textId="456FF030">
            <w:pPr>
              <w:spacing w:line="240" w:lineRule="auto"/>
              <w:ind w:firstLine="0"/>
              <w:rPr>
                <w:rFonts w:eastAsia="Aptos" w:cs="Times New Roman"/>
                <w:sz w:val="20"/>
                <w:szCs w:val="20"/>
              </w:rPr>
            </w:pPr>
            <w:proofErr w:type="spellStart"/>
            <w:r w:rsidRPr="00782FA6">
              <w:rPr>
                <w:rFonts w:eastAsia="Aptos" w:cs="Times New Roman"/>
                <w:sz w:val="20"/>
                <w:szCs w:val="20"/>
              </w:rPr>
              <w:t>NetstaffHR</w:t>
            </w:r>
            <w:proofErr w:type="spellEnd"/>
            <w:r w:rsidRPr="00782FA6">
              <w:rPr>
                <w:rFonts w:eastAsia="Aptos" w:cs="Times New Roman"/>
                <w:sz w:val="20"/>
                <w:szCs w:val="20"/>
              </w:rPr>
              <w:t>, Inc</w:t>
            </w:r>
          </w:p>
        </w:tc>
      </w:tr>
      <w:tr w:rsidRPr="00782FA6" w:rsidR="00DB248A" w:rsidTr="00E52317" w14:paraId="1B14CC8F" w14:textId="77777777">
        <w:trPr>
          <w:trHeight w:val="300"/>
        </w:trPr>
        <w:tc>
          <w:tcPr>
            <w:tcW w:w="1170" w:type="dxa"/>
            <w:noWrap/>
            <w:vAlign w:val="center"/>
            <w:hideMark/>
          </w:tcPr>
          <w:p w:rsidRPr="00782FA6" w:rsidR="00DB248A" w:rsidP="00DB248A" w:rsidRDefault="00DB248A" w14:paraId="5398B669" w14:textId="77777777">
            <w:pPr>
              <w:spacing w:line="240" w:lineRule="auto"/>
              <w:ind w:firstLine="0"/>
              <w:jc w:val="center"/>
              <w:rPr>
                <w:rFonts w:eastAsia="Aptos" w:cs="Times New Roman"/>
                <w:sz w:val="20"/>
                <w:szCs w:val="20"/>
              </w:rPr>
            </w:pPr>
            <w:r w:rsidRPr="00782FA6">
              <w:rPr>
                <w:rFonts w:eastAsia="Aptos" w:cs="Times New Roman"/>
                <w:sz w:val="20"/>
                <w:szCs w:val="20"/>
              </w:rPr>
              <w:t>1202</w:t>
            </w:r>
          </w:p>
        </w:tc>
        <w:tc>
          <w:tcPr>
            <w:tcW w:w="1036" w:type="dxa"/>
            <w:noWrap/>
            <w:vAlign w:val="center"/>
            <w:hideMark/>
          </w:tcPr>
          <w:p w:rsidRPr="00782FA6" w:rsidR="00DB248A" w:rsidP="00DB248A" w:rsidRDefault="00DB248A" w14:paraId="249ABD5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2B2A0E6" w14:textId="3095C4A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F5EEC0D" w14:textId="2306B0A0">
            <w:pPr>
              <w:spacing w:line="240" w:lineRule="auto"/>
              <w:ind w:firstLine="0"/>
              <w:rPr>
                <w:rFonts w:eastAsia="Aptos" w:cs="Times New Roman"/>
                <w:sz w:val="20"/>
                <w:szCs w:val="20"/>
              </w:rPr>
            </w:pPr>
            <w:proofErr w:type="spellStart"/>
            <w:r w:rsidRPr="00782FA6">
              <w:rPr>
                <w:rFonts w:eastAsia="Aptos" w:cs="Times New Roman"/>
                <w:sz w:val="20"/>
                <w:szCs w:val="20"/>
              </w:rPr>
              <w:t>GigaKOM</w:t>
            </w:r>
            <w:proofErr w:type="spellEnd"/>
            <w:r w:rsidRPr="00782FA6">
              <w:rPr>
                <w:rFonts w:eastAsia="Aptos" w:cs="Times New Roman"/>
                <w:sz w:val="20"/>
                <w:szCs w:val="20"/>
              </w:rPr>
              <w:t xml:space="preserve"> Inc.</w:t>
            </w:r>
          </w:p>
        </w:tc>
      </w:tr>
      <w:tr w:rsidRPr="00782FA6" w:rsidR="00DB248A" w:rsidTr="00E52317" w14:paraId="5EA1C709" w14:textId="77777777">
        <w:trPr>
          <w:trHeight w:val="300"/>
        </w:trPr>
        <w:tc>
          <w:tcPr>
            <w:tcW w:w="1170" w:type="dxa"/>
            <w:noWrap/>
            <w:vAlign w:val="center"/>
            <w:hideMark/>
          </w:tcPr>
          <w:p w:rsidRPr="00782FA6" w:rsidR="00DB248A" w:rsidP="00DB248A" w:rsidRDefault="00DB248A" w14:paraId="07F8509C" w14:textId="77777777">
            <w:pPr>
              <w:spacing w:line="240" w:lineRule="auto"/>
              <w:ind w:firstLine="0"/>
              <w:jc w:val="center"/>
              <w:rPr>
                <w:rFonts w:eastAsia="Aptos" w:cs="Times New Roman"/>
                <w:sz w:val="20"/>
                <w:szCs w:val="20"/>
              </w:rPr>
            </w:pPr>
            <w:r w:rsidRPr="00782FA6">
              <w:rPr>
                <w:rFonts w:eastAsia="Aptos" w:cs="Times New Roman"/>
                <w:sz w:val="20"/>
                <w:szCs w:val="20"/>
              </w:rPr>
              <w:t>1203</w:t>
            </w:r>
          </w:p>
        </w:tc>
        <w:tc>
          <w:tcPr>
            <w:tcW w:w="1036" w:type="dxa"/>
            <w:noWrap/>
            <w:vAlign w:val="center"/>
            <w:hideMark/>
          </w:tcPr>
          <w:p w:rsidRPr="00782FA6" w:rsidR="00DB248A" w:rsidP="00DB248A" w:rsidRDefault="00DB248A" w14:paraId="5C392F2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E6D2FFA" w14:textId="74576F4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8D32478" w14:textId="29D368EE">
            <w:pPr>
              <w:spacing w:line="240" w:lineRule="auto"/>
              <w:ind w:firstLine="0"/>
              <w:rPr>
                <w:rFonts w:eastAsia="Aptos" w:cs="Times New Roman"/>
                <w:sz w:val="20"/>
                <w:szCs w:val="20"/>
              </w:rPr>
            </w:pPr>
            <w:r w:rsidRPr="00782FA6">
              <w:rPr>
                <w:rFonts w:eastAsia="Aptos" w:cs="Times New Roman"/>
                <w:sz w:val="20"/>
                <w:szCs w:val="20"/>
              </w:rPr>
              <w:t>Orange Business Services U.S., Inc.</w:t>
            </w:r>
          </w:p>
        </w:tc>
      </w:tr>
      <w:tr w:rsidRPr="00782FA6" w:rsidR="00DB248A" w:rsidTr="00E52317" w14:paraId="0ED05CB0" w14:textId="77777777">
        <w:trPr>
          <w:trHeight w:val="300"/>
        </w:trPr>
        <w:tc>
          <w:tcPr>
            <w:tcW w:w="1170" w:type="dxa"/>
            <w:noWrap/>
            <w:vAlign w:val="center"/>
            <w:hideMark/>
          </w:tcPr>
          <w:p w:rsidRPr="00782FA6" w:rsidR="00DB248A" w:rsidP="00DB248A" w:rsidRDefault="00DB248A" w14:paraId="7F5D9F4C" w14:textId="77777777">
            <w:pPr>
              <w:spacing w:line="240" w:lineRule="auto"/>
              <w:ind w:firstLine="0"/>
              <w:jc w:val="center"/>
              <w:rPr>
                <w:rFonts w:eastAsia="Aptos" w:cs="Times New Roman"/>
                <w:sz w:val="20"/>
                <w:szCs w:val="20"/>
              </w:rPr>
            </w:pPr>
            <w:r w:rsidRPr="00782FA6">
              <w:rPr>
                <w:rFonts w:eastAsia="Aptos" w:cs="Times New Roman"/>
                <w:sz w:val="20"/>
                <w:szCs w:val="20"/>
              </w:rPr>
              <w:t>1207</w:t>
            </w:r>
          </w:p>
        </w:tc>
        <w:tc>
          <w:tcPr>
            <w:tcW w:w="1036" w:type="dxa"/>
            <w:noWrap/>
            <w:vAlign w:val="center"/>
            <w:hideMark/>
          </w:tcPr>
          <w:p w:rsidRPr="00782FA6" w:rsidR="00DB248A" w:rsidP="00DB248A" w:rsidRDefault="00DB248A" w14:paraId="45B5308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574F3AA" w14:textId="2D3DD33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3147A7F" w14:textId="2DD66888">
            <w:pPr>
              <w:spacing w:line="240" w:lineRule="auto"/>
              <w:ind w:firstLine="0"/>
              <w:rPr>
                <w:rFonts w:eastAsia="Aptos" w:cs="Times New Roman"/>
                <w:sz w:val="20"/>
                <w:szCs w:val="20"/>
              </w:rPr>
            </w:pPr>
            <w:r w:rsidRPr="00782FA6">
              <w:rPr>
                <w:rFonts w:eastAsia="Aptos" w:cs="Times New Roman"/>
                <w:sz w:val="20"/>
                <w:szCs w:val="20"/>
              </w:rPr>
              <w:t>Single Digits, Inc.</w:t>
            </w:r>
          </w:p>
        </w:tc>
      </w:tr>
      <w:tr w:rsidRPr="00782FA6" w:rsidR="00DB248A" w:rsidTr="00E52317" w14:paraId="2F36A580" w14:textId="77777777">
        <w:trPr>
          <w:trHeight w:val="300"/>
        </w:trPr>
        <w:tc>
          <w:tcPr>
            <w:tcW w:w="1170" w:type="dxa"/>
            <w:noWrap/>
            <w:vAlign w:val="center"/>
            <w:hideMark/>
          </w:tcPr>
          <w:p w:rsidRPr="00782FA6" w:rsidR="00DB248A" w:rsidP="00DB248A" w:rsidRDefault="00DB248A" w14:paraId="6A8074C5" w14:textId="77777777">
            <w:pPr>
              <w:spacing w:line="240" w:lineRule="auto"/>
              <w:ind w:firstLine="0"/>
              <w:jc w:val="center"/>
              <w:rPr>
                <w:rFonts w:eastAsia="Aptos" w:cs="Times New Roman"/>
                <w:sz w:val="20"/>
                <w:szCs w:val="20"/>
              </w:rPr>
            </w:pPr>
            <w:r w:rsidRPr="00782FA6">
              <w:rPr>
                <w:rFonts w:eastAsia="Aptos" w:cs="Times New Roman"/>
                <w:sz w:val="20"/>
                <w:szCs w:val="20"/>
              </w:rPr>
              <w:t>1211</w:t>
            </w:r>
          </w:p>
        </w:tc>
        <w:tc>
          <w:tcPr>
            <w:tcW w:w="1036" w:type="dxa"/>
            <w:noWrap/>
            <w:vAlign w:val="center"/>
            <w:hideMark/>
          </w:tcPr>
          <w:p w:rsidRPr="00782FA6" w:rsidR="00DB248A" w:rsidP="00DB248A" w:rsidRDefault="00DB248A" w14:paraId="5D0CA98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FE49315" w14:textId="545F0E7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9D11CA0" w14:textId="42B47475">
            <w:pPr>
              <w:spacing w:line="240" w:lineRule="auto"/>
              <w:ind w:firstLine="0"/>
              <w:rPr>
                <w:rFonts w:eastAsia="Aptos" w:cs="Times New Roman"/>
                <w:sz w:val="20"/>
                <w:szCs w:val="20"/>
              </w:rPr>
            </w:pPr>
            <w:r w:rsidRPr="00782FA6">
              <w:rPr>
                <w:rFonts w:eastAsia="Aptos" w:cs="Times New Roman"/>
                <w:sz w:val="20"/>
                <w:szCs w:val="20"/>
              </w:rPr>
              <w:t>Encore Technology Group, LLC</w:t>
            </w:r>
          </w:p>
        </w:tc>
      </w:tr>
      <w:tr w:rsidRPr="00782FA6" w:rsidR="00DB248A" w:rsidTr="00E52317" w14:paraId="317080A5" w14:textId="77777777">
        <w:trPr>
          <w:trHeight w:val="300"/>
        </w:trPr>
        <w:tc>
          <w:tcPr>
            <w:tcW w:w="1170" w:type="dxa"/>
            <w:noWrap/>
            <w:vAlign w:val="center"/>
            <w:hideMark/>
          </w:tcPr>
          <w:p w:rsidRPr="00782FA6" w:rsidR="00DB248A" w:rsidP="00DB248A" w:rsidRDefault="00DB248A" w14:paraId="5E77E389" w14:textId="77777777">
            <w:pPr>
              <w:spacing w:line="240" w:lineRule="auto"/>
              <w:ind w:firstLine="0"/>
              <w:jc w:val="center"/>
              <w:rPr>
                <w:rFonts w:eastAsia="Aptos" w:cs="Times New Roman"/>
                <w:sz w:val="20"/>
                <w:szCs w:val="20"/>
              </w:rPr>
            </w:pPr>
            <w:r w:rsidRPr="00782FA6">
              <w:rPr>
                <w:rFonts w:eastAsia="Aptos" w:cs="Times New Roman"/>
                <w:sz w:val="20"/>
                <w:szCs w:val="20"/>
              </w:rPr>
              <w:t>1213</w:t>
            </w:r>
          </w:p>
        </w:tc>
        <w:tc>
          <w:tcPr>
            <w:tcW w:w="1036" w:type="dxa"/>
            <w:noWrap/>
            <w:vAlign w:val="center"/>
            <w:hideMark/>
          </w:tcPr>
          <w:p w:rsidRPr="00782FA6" w:rsidR="00DB248A" w:rsidP="00DB248A" w:rsidRDefault="00DB248A" w14:paraId="3860D5E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5DB5161" w14:textId="7879689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5FB2EFF" w14:textId="1EEB59A8">
            <w:pPr>
              <w:spacing w:line="240" w:lineRule="auto"/>
              <w:ind w:firstLine="0"/>
              <w:rPr>
                <w:rFonts w:eastAsia="Aptos" w:cs="Times New Roman"/>
                <w:sz w:val="20"/>
                <w:szCs w:val="20"/>
              </w:rPr>
            </w:pPr>
            <w:r w:rsidRPr="00782FA6">
              <w:rPr>
                <w:rFonts w:eastAsia="Aptos" w:cs="Times New Roman"/>
                <w:sz w:val="20"/>
                <w:szCs w:val="20"/>
              </w:rPr>
              <w:t>Ongoing Operations, LLC</w:t>
            </w:r>
          </w:p>
        </w:tc>
      </w:tr>
      <w:tr w:rsidRPr="00782FA6" w:rsidR="00DB248A" w:rsidTr="00E52317" w14:paraId="526F5F86" w14:textId="77777777">
        <w:trPr>
          <w:trHeight w:val="300"/>
        </w:trPr>
        <w:tc>
          <w:tcPr>
            <w:tcW w:w="1170" w:type="dxa"/>
            <w:noWrap/>
            <w:vAlign w:val="center"/>
            <w:hideMark/>
          </w:tcPr>
          <w:p w:rsidRPr="00782FA6" w:rsidR="00DB248A" w:rsidP="00DB248A" w:rsidRDefault="00DB248A" w14:paraId="44040EAF" w14:textId="77777777">
            <w:pPr>
              <w:spacing w:line="240" w:lineRule="auto"/>
              <w:ind w:firstLine="0"/>
              <w:jc w:val="center"/>
              <w:rPr>
                <w:rFonts w:eastAsia="Aptos" w:cs="Times New Roman"/>
                <w:sz w:val="20"/>
                <w:szCs w:val="20"/>
              </w:rPr>
            </w:pPr>
            <w:r w:rsidRPr="00782FA6">
              <w:rPr>
                <w:rFonts w:eastAsia="Aptos" w:cs="Times New Roman"/>
                <w:sz w:val="20"/>
                <w:szCs w:val="20"/>
              </w:rPr>
              <w:t>1215</w:t>
            </w:r>
          </w:p>
        </w:tc>
        <w:tc>
          <w:tcPr>
            <w:tcW w:w="1036" w:type="dxa"/>
            <w:noWrap/>
            <w:vAlign w:val="center"/>
            <w:hideMark/>
          </w:tcPr>
          <w:p w:rsidRPr="00782FA6" w:rsidR="00DB248A" w:rsidP="00DB248A" w:rsidRDefault="00DB248A" w14:paraId="6AB43A1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9C26946" w14:textId="1CC5DA4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F269C58" w14:textId="09CDDDCB">
            <w:pPr>
              <w:spacing w:line="240" w:lineRule="auto"/>
              <w:ind w:firstLine="0"/>
              <w:rPr>
                <w:rFonts w:eastAsia="Aptos" w:cs="Times New Roman"/>
                <w:sz w:val="20"/>
                <w:szCs w:val="20"/>
              </w:rPr>
            </w:pPr>
            <w:proofErr w:type="spellStart"/>
            <w:r w:rsidRPr="00782FA6">
              <w:rPr>
                <w:rFonts w:eastAsia="Aptos" w:cs="Times New Roman"/>
                <w:sz w:val="20"/>
                <w:szCs w:val="20"/>
              </w:rPr>
              <w:t>GoTo</w:t>
            </w:r>
            <w:proofErr w:type="spellEnd"/>
            <w:r w:rsidRPr="00782FA6">
              <w:rPr>
                <w:rFonts w:eastAsia="Aptos" w:cs="Times New Roman"/>
                <w:sz w:val="20"/>
                <w:szCs w:val="20"/>
              </w:rPr>
              <w:t xml:space="preserve"> Communications, Inc.</w:t>
            </w:r>
          </w:p>
        </w:tc>
      </w:tr>
      <w:tr w:rsidRPr="00782FA6" w:rsidR="00DB248A" w:rsidTr="00E52317" w14:paraId="26826DB0" w14:textId="77777777">
        <w:trPr>
          <w:trHeight w:val="300"/>
        </w:trPr>
        <w:tc>
          <w:tcPr>
            <w:tcW w:w="1170" w:type="dxa"/>
            <w:noWrap/>
            <w:vAlign w:val="center"/>
            <w:hideMark/>
          </w:tcPr>
          <w:p w:rsidRPr="00782FA6" w:rsidR="00DB248A" w:rsidP="00DB248A" w:rsidRDefault="00DB248A" w14:paraId="15B06C47" w14:textId="77777777">
            <w:pPr>
              <w:spacing w:line="240" w:lineRule="auto"/>
              <w:ind w:firstLine="0"/>
              <w:jc w:val="center"/>
              <w:rPr>
                <w:rFonts w:eastAsia="Aptos" w:cs="Times New Roman"/>
                <w:sz w:val="20"/>
                <w:szCs w:val="20"/>
              </w:rPr>
            </w:pPr>
            <w:r w:rsidRPr="00782FA6">
              <w:rPr>
                <w:rFonts w:eastAsia="Aptos" w:cs="Times New Roman"/>
                <w:sz w:val="20"/>
                <w:szCs w:val="20"/>
              </w:rPr>
              <w:t>1217</w:t>
            </w:r>
          </w:p>
        </w:tc>
        <w:tc>
          <w:tcPr>
            <w:tcW w:w="1036" w:type="dxa"/>
            <w:noWrap/>
            <w:vAlign w:val="center"/>
            <w:hideMark/>
          </w:tcPr>
          <w:p w:rsidRPr="00782FA6" w:rsidR="00DB248A" w:rsidP="00DB248A" w:rsidRDefault="00DB248A" w14:paraId="2C36960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DCB4119" w14:textId="1273472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526EAF4" w14:textId="724D6291">
            <w:pPr>
              <w:spacing w:line="240" w:lineRule="auto"/>
              <w:ind w:firstLine="0"/>
              <w:rPr>
                <w:rFonts w:eastAsia="Aptos" w:cs="Times New Roman"/>
                <w:sz w:val="20"/>
                <w:szCs w:val="20"/>
              </w:rPr>
            </w:pPr>
            <w:r w:rsidRPr="00782FA6">
              <w:rPr>
                <w:rFonts w:eastAsia="Aptos" w:cs="Times New Roman"/>
                <w:sz w:val="20"/>
                <w:szCs w:val="20"/>
              </w:rPr>
              <w:t>VoIP Innovations, LLC</w:t>
            </w:r>
          </w:p>
        </w:tc>
      </w:tr>
      <w:tr w:rsidRPr="00782FA6" w:rsidR="00DB248A" w:rsidTr="00E52317" w14:paraId="48B84DF5" w14:textId="77777777">
        <w:trPr>
          <w:trHeight w:val="300"/>
        </w:trPr>
        <w:tc>
          <w:tcPr>
            <w:tcW w:w="1170" w:type="dxa"/>
            <w:noWrap/>
            <w:vAlign w:val="center"/>
            <w:hideMark/>
          </w:tcPr>
          <w:p w:rsidRPr="00782FA6" w:rsidR="00DB248A" w:rsidP="00DB248A" w:rsidRDefault="00DB248A" w14:paraId="74B6AEF5" w14:textId="77777777">
            <w:pPr>
              <w:spacing w:line="240" w:lineRule="auto"/>
              <w:ind w:firstLine="0"/>
              <w:jc w:val="center"/>
              <w:rPr>
                <w:rFonts w:eastAsia="Aptos" w:cs="Times New Roman"/>
                <w:sz w:val="20"/>
                <w:szCs w:val="20"/>
              </w:rPr>
            </w:pPr>
            <w:r w:rsidRPr="00782FA6">
              <w:rPr>
                <w:rFonts w:eastAsia="Aptos" w:cs="Times New Roman"/>
                <w:sz w:val="20"/>
                <w:szCs w:val="20"/>
              </w:rPr>
              <w:t>1219</w:t>
            </w:r>
          </w:p>
        </w:tc>
        <w:tc>
          <w:tcPr>
            <w:tcW w:w="1036" w:type="dxa"/>
            <w:noWrap/>
            <w:vAlign w:val="center"/>
            <w:hideMark/>
          </w:tcPr>
          <w:p w:rsidRPr="00782FA6" w:rsidR="00DB248A" w:rsidP="00DB248A" w:rsidRDefault="00DB248A" w14:paraId="1F62EBC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868FB45" w14:textId="23856DC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0FC3E62" w14:textId="198D2FA1">
            <w:pPr>
              <w:spacing w:line="240" w:lineRule="auto"/>
              <w:ind w:firstLine="0"/>
              <w:rPr>
                <w:rFonts w:eastAsia="Aptos" w:cs="Times New Roman"/>
                <w:sz w:val="20"/>
                <w:szCs w:val="20"/>
              </w:rPr>
            </w:pPr>
            <w:r w:rsidRPr="00782FA6">
              <w:rPr>
                <w:rFonts w:eastAsia="Aptos" w:cs="Times New Roman"/>
                <w:sz w:val="20"/>
                <w:szCs w:val="20"/>
              </w:rPr>
              <w:t>CIO NOW, LLC</w:t>
            </w:r>
          </w:p>
        </w:tc>
      </w:tr>
      <w:tr w:rsidRPr="00782FA6" w:rsidR="00DB248A" w:rsidTr="00E52317" w14:paraId="63519338" w14:textId="77777777">
        <w:trPr>
          <w:trHeight w:val="300"/>
        </w:trPr>
        <w:tc>
          <w:tcPr>
            <w:tcW w:w="1170" w:type="dxa"/>
            <w:noWrap/>
            <w:vAlign w:val="center"/>
            <w:hideMark/>
          </w:tcPr>
          <w:p w:rsidRPr="00782FA6" w:rsidR="00DB248A" w:rsidP="00DB248A" w:rsidRDefault="00DB248A" w14:paraId="619383D9" w14:textId="77777777">
            <w:pPr>
              <w:spacing w:line="240" w:lineRule="auto"/>
              <w:ind w:firstLine="0"/>
              <w:jc w:val="center"/>
              <w:rPr>
                <w:rFonts w:eastAsia="Aptos" w:cs="Times New Roman"/>
                <w:sz w:val="20"/>
                <w:szCs w:val="20"/>
              </w:rPr>
            </w:pPr>
            <w:r w:rsidRPr="00782FA6">
              <w:rPr>
                <w:rFonts w:eastAsia="Aptos" w:cs="Times New Roman"/>
                <w:sz w:val="20"/>
                <w:szCs w:val="20"/>
              </w:rPr>
              <w:t>1220</w:t>
            </w:r>
          </w:p>
        </w:tc>
        <w:tc>
          <w:tcPr>
            <w:tcW w:w="1036" w:type="dxa"/>
            <w:noWrap/>
            <w:vAlign w:val="center"/>
            <w:hideMark/>
          </w:tcPr>
          <w:p w:rsidRPr="00782FA6" w:rsidR="00DB248A" w:rsidP="00DB248A" w:rsidRDefault="00DB248A" w14:paraId="7335FF7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489582E" w14:textId="0659066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9972836" w14:textId="4E7C605B">
            <w:pPr>
              <w:spacing w:line="240" w:lineRule="auto"/>
              <w:ind w:firstLine="0"/>
              <w:rPr>
                <w:rFonts w:eastAsia="Aptos" w:cs="Times New Roman"/>
                <w:sz w:val="20"/>
                <w:szCs w:val="20"/>
              </w:rPr>
            </w:pPr>
            <w:r w:rsidRPr="00782FA6">
              <w:rPr>
                <w:rFonts w:eastAsia="Aptos" w:cs="Times New Roman"/>
                <w:sz w:val="20"/>
                <w:szCs w:val="20"/>
              </w:rPr>
              <w:t xml:space="preserve">Star2Star </w:t>
            </w:r>
            <w:proofErr w:type="spellStart"/>
            <w:r w:rsidRPr="00782FA6">
              <w:rPr>
                <w:rFonts w:eastAsia="Aptos" w:cs="Times New Roman"/>
                <w:sz w:val="20"/>
                <w:szCs w:val="20"/>
              </w:rPr>
              <w:t>Comunications</w:t>
            </w:r>
            <w:proofErr w:type="spellEnd"/>
            <w:r w:rsidRPr="00782FA6">
              <w:rPr>
                <w:rFonts w:eastAsia="Aptos" w:cs="Times New Roman"/>
                <w:sz w:val="20"/>
                <w:szCs w:val="20"/>
              </w:rPr>
              <w:t>, LLC</w:t>
            </w:r>
          </w:p>
        </w:tc>
      </w:tr>
      <w:tr w:rsidRPr="00782FA6" w:rsidR="00DB248A" w:rsidTr="00E52317" w14:paraId="0910DACE" w14:textId="77777777">
        <w:trPr>
          <w:trHeight w:val="300"/>
        </w:trPr>
        <w:tc>
          <w:tcPr>
            <w:tcW w:w="1170" w:type="dxa"/>
            <w:noWrap/>
            <w:vAlign w:val="center"/>
            <w:hideMark/>
          </w:tcPr>
          <w:p w:rsidRPr="00782FA6" w:rsidR="00DB248A" w:rsidP="00DB248A" w:rsidRDefault="00DB248A" w14:paraId="4B89AC13" w14:textId="77777777">
            <w:pPr>
              <w:spacing w:line="240" w:lineRule="auto"/>
              <w:ind w:firstLine="0"/>
              <w:jc w:val="center"/>
              <w:rPr>
                <w:rFonts w:eastAsia="Aptos" w:cs="Times New Roman"/>
                <w:sz w:val="20"/>
                <w:szCs w:val="20"/>
              </w:rPr>
            </w:pPr>
            <w:r w:rsidRPr="00782FA6">
              <w:rPr>
                <w:rFonts w:eastAsia="Aptos" w:cs="Times New Roman"/>
                <w:sz w:val="20"/>
                <w:szCs w:val="20"/>
              </w:rPr>
              <w:t>1223</w:t>
            </w:r>
          </w:p>
        </w:tc>
        <w:tc>
          <w:tcPr>
            <w:tcW w:w="1036" w:type="dxa"/>
            <w:noWrap/>
            <w:vAlign w:val="center"/>
            <w:hideMark/>
          </w:tcPr>
          <w:p w:rsidRPr="00782FA6" w:rsidR="00DB248A" w:rsidP="00DB248A" w:rsidRDefault="00DB248A" w14:paraId="7B9B41D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98A3C5A" w14:textId="5910936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E39FFB8" w14:textId="74089D5F">
            <w:pPr>
              <w:spacing w:line="240" w:lineRule="auto"/>
              <w:ind w:firstLine="0"/>
              <w:rPr>
                <w:rFonts w:eastAsia="Aptos" w:cs="Times New Roman"/>
                <w:sz w:val="20"/>
                <w:szCs w:val="20"/>
              </w:rPr>
            </w:pPr>
            <w:r w:rsidRPr="00782FA6">
              <w:rPr>
                <w:rFonts w:eastAsia="Aptos" w:cs="Times New Roman"/>
                <w:sz w:val="20"/>
                <w:szCs w:val="20"/>
              </w:rPr>
              <w:t>Cedar Wireless, Inc.</w:t>
            </w:r>
          </w:p>
        </w:tc>
      </w:tr>
      <w:tr w:rsidRPr="00782FA6" w:rsidR="00DB248A" w:rsidTr="00E52317" w14:paraId="13FA5F22" w14:textId="77777777">
        <w:trPr>
          <w:trHeight w:val="300"/>
        </w:trPr>
        <w:tc>
          <w:tcPr>
            <w:tcW w:w="1170" w:type="dxa"/>
            <w:noWrap/>
            <w:vAlign w:val="center"/>
            <w:hideMark/>
          </w:tcPr>
          <w:p w:rsidRPr="00782FA6" w:rsidR="00DB248A" w:rsidP="00DB248A" w:rsidRDefault="00DB248A" w14:paraId="66A6B83F" w14:textId="77777777">
            <w:pPr>
              <w:spacing w:line="240" w:lineRule="auto"/>
              <w:ind w:firstLine="0"/>
              <w:jc w:val="center"/>
              <w:rPr>
                <w:rFonts w:eastAsia="Aptos" w:cs="Times New Roman"/>
                <w:sz w:val="20"/>
                <w:szCs w:val="20"/>
              </w:rPr>
            </w:pPr>
            <w:r w:rsidRPr="00782FA6">
              <w:rPr>
                <w:rFonts w:eastAsia="Aptos" w:cs="Times New Roman"/>
                <w:sz w:val="20"/>
                <w:szCs w:val="20"/>
              </w:rPr>
              <w:t>1224</w:t>
            </w:r>
          </w:p>
        </w:tc>
        <w:tc>
          <w:tcPr>
            <w:tcW w:w="1036" w:type="dxa"/>
            <w:noWrap/>
            <w:vAlign w:val="center"/>
            <w:hideMark/>
          </w:tcPr>
          <w:p w:rsidRPr="00782FA6" w:rsidR="00DB248A" w:rsidP="00DB248A" w:rsidRDefault="00DB248A" w14:paraId="24F7378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70A6FF8" w14:textId="19D2EDB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B1B274A" w14:textId="1739FF79">
            <w:pPr>
              <w:spacing w:line="240" w:lineRule="auto"/>
              <w:ind w:firstLine="0"/>
              <w:rPr>
                <w:rFonts w:eastAsia="Aptos" w:cs="Times New Roman"/>
                <w:sz w:val="20"/>
                <w:szCs w:val="20"/>
              </w:rPr>
            </w:pPr>
            <w:r w:rsidRPr="00782FA6">
              <w:rPr>
                <w:rFonts w:eastAsia="Aptos" w:cs="Times New Roman"/>
                <w:sz w:val="20"/>
                <w:szCs w:val="20"/>
              </w:rPr>
              <w:t>Top Notch Networking, LLC</w:t>
            </w:r>
          </w:p>
        </w:tc>
      </w:tr>
      <w:tr w:rsidRPr="00782FA6" w:rsidR="00DB248A" w:rsidTr="00E52317" w14:paraId="1EB6929E" w14:textId="77777777">
        <w:trPr>
          <w:trHeight w:val="300"/>
        </w:trPr>
        <w:tc>
          <w:tcPr>
            <w:tcW w:w="1170" w:type="dxa"/>
            <w:noWrap/>
            <w:vAlign w:val="center"/>
            <w:hideMark/>
          </w:tcPr>
          <w:p w:rsidRPr="00782FA6" w:rsidR="00DB248A" w:rsidP="00DB248A" w:rsidRDefault="00DB248A" w14:paraId="07205B32" w14:textId="77777777">
            <w:pPr>
              <w:spacing w:line="240" w:lineRule="auto"/>
              <w:ind w:firstLine="0"/>
              <w:jc w:val="center"/>
              <w:rPr>
                <w:rFonts w:eastAsia="Aptos" w:cs="Times New Roman"/>
                <w:sz w:val="20"/>
                <w:szCs w:val="20"/>
              </w:rPr>
            </w:pPr>
            <w:r w:rsidRPr="00782FA6">
              <w:rPr>
                <w:rFonts w:eastAsia="Aptos" w:cs="Times New Roman"/>
                <w:sz w:val="20"/>
                <w:szCs w:val="20"/>
              </w:rPr>
              <w:t>1225</w:t>
            </w:r>
          </w:p>
        </w:tc>
        <w:tc>
          <w:tcPr>
            <w:tcW w:w="1036" w:type="dxa"/>
            <w:noWrap/>
            <w:vAlign w:val="center"/>
            <w:hideMark/>
          </w:tcPr>
          <w:p w:rsidRPr="00782FA6" w:rsidR="00DB248A" w:rsidP="00DB248A" w:rsidRDefault="00DB248A" w14:paraId="7F57375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0B35162" w14:textId="4512A5B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FF33549" w14:textId="56763A9C">
            <w:pPr>
              <w:spacing w:line="240" w:lineRule="auto"/>
              <w:ind w:firstLine="0"/>
              <w:rPr>
                <w:rFonts w:eastAsia="Aptos" w:cs="Times New Roman"/>
                <w:sz w:val="20"/>
                <w:szCs w:val="20"/>
              </w:rPr>
            </w:pPr>
            <w:proofErr w:type="spellStart"/>
            <w:r w:rsidRPr="00782FA6">
              <w:rPr>
                <w:rFonts w:eastAsia="Aptos" w:cs="Times New Roman"/>
                <w:sz w:val="20"/>
                <w:szCs w:val="20"/>
              </w:rPr>
              <w:t>Voyzze</w:t>
            </w:r>
            <w:proofErr w:type="spellEnd"/>
            <w:r w:rsidRPr="00782FA6">
              <w:rPr>
                <w:rFonts w:eastAsia="Aptos" w:cs="Times New Roman"/>
                <w:sz w:val="20"/>
                <w:szCs w:val="20"/>
              </w:rPr>
              <w:t xml:space="preserve"> Communications Inc.</w:t>
            </w:r>
          </w:p>
        </w:tc>
      </w:tr>
      <w:tr w:rsidRPr="00782FA6" w:rsidR="00DB248A" w:rsidTr="00E52317" w14:paraId="3B0328F0" w14:textId="77777777">
        <w:trPr>
          <w:trHeight w:val="300"/>
        </w:trPr>
        <w:tc>
          <w:tcPr>
            <w:tcW w:w="1170" w:type="dxa"/>
            <w:noWrap/>
            <w:vAlign w:val="center"/>
            <w:hideMark/>
          </w:tcPr>
          <w:p w:rsidRPr="00782FA6" w:rsidR="00DB248A" w:rsidP="00DB248A" w:rsidRDefault="00DB248A" w14:paraId="5D2374D7" w14:textId="77777777">
            <w:pPr>
              <w:spacing w:line="240" w:lineRule="auto"/>
              <w:ind w:firstLine="0"/>
              <w:jc w:val="center"/>
              <w:rPr>
                <w:rFonts w:eastAsia="Aptos" w:cs="Times New Roman"/>
                <w:sz w:val="20"/>
                <w:szCs w:val="20"/>
              </w:rPr>
            </w:pPr>
            <w:r w:rsidRPr="00782FA6">
              <w:rPr>
                <w:rFonts w:eastAsia="Aptos" w:cs="Times New Roman"/>
                <w:sz w:val="20"/>
                <w:szCs w:val="20"/>
              </w:rPr>
              <w:t>1228</w:t>
            </w:r>
          </w:p>
        </w:tc>
        <w:tc>
          <w:tcPr>
            <w:tcW w:w="1036" w:type="dxa"/>
            <w:noWrap/>
            <w:vAlign w:val="center"/>
            <w:hideMark/>
          </w:tcPr>
          <w:p w:rsidRPr="00782FA6" w:rsidR="00DB248A" w:rsidP="00DB248A" w:rsidRDefault="00DB248A" w14:paraId="344633D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6B6399F" w14:textId="7C599CD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43FDA36" w14:textId="4A45E6DB">
            <w:pPr>
              <w:spacing w:line="240" w:lineRule="auto"/>
              <w:ind w:firstLine="0"/>
              <w:rPr>
                <w:rFonts w:eastAsia="Aptos" w:cs="Times New Roman"/>
                <w:sz w:val="20"/>
                <w:szCs w:val="20"/>
              </w:rPr>
            </w:pPr>
            <w:r w:rsidRPr="00782FA6">
              <w:rPr>
                <w:rFonts w:eastAsia="Aptos" w:cs="Times New Roman"/>
                <w:sz w:val="20"/>
                <w:szCs w:val="20"/>
              </w:rPr>
              <w:t>Hughes Network Systems, LLC</w:t>
            </w:r>
          </w:p>
        </w:tc>
      </w:tr>
      <w:tr w:rsidRPr="00782FA6" w:rsidR="00DB248A" w:rsidTr="00E52317" w14:paraId="6D27616E" w14:textId="77777777">
        <w:trPr>
          <w:trHeight w:val="300"/>
        </w:trPr>
        <w:tc>
          <w:tcPr>
            <w:tcW w:w="1170" w:type="dxa"/>
            <w:noWrap/>
            <w:vAlign w:val="center"/>
            <w:hideMark/>
          </w:tcPr>
          <w:p w:rsidRPr="00782FA6" w:rsidR="00DB248A" w:rsidP="00DB248A" w:rsidRDefault="00DB248A" w14:paraId="03464CAB" w14:textId="77777777">
            <w:pPr>
              <w:spacing w:line="240" w:lineRule="auto"/>
              <w:ind w:firstLine="0"/>
              <w:jc w:val="center"/>
              <w:rPr>
                <w:rFonts w:eastAsia="Aptos" w:cs="Times New Roman"/>
                <w:sz w:val="20"/>
                <w:szCs w:val="20"/>
              </w:rPr>
            </w:pPr>
            <w:r w:rsidRPr="00782FA6">
              <w:rPr>
                <w:rFonts w:eastAsia="Aptos" w:cs="Times New Roman"/>
                <w:sz w:val="20"/>
                <w:szCs w:val="20"/>
              </w:rPr>
              <w:t>1229</w:t>
            </w:r>
          </w:p>
        </w:tc>
        <w:tc>
          <w:tcPr>
            <w:tcW w:w="1036" w:type="dxa"/>
            <w:noWrap/>
            <w:vAlign w:val="center"/>
            <w:hideMark/>
          </w:tcPr>
          <w:p w:rsidRPr="00782FA6" w:rsidR="00DB248A" w:rsidP="00DB248A" w:rsidRDefault="00DB248A" w14:paraId="3AF7E88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F3529B5" w14:textId="63CFC93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3A15E69" w14:textId="47CD6F57">
            <w:pPr>
              <w:spacing w:line="240" w:lineRule="auto"/>
              <w:ind w:firstLine="0"/>
              <w:rPr>
                <w:rFonts w:eastAsia="Aptos" w:cs="Times New Roman"/>
                <w:sz w:val="20"/>
                <w:szCs w:val="20"/>
              </w:rPr>
            </w:pPr>
            <w:proofErr w:type="spellStart"/>
            <w:r w:rsidRPr="00782FA6">
              <w:rPr>
                <w:rFonts w:eastAsia="Aptos" w:cs="Times New Roman"/>
                <w:sz w:val="20"/>
                <w:szCs w:val="20"/>
              </w:rPr>
              <w:t>Cytracom</w:t>
            </w:r>
            <w:proofErr w:type="spellEnd"/>
            <w:r w:rsidRPr="00782FA6">
              <w:rPr>
                <w:rFonts w:eastAsia="Aptos" w:cs="Times New Roman"/>
                <w:sz w:val="20"/>
                <w:szCs w:val="20"/>
              </w:rPr>
              <w:t>, LLC</w:t>
            </w:r>
          </w:p>
        </w:tc>
      </w:tr>
      <w:tr w:rsidRPr="00782FA6" w:rsidR="00DB248A" w:rsidTr="00E52317" w14:paraId="30C944E2" w14:textId="77777777">
        <w:trPr>
          <w:trHeight w:val="300"/>
        </w:trPr>
        <w:tc>
          <w:tcPr>
            <w:tcW w:w="1170" w:type="dxa"/>
            <w:noWrap/>
            <w:vAlign w:val="center"/>
            <w:hideMark/>
          </w:tcPr>
          <w:p w:rsidRPr="00782FA6" w:rsidR="00DB248A" w:rsidP="00DB248A" w:rsidRDefault="00DB248A" w14:paraId="1AD19E91" w14:textId="77777777">
            <w:pPr>
              <w:spacing w:line="240" w:lineRule="auto"/>
              <w:ind w:firstLine="0"/>
              <w:jc w:val="center"/>
              <w:rPr>
                <w:rFonts w:eastAsia="Aptos" w:cs="Times New Roman"/>
                <w:sz w:val="20"/>
                <w:szCs w:val="20"/>
              </w:rPr>
            </w:pPr>
            <w:r w:rsidRPr="00782FA6">
              <w:rPr>
                <w:rFonts w:eastAsia="Aptos" w:cs="Times New Roman"/>
                <w:sz w:val="20"/>
                <w:szCs w:val="20"/>
              </w:rPr>
              <w:t>1230</w:t>
            </w:r>
          </w:p>
        </w:tc>
        <w:tc>
          <w:tcPr>
            <w:tcW w:w="1036" w:type="dxa"/>
            <w:noWrap/>
            <w:vAlign w:val="center"/>
            <w:hideMark/>
          </w:tcPr>
          <w:p w:rsidRPr="00782FA6" w:rsidR="00DB248A" w:rsidP="00DB248A" w:rsidRDefault="00DB248A" w14:paraId="76BCDFD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E1A24F8" w14:textId="6A68E35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6E419AA" w14:textId="258DDB13">
            <w:pPr>
              <w:spacing w:line="240" w:lineRule="auto"/>
              <w:ind w:firstLine="0"/>
              <w:rPr>
                <w:rFonts w:eastAsia="Aptos" w:cs="Times New Roman"/>
                <w:sz w:val="20"/>
                <w:szCs w:val="20"/>
              </w:rPr>
            </w:pPr>
            <w:r w:rsidRPr="00782FA6">
              <w:rPr>
                <w:rFonts w:eastAsia="Aptos" w:cs="Times New Roman"/>
                <w:sz w:val="20"/>
                <w:szCs w:val="20"/>
              </w:rPr>
              <w:t>ViaSat, Inc.</w:t>
            </w:r>
          </w:p>
        </w:tc>
      </w:tr>
      <w:tr w:rsidRPr="00782FA6" w:rsidR="00DB248A" w:rsidTr="00E52317" w14:paraId="39A63C42" w14:textId="77777777">
        <w:trPr>
          <w:trHeight w:val="300"/>
        </w:trPr>
        <w:tc>
          <w:tcPr>
            <w:tcW w:w="1170" w:type="dxa"/>
            <w:noWrap/>
            <w:vAlign w:val="center"/>
            <w:hideMark/>
          </w:tcPr>
          <w:p w:rsidRPr="00782FA6" w:rsidR="00DB248A" w:rsidP="00DB248A" w:rsidRDefault="00DB248A" w14:paraId="346466EC" w14:textId="77777777">
            <w:pPr>
              <w:spacing w:line="240" w:lineRule="auto"/>
              <w:ind w:firstLine="0"/>
              <w:jc w:val="center"/>
              <w:rPr>
                <w:rFonts w:eastAsia="Aptos" w:cs="Times New Roman"/>
                <w:sz w:val="20"/>
                <w:szCs w:val="20"/>
              </w:rPr>
            </w:pPr>
            <w:r w:rsidRPr="00782FA6">
              <w:rPr>
                <w:rFonts w:eastAsia="Aptos" w:cs="Times New Roman"/>
                <w:sz w:val="20"/>
                <w:szCs w:val="20"/>
              </w:rPr>
              <w:t>1232</w:t>
            </w:r>
          </w:p>
        </w:tc>
        <w:tc>
          <w:tcPr>
            <w:tcW w:w="1036" w:type="dxa"/>
            <w:noWrap/>
            <w:vAlign w:val="center"/>
            <w:hideMark/>
          </w:tcPr>
          <w:p w:rsidRPr="00782FA6" w:rsidR="00DB248A" w:rsidP="00DB248A" w:rsidRDefault="00DB248A" w14:paraId="0ACD36E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41E9B09" w14:textId="1495AC7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DBF836B" w14:textId="5C09195B">
            <w:pPr>
              <w:spacing w:line="240" w:lineRule="auto"/>
              <w:ind w:firstLine="0"/>
              <w:rPr>
                <w:rFonts w:eastAsia="Aptos" w:cs="Times New Roman"/>
                <w:sz w:val="20"/>
                <w:szCs w:val="20"/>
              </w:rPr>
            </w:pPr>
            <w:proofErr w:type="spellStart"/>
            <w:r w:rsidRPr="00782FA6">
              <w:rPr>
                <w:rFonts w:eastAsia="Aptos" w:cs="Times New Roman"/>
                <w:sz w:val="20"/>
                <w:szCs w:val="20"/>
              </w:rPr>
              <w:t>Equivoice</w:t>
            </w:r>
            <w:proofErr w:type="spellEnd"/>
            <w:r w:rsidRPr="00782FA6">
              <w:rPr>
                <w:rFonts w:eastAsia="Aptos" w:cs="Times New Roman"/>
                <w:sz w:val="20"/>
                <w:szCs w:val="20"/>
              </w:rPr>
              <w:t>, Inc.</w:t>
            </w:r>
          </w:p>
        </w:tc>
      </w:tr>
      <w:tr w:rsidRPr="00782FA6" w:rsidR="00DB248A" w:rsidTr="00E52317" w14:paraId="4FE6E4D9" w14:textId="77777777">
        <w:trPr>
          <w:trHeight w:val="300"/>
        </w:trPr>
        <w:tc>
          <w:tcPr>
            <w:tcW w:w="1170" w:type="dxa"/>
            <w:noWrap/>
            <w:vAlign w:val="center"/>
            <w:hideMark/>
          </w:tcPr>
          <w:p w:rsidRPr="00782FA6" w:rsidR="00DB248A" w:rsidP="00DB248A" w:rsidRDefault="00DB248A" w14:paraId="39628253" w14:textId="77777777">
            <w:pPr>
              <w:spacing w:line="240" w:lineRule="auto"/>
              <w:ind w:firstLine="0"/>
              <w:jc w:val="center"/>
              <w:rPr>
                <w:rFonts w:eastAsia="Aptos" w:cs="Times New Roman"/>
                <w:sz w:val="20"/>
                <w:szCs w:val="20"/>
              </w:rPr>
            </w:pPr>
            <w:r w:rsidRPr="00782FA6">
              <w:rPr>
                <w:rFonts w:eastAsia="Aptos" w:cs="Times New Roman"/>
                <w:sz w:val="20"/>
                <w:szCs w:val="20"/>
              </w:rPr>
              <w:t>1234</w:t>
            </w:r>
          </w:p>
        </w:tc>
        <w:tc>
          <w:tcPr>
            <w:tcW w:w="1036" w:type="dxa"/>
            <w:noWrap/>
            <w:vAlign w:val="center"/>
            <w:hideMark/>
          </w:tcPr>
          <w:p w:rsidRPr="00782FA6" w:rsidR="00DB248A" w:rsidP="00DB248A" w:rsidRDefault="00DB248A" w14:paraId="132E758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9B45F1E" w14:textId="7AD5869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85FB1E7" w14:textId="052EA674">
            <w:pPr>
              <w:spacing w:line="240" w:lineRule="auto"/>
              <w:ind w:firstLine="0"/>
              <w:rPr>
                <w:rFonts w:eastAsia="Aptos" w:cs="Times New Roman"/>
                <w:sz w:val="20"/>
                <w:szCs w:val="20"/>
              </w:rPr>
            </w:pPr>
            <w:r w:rsidRPr="00782FA6">
              <w:rPr>
                <w:rFonts w:eastAsia="Aptos" w:cs="Times New Roman"/>
                <w:sz w:val="20"/>
                <w:szCs w:val="20"/>
              </w:rPr>
              <w:t>BroadSoft Adaption, Inc.</w:t>
            </w:r>
          </w:p>
        </w:tc>
      </w:tr>
      <w:tr w:rsidRPr="00782FA6" w:rsidR="00DB248A" w:rsidTr="00E52317" w14:paraId="451B6DD5" w14:textId="77777777">
        <w:trPr>
          <w:trHeight w:val="300"/>
        </w:trPr>
        <w:tc>
          <w:tcPr>
            <w:tcW w:w="1170" w:type="dxa"/>
            <w:noWrap/>
            <w:vAlign w:val="center"/>
            <w:hideMark/>
          </w:tcPr>
          <w:p w:rsidRPr="00782FA6" w:rsidR="00DB248A" w:rsidP="00DB248A" w:rsidRDefault="00DB248A" w14:paraId="67E63E35" w14:textId="77777777">
            <w:pPr>
              <w:spacing w:line="240" w:lineRule="auto"/>
              <w:ind w:firstLine="0"/>
              <w:jc w:val="center"/>
              <w:rPr>
                <w:rFonts w:eastAsia="Aptos" w:cs="Times New Roman"/>
                <w:sz w:val="20"/>
                <w:szCs w:val="20"/>
              </w:rPr>
            </w:pPr>
            <w:r w:rsidRPr="00782FA6">
              <w:rPr>
                <w:rFonts w:eastAsia="Aptos" w:cs="Times New Roman"/>
                <w:sz w:val="20"/>
                <w:szCs w:val="20"/>
              </w:rPr>
              <w:t>1238</w:t>
            </w:r>
          </w:p>
        </w:tc>
        <w:tc>
          <w:tcPr>
            <w:tcW w:w="1036" w:type="dxa"/>
            <w:noWrap/>
            <w:vAlign w:val="center"/>
            <w:hideMark/>
          </w:tcPr>
          <w:p w:rsidRPr="00782FA6" w:rsidR="00DB248A" w:rsidP="00DB248A" w:rsidRDefault="00DB248A" w14:paraId="06ED6E3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263987E" w14:textId="4A78E94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DAB0515" w14:textId="47B1FDD4">
            <w:pPr>
              <w:spacing w:line="240" w:lineRule="auto"/>
              <w:ind w:firstLine="0"/>
              <w:rPr>
                <w:rFonts w:eastAsia="Aptos" w:cs="Times New Roman"/>
                <w:sz w:val="20"/>
                <w:szCs w:val="20"/>
              </w:rPr>
            </w:pPr>
            <w:r w:rsidRPr="00782FA6">
              <w:rPr>
                <w:rFonts w:eastAsia="Aptos" w:cs="Times New Roman"/>
                <w:sz w:val="20"/>
                <w:szCs w:val="20"/>
              </w:rPr>
              <w:t>Cohere Communications, LLC</w:t>
            </w:r>
          </w:p>
        </w:tc>
      </w:tr>
      <w:tr w:rsidRPr="00782FA6" w:rsidR="00DB248A" w:rsidTr="00E52317" w14:paraId="457FFEF6" w14:textId="77777777">
        <w:trPr>
          <w:trHeight w:val="300"/>
        </w:trPr>
        <w:tc>
          <w:tcPr>
            <w:tcW w:w="1170" w:type="dxa"/>
            <w:noWrap/>
            <w:vAlign w:val="center"/>
            <w:hideMark/>
          </w:tcPr>
          <w:p w:rsidRPr="00782FA6" w:rsidR="00DB248A" w:rsidP="00DB248A" w:rsidRDefault="00DB248A" w14:paraId="485152D4" w14:textId="77777777">
            <w:pPr>
              <w:spacing w:line="240" w:lineRule="auto"/>
              <w:ind w:firstLine="0"/>
              <w:jc w:val="center"/>
              <w:rPr>
                <w:rFonts w:eastAsia="Aptos" w:cs="Times New Roman"/>
                <w:sz w:val="20"/>
                <w:szCs w:val="20"/>
              </w:rPr>
            </w:pPr>
            <w:r w:rsidRPr="00782FA6">
              <w:rPr>
                <w:rFonts w:eastAsia="Aptos" w:cs="Times New Roman"/>
                <w:sz w:val="20"/>
                <w:szCs w:val="20"/>
              </w:rPr>
              <w:t>1241</w:t>
            </w:r>
          </w:p>
        </w:tc>
        <w:tc>
          <w:tcPr>
            <w:tcW w:w="1036" w:type="dxa"/>
            <w:noWrap/>
            <w:vAlign w:val="center"/>
            <w:hideMark/>
          </w:tcPr>
          <w:p w:rsidRPr="00782FA6" w:rsidR="00DB248A" w:rsidP="00DB248A" w:rsidRDefault="00DB248A" w14:paraId="72E36FA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5BBBA8E" w14:textId="33D3C24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A3FFF77" w14:textId="11DDD186">
            <w:pPr>
              <w:spacing w:line="240" w:lineRule="auto"/>
              <w:ind w:firstLine="0"/>
              <w:rPr>
                <w:rFonts w:eastAsia="Aptos" w:cs="Times New Roman"/>
                <w:sz w:val="20"/>
                <w:szCs w:val="20"/>
              </w:rPr>
            </w:pPr>
            <w:r w:rsidRPr="00782FA6">
              <w:rPr>
                <w:rFonts w:eastAsia="Aptos" w:cs="Times New Roman"/>
                <w:sz w:val="20"/>
                <w:szCs w:val="20"/>
              </w:rPr>
              <w:t>DLS Computer Services, Inc.</w:t>
            </w:r>
          </w:p>
        </w:tc>
      </w:tr>
      <w:tr w:rsidRPr="00782FA6" w:rsidR="00DB248A" w:rsidTr="00E52317" w14:paraId="2F1996E4" w14:textId="77777777">
        <w:trPr>
          <w:trHeight w:val="300"/>
        </w:trPr>
        <w:tc>
          <w:tcPr>
            <w:tcW w:w="1170" w:type="dxa"/>
            <w:noWrap/>
            <w:vAlign w:val="center"/>
            <w:hideMark/>
          </w:tcPr>
          <w:p w:rsidRPr="00782FA6" w:rsidR="00DB248A" w:rsidP="00DB248A" w:rsidRDefault="00DB248A" w14:paraId="5A64F470" w14:textId="77777777">
            <w:pPr>
              <w:spacing w:line="240" w:lineRule="auto"/>
              <w:ind w:firstLine="0"/>
              <w:jc w:val="center"/>
              <w:rPr>
                <w:rFonts w:eastAsia="Aptos" w:cs="Times New Roman"/>
                <w:sz w:val="20"/>
                <w:szCs w:val="20"/>
              </w:rPr>
            </w:pPr>
            <w:r w:rsidRPr="00782FA6">
              <w:rPr>
                <w:rFonts w:eastAsia="Aptos" w:cs="Times New Roman"/>
                <w:sz w:val="20"/>
                <w:szCs w:val="20"/>
              </w:rPr>
              <w:t>1245</w:t>
            </w:r>
          </w:p>
        </w:tc>
        <w:tc>
          <w:tcPr>
            <w:tcW w:w="1036" w:type="dxa"/>
            <w:noWrap/>
            <w:vAlign w:val="center"/>
            <w:hideMark/>
          </w:tcPr>
          <w:p w:rsidRPr="00782FA6" w:rsidR="00DB248A" w:rsidP="00DB248A" w:rsidRDefault="00DB248A" w14:paraId="6E025B0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F9A1968" w14:textId="3E21A72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B6C1747" w14:textId="0DF087E5">
            <w:pPr>
              <w:spacing w:line="240" w:lineRule="auto"/>
              <w:ind w:firstLine="0"/>
              <w:rPr>
                <w:rFonts w:eastAsia="Aptos" w:cs="Times New Roman"/>
                <w:sz w:val="20"/>
                <w:szCs w:val="20"/>
              </w:rPr>
            </w:pPr>
            <w:r w:rsidRPr="00782FA6">
              <w:rPr>
                <w:rFonts w:eastAsia="Aptos" w:cs="Times New Roman"/>
                <w:sz w:val="20"/>
                <w:szCs w:val="20"/>
              </w:rPr>
              <w:t>Pure IP California LLC</w:t>
            </w:r>
          </w:p>
        </w:tc>
      </w:tr>
      <w:tr w:rsidRPr="00782FA6" w:rsidR="00DB248A" w:rsidTr="00E52317" w14:paraId="45B14DD0" w14:textId="77777777">
        <w:trPr>
          <w:trHeight w:val="300"/>
        </w:trPr>
        <w:tc>
          <w:tcPr>
            <w:tcW w:w="1170" w:type="dxa"/>
            <w:noWrap/>
            <w:vAlign w:val="center"/>
            <w:hideMark/>
          </w:tcPr>
          <w:p w:rsidRPr="00782FA6" w:rsidR="00DB248A" w:rsidP="00DB248A" w:rsidRDefault="00DB248A" w14:paraId="03BE6A3F" w14:textId="77777777">
            <w:pPr>
              <w:spacing w:line="240" w:lineRule="auto"/>
              <w:ind w:firstLine="0"/>
              <w:jc w:val="center"/>
              <w:rPr>
                <w:rFonts w:eastAsia="Aptos" w:cs="Times New Roman"/>
                <w:sz w:val="20"/>
                <w:szCs w:val="20"/>
              </w:rPr>
            </w:pPr>
            <w:r w:rsidRPr="00782FA6">
              <w:rPr>
                <w:rFonts w:eastAsia="Aptos" w:cs="Times New Roman"/>
                <w:sz w:val="20"/>
                <w:szCs w:val="20"/>
              </w:rPr>
              <w:t>1246</w:t>
            </w:r>
          </w:p>
        </w:tc>
        <w:tc>
          <w:tcPr>
            <w:tcW w:w="1036" w:type="dxa"/>
            <w:noWrap/>
            <w:vAlign w:val="center"/>
            <w:hideMark/>
          </w:tcPr>
          <w:p w:rsidRPr="00782FA6" w:rsidR="00DB248A" w:rsidP="00DB248A" w:rsidRDefault="00DB248A" w14:paraId="3AFE95F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AB2DEEC" w14:textId="6B0D2BA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3CB8BC7" w14:textId="35CD93FB">
            <w:pPr>
              <w:spacing w:line="240" w:lineRule="auto"/>
              <w:ind w:firstLine="0"/>
              <w:rPr>
                <w:rFonts w:eastAsia="Aptos" w:cs="Times New Roman"/>
                <w:sz w:val="20"/>
                <w:szCs w:val="20"/>
              </w:rPr>
            </w:pPr>
            <w:r w:rsidRPr="00782FA6">
              <w:rPr>
                <w:rFonts w:eastAsia="Aptos" w:cs="Times New Roman"/>
                <w:sz w:val="20"/>
                <w:szCs w:val="20"/>
              </w:rPr>
              <w:t>Go Solo Technologies of Florida One, Inc.</w:t>
            </w:r>
          </w:p>
        </w:tc>
      </w:tr>
      <w:tr w:rsidRPr="00782FA6" w:rsidR="00DB248A" w:rsidTr="00E52317" w14:paraId="004AA9A4" w14:textId="77777777">
        <w:trPr>
          <w:trHeight w:val="300"/>
        </w:trPr>
        <w:tc>
          <w:tcPr>
            <w:tcW w:w="1170" w:type="dxa"/>
            <w:noWrap/>
            <w:vAlign w:val="center"/>
            <w:hideMark/>
          </w:tcPr>
          <w:p w:rsidRPr="00782FA6" w:rsidR="00DB248A" w:rsidP="00DB248A" w:rsidRDefault="00DB248A" w14:paraId="3E030898" w14:textId="77777777">
            <w:pPr>
              <w:spacing w:line="240" w:lineRule="auto"/>
              <w:ind w:firstLine="0"/>
              <w:jc w:val="center"/>
              <w:rPr>
                <w:rFonts w:eastAsia="Aptos" w:cs="Times New Roman"/>
                <w:sz w:val="20"/>
                <w:szCs w:val="20"/>
              </w:rPr>
            </w:pPr>
            <w:r w:rsidRPr="00782FA6">
              <w:rPr>
                <w:rFonts w:eastAsia="Aptos" w:cs="Times New Roman"/>
                <w:sz w:val="20"/>
                <w:szCs w:val="20"/>
              </w:rPr>
              <w:t>1247</w:t>
            </w:r>
          </w:p>
        </w:tc>
        <w:tc>
          <w:tcPr>
            <w:tcW w:w="1036" w:type="dxa"/>
            <w:noWrap/>
            <w:vAlign w:val="center"/>
            <w:hideMark/>
          </w:tcPr>
          <w:p w:rsidRPr="00782FA6" w:rsidR="00DB248A" w:rsidP="00DB248A" w:rsidRDefault="00DB248A" w14:paraId="156D758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9F64445" w14:textId="1E8731A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34197E1" w14:textId="2B1EDC4D">
            <w:pPr>
              <w:spacing w:line="240" w:lineRule="auto"/>
              <w:ind w:firstLine="0"/>
              <w:rPr>
                <w:rFonts w:eastAsia="Aptos" w:cs="Times New Roman"/>
                <w:sz w:val="20"/>
                <w:szCs w:val="20"/>
              </w:rPr>
            </w:pPr>
            <w:r w:rsidRPr="00782FA6">
              <w:rPr>
                <w:rFonts w:eastAsia="Aptos" w:cs="Times New Roman"/>
                <w:sz w:val="20"/>
                <w:szCs w:val="20"/>
              </w:rPr>
              <w:t>Central Park Systems Corporation</w:t>
            </w:r>
          </w:p>
        </w:tc>
      </w:tr>
      <w:tr w:rsidRPr="00782FA6" w:rsidR="00DB248A" w:rsidTr="00E52317" w14:paraId="29BA915C" w14:textId="77777777">
        <w:trPr>
          <w:trHeight w:val="300"/>
        </w:trPr>
        <w:tc>
          <w:tcPr>
            <w:tcW w:w="1170" w:type="dxa"/>
            <w:noWrap/>
            <w:vAlign w:val="center"/>
            <w:hideMark/>
          </w:tcPr>
          <w:p w:rsidRPr="00782FA6" w:rsidR="00DB248A" w:rsidP="00DB248A" w:rsidRDefault="00DB248A" w14:paraId="4B5AA54F" w14:textId="77777777">
            <w:pPr>
              <w:spacing w:line="240" w:lineRule="auto"/>
              <w:ind w:firstLine="0"/>
              <w:jc w:val="center"/>
              <w:rPr>
                <w:rFonts w:eastAsia="Aptos" w:cs="Times New Roman"/>
                <w:sz w:val="20"/>
                <w:szCs w:val="20"/>
              </w:rPr>
            </w:pPr>
            <w:r w:rsidRPr="00782FA6">
              <w:rPr>
                <w:rFonts w:eastAsia="Aptos" w:cs="Times New Roman"/>
                <w:sz w:val="20"/>
                <w:szCs w:val="20"/>
              </w:rPr>
              <w:t>1250</w:t>
            </w:r>
          </w:p>
        </w:tc>
        <w:tc>
          <w:tcPr>
            <w:tcW w:w="1036" w:type="dxa"/>
            <w:noWrap/>
            <w:vAlign w:val="center"/>
            <w:hideMark/>
          </w:tcPr>
          <w:p w:rsidRPr="00782FA6" w:rsidR="00DB248A" w:rsidP="00DB248A" w:rsidRDefault="00DB248A" w14:paraId="6F84B26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6FA1407" w14:textId="6F18D30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0BCCE18" w14:textId="57A60426">
            <w:pPr>
              <w:spacing w:line="240" w:lineRule="auto"/>
              <w:ind w:firstLine="0"/>
              <w:rPr>
                <w:rFonts w:eastAsia="Aptos" w:cs="Times New Roman"/>
                <w:sz w:val="20"/>
                <w:szCs w:val="20"/>
              </w:rPr>
            </w:pPr>
            <w:proofErr w:type="spellStart"/>
            <w:r w:rsidRPr="00782FA6">
              <w:rPr>
                <w:rFonts w:eastAsia="Aptos" w:cs="Times New Roman"/>
                <w:sz w:val="20"/>
                <w:szCs w:val="20"/>
              </w:rPr>
              <w:t>Glencom</w:t>
            </w:r>
            <w:proofErr w:type="spellEnd"/>
            <w:r w:rsidRPr="00782FA6">
              <w:rPr>
                <w:rFonts w:eastAsia="Aptos" w:cs="Times New Roman"/>
                <w:sz w:val="20"/>
                <w:szCs w:val="20"/>
              </w:rPr>
              <w:t xml:space="preserve"> Corporation, Inc.</w:t>
            </w:r>
          </w:p>
        </w:tc>
      </w:tr>
      <w:tr w:rsidRPr="00782FA6" w:rsidR="00DB248A" w:rsidTr="00E52317" w14:paraId="7A1CD668" w14:textId="77777777">
        <w:trPr>
          <w:trHeight w:val="300"/>
        </w:trPr>
        <w:tc>
          <w:tcPr>
            <w:tcW w:w="1170" w:type="dxa"/>
            <w:noWrap/>
            <w:vAlign w:val="center"/>
            <w:hideMark/>
          </w:tcPr>
          <w:p w:rsidRPr="00782FA6" w:rsidR="00DB248A" w:rsidP="00DB248A" w:rsidRDefault="00DB248A" w14:paraId="75673E80" w14:textId="77777777">
            <w:pPr>
              <w:spacing w:line="240" w:lineRule="auto"/>
              <w:ind w:firstLine="0"/>
              <w:jc w:val="center"/>
              <w:rPr>
                <w:rFonts w:eastAsia="Aptos" w:cs="Times New Roman"/>
                <w:sz w:val="20"/>
                <w:szCs w:val="20"/>
              </w:rPr>
            </w:pPr>
            <w:r w:rsidRPr="00782FA6">
              <w:rPr>
                <w:rFonts w:eastAsia="Aptos" w:cs="Times New Roman"/>
                <w:sz w:val="20"/>
                <w:szCs w:val="20"/>
              </w:rPr>
              <w:t>1251</w:t>
            </w:r>
          </w:p>
        </w:tc>
        <w:tc>
          <w:tcPr>
            <w:tcW w:w="1036" w:type="dxa"/>
            <w:noWrap/>
            <w:vAlign w:val="center"/>
            <w:hideMark/>
          </w:tcPr>
          <w:p w:rsidRPr="00782FA6" w:rsidR="00DB248A" w:rsidP="00DB248A" w:rsidRDefault="00DB248A" w14:paraId="14D5AAA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1C698B0" w14:textId="6B11ECD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4010077" w14:textId="78722F96">
            <w:pPr>
              <w:spacing w:line="240" w:lineRule="auto"/>
              <w:ind w:firstLine="0"/>
              <w:rPr>
                <w:rFonts w:eastAsia="Aptos" w:cs="Times New Roman"/>
                <w:sz w:val="20"/>
                <w:szCs w:val="20"/>
              </w:rPr>
            </w:pPr>
            <w:r w:rsidRPr="00782FA6">
              <w:rPr>
                <w:rFonts w:eastAsia="Aptos" w:cs="Times New Roman"/>
                <w:sz w:val="20"/>
                <w:szCs w:val="20"/>
              </w:rPr>
              <w:t>S</w:t>
            </w:r>
            <w:r w:rsidR="006951D5">
              <w:rPr>
                <w:rFonts w:eastAsia="Aptos" w:cs="Times New Roman"/>
                <w:sz w:val="20"/>
                <w:szCs w:val="20"/>
              </w:rPr>
              <w:noBreakHyphen/>
            </w:r>
            <w:r w:rsidRPr="00782FA6">
              <w:rPr>
                <w:rFonts w:eastAsia="Aptos" w:cs="Times New Roman"/>
                <w:sz w:val="20"/>
                <w:szCs w:val="20"/>
              </w:rPr>
              <w:t>Net Communications, Inc.</w:t>
            </w:r>
          </w:p>
        </w:tc>
      </w:tr>
      <w:tr w:rsidRPr="00782FA6" w:rsidR="00DB248A" w:rsidTr="00E52317" w14:paraId="5F4D51D6" w14:textId="77777777">
        <w:trPr>
          <w:trHeight w:val="300"/>
        </w:trPr>
        <w:tc>
          <w:tcPr>
            <w:tcW w:w="1170" w:type="dxa"/>
            <w:noWrap/>
            <w:vAlign w:val="center"/>
            <w:hideMark/>
          </w:tcPr>
          <w:p w:rsidRPr="00782FA6" w:rsidR="00DB248A" w:rsidP="00DB248A" w:rsidRDefault="00DB248A" w14:paraId="3F5A418D" w14:textId="77777777">
            <w:pPr>
              <w:spacing w:line="240" w:lineRule="auto"/>
              <w:ind w:firstLine="0"/>
              <w:jc w:val="center"/>
              <w:rPr>
                <w:rFonts w:eastAsia="Aptos" w:cs="Times New Roman"/>
                <w:sz w:val="20"/>
                <w:szCs w:val="20"/>
              </w:rPr>
            </w:pPr>
            <w:r w:rsidRPr="00782FA6">
              <w:rPr>
                <w:rFonts w:eastAsia="Aptos" w:cs="Times New Roman"/>
                <w:sz w:val="20"/>
                <w:szCs w:val="20"/>
              </w:rPr>
              <w:t>1253</w:t>
            </w:r>
          </w:p>
        </w:tc>
        <w:tc>
          <w:tcPr>
            <w:tcW w:w="1036" w:type="dxa"/>
            <w:noWrap/>
            <w:vAlign w:val="center"/>
            <w:hideMark/>
          </w:tcPr>
          <w:p w:rsidRPr="00782FA6" w:rsidR="00DB248A" w:rsidP="00DB248A" w:rsidRDefault="00DB248A" w14:paraId="04919C1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24E3BC6" w14:textId="6B44A0B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11EA880" w14:textId="0ADC58FB">
            <w:pPr>
              <w:spacing w:line="240" w:lineRule="auto"/>
              <w:ind w:firstLine="0"/>
              <w:rPr>
                <w:rFonts w:eastAsia="Aptos" w:cs="Times New Roman"/>
                <w:sz w:val="20"/>
                <w:szCs w:val="20"/>
              </w:rPr>
            </w:pPr>
            <w:r w:rsidRPr="00782FA6">
              <w:rPr>
                <w:rFonts w:eastAsia="Aptos" w:cs="Times New Roman"/>
                <w:sz w:val="20"/>
                <w:szCs w:val="20"/>
              </w:rPr>
              <w:t>NEC Cloud Communications America, Inc.</w:t>
            </w:r>
          </w:p>
        </w:tc>
      </w:tr>
      <w:tr w:rsidRPr="00782FA6" w:rsidR="00DB248A" w:rsidTr="00E52317" w14:paraId="1ADCCCD7" w14:textId="77777777">
        <w:trPr>
          <w:trHeight w:val="300"/>
        </w:trPr>
        <w:tc>
          <w:tcPr>
            <w:tcW w:w="1170" w:type="dxa"/>
            <w:noWrap/>
            <w:vAlign w:val="center"/>
            <w:hideMark/>
          </w:tcPr>
          <w:p w:rsidRPr="00782FA6" w:rsidR="00DB248A" w:rsidP="00DB248A" w:rsidRDefault="00DB248A" w14:paraId="34495895" w14:textId="77777777">
            <w:pPr>
              <w:spacing w:line="240" w:lineRule="auto"/>
              <w:ind w:firstLine="0"/>
              <w:jc w:val="center"/>
              <w:rPr>
                <w:rFonts w:eastAsia="Aptos" w:cs="Times New Roman"/>
                <w:sz w:val="20"/>
                <w:szCs w:val="20"/>
              </w:rPr>
            </w:pPr>
            <w:r w:rsidRPr="00782FA6">
              <w:rPr>
                <w:rFonts w:eastAsia="Aptos" w:cs="Times New Roman"/>
                <w:sz w:val="20"/>
                <w:szCs w:val="20"/>
              </w:rPr>
              <w:lastRenderedPageBreak/>
              <w:t>1257</w:t>
            </w:r>
          </w:p>
        </w:tc>
        <w:tc>
          <w:tcPr>
            <w:tcW w:w="1036" w:type="dxa"/>
            <w:noWrap/>
            <w:vAlign w:val="center"/>
            <w:hideMark/>
          </w:tcPr>
          <w:p w:rsidRPr="00782FA6" w:rsidR="00DB248A" w:rsidP="00DB248A" w:rsidRDefault="00DB248A" w14:paraId="7CD81DC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CB83960" w14:textId="56CFD12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9FC1ADE" w14:textId="4E57E34F">
            <w:pPr>
              <w:spacing w:line="240" w:lineRule="auto"/>
              <w:ind w:firstLine="0"/>
              <w:rPr>
                <w:rFonts w:eastAsia="Aptos" w:cs="Times New Roman"/>
                <w:sz w:val="20"/>
                <w:szCs w:val="20"/>
              </w:rPr>
            </w:pPr>
            <w:r w:rsidRPr="00782FA6">
              <w:rPr>
                <w:rFonts w:eastAsia="Aptos" w:cs="Times New Roman"/>
                <w:sz w:val="20"/>
                <w:szCs w:val="20"/>
              </w:rPr>
              <w:t>Velocity The Greatest Phone Company Ever, Inc</w:t>
            </w:r>
          </w:p>
        </w:tc>
      </w:tr>
      <w:tr w:rsidRPr="00782FA6" w:rsidR="00DB248A" w:rsidTr="00E52317" w14:paraId="781545AE" w14:textId="77777777">
        <w:trPr>
          <w:trHeight w:val="300"/>
        </w:trPr>
        <w:tc>
          <w:tcPr>
            <w:tcW w:w="1170" w:type="dxa"/>
            <w:noWrap/>
            <w:vAlign w:val="center"/>
            <w:hideMark/>
          </w:tcPr>
          <w:p w:rsidRPr="00782FA6" w:rsidR="00DB248A" w:rsidP="00DB248A" w:rsidRDefault="00DB248A" w14:paraId="23AB0F00" w14:textId="77777777">
            <w:pPr>
              <w:spacing w:line="240" w:lineRule="auto"/>
              <w:ind w:firstLine="0"/>
              <w:jc w:val="center"/>
              <w:rPr>
                <w:rFonts w:eastAsia="Aptos" w:cs="Times New Roman"/>
                <w:sz w:val="20"/>
                <w:szCs w:val="20"/>
              </w:rPr>
            </w:pPr>
            <w:r w:rsidRPr="00782FA6">
              <w:rPr>
                <w:rFonts w:eastAsia="Aptos" w:cs="Times New Roman"/>
                <w:sz w:val="20"/>
                <w:szCs w:val="20"/>
              </w:rPr>
              <w:t>1258</w:t>
            </w:r>
          </w:p>
        </w:tc>
        <w:tc>
          <w:tcPr>
            <w:tcW w:w="1036" w:type="dxa"/>
            <w:noWrap/>
            <w:vAlign w:val="center"/>
            <w:hideMark/>
          </w:tcPr>
          <w:p w:rsidRPr="00782FA6" w:rsidR="00DB248A" w:rsidP="00DB248A" w:rsidRDefault="00DB248A" w14:paraId="746B43F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F08EC35" w14:textId="2F341D3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21C7509" w14:textId="627DCC06">
            <w:pPr>
              <w:spacing w:line="240" w:lineRule="auto"/>
              <w:ind w:firstLine="0"/>
              <w:rPr>
                <w:rFonts w:eastAsia="Aptos" w:cs="Times New Roman"/>
                <w:sz w:val="20"/>
                <w:szCs w:val="20"/>
              </w:rPr>
            </w:pPr>
            <w:proofErr w:type="spellStart"/>
            <w:r w:rsidRPr="00782FA6">
              <w:rPr>
                <w:rFonts w:eastAsia="Aptos" w:cs="Times New Roman"/>
                <w:sz w:val="20"/>
                <w:szCs w:val="20"/>
              </w:rPr>
              <w:t>Autus</w:t>
            </w:r>
            <w:proofErr w:type="spellEnd"/>
            <w:r w:rsidRPr="00782FA6">
              <w:rPr>
                <w:rFonts w:eastAsia="Aptos" w:cs="Times New Roman"/>
                <w:sz w:val="20"/>
                <w:szCs w:val="20"/>
              </w:rPr>
              <w:t xml:space="preserve"> Technology, LLC</w:t>
            </w:r>
          </w:p>
        </w:tc>
      </w:tr>
      <w:tr w:rsidRPr="00782FA6" w:rsidR="00DB248A" w:rsidTr="00E52317" w14:paraId="3592DD4C" w14:textId="77777777">
        <w:trPr>
          <w:trHeight w:val="300"/>
        </w:trPr>
        <w:tc>
          <w:tcPr>
            <w:tcW w:w="1170" w:type="dxa"/>
            <w:noWrap/>
            <w:vAlign w:val="center"/>
            <w:hideMark/>
          </w:tcPr>
          <w:p w:rsidRPr="00782FA6" w:rsidR="00DB248A" w:rsidP="00DB248A" w:rsidRDefault="00DB248A" w14:paraId="631F2516" w14:textId="77777777">
            <w:pPr>
              <w:spacing w:line="240" w:lineRule="auto"/>
              <w:ind w:firstLine="0"/>
              <w:jc w:val="center"/>
              <w:rPr>
                <w:rFonts w:eastAsia="Aptos" w:cs="Times New Roman"/>
                <w:sz w:val="20"/>
                <w:szCs w:val="20"/>
              </w:rPr>
            </w:pPr>
            <w:r w:rsidRPr="00782FA6">
              <w:rPr>
                <w:rFonts w:eastAsia="Aptos" w:cs="Times New Roman"/>
                <w:sz w:val="20"/>
                <w:szCs w:val="20"/>
              </w:rPr>
              <w:t>1260</w:t>
            </w:r>
          </w:p>
        </w:tc>
        <w:tc>
          <w:tcPr>
            <w:tcW w:w="1036" w:type="dxa"/>
            <w:noWrap/>
            <w:vAlign w:val="center"/>
            <w:hideMark/>
          </w:tcPr>
          <w:p w:rsidRPr="00782FA6" w:rsidR="00DB248A" w:rsidP="00DB248A" w:rsidRDefault="00DB248A" w14:paraId="3CDEA70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A5D562E" w14:textId="5ED0422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4BA1F1E" w14:textId="645A618D">
            <w:pPr>
              <w:spacing w:line="240" w:lineRule="auto"/>
              <w:ind w:firstLine="0"/>
              <w:rPr>
                <w:rFonts w:eastAsia="Aptos" w:cs="Times New Roman"/>
                <w:sz w:val="20"/>
                <w:szCs w:val="20"/>
              </w:rPr>
            </w:pPr>
            <w:proofErr w:type="spellStart"/>
            <w:r w:rsidRPr="00782FA6">
              <w:rPr>
                <w:rFonts w:eastAsia="Aptos" w:cs="Times New Roman"/>
                <w:sz w:val="20"/>
                <w:szCs w:val="20"/>
              </w:rPr>
              <w:t>iNet</w:t>
            </w:r>
            <w:proofErr w:type="spellEnd"/>
            <w:r w:rsidRPr="00782FA6">
              <w:rPr>
                <w:rFonts w:eastAsia="Aptos" w:cs="Times New Roman"/>
                <w:sz w:val="20"/>
                <w:szCs w:val="20"/>
              </w:rPr>
              <w:t xml:space="preserve"> Communications, LLC</w:t>
            </w:r>
          </w:p>
        </w:tc>
      </w:tr>
      <w:tr w:rsidRPr="00782FA6" w:rsidR="00DB248A" w:rsidTr="00E52317" w14:paraId="74C8B6CE" w14:textId="77777777">
        <w:trPr>
          <w:trHeight w:val="300"/>
        </w:trPr>
        <w:tc>
          <w:tcPr>
            <w:tcW w:w="1170" w:type="dxa"/>
            <w:noWrap/>
            <w:vAlign w:val="center"/>
            <w:hideMark/>
          </w:tcPr>
          <w:p w:rsidRPr="00782FA6" w:rsidR="00DB248A" w:rsidP="00DB248A" w:rsidRDefault="00DB248A" w14:paraId="5E4077FD" w14:textId="77777777">
            <w:pPr>
              <w:spacing w:line="240" w:lineRule="auto"/>
              <w:ind w:firstLine="0"/>
              <w:jc w:val="center"/>
              <w:rPr>
                <w:rFonts w:eastAsia="Aptos" w:cs="Times New Roman"/>
                <w:sz w:val="20"/>
                <w:szCs w:val="20"/>
              </w:rPr>
            </w:pPr>
            <w:r w:rsidRPr="00782FA6">
              <w:rPr>
                <w:rFonts w:eastAsia="Aptos" w:cs="Times New Roman"/>
                <w:sz w:val="20"/>
                <w:szCs w:val="20"/>
              </w:rPr>
              <w:t>1263</w:t>
            </w:r>
          </w:p>
        </w:tc>
        <w:tc>
          <w:tcPr>
            <w:tcW w:w="1036" w:type="dxa"/>
            <w:noWrap/>
            <w:vAlign w:val="center"/>
            <w:hideMark/>
          </w:tcPr>
          <w:p w:rsidRPr="00782FA6" w:rsidR="00DB248A" w:rsidP="00DB248A" w:rsidRDefault="00DB248A" w14:paraId="6A480B6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9EBA97D" w14:textId="4ACF03C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8EAA790" w14:textId="69C01B7E">
            <w:pPr>
              <w:spacing w:line="240" w:lineRule="auto"/>
              <w:ind w:firstLine="0"/>
              <w:rPr>
                <w:rFonts w:eastAsia="Aptos" w:cs="Times New Roman"/>
                <w:sz w:val="20"/>
                <w:szCs w:val="20"/>
              </w:rPr>
            </w:pPr>
            <w:r w:rsidRPr="00782FA6">
              <w:rPr>
                <w:rFonts w:eastAsia="Aptos" w:cs="Times New Roman"/>
                <w:sz w:val="20"/>
                <w:szCs w:val="20"/>
              </w:rPr>
              <w:t>NWN Corporation</w:t>
            </w:r>
          </w:p>
        </w:tc>
      </w:tr>
      <w:tr w:rsidRPr="00782FA6" w:rsidR="00DB248A" w:rsidTr="00E52317" w14:paraId="348480DD" w14:textId="77777777">
        <w:trPr>
          <w:trHeight w:val="300"/>
        </w:trPr>
        <w:tc>
          <w:tcPr>
            <w:tcW w:w="1170" w:type="dxa"/>
            <w:noWrap/>
            <w:vAlign w:val="center"/>
            <w:hideMark/>
          </w:tcPr>
          <w:p w:rsidRPr="00782FA6" w:rsidR="00DB248A" w:rsidP="00DB248A" w:rsidRDefault="00DB248A" w14:paraId="5319F7F1" w14:textId="77777777">
            <w:pPr>
              <w:spacing w:line="240" w:lineRule="auto"/>
              <w:ind w:firstLine="0"/>
              <w:jc w:val="center"/>
              <w:rPr>
                <w:rFonts w:eastAsia="Aptos" w:cs="Times New Roman"/>
                <w:sz w:val="20"/>
                <w:szCs w:val="20"/>
              </w:rPr>
            </w:pPr>
            <w:r w:rsidRPr="00782FA6">
              <w:rPr>
                <w:rFonts w:eastAsia="Aptos" w:cs="Times New Roman"/>
                <w:sz w:val="20"/>
                <w:szCs w:val="20"/>
              </w:rPr>
              <w:t>1266</w:t>
            </w:r>
          </w:p>
        </w:tc>
        <w:tc>
          <w:tcPr>
            <w:tcW w:w="1036" w:type="dxa"/>
            <w:noWrap/>
            <w:vAlign w:val="center"/>
            <w:hideMark/>
          </w:tcPr>
          <w:p w:rsidRPr="00782FA6" w:rsidR="00DB248A" w:rsidP="00DB248A" w:rsidRDefault="00DB248A" w14:paraId="2649C32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A8FB618" w14:textId="3C14E4E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6D15B07" w14:textId="30D1C56D">
            <w:pPr>
              <w:spacing w:line="240" w:lineRule="auto"/>
              <w:ind w:firstLine="0"/>
              <w:rPr>
                <w:rFonts w:eastAsia="Aptos" w:cs="Times New Roman"/>
                <w:sz w:val="20"/>
                <w:szCs w:val="20"/>
              </w:rPr>
            </w:pPr>
            <w:proofErr w:type="spellStart"/>
            <w:r w:rsidRPr="00782FA6">
              <w:rPr>
                <w:rFonts w:eastAsia="Aptos" w:cs="Times New Roman"/>
                <w:sz w:val="20"/>
                <w:szCs w:val="20"/>
              </w:rPr>
              <w:t>nexVortex</w:t>
            </w:r>
            <w:proofErr w:type="spellEnd"/>
            <w:r w:rsidRPr="00782FA6">
              <w:rPr>
                <w:rFonts w:eastAsia="Aptos" w:cs="Times New Roman"/>
                <w:sz w:val="20"/>
                <w:szCs w:val="20"/>
              </w:rPr>
              <w:t>, Inc.</w:t>
            </w:r>
          </w:p>
        </w:tc>
      </w:tr>
      <w:tr w:rsidRPr="00782FA6" w:rsidR="00DB248A" w:rsidTr="00E52317" w14:paraId="048FF03B" w14:textId="77777777">
        <w:trPr>
          <w:trHeight w:val="300"/>
        </w:trPr>
        <w:tc>
          <w:tcPr>
            <w:tcW w:w="1170" w:type="dxa"/>
            <w:noWrap/>
            <w:vAlign w:val="center"/>
            <w:hideMark/>
          </w:tcPr>
          <w:p w:rsidRPr="00782FA6" w:rsidR="00DB248A" w:rsidP="00DB248A" w:rsidRDefault="00DB248A" w14:paraId="5A508084" w14:textId="77777777">
            <w:pPr>
              <w:spacing w:line="240" w:lineRule="auto"/>
              <w:ind w:firstLine="0"/>
              <w:jc w:val="center"/>
              <w:rPr>
                <w:rFonts w:eastAsia="Aptos" w:cs="Times New Roman"/>
                <w:sz w:val="20"/>
                <w:szCs w:val="20"/>
              </w:rPr>
            </w:pPr>
            <w:r w:rsidRPr="00782FA6">
              <w:rPr>
                <w:rFonts w:eastAsia="Aptos" w:cs="Times New Roman"/>
                <w:sz w:val="20"/>
                <w:szCs w:val="20"/>
              </w:rPr>
              <w:t>1268</w:t>
            </w:r>
          </w:p>
        </w:tc>
        <w:tc>
          <w:tcPr>
            <w:tcW w:w="1036" w:type="dxa"/>
            <w:noWrap/>
            <w:vAlign w:val="center"/>
            <w:hideMark/>
          </w:tcPr>
          <w:p w:rsidRPr="00782FA6" w:rsidR="00DB248A" w:rsidP="00DB248A" w:rsidRDefault="00DB248A" w14:paraId="5D5F26D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3603FE7" w14:textId="1835141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660D1C1" w14:textId="7649AC34">
            <w:pPr>
              <w:spacing w:line="240" w:lineRule="auto"/>
              <w:ind w:firstLine="0"/>
              <w:rPr>
                <w:rFonts w:eastAsia="Aptos" w:cs="Times New Roman"/>
                <w:sz w:val="20"/>
                <w:szCs w:val="20"/>
              </w:rPr>
            </w:pPr>
            <w:proofErr w:type="spellStart"/>
            <w:r w:rsidRPr="00782FA6">
              <w:rPr>
                <w:rFonts w:eastAsia="Aptos" w:cs="Times New Roman"/>
                <w:sz w:val="20"/>
                <w:szCs w:val="20"/>
              </w:rPr>
              <w:t>AltaWorx</w:t>
            </w:r>
            <w:proofErr w:type="spellEnd"/>
            <w:r w:rsidRPr="00782FA6">
              <w:rPr>
                <w:rFonts w:eastAsia="Aptos" w:cs="Times New Roman"/>
                <w:sz w:val="20"/>
                <w:szCs w:val="20"/>
              </w:rPr>
              <w:t>, LLC</w:t>
            </w:r>
          </w:p>
        </w:tc>
      </w:tr>
      <w:tr w:rsidRPr="00782FA6" w:rsidR="00DB248A" w:rsidTr="00E52317" w14:paraId="60CBC389" w14:textId="77777777">
        <w:trPr>
          <w:trHeight w:val="300"/>
        </w:trPr>
        <w:tc>
          <w:tcPr>
            <w:tcW w:w="1170" w:type="dxa"/>
            <w:noWrap/>
            <w:vAlign w:val="center"/>
            <w:hideMark/>
          </w:tcPr>
          <w:p w:rsidRPr="00782FA6" w:rsidR="00DB248A" w:rsidP="00DB248A" w:rsidRDefault="00DB248A" w14:paraId="20FFB48B" w14:textId="77777777">
            <w:pPr>
              <w:spacing w:line="240" w:lineRule="auto"/>
              <w:ind w:firstLine="0"/>
              <w:jc w:val="center"/>
              <w:rPr>
                <w:rFonts w:eastAsia="Aptos" w:cs="Times New Roman"/>
                <w:sz w:val="20"/>
                <w:szCs w:val="20"/>
              </w:rPr>
            </w:pPr>
            <w:r w:rsidRPr="00782FA6">
              <w:rPr>
                <w:rFonts w:eastAsia="Aptos" w:cs="Times New Roman"/>
                <w:sz w:val="20"/>
                <w:szCs w:val="20"/>
              </w:rPr>
              <w:t>1270</w:t>
            </w:r>
          </w:p>
        </w:tc>
        <w:tc>
          <w:tcPr>
            <w:tcW w:w="1036" w:type="dxa"/>
            <w:noWrap/>
            <w:vAlign w:val="center"/>
            <w:hideMark/>
          </w:tcPr>
          <w:p w:rsidRPr="00782FA6" w:rsidR="00DB248A" w:rsidP="00DB248A" w:rsidRDefault="00DB248A" w14:paraId="0CBDF95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96C4116" w14:textId="1CD2200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F122A1B" w14:textId="1E8041E2">
            <w:pPr>
              <w:spacing w:line="240" w:lineRule="auto"/>
              <w:ind w:firstLine="0"/>
              <w:rPr>
                <w:rFonts w:eastAsia="Aptos" w:cs="Times New Roman"/>
                <w:sz w:val="20"/>
                <w:szCs w:val="20"/>
              </w:rPr>
            </w:pPr>
            <w:r w:rsidRPr="00782FA6">
              <w:rPr>
                <w:rFonts w:eastAsia="Aptos" w:cs="Times New Roman"/>
                <w:sz w:val="20"/>
                <w:szCs w:val="20"/>
              </w:rPr>
              <w:t>inContact, Inc.</w:t>
            </w:r>
          </w:p>
        </w:tc>
      </w:tr>
      <w:tr w:rsidRPr="00782FA6" w:rsidR="00DB248A" w:rsidTr="00E52317" w14:paraId="15EE84CC" w14:textId="77777777">
        <w:trPr>
          <w:trHeight w:val="300"/>
        </w:trPr>
        <w:tc>
          <w:tcPr>
            <w:tcW w:w="1170" w:type="dxa"/>
            <w:noWrap/>
            <w:vAlign w:val="center"/>
            <w:hideMark/>
          </w:tcPr>
          <w:p w:rsidRPr="00782FA6" w:rsidR="00DB248A" w:rsidP="00DB248A" w:rsidRDefault="00DB248A" w14:paraId="041935EA" w14:textId="77777777">
            <w:pPr>
              <w:spacing w:line="240" w:lineRule="auto"/>
              <w:ind w:firstLine="0"/>
              <w:jc w:val="center"/>
              <w:rPr>
                <w:rFonts w:eastAsia="Aptos" w:cs="Times New Roman"/>
                <w:sz w:val="20"/>
                <w:szCs w:val="20"/>
              </w:rPr>
            </w:pPr>
            <w:r w:rsidRPr="00782FA6">
              <w:rPr>
                <w:rFonts w:eastAsia="Aptos" w:cs="Times New Roman"/>
                <w:sz w:val="20"/>
                <w:szCs w:val="20"/>
              </w:rPr>
              <w:t>1271</w:t>
            </w:r>
          </w:p>
        </w:tc>
        <w:tc>
          <w:tcPr>
            <w:tcW w:w="1036" w:type="dxa"/>
            <w:noWrap/>
            <w:vAlign w:val="center"/>
            <w:hideMark/>
          </w:tcPr>
          <w:p w:rsidRPr="00782FA6" w:rsidR="00DB248A" w:rsidP="00DB248A" w:rsidRDefault="00DB248A" w14:paraId="56360F0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4848E12" w14:textId="4800587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2EA474B" w14:textId="0909B57F">
            <w:pPr>
              <w:spacing w:line="240" w:lineRule="auto"/>
              <w:ind w:firstLine="0"/>
              <w:rPr>
                <w:rFonts w:eastAsia="Aptos" w:cs="Times New Roman"/>
                <w:sz w:val="20"/>
                <w:szCs w:val="20"/>
              </w:rPr>
            </w:pPr>
            <w:r w:rsidRPr="00782FA6">
              <w:rPr>
                <w:rFonts w:eastAsia="Aptos" w:cs="Times New Roman"/>
                <w:sz w:val="20"/>
                <w:szCs w:val="20"/>
              </w:rPr>
              <w:t>Eze Castle Integration, Inc.</w:t>
            </w:r>
          </w:p>
        </w:tc>
      </w:tr>
      <w:tr w:rsidRPr="00782FA6" w:rsidR="00DB248A" w:rsidTr="00E52317" w14:paraId="581F2637" w14:textId="77777777">
        <w:trPr>
          <w:trHeight w:val="300"/>
        </w:trPr>
        <w:tc>
          <w:tcPr>
            <w:tcW w:w="1170" w:type="dxa"/>
            <w:noWrap/>
            <w:vAlign w:val="center"/>
            <w:hideMark/>
          </w:tcPr>
          <w:p w:rsidRPr="00782FA6" w:rsidR="00DB248A" w:rsidP="00DB248A" w:rsidRDefault="00DB248A" w14:paraId="7A6949EB" w14:textId="77777777">
            <w:pPr>
              <w:spacing w:line="240" w:lineRule="auto"/>
              <w:ind w:firstLine="0"/>
              <w:jc w:val="center"/>
              <w:rPr>
                <w:rFonts w:eastAsia="Aptos" w:cs="Times New Roman"/>
                <w:sz w:val="20"/>
                <w:szCs w:val="20"/>
              </w:rPr>
            </w:pPr>
            <w:r w:rsidRPr="00782FA6">
              <w:rPr>
                <w:rFonts w:eastAsia="Aptos" w:cs="Times New Roman"/>
                <w:sz w:val="20"/>
                <w:szCs w:val="20"/>
              </w:rPr>
              <w:t>1275</w:t>
            </w:r>
          </w:p>
        </w:tc>
        <w:tc>
          <w:tcPr>
            <w:tcW w:w="1036" w:type="dxa"/>
            <w:noWrap/>
            <w:vAlign w:val="center"/>
            <w:hideMark/>
          </w:tcPr>
          <w:p w:rsidRPr="00782FA6" w:rsidR="00DB248A" w:rsidP="00DB248A" w:rsidRDefault="00DB248A" w14:paraId="3445A4F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A13ADAA" w14:textId="7D146B7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ED6ADCF" w14:textId="7C4B2692">
            <w:pPr>
              <w:spacing w:line="240" w:lineRule="auto"/>
              <w:ind w:firstLine="0"/>
              <w:rPr>
                <w:rFonts w:eastAsia="Aptos" w:cs="Times New Roman"/>
                <w:sz w:val="20"/>
                <w:szCs w:val="20"/>
              </w:rPr>
            </w:pPr>
            <w:r w:rsidRPr="00782FA6">
              <w:rPr>
                <w:rFonts w:eastAsia="Aptos" w:cs="Times New Roman"/>
                <w:sz w:val="20"/>
                <w:szCs w:val="20"/>
              </w:rPr>
              <w:t>Arena One, LLC.</w:t>
            </w:r>
          </w:p>
        </w:tc>
      </w:tr>
      <w:tr w:rsidRPr="00782FA6" w:rsidR="00DB248A" w:rsidTr="00E52317" w14:paraId="6576010A" w14:textId="77777777">
        <w:trPr>
          <w:trHeight w:val="300"/>
        </w:trPr>
        <w:tc>
          <w:tcPr>
            <w:tcW w:w="1170" w:type="dxa"/>
            <w:noWrap/>
            <w:vAlign w:val="center"/>
            <w:hideMark/>
          </w:tcPr>
          <w:p w:rsidRPr="00782FA6" w:rsidR="00DB248A" w:rsidP="00DB248A" w:rsidRDefault="00DB248A" w14:paraId="3E09FD59" w14:textId="77777777">
            <w:pPr>
              <w:spacing w:line="240" w:lineRule="auto"/>
              <w:ind w:firstLine="0"/>
              <w:jc w:val="center"/>
              <w:rPr>
                <w:rFonts w:eastAsia="Aptos" w:cs="Times New Roman"/>
                <w:sz w:val="20"/>
                <w:szCs w:val="20"/>
              </w:rPr>
            </w:pPr>
            <w:r w:rsidRPr="00782FA6">
              <w:rPr>
                <w:rFonts w:eastAsia="Aptos" w:cs="Times New Roman"/>
                <w:sz w:val="20"/>
                <w:szCs w:val="20"/>
              </w:rPr>
              <w:t>1279</w:t>
            </w:r>
          </w:p>
        </w:tc>
        <w:tc>
          <w:tcPr>
            <w:tcW w:w="1036" w:type="dxa"/>
            <w:noWrap/>
            <w:vAlign w:val="center"/>
            <w:hideMark/>
          </w:tcPr>
          <w:p w:rsidRPr="00782FA6" w:rsidR="00DB248A" w:rsidP="00DB248A" w:rsidRDefault="00DB248A" w14:paraId="2049125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12AFA98" w14:textId="54E81B4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E51EA6D" w14:textId="0FFA5210">
            <w:pPr>
              <w:spacing w:line="240" w:lineRule="auto"/>
              <w:ind w:firstLine="0"/>
              <w:rPr>
                <w:rFonts w:eastAsia="Aptos" w:cs="Times New Roman"/>
                <w:sz w:val="20"/>
                <w:szCs w:val="20"/>
              </w:rPr>
            </w:pPr>
            <w:proofErr w:type="spellStart"/>
            <w:r w:rsidRPr="00782FA6">
              <w:rPr>
                <w:rFonts w:eastAsia="Aptos" w:cs="Times New Roman"/>
                <w:sz w:val="20"/>
                <w:szCs w:val="20"/>
              </w:rPr>
              <w:t>Estech</w:t>
            </w:r>
            <w:proofErr w:type="spellEnd"/>
            <w:r w:rsidRPr="00782FA6">
              <w:rPr>
                <w:rFonts w:eastAsia="Aptos" w:cs="Times New Roman"/>
                <w:sz w:val="20"/>
                <w:szCs w:val="20"/>
              </w:rPr>
              <w:t xml:space="preserve"> Systems, Inc.</w:t>
            </w:r>
          </w:p>
        </w:tc>
      </w:tr>
      <w:tr w:rsidRPr="00782FA6" w:rsidR="00DB248A" w:rsidTr="00E52317" w14:paraId="7AFB75BB" w14:textId="77777777">
        <w:trPr>
          <w:trHeight w:val="300"/>
        </w:trPr>
        <w:tc>
          <w:tcPr>
            <w:tcW w:w="1170" w:type="dxa"/>
            <w:noWrap/>
            <w:vAlign w:val="center"/>
            <w:hideMark/>
          </w:tcPr>
          <w:p w:rsidRPr="00782FA6" w:rsidR="00DB248A" w:rsidP="00DB248A" w:rsidRDefault="00DB248A" w14:paraId="7B12CA40" w14:textId="77777777">
            <w:pPr>
              <w:spacing w:line="240" w:lineRule="auto"/>
              <w:ind w:firstLine="0"/>
              <w:jc w:val="center"/>
              <w:rPr>
                <w:rFonts w:eastAsia="Aptos" w:cs="Times New Roman"/>
                <w:sz w:val="20"/>
                <w:szCs w:val="20"/>
              </w:rPr>
            </w:pPr>
            <w:r w:rsidRPr="00782FA6">
              <w:rPr>
                <w:rFonts w:eastAsia="Aptos" w:cs="Times New Roman"/>
                <w:sz w:val="20"/>
                <w:szCs w:val="20"/>
              </w:rPr>
              <w:t>1281</w:t>
            </w:r>
          </w:p>
        </w:tc>
        <w:tc>
          <w:tcPr>
            <w:tcW w:w="1036" w:type="dxa"/>
            <w:noWrap/>
            <w:vAlign w:val="center"/>
            <w:hideMark/>
          </w:tcPr>
          <w:p w:rsidRPr="00782FA6" w:rsidR="00DB248A" w:rsidP="00DB248A" w:rsidRDefault="00DB248A" w14:paraId="1AE5EF7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80F47F8" w14:textId="2515598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2215A2B" w14:textId="38DC5756">
            <w:pPr>
              <w:spacing w:line="240" w:lineRule="auto"/>
              <w:ind w:firstLine="0"/>
              <w:rPr>
                <w:rFonts w:eastAsia="Aptos" w:cs="Times New Roman"/>
                <w:sz w:val="20"/>
                <w:szCs w:val="20"/>
              </w:rPr>
            </w:pPr>
            <w:r w:rsidRPr="00782FA6">
              <w:rPr>
                <w:rFonts w:eastAsia="Aptos" w:cs="Times New Roman"/>
                <w:sz w:val="20"/>
                <w:szCs w:val="20"/>
              </w:rPr>
              <w:t>Desert Telecom Inc.</w:t>
            </w:r>
          </w:p>
        </w:tc>
      </w:tr>
      <w:tr w:rsidRPr="00782FA6" w:rsidR="00DB248A" w:rsidTr="00E52317" w14:paraId="4ACE30B4" w14:textId="77777777">
        <w:trPr>
          <w:trHeight w:val="300"/>
        </w:trPr>
        <w:tc>
          <w:tcPr>
            <w:tcW w:w="1170" w:type="dxa"/>
            <w:noWrap/>
            <w:vAlign w:val="center"/>
            <w:hideMark/>
          </w:tcPr>
          <w:p w:rsidRPr="00782FA6" w:rsidR="00DB248A" w:rsidP="00DB248A" w:rsidRDefault="00DB248A" w14:paraId="1BE079E0" w14:textId="77777777">
            <w:pPr>
              <w:spacing w:line="240" w:lineRule="auto"/>
              <w:ind w:firstLine="0"/>
              <w:jc w:val="center"/>
              <w:rPr>
                <w:rFonts w:eastAsia="Aptos" w:cs="Times New Roman"/>
                <w:sz w:val="20"/>
                <w:szCs w:val="20"/>
              </w:rPr>
            </w:pPr>
            <w:r w:rsidRPr="00782FA6">
              <w:rPr>
                <w:rFonts w:eastAsia="Aptos" w:cs="Times New Roman"/>
                <w:sz w:val="20"/>
                <w:szCs w:val="20"/>
              </w:rPr>
              <w:t>1284</w:t>
            </w:r>
          </w:p>
        </w:tc>
        <w:tc>
          <w:tcPr>
            <w:tcW w:w="1036" w:type="dxa"/>
            <w:noWrap/>
            <w:vAlign w:val="center"/>
            <w:hideMark/>
          </w:tcPr>
          <w:p w:rsidRPr="00782FA6" w:rsidR="00DB248A" w:rsidP="00DB248A" w:rsidRDefault="00DB248A" w14:paraId="0DB0526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17047F1" w14:textId="31283B9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0570773" w14:textId="7D48EB1A">
            <w:pPr>
              <w:spacing w:line="240" w:lineRule="auto"/>
              <w:ind w:firstLine="0"/>
              <w:rPr>
                <w:rFonts w:eastAsia="Aptos" w:cs="Times New Roman"/>
                <w:sz w:val="20"/>
                <w:szCs w:val="20"/>
              </w:rPr>
            </w:pPr>
            <w:r w:rsidRPr="00782FA6">
              <w:rPr>
                <w:rFonts w:eastAsia="Aptos" w:cs="Times New Roman"/>
                <w:sz w:val="20"/>
                <w:szCs w:val="20"/>
              </w:rPr>
              <w:t xml:space="preserve">TDS </w:t>
            </w:r>
            <w:proofErr w:type="spellStart"/>
            <w:r w:rsidRPr="00782FA6">
              <w:rPr>
                <w:rFonts w:eastAsia="Aptos" w:cs="Times New Roman"/>
                <w:sz w:val="20"/>
                <w:szCs w:val="20"/>
              </w:rPr>
              <w:t>Metrocom</w:t>
            </w:r>
            <w:proofErr w:type="spellEnd"/>
            <w:r w:rsidRPr="00782FA6">
              <w:rPr>
                <w:rFonts w:eastAsia="Aptos" w:cs="Times New Roman"/>
                <w:sz w:val="20"/>
                <w:szCs w:val="20"/>
              </w:rPr>
              <w:t>, LLC</w:t>
            </w:r>
          </w:p>
        </w:tc>
      </w:tr>
      <w:tr w:rsidRPr="00782FA6" w:rsidR="00DB248A" w:rsidTr="00E52317" w14:paraId="2A0EFD6B" w14:textId="77777777">
        <w:trPr>
          <w:trHeight w:val="300"/>
        </w:trPr>
        <w:tc>
          <w:tcPr>
            <w:tcW w:w="1170" w:type="dxa"/>
            <w:noWrap/>
            <w:vAlign w:val="center"/>
            <w:hideMark/>
          </w:tcPr>
          <w:p w:rsidRPr="00782FA6" w:rsidR="00DB248A" w:rsidP="00DB248A" w:rsidRDefault="00DB248A" w14:paraId="632F5523" w14:textId="77777777">
            <w:pPr>
              <w:spacing w:line="240" w:lineRule="auto"/>
              <w:ind w:firstLine="0"/>
              <w:jc w:val="center"/>
              <w:rPr>
                <w:rFonts w:eastAsia="Aptos" w:cs="Times New Roman"/>
                <w:sz w:val="20"/>
                <w:szCs w:val="20"/>
              </w:rPr>
            </w:pPr>
            <w:r w:rsidRPr="00782FA6">
              <w:rPr>
                <w:rFonts w:eastAsia="Aptos" w:cs="Times New Roman"/>
                <w:sz w:val="20"/>
                <w:szCs w:val="20"/>
              </w:rPr>
              <w:t>1285</w:t>
            </w:r>
          </w:p>
        </w:tc>
        <w:tc>
          <w:tcPr>
            <w:tcW w:w="1036" w:type="dxa"/>
            <w:noWrap/>
            <w:vAlign w:val="center"/>
            <w:hideMark/>
          </w:tcPr>
          <w:p w:rsidRPr="00782FA6" w:rsidR="00DB248A" w:rsidP="00DB248A" w:rsidRDefault="00DB248A" w14:paraId="29E2013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3A01458" w14:textId="13F76B0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E54C111" w14:textId="7B84E05C">
            <w:pPr>
              <w:spacing w:line="240" w:lineRule="auto"/>
              <w:ind w:firstLine="0"/>
              <w:rPr>
                <w:rFonts w:eastAsia="Aptos" w:cs="Times New Roman"/>
                <w:sz w:val="20"/>
                <w:szCs w:val="20"/>
              </w:rPr>
            </w:pPr>
            <w:r w:rsidRPr="00782FA6">
              <w:rPr>
                <w:rFonts w:eastAsia="Aptos" w:cs="Times New Roman"/>
                <w:sz w:val="20"/>
                <w:szCs w:val="20"/>
              </w:rPr>
              <w:t>Ultimate Internet Access, Inc.</w:t>
            </w:r>
          </w:p>
        </w:tc>
      </w:tr>
      <w:tr w:rsidRPr="00782FA6" w:rsidR="00DB248A" w:rsidTr="00E52317" w14:paraId="4D2646E2" w14:textId="77777777">
        <w:trPr>
          <w:trHeight w:val="300"/>
        </w:trPr>
        <w:tc>
          <w:tcPr>
            <w:tcW w:w="1170" w:type="dxa"/>
            <w:noWrap/>
            <w:vAlign w:val="center"/>
            <w:hideMark/>
          </w:tcPr>
          <w:p w:rsidRPr="00782FA6" w:rsidR="00DB248A" w:rsidP="00DB248A" w:rsidRDefault="00DB248A" w14:paraId="1C1CADAB" w14:textId="77777777">
            <w:pPr>
              <w:spacing w:line="240" w:lineRule="auto"/>
              <w:ind w:firstLine="0"/>
              <w:jc w:val="center"/>
              <w:rPr>
                <w:rFonts w:eastAsia="Aptos" w:cs="Times New Roman"/>
                <w:sz w:val="20"/>
                <w:szCs w:val="20"/>
              </w:rPr>
            </w:pPr>
            <w:r w:rsidRPr="00782FA6">
              <w:rPr>
                <w:rFonts w:eastAsia="Aptos" w:cs="Times New Roman"/>
                <w:sz w:val="20"/>
                <w:szCs w:val="20"/>
              </w:rPr>
              <w:t>1286</w:t>
            </w:r>
          </w:p>
        </w:tc>
        <w:tc>
          <w:tcPr>
            <w:tcW w:w="1036" w:type="dxa"/>
            <w:noWrap/>
            <w:vAlign w:val="center"/>
            <w:hideMark/>
          </w:tcPr>
          <w:p w:rsidRPr="00782FA6" w:rsidR="00DB248A" w:rsidP="00DB248A" w:rsidRDefault="00DB248A" w14:paraId="133F2AA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595C26B" w14:textId="0CA1B67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953FE9D" w14:textId="1F39559A">
            <w:pPr>
              <w:spacing w:line="240" w:lineRule="auto"/>
              <w:ind w:firstLine="0"/>
              <w:rPr>
                <w:rFonts w:eastAsia="Aptos" w:cs="Times New Roman"/>
                <w:sz w:val="20"/>
                <w:szCs w:val="20"/>
              </w:rPr>
            </w:pPr>
            <w:r w:rsidRPr="00782FA6">
              <w:rPr>
                <w:rFonts w:eastAsia="Aptos" w:cs="Times New Roman"/>
                <w:sz w:val="20"/>
                <w:szCs w:val="20"/>
              </w:rPr>
              <w:t>Atlantic Metro Communications II, Inc.</w:t>
            </w:r>
          </w:p>
        </w:tc>
      </w:tr>
      <w:tr w:rsidRPr="00782FA6" w:rsidR="00DB248A" w:rsidTr="00E52317" w14:paraId="50D8DD3E" w14:textId="77777777">
        <w:trPr>
          <w:trHeight w:val="300"/>
        </w:trPr>
        <w:tc>
          <w:tcPr>
            <w:tcW w:w="1170" w:type="dxa"/>
            <w:noWrap/>
            <w:vAlign w:val="center"/>
            <w:hideMark/>
          </w:tcPr>
          <w:p w:rsidRPr="00782FA6" w:rsidR="00DB248A" w:rsidP="00DB248A" w:rsidRDefault="00DB248A" w14:paraId="507A38F9" w14:textId="77777777">
            <w:pPr>
              <w:spacing w:line="240" w:lineRule="auto"/>
              <w:ind w:firstLine="0"/>
              <w:jc w:val="center"/>
              <w:rPr>
                <w:rFonts w:eastAsia="Aptos" w:cs="Times New Roman"/>
                <w:sz w:val="20"/>
                <w:szCs w:val="20"/>
              </w:rPr>
            </w:pPr>
            <w:r w:rsidRPr="00782FA6">
              <w:rPr>
                <w:rFonts w:eastAsia="Aptos" w:cs="Times New Roman"/>
                <w:sz w:val="20"/>
                <w:szCs w:val="20"/>
              </w:rPr>
              <w:t>1289</w:t>
            </w:r>
          </w:p>
        </w:tc>
        <w:tc>
          <w:tcPr>
            <w:tcW w:w="1036" w:type="dxa"/>
            <w:noWrap/>
            <w:vAlign w:val="center"/>
            <w:hideMark/>
          </w:tcPr>
          <w:p w:rsidRPr="00782FA6" w:rsidR="00DB248A" w:rsidP="00DB248A" w:rsidRDefault="00DB248A" w14:paraId="7BE87F5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3B30DCE" w14:textId="7249D81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16B5454" w14:textId="0D507C09">
            <w:pPr>
              <w:spacing w:line="240" w:lineRule="auto"/>
              <w:ind w:firstLine="0"/>
              <w:rPr>
                <w:rFonts w:eastAsia="Aptos" w:cs="Times New Roman"/>
                <w:sz w:val="20"/>
                <w:szCs w:val="20"/>
              </w:rPr>
            </w:pPr>
            <w:proofErr w:type="spellStart"/>
            <w:r w:rsidRPr="00782FA6">
              <w:rPr>
                <w:rFonts w:eastAsia="Aptos" w:cs="Times New Roman"/>
                <w:sz w:val="20"/>
                <w:szCs w:val="20"/>
              </w:rPr>
              <w:t>LunaTech</w:t>
            </w:r>
            <w:proofErr w:type="spellEnd"/>
            <w:r w:rsidRPr="00782FA6">
              <w:rPr>
                <w:rFonts w:eastAsia="Aptos" w:cs="Times New Roman"/>
                <w:sz w:val="20"/>
                <w:szCs w:val="20"/>
              </w:rPr>
              <w:t>, Inc.</w:t>
            </w:r>
          </w:p>
        </w:tc>
      </w:tr>
      <w:tr w:rsidRPr="00782FA6" w:rsidR="00DB248A" w:rsidTr="00E52317" w14:paraId="335C1670" w14:textId="77777777">
        <w:trPr>
          <w:trHeight w:val="300"/>
        </w:trPr>
        <w:tc>
          <w:tcPr>
            <w:tcW w:w="1170" w:type="dxa"/>
            <w:noWrap/>
            <w:vAlign w:val="center"/>
            <w:hideMark/>
          </w:tcPr>
          <w:p w:rsidRPr="00782FA6" w:rsidR="00DB248A" w:rsidP="00DB248A" w:rsidRDefault="00DB248A" w14:paraId="2AAC8438" w14:textId="77777777">
            <w:pPr>
              <w:spacing w:line="240" w:lineRule="auto"/>
              <w:ind w:firstLine="0"/>
              <w:jc w:val="center"/>
              <w:rPr>
                <w:rFonts w:eastAsia="Aptos" w:cs="Times New Roman"/>
                <w:sz w:val="20"/>
                <w:szCs w:val="20"/>
              </w:rPr>
            </w:pPr>
            <w:r w:rsidRPr="00782FA6">
              <w:rPr>
                <w:rFonts w:eastAsia="Aptos" w:cs="Times New Roman"/>
                <w:sz w:val="20"/>
                <w:szCs w:val="20"/>
              </w:rPr>
              <w:t>1290</w:t>
            </w:r>
          </w:p>
        </w:tc>
        <w:tc>
          <w:tcPr>
            <w:tcW w:w="1036" w:type="dxa"/>
            <w:noWrap/>
            <w:vAlign w:val="center"/>
            <w:hideMark/>
          </w:tcPr>
          <w:p w:rsidRPr="00782FA6" w:rsidR="00DB248A" w:rsidP="00DB248A" w:rsidRDefault="00DB248A" w14:paraId="3759130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41099CE" w14:textId="4C03E47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F3B3C8B" w14:textId="67257BF0">
            <w:pPr>
              <w:spacing w:line="240" w:lineRule="auto"/>
              <w:ind w:firstLine="0"/>
              <w:rPr>
                <w:rFonts w:eastAsia="Aptos" w:cs="Times New Roman"/>
                <w:sz w:val="20"/>
                <w:szCs w:val="20"/>
              </w:rPr>
            </w:pPr>
            <w:r w:rsidRPr="00782FA6">
              <w:rPr>
                <w:rFonts w:eastAsia="Aptos" w:cs="Times New Roman"/>
                <w:sz w:val="20"/>
                <w:szCs w:val="20"/>
              </w:rPr>
              <w:t>California Internet, LP</w:t>
            </w:r>
          </w:p>
        </w:tc>
      </w:tr>
      <w:tr w:rsidRPr="00782FA6" w:rsidR="00DB248A" w:rsidTr="00E52317" w14:paraId="3DFB27E3" w14:textId="77777777">
        <w:trPr>
          <w:trHeight w:val="300"/>
        </w:trPr>
        <w:tc>
          <w:tcPr>
            <w:tcW w:w="1170" w:type="dxa"/>
            <w:noWrap/>
            <w:vAlign w:val="center"/>
            <w:hideMark/>
          </w:tcPr>
          <w:p w:rsidRPr="00782FA6" w:rsidR="00DB248A" w:rsidP="00DB248A" w:rsidRDefault="00DB248A" w14:paraId="6ED59F53" w14:textId="77777777">
            <w:pPr>
              <w:spacing w:line="240" w:lineRule="auto"/>
              <w:ind w:firstLine="0"/>
              <w:jc w:val="center"/>
              <w:rPr>
                <w:rFonts w:eastAsia="Aptos" w:cs="Times New Roman"/>
                <w:sz w:val="20"/>
                <w:szCs w:val="20"/>
              </w:rPr>
            </w:pPr>
            <w:r w:rsidRPr="00782FA6">
              <w:rPr>
                <w:rFonts w:eastAsia="Aptos" w:cs="Times New Roman"/>
                <w:sz w:val="20"/>
                <w:szCs w:val="20"/>
              </w:rPr>
              <w:t>1291</w:t>
            </w:r>
          </w:p>
        </w:tc>
        <w:tc>
          <w:tcPr>
            <w:tcW w:w="1036" w:type="dxa"/>
            <w:noWrap/>
            <w:vAlign w:val="center"/>
            <w:hideMark/>
          </w:tcPr>
          <w:p w:rsidRPr="00782FA6" w:rsidR="00DB248A" w:rsidP="00DB248A" w:rsidRDefault="00DB248A" w14:paraId="144E2EC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C2587C2" w14:textId="32B2C01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665A3C6" w14:textId="2BE931BA">
            <w:pPr>
              <w:spacing w:line="240" w:lineRule="auto"/>
              <w:ind w:firstLine="0"/>
              <w:rPr>
                <w:rFonts w:eastAsia="Aptos" w:cs="Times New Roman"/>
                <w:sz w:val="20"/>
                <w:szCs w:val="20"/>
              </w:rPr>
            </w:pPr>
            <w:r w:rsidRPr="00782FA6">
              <w:rPr>
                <w:rFonts w:eastAsia="Aptos" w:cs="Times New Roman"/>
                <w:sz w:val="20"/>
                <w:szCs w:val="20"/>
              </w:rPr>
              <w:t>Ooma, Inc.</w:t>
            </w:r>
          </w:p>
        </w:tc>
      </w:tr>
      <w:tr w:rsidRPr="00782FA6" w:rsidR="00DB248A" w:rsidTr="00E52317" w14:paraId="66F91FBC" w14:textId="77777777">
        <w:trPr>
          <w:trHeight w:val="300"/>
        </w:trPr>
        <w:tc>
          <w:tcPr>
            <w:tcW w:w="1170" w:type="dxa"/>
            <w:noWrap/>
            <w:vAlign w:val="center"/>
            <w:hideMark/>
          </w:tcPr>
          <w:p w:rsidRPr="00782FA6" w:rsidR="00DB248A" w:rsidP="00DB248A" w:rsidRDefault="00DB248A" w14:paraId="673611B2" w14:textId="77777777">
            <w:pPr>
              <w:spacing w:line="240" w:lineRule="auto"/>
              <w:ind w:firstLine="0"/>
              <w:jc w:val="center"/>
              <w:rPr>
                <w:rFonts w:eastAsia="Aptos" w:cs="Times New Roman"/>
                <w:sz w:val="20"/>
                <w:szCs w:val="20"/>
              </w:rPr>
            </w:pPr>
            <w:r w:rsidRPr="00782FA6">
              <w:rPr>
                <w:rFonts w:eastAsia="Aptos" w:cs="Times New Roman"/>
                <w:sz w:val="20"/>
                <w:szCs w:val="20"/>
              </w:rPr>
              <w:t>1293</w:t>
            </w:r>
          </w:p>
        </w:tc>
        <w:tc>
          <w:tcPr>
            <w:tcW w:w="1036" w:type="dxa"/>
            <w:noWrap/>
            <w:vAlign w:val="center"/>
            <w:hideMark/>
          </w:tcPr>
          <w:p w:rsidRPr="00782FA6" w:rsidR="00DB248A" w:rsidP="00DB248A" w:rsidRDefault="00DB248A" w14:paraId="2051B88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9D10C59" w14:textId="7D87079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A20C4DE" w14:textId="36D5F97D">
            <w:pPr>
              <w:spacing w:line="240" w:lineRule="auto"/>
              <w:ind w:firstLine="0"/>
              <w:rPr>
                <w:rFonts w:eastAsia="Aptos" w:cs="Times New Roman"/>
                <w:sz w:val="20"/>
                <w:szCs w:val="20"/>
              </w:rPr>
            </w:pPr>
            <w:r w:rsidRPr="00782FA6">
              <w:rPr>
                <w:rFonts w:eastAsia="Aptos" w:cs="Times New Roman"/>
                <w:sz w:val="20"/>
                <w:szCs w:val="20"/>
              </w:rPr>
              <w:t>7G Network, Inc.</w:t>
            </w:r>
          </w:p>
        </w:tc>
      </w:tr>
      <w:tr w:rsidRPr="00782FA6" w:rsidR="00DB248A" w:rsidTr="00E52317" w14:paraId="27D8130D" w14:textId="77777777">
        <w:trPr>
          <w:trHeight w:val="300"/>
        </w:trPr>
        <w:tc>
          <w:tcPr>
            <w:tcW w:w="1170" w:type="dxa"/>
            <w:noWrap/>
            <w:vAlign w:val="center"/>
            <w:hideMark/>
          </w:tcPr>
          <w:p w:rsidRPr="00782FA6" w:rsidR="00DB248A" w:rsidP="00DB248A" w:rsidRDefault="00DB248A" w14:paraId="7E436229" w14:textId="77777777">
            <w:pPr>
              <w:spacing w:line="240" w:lineRule="auto"/>
              <w:ind w:firstLine="0"/>
              <w:jc w:val="center"/>
              <w:rPr>
                <w:rFonts w:eastAsia="Aptos" w:cs="Times New Roman"/>
                <w:sz w:val="20"/>
                <w:szCs w:val="20"/>
              </w:rPr>
            </w:pPr>
            <w:r w:rsidRPr="00782FA6">
              <w:rPr>
                <w:rFonts w:eastAsia="Aptos" w:cs="Times New Roman"/>
                <w:sz w:val="20"/>
                <w:szCs w:val="20"/>
              </w:rPr>
              <w:t>1294</w:t>
            </w:r>
          </w:p>
        </w:tc>
        <w:tc>
          <w:tcPr>
            <w:tcW w:w="1036" w:type="dxa"/>
            <w:noWrap/>
            <w:vAlign w:val="center"/>
            <w:hideMark/>
          </w:tcPr>
          <w:p w:rsidRPr="00782FA6" w:rsidR="00DB248A" w:rsidP="00DB248A" w:rsidRDefault="00DB248A" w14:paraId="7A19AA3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4FA6E11" w14:textId="59BFF4E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5A2F7D6" w14:textId="73D3874C">
            <w:pPr>
              <w:spacing w:line="240" w:lineRule="auto"/>
              <w:ind w:firstLine="0"/>
              <w:rPr>
                <w:rFonts w:eastAsia="Aptos" w:cs="Times New Roman"/>
                <w:sz w:val="20"/>
                <w:szCs w:val="20"/>
              </w:rPr>
            </w:pPr>
            <w:r w:rsidRPr="00782FA6">
              <w:rPr>
                <w:rFonts w:eastAsia="Aptos" w:cs="Times New Roman"/>
                <w:sz w:val="20"/>
                <w:szCs w:val="20"/>
              </w:rPr>
              <w:t>Creative Business Solutions, LLC</w:t>
            </w:r>
          </w:p>
        </w:tc>
      </w:tr>
      <w:tr w:rsidRPr="00782FA6" w:rsidR="00DB248A" w:rsidTr="00E52317" w14:paraId="5F3C8F14" w14:textId="77777777">
        <w:trPr>
          <w:trHeight w:val="300"/>
        </w:trPr>
        <w:tc>
          <w:tcPr>
            <w:tcW w:w="1170" w:type="dxa"/>
            <w:noWrap/>
            <w:vAlign w:val="center"/>
            <w:hideMark/>
          </w:tcPr>
          <w:p w:rsidRPr="00782FA6" w:rsidR="00DB248A" w:rsidP="00DB248A" w:rsidRDefault="00DB248A" w14:paraId="275FA088" w14:textId="77777777">
            <w:pPr>
              <w:spacing w:line="240" w:lineRule="auto"/>
              <w:ind w:firstLine="0"/>
              <w:jc w:val="center"/>
              <w:rPr>
                <w:rFonts w:eastAsia="Aptos" w:cs="Times New Roman"/>
                <w:sz w:val="20"/>
                <w:szCs w:val="20"/>
              </w:rPr>
            </w:pPr>
            <w:r w:rsidRPr="00782FA6">
              <w:rPr>
                <w:rFonts w:eastAsia="Aptos" w:cs="Times New Roman"/>
                <w:sz w:val="20"/>
                <w:szCs w:val="20"/>
              </w:rPr>
              <w:t>1296</w:t>
            </w:r>
          </w:p>
        </w:tc>
        <w:tc>
          <w:tcPr>
            <w:tcW w:w="1036" w:type="dxa"/>
            <w:noWrap/>
            <w:vAlign w:val="center"/>
            <w:hideMark/>
          </w:tcPr>
          <w:p w:rsidRPr="00782FA6" w:rsidR="00DB248A" w:rsidP="00DB248A" w:rsidRDefault="00DB248A" w14:paraId="1A9E4DD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0B7DB27" w14:textId="50492DB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61CC8B5" w14:textId="665D349A">
            <w:pPr>
              <w:spacing w:line="240" w:lineRule="auto"/>
              <w:ind w:firstLine="0"/>
              <w:rPr>
                <w:rFonts w:eastAsia="Aptos" w:cs="Times New Roman"/>
                <w:sz w:val="20"/>
                <w:szCs w:val="20"/>
              </w:rPr>
            </w:pPr>
            <w:r w:rsidRPr="00782FA6">
              <w:rPr>
                <w:rFonts w:eastAsia="Aptos" w:cs="Times New Roman"/>
                <w:sz w:val="20"/>
                <w:szCs w:val="20"/>
              </w:rPr>
              <w:t>Iloka, Inc.</w:t>
            </w:r>
          </w:p>
        </w:tc>
      </w:tr>
      <w:tr w:rsidRPr="00782FA6" w:rsidR="00DB248A" w:rsidTr="00E52317" w14:paraId="53FAB277" w14:textId="77777777">
        <w:trPr>
          <w:trHeight w:val="300"/>
        </w:trPr>
        <w:tc>
          <w:tcPr>
            <w:tcW w:w="1170" w:type="dxa"/>
            <w:noWrap/>
            <w:vAlign w:val="center"/>
            <w:hideMark/>
          </w:tcPr>
          <w:p w:rsidRPr="00782FA6" w:rsidR="00DB248A" w:rsidP="00DB248A" w:rsidRDefault="00DB248A" w14:paraId="3149EA14" w14:textId="77777777">
            <w:pPr>
              <w:spacing w:line="240" w:lineRule="auto"/>
              <w:ind w:firstLine="0"/>
              <w:jc w:val="center"/>
              <w:rPr>
                <w:rFonts w:eastAsia="Aptos" w:cs="Times New Roman"/>
                <w:sz w:val="20"/>
                <w:szCs w:val="20"/>
              </w:rPr>
            </w:pPr>
            <w:r w:rsidRPr="00782FA6">
              <w:rPr>
                <w:rFonts w:eastAsia="Aptos" w:cs="Times New Roman"/>
                <w:sz w:val="20"/>
                <w:szCs w:val="20"/>
              </w:rPr>
              <w:t>1298</w:t>
            </w:r>
          </w:p>
        </w:tc>
        <w:tc>
          <w:tcPr>
            <w:tcW w:w="1036" w:type="dxa"/>
            <w:noWrap/>
            <w:vAlign w:val="center"/>
            <w:hideMark/>
          </w:tcPr>
          <w:p w:rsidRPr="00782FA6" w:rsidR="00DB248A" w:rsidP="00DB248A" w:rsidRDefault="00DB248A" w14:paraId="7BA5C5B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6625D07" w14:textId="3BB709B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1A03157" w14:textId="485F2D87">
            <w:pPr>
              <w:spacing w:line="240" w:lineRule="auto"/>
              <w:ind w:firstLine="0"/>
              <w:rPr>
                <w:rFonts w:eastAsia="Aptos" w:cs="Times New Roman"/>
                <w:sz w:val="20"/>
                <w:szCs w:val="20"/>
              </w:rPr>
            </w:pPr>
            <w:proofErr w:type="spellStart"/>
            <w:r w:rsidRPr="00782FA6">
              <w:rPr>
                <w:rFonts w:eastAsia="Aptos" w:cs="Times New Roman"/>
                <w:sz w:val="20"/>
                <w:szCs w:val="20"/>
              </w:rPr>
              <w:t>Transtelco</w:t>
            </w:r>
            <w:proofErr w:type="spellEnd"/>
            <w:r w:rsidRPr="00782FA6">
              <w:rPr>
                <w:rFonts w:eastAsia="Aptos" w:cs="Times New Roman"/>
                <w:sz w:val="20"/>
                <w:szCs w:val="20"/>
              </w:rPr>
              <w:t>, Inc.</w:t>
            </w:r>
          </w:p>
        </w:tc>
      </w:tr>
      <w:tr w:rsidRPr="00782FA6" w:rsidR="00DB248A" w:rsidTr="00E52317" w14:paraId="4EC1DF3D" w14:textId="77777777">
        <w:trPr>
          <w:trHeight w:val="300"/>
        </w:trPr>
        <w:tc>
          <w:tcPr>
            <w:tcW w:w="1170" w:type="dxa"/>
            <w:noWrap/>
            <w:vAlign w:val="center"/>
            <w:hideMark/>
          </w:tcPr>
          <w:p w:rsidRPr="00782FA6" w:rsidR="00DB248A" w:rsidP="00DB248A" w:rsidRDefault="00DB248A" w14:paraId="539D74DF" w14:textId="77777777">
            <w:pPr>
              <w:spacing w:line="240" w:lineRule="auto"/>
              <w:ind w:firstLine="0"/>
              <w:jc w:val="center"/>
              <w:rPr>
                <w:rFonts w:eastAsia="Aptos" w:cs="Times New Roman"/>
                <w:sz w:val="20"/>
                <w:szCs w:val="20"/>
              </w:rPr>
            </w:pPr>
            <w:r w:rsidRPr="00782FA6">
              <w:rPr>
                <w:rFonts w:eastAsia="Aptos" w:cs="Times New Roman"/>
                <w:sz w:val="20"/>
                <w:szCs w:val="20"/>
              </w:rPr>
              <w:t>1299</w:t>
            </w:r>
          </w:p>
        </w:tc>
        <w:tc>
          <w:tcPr>
            <w:tcW w:w="1036" w:type="dxa"/>
            <w:noWrap/>
            <w:vAlign w:val="center"/>
            <w:hideMark/>
          </w:tcPr>
          <w:p w:rsidRPr="00782FA6" w:rsidR="00DB248A" w:rsidP="00DB248A" w:rsidRDefault="00DB248A" w14:paraId="5A99603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DF79BEB" w14:textId="410364F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90DB3BD" w14:textId="069785E0">
            <w:pPr>
              <w:spacing w:line="240" w:lineRule="auto"/>
              <w:ind w:firstLine="0"/>
              <w:rPr>
                <w:rFonts w:eastAsia="Aptos" w:cs="Times New Roman"/>
                <w:sz w:val="20"/>
                <w:szCs w:val="20"/>
              </w:rPr>
            </w:pPr>
            <w:r w:rsidRPr="00782FA6">
              <w:rPr>
                <w:rFonts w:eastAsia="Aptos" w:cs="Times New Roman"/>
                <w:sz w:val="20"/>
                <w:szCs w:val="20"/>
              </w:rPr>
              <w:t>Flagman Telecom Inc.</w:t>
            </w:r>
          </w:p>
        </w:tc>
      </w:tr>
      <w:tr w:rsidRPr="00782FA6" w:rsidR="00DB248A" w:rsidTr="00E52317" w14:paraId="260DDEF4" w14:textId="77777777">
        <w:trPr>
          <w:trHeight w:val="300"/>
        </w:trPr>
        <w:tc>
          <w:tcPr>
            <w:tcW w:w="1170" w:type="dxa"/>
            <w:noWrap/>
            <w:vAlign w:val="center"/>
            <w:hideMark/>
          </w:tcPr>
          <w:p w:rsidRPr="00782FA6" w:rsidR="00DB248A" w:rsidP="00DB248A" w:rsidRDefault="00DB248A" w14:paraId="7E9E1095" w14:textId="77777777">
            <w:pPr>
              <w:spacing w:line="240" w:lineRule="auto"/>
              <w:ind w:firstLine="0"/>
              <w:jc w:val="center"/>
              <w:rPr>
                <w:rFonts w:eastAsia="Aptos" w:cs="Times New Roman"/>
                <w:sz w:val="20"/>
                <w:szCs w:val="20"/>
              </w:rPr>
            </w:pPr>
            <w:r w:rsidRPr="00782FA6">
              <w:rPr>
                <w:rFonts w:eastAsia="Aptos" w:cs="Times New Roman"/>
                <w:sz w:val="20"/>
                <w:szCs w:val="20"/>
              </w:rPr>
              <w:t>1301</w:t>
            </w:r>
          </w:p>
        </w:tc>
        <w:tc>
          <w:tcPr>
            <w:tcW w:w="1036" w:type="dxa"/>
            <w:noWrap/>
            <w:vAlign w:val="center"/>
            <w:hideMark/>
          </w:tcPr>
          <w:p w:rsidRPr="00782FA6" w:rsidR="00DB248A" w:rsidP="00DB248A" w:rsidRDefault="00DB248A" w14:paraId="10EF13C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AC8A841" w14:textId="6CB622D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ED65F48" w14:textId="1F257365">
            <w:pPr>
              <w:spacing w:line="240" w:lineRule="auto"/>
              <w:ind w:firstLine="0"/>
              <w:rPr>
                <w:rFonts w:eastAsia="Aptos" w:cs="Times New Roman"/>
                <w:sz w:val="20"/>
                <w:szCs w:val="20"/>
              </w:rPr>
            </w:pPr>
            <w:proofErr w:type="spellStart"/>
            <w:r w:rsidRPr="00782FA6">
              <w:rPr>
                <w:rFonts w:eastAsia="Aptos" w:cs="Times New Roman"/>
                <w:sz w:val="20"/>
                <w:szCs w:val="20"/>
              </w:rPr>
              <w:t>Zultys</w:t>
            </w:r>
            <w:proofErr w:type="spellEnd"/>
            <w:r w:rsidRPr="00782FA6">
              <w:rPr>
                <w:rFonts w:eastAsia="Aptos" w:cs="Times New Roman"/>
                <w:sz w:val="20"/>
                <w:szCs w:val="20"/>
              </w:rPr>
              <w:t>, Inc.</w:t>
            </w:r>
          </w:p>
        </w:tc>
      </w:tr>
      <w:tr w:rsidRPr="00782FA6" w:rsidR="00DB248A" w:rsidTr="00E52317" w14:paraId="1AB00371" w14:textId="77777777">
        <w:trPr>
          <w:trHeight w:val="300"/>
        </w:trPr>
        <w:tc>
          <w:tcPr>
            <w:tcW w:w="1170" w:type="dxa"/>
            <w:noWrap/>
            <w:vAlign w:val="center"/>
            <w:hideMark/>
          </w:tcPr>
          <w:p w:rsidRPr="00782FA6" w:rsidR="00DB248A" w:rsidP="00DB248A" w:rsidRDefault="00DB248A" w14:paraId="7D2EF01B" w14:textId="77777777">
            <w:pPr>
              <w:spacing w:line="240" w:lineRule="auto"/>
              <w:ind w:firstLine="0"/>
              <w:jc w:val="center"/>
              <w:rPr>
                <w:rFonts w:eastAsia="Aptos" w:cs="Times New Roman"/>
                <w:sz w:val="20"/>
                <w:szCs w:val="20"/>
              </w:rPr>
            </w:pPr>
            <w:r w:rsidRPr="00782FA6">
              <w:rPr>
                <w:rFonts w:eastAsia="Aptos" w:cs="Times New Roman"/>
                <w:sz w:val="20"/>
                <w:szCs w:val="20"/>
              </w:rPr>
              <w:t>1305</w:t>
            </w:r>
          </w:p>
        </w:tc>
        <w:tc>
          <w:tcPr>
            <w:tcW w:w="1036" w:type="dxa"/>
            <w:noWrap/>
            <w:vAlign w:val="center"/>
            <w:hideMark/>
          </w:tcPr>
          <w:p w:rsidRPr="00782FA6" w:rsidR="00DB248A" w:rsidP="00DB248A" w:rsidRDefault="00DB248A" w14:paraId="0CBE483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42AEA9B" w14:textId="5B02F6B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AE59BD4" w14:textId="7EEBB926">
            <w:pPr>
              <w:spacing w:line="240" w:lineRule="auto"/>
              <w:ind w:firstLine="0"/>
              <w:rPr>
                <w:rFonts w:eastAsia="Aptos" w:cs="Times New Roman"/>
                <w:sz w:val="20"/>
                <w:szCs w:val="20"/>
              </w:rPr>
            </w:pPr>
            <w:r w:rsidRPr="00782FA6">
              <w:rPr>
                <w:rFonts w:eastAsia="Aptos" w:cs="Times New Roman"/>
                <w:sz w:val="20"/>
                <w:szCs w:val="20"/>
              </w:rPr>
              <w:t>Broad Communication Solutions, LLC</w:t>
            </w:r>
          </w:p>
        </w:tc>
      </w:tr>
      <w:tr w:rsidRPr="00782FA6" w:rsidR="00DB248A" w:rsidTr="00E52317" w14:paraId="4763D829" w14:textId="77777777">
        <w:trPr>
          <w:trHeight w:val="300"/>
        </w:trPr>
        <w:tc>
          <w:tcPr>
            <w:tcW w:w="1170" w:type="dxa"/>
            <w:noWrap/>
            <w:vAlign w:val="center"/>
            <w:hideMark/>
          </w:tcPr>
          <w:p w:rsidRPr="00782FA6" w:rsidR="00DB248A" w:rsidP="00DB248A" w:rsidRDefault="00DB248A" w14:paraId="6D80D40C" w14:textId="77777777">
            <w:pPr>
              <w:spacing w:line="240" w:lineRule="auto"/>
              <w:ind w:firstLine="0"/>
              <w:jc w:val="center"/>
              <w:rPr>
                <w:rFonts w:eastAsia="Aptos" w:cs="Times New Roman"/>
                <w:sz w:val="20"/>
                <w:szCs w:val="20"/>
              </w:rPr>
            </w:pPr>
            <w:r w:rsidRPr="00782FA6">
              <w:rPr>
                <w:rFonts w:eastAsia="Aptos" w:cs="Times New Roman"/>
                <w:sz w:val="20"/>
                <w:szCs w:val="20"/>
              </w:rPr>
              <w:t>1307</w:t>
            </w:r>
          </w:p>
        </w:tc>
        <w:tc>
          <w:tcPr>
            <w:tcW w:w="1036" w:type="dxa"/>
            <w:noWrap/>
            <w:vAlign w:val="center"/>
            <w:hideMark/>
          </w:tcPr>
          <w:p w:rsidRPr="00782FA6" w:rsidR="00DB248A" w:rsidP="00DB248A" w:rsidRDefault="00DB248A" w14:paraId="0253D3F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9C52212" w14:textId="386ACDF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4F6502A" w14:textId="6D770343">
            <w:pPr>
              <w:spacing w:line="240" w:lineRule="auto"/>
              <w:ind w:firstLine="0"/>
              <w:rPr>
                <w:rFonts w:eastAsia="Aptos" w:cs="Times New Roman"/>
                <w:sz w:val="20"/>
                <w:szCs w:val="20"/>
              </w:rPr>
            </w:pPr>
            <w:r w:rsidRPr="00782FA6">
              <w:rPr>
                <w:rFonts w:eastAsia="Aptos" w:cs="Times New Roman"/>
                <w:sz w:val="20"/>
                <w:szCs w:val="20"/>
              </w:rPr>
              <w:t>Dialpad, Inc.</w:t>
            </w:r>
          </w:p>
        </w:tc>
      </w:tr>
      <w:tr w:rsidRPr="00782FA6" w:rsidR="00DB248A" w:rsidTr="00E52317" w14:paraId="0D4F8A92" w14:textId="77777777">
        <w:trPr>
          <w:trHeight w:val="300"/>
        </w:trPr>
        <w:tc>
          <w:tcPr>
            <w:tcW w:w="1170" w:type="dxa"/>
            <w:noWrap/>
            <w:vAlign w:val="center"/>
            <w:hideMark/>
          </w:tcPr>
          <w:p w:rsidRPr="00782FA6" w:rsidR="00DB248A" w:rsidP="00DB248A" w:rsidRDefault="00DB248A" w14:paraId="5C68898A" w14:textId="77777777">
            <w:pPr>
              <w:spacing w:line="240" w:lineRule="auto"/>
              <w:ind w:firstLine="0"/>
              <w:jc w:val="center"/>
              <w:rPr>
                <w:rFonts w:eastAsia="Aptos" w:cs="Times New Roman"/>
                <w:sz w:val="20"/>
                <w:szCs w:val="20"/>
              </w:rPr>
            </w:pPr>
            <w:r w:rsidRPr="00782FA6">
              <w:rPr>
                <w:rFonts w:eastAsia="Aptos" w:cs="Times New Roman"/>
                <w:sz w:val="20"/>
                <w:szCs w:val="20"/>
              </w:rPr>
              <w:t>1308</w:t>
            </w:r>
          </w:p>
        </w:tc>
        <w:tc>
          <w:tcPr>
            <w:tcW w:w="1036" w:type="dxa"/>
            <w:noWrap/>
            <w:vAlign w:val="center"/>
            <w:hideMark/>
          </w:tcPr>
          <w:p w:rsidRPr="00782FA6" w:rsidR="00DB248A" w:rsidP="00DB248A" w:rsidRDefault="00DB248A" w14:paraId="31715B8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D0726FC" w14:textId="076544E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4D0650A" w14:textId="6AB8C269">
            <w:pPr>
              <w:spacing w:line="240" w:lineRule="auto"/>
              <w:ind w:firstLine="0"/>
              <w:rPr>
                <w:rFonts w:eastAsia="Aptos" w:cs="Times New Roman"/>
                <w:sz w:val="20"/>
                <w:szCs w:val="20"/>
              </w:rPr>
            </w:pPr>
            <w:proofErr w:type="spellStart"/>
            <w:r w:rsidRPr="00782FA6">
              <w:rPr>
                <w:rFonts w:eastAsia="Aptos" w:cs="Times New Roman"/>
                <w:sz w:val="20"/>
                <w:szCs w:val="20"/>
              </w:rPr>
              <w:t>Cloudcall</w:t>
            </w:r>
            <w:proofErr w:type="spellEnd"/>
            <w:r w:rsidRPr="00782FA6">
              <w:rPr>
                <w:rFonts w:eastAsia="Aptos" w:cs="Times New Roman"/>
                <w:sz w:val="20"/>
                <w:szCs w:val="20"/>
              </w:rPr>
              <w:t>, Inc.</w:t>
            </w:r>
          </w:p>
        </w:tc>
      </w:tr>
      <w:tr w:rsidRPr="00782FA6" w:rsidR="00DB248A" w:rsidTr="00E52317" w14:paraId="6053EE10" w14:textId="77777777">
        <w:trPr>
          <w:trHeight w:val="300"/>
        </w:trPr>
        <w:tc>
          <w:tcPr>
            <w:tcW w:w="1170" w:type="dxa"/>
            <w:noWrap/>
            <w:vAlign w:val="center"/>
            <w:hideMark/>
          </w:tcPr>
          <w:p w:rsidRPr="00782FA6" w:rsidR="00DB248A" w:rsidP="00DB248A" w:rsidRDefault="00DB248A" w14:paraId="3F83C773" w14:textId="77777777">
            <w:pPr>
              <w:spacing w:line="240" w:lineRule="auto"/>
              <w:ind w:firstLine="0"/>
              <w:jc w:val="center"/>
              <w:rPr>
                <w:rFonts w:eastAsia="Aptos" w:cs="Times New Roman"/>
                <w:sz w:val="20"/>
                <w:szCs w:val="20"/>
              </w:rPr>
            </w:pPr>
            <w:r w:rsidRPr="00782FA6">
              <w:rPr>
                <w:rFonts w:eastAsia="Aptos" w:cs="Times New Roman"/>
                <w:sz w:val="20"/>
                <w:szCs w:val="20"/>
              </w:rPr>
              <w:t>1312</w:t>
            </w:r>
          </w:p>
        </w:tc>
        <w:tc>
          <w:tcPr>
            <w:tcW w:w="1036" w:type="dxa"/>
            <w:noWrap/>
            <w:vAlign w:val="center"/>
            <w:hideMark/>
          </w:tcPr>
          <w:p w:rsidRPr="00782FA6" w:rsidR="00DB248A" w:rsidP="00DB248A" w:rsidRDefault="00DB248A" w14:paraId="3D875A6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EA2222B" w14:textId="5F84878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CA3C9CF" w14:textId="266F8084">
            <w:pPr>
              <w:spacing w:line="240" w:lineRule="auto"/>
              <w:ind w:firstLine="0"/>
              <w:rPr>
                <w:rFonts w:eastAsia="Aptos" w:cs="Times New Roman"/>
                <w:sz w:val="20"/>
                <w:szCs w:val="20"/>
              </w:rPr>
            </w:pPr>
            <w:r w:rsidRPr="00782FA6">
              <w:rPr>
                <w:rFonts w:eastAsia="Aptos" w:cs="Times New Roman"/>
                <w:sz w:val="20"/>
                <w:szCs w:val="20"/>
              </w:rPr>
              <w:t>South Valley Internet Inc.</w:t>
            </w:r>
          </w:p>
        </w:tc>
      </w:tr>
      <w:tr w:rsidRPr="00782FA6" w:rsidR="00DB248A" w:rsidTr="00E52317" w14:paraId="06AC466A" w14:textId="77777777">
        <w:trPr>
          <w:trHeight w:val="300"/>
        </w:trPr>
        <w:tc>
          <w:tcPr>
            <w:tcW w:w="1170" w:type="dxa"/>
            <w:noWrap/>
            <w:vAlign w:val="center"/>
            <w:hideMark/>
          </w:tcPr>
          <w:p w:rsidRPr="00782FA6" w:rsidR="00DB248A" w:rsidP="00DB248A" w:rsidRDefault="00DB248A" w14:paraId="0EE0D50D" w14:textId="77777777">
            <w:pPr>
              <w:spacing w:line="240" w:lineRule="auto"/>
              <w:ind w:firstLine="0"/>
              <w:jc w:val="center"/>
              <w:rPr>
                <w:rFonts w:eastAsia="Aptos" w:cs="Times New Roman"/>
                <w:sz w:val="20"/>
                <w:szCs w:val="20"/>
              </w:rPr>
            </w:pPr>
            <w:r w:rsidRPr="00782FA6">
              <w:rPr>
                <w:rFonts w:eastAsia="Aptos" w:cs="Times New Roman"/>
                <w:sz w:val="20"/>
                <w:szCs w:val="20"/>
              </w:rPr>
              <w:t>1313</w:t>
            </w:r>
          </w:p>
        </w:tc>
        <w:tc>
          <w:tcPr>
            <w:tcW w:w="1036" w:type="dxa"/>
            <w:noWrap/>
            <w:vAlign w:val="center"/>
            <w:hideMark/>
          </w:tcPr>
          <w:p w:rsidRPr="00782FA6" w:rsidR="00DB248A" w:rsidP="00DB248A" w:rsidRDefault="00DB248A" w14:paraId="625A032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AE905B6" w14:textId="5994283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237C82F" w14:textId="4D0599C5">
            <w:pPr>
              <w:spacing w:line="240" w:lineRule="auto"/>
              <w:ind w:firstLine="0"/>
              <w:rPr>
                <w:rFonts w:eastAsia="Aptos" w:cs="Times New Roman"/>
                <w:sz w:val="20"/>
                <w:szCs w:val="20"/>
              </w:rPr>
            </w:pPr>
            <w:r w:rsidRPr="00782FA6">
              <w:rPr>
                <w:rFonts w:eastAsia="Aptos" w:cs="Times New Roman"/>
                <w:sz w:val="20"/>
                <w:szCs w:val="20"/>
              </w:rPr>
              <w:t>Block Line Systems, LLC</w:t>
            </w:r>
          </w:p>
        </w:tc>
      </w:tr>
      <w:tr w:rsidRPr="00782FA6" w:rsidR="00DB248A" w:rsidTr="00E52317" w14:paraId="1ED8E16D" w14:textId="77777777">
        <w:trPr>
          <w:trHeight w:val="300"/>
        </w:trPr>
        <w:tc>
          <w:tcPr>
            <w:tcW w:w="1170" w:type="dxa"/>
            <w:noWrap/>
            <w:vAlign w:val="center"/>
            <w:hideMark/>
          </w:tcPr>
          <w:p w:rsidRPr="00782FA6" w:rsidR="00DB248A" w:rsidP="00DB248A" w:rsidRDefault="00DB248A" w14:paraId="1A15F646" w14:textId="77777777">
            <w:pPr>
              <w:spacing w:line="240" w:lineRule="auto"/>
              <w:ind w:firstLine="0"/>
              <w:jc w:val="center"/>
              <w:rPr>
                <w:rFonts w:eastAsia="Aptos" w:cs="Times New Roman"/>
                <w:sz w:val="20"/>
                <w:szCs w:val="20"/>
              </w:rPr>
            </w:pPr>
            <w:r w:rsidRPr="00782FA6">
              <w:rPr>
                <w:rFonts w:eastAsia="Aptos" w:cs="Times New Roman"/>
                <w:sz w:val="20"/>
                <w:szCs w:val="20"/>
              </w:rPr>
              <w:t>1314</w:t>
            </w:r>
          </w:p>
        </w:tc>
        <w:tc>
          <w:tcPr>
            <w:tcW w:w="1036" w:type="dxa"/>
            <w:noWrap/>
            <w:vAlign w:val="center"/>
            <w:hideMark/>
          </w:tcPr>
          <w:p w:rsidRPr="00782FA6" w:rsidR="00DB248A" w:rsidP="00DB248A" w:rsidRDefault="00DB248A" w14:paraId="5795A3E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64EC75A" w14:textId="3E21CA2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2BD07BE" w14:textId="088D0D95">
            <w:pPr>
              <w:spacing w:line="240" w:lineRule="auto"/>
              <w:ind w:firstLine="0"/>
              <w:rPr>
                <w:rFonts w:eastAsia="Aptos" w:cs="Times New Roman"/>
                <w:sz w:val="20"/>
                <w:szCs w:val="20"/>
              </w:rPr>
            </w:pPr>
            <w:r w:rsidRPr="00782FA6">
              <w:rPr>
                <w:rFonts w:eastAsia="Aptos" w:cs="Times New Roman"/>
                <w:sz w:val="20"/>
                <w:szCs w:val="20"/>
              </w:rPr>
              <w:t>Zen Communications, LLC</w:t>
            </w:r>
          </w:p>
        </w:tc>
      </w:tr>
      <w:tr w:rsidRPr="00782FA6" w:rsidR="00DB248A" w:rsidTr="00E52317" w14:paraId="27E62CE0" w14:textId="77777777">
        <w:trPr>
          <w:trHeight w:val="300"/>
        </w:trPr>
        <w:tc>
          <w:tcPr>
            <w:tcW w:w="1170" w:type="dxa"/>
            <w:noWrap/>
            <w:vAlign w:val="center"/>
            <w:hideMark/>
          </w:tcPr>
          <w:p w:rsidRPr="00782FA6" w:rsidR="00DB248A" w:rsidP="00DB248A" w:rsidRDefault="00DB248A" w14:paraId="014CCF98" w14:textId="77777777">
            <w:pPr>
              <w:spacing w:line="240" w:lineRule="auto"/>
              <w:ind w:firstLine="0"/>
              <w:jc w:val="center"/>
              <w:rPr>
                <w:rFonts w:eastAsia="Aptos" w:cs="Times New Roman"/>
                <w:sz w:val="20"/>
                <w:szCs w:val="20"/>
              </w:rPr>
            </w:pPr>
            <w:r w:rsidRPr="00782FA6">
              <w:rPr>
                <w:rFonts w:eastAsia="Aptos" w:cs="Times New Roman"/>
                <w:sz w:val="20"/>
                <w:szCs w:val="20"/>
              </w:rPr>
              <w:t>1317</w:t>
            </w:r>
          </w:p>
        </w:tc>
        <w:tc>
          <w:tcPr>
            <w:tcW w:w="1036" w:type="dxa"/>
            <w:noWrap/>
            <w:vAlign w:val="center"/>
            <w:hideMark/>
          </w:tcPr>
          <w:p w:rsidRPr="00782FA6" w:rsidR="00DB248A" w:rsidP="00DB248A" w:rsidRDefault="00DB248A" w14:paraId="7AC4A82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D426FBC" w14:textId="386364C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573A0E8" w14:textId="37428058">
            <w:pPr>
              <w:spacing w:line="240" w:lineRule="auto"/>
              <w:ind w:firstLine="0"/>
              <w:rPr>
                <w:rFonts w:eastAsia="Aptos" w:cs="Times New Roman"/>
                <w:sz w:val="20"/>
                <w:szCs w:val="20"/>
              </w:rPr>
            </w:pPr>
            <w:r w:rsidRPr="00782FA6">
              <w:rPr>
                <w:rFonts w:eastAsia="Aptos" w:cs="Times New Roman"/>
                <w:sz w:val="20"/>
                <w:szCs w:val="20"/>
              </w:rPr>
              <w:t>G12 Communications, LLC</w:t>
            </w:r>
          </w:p>
        </w:tc>
      </w:tr>
      <w:tr w:rsidRPr="00782FA6" w:rsidR="00DB248A" w:rsidTr="00E52317" w14:paraId="5195AE0D" w14:textId="77777777">
        <w:trPr>
          <w:trHeight w:val="300"/>
        </w:trPr>
        <w:tc>
          <w:tcPr>
            <w:tcW w:w="1170" w:type="dxa"/>
            <w:noWrap/>
            <w:vAlign w:val="center"/>
            <w:hideMark/>
          </w:tcPr>
          <w:p w:rsidRPr="00782FA6" w:rsidR="00DB248A" w:rsidP="00DB248A" w:rsidRDefault="00DB248A" w14:paraId="44546305" w14:textId="77777777">
            <w:pPr>
              <w:spacing w:line="240" w:lineRule="auto"/>
              <w:ind w:firstLine="0"/>
              <w:jc w:val="center"/>
              <w:rPr>
                <w:rFonts w:eastAsia="Aptos" w:cs="Times New Roman"/>
                <w:sz w:val="20"/>
                <w:szCs w:val="20"/>
              </w:rPr>
            </w:pPr>
            <w:r w:rsidRPr="00782FA6">
              <w:rPr>
                <w:rFonts w:eastAsia="Aptos" w:cs="Times New Roman"/>
                <w:sz w:val="20"/>
                <w:szCs w:val="20"/>
              </w:rPr>
              <w:t>1318</w:t>
            </w:r>
          </w:p>
        </w:tc>
        <w:tc>
          <w:tcPr>
            <w:tcW w:w="1036" w:type="dxa"/>
            <w:noWrap/>
            <w:vAlign w:val="center"/>
            <w:hideMark/>
          </w:tcPr>
          <w:p w:rsidRPr="00782FA6" w:rsidR="00DB248A" w:rsidP="00DB248A" w:rsidRDefault="00DB248A" w14:paraId="746781E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389A173" w14:textId="3D2178E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1EF082E" w14:textId="48C548E0">
            <w:pPr>
              <w:spacing w:line="240" w:lineRule="auto"/>
              <w:ind w:firstLine="0"/>
              <w:rPr>
                <w:rFonts w:eastAsia="Aptos" w:cs="Times New Roman"/>
                <w:sz w:val="20"/>
                <w:szCs w:val="20"/>
              </w:rPr>
            </w:pPr>
            <w:proofErr w:type="spellStart"/>
            <w:r w:rsidRPr="00782FA6">
              <w:rPr>
                <w:rFonts w:eastAsia="Aptos" w:cs="Times New Roman"/>
                <w:sz w:val="20"/>
                <w:szCs w:val="20"/>
              </w:rPr>
              <w:t>RingRx</w:t>
            </w:r>
            <w:proofErr w:type="spellEnd"/>
            <w:r w:rsidRPr="00782FA6">
              <w:rPr>
                <w:rFonts w:eastAsia="Aptos" w:cs="Times New Roman"/>
                <w:sz w:val="20"/>
                <w:szCs w:val="20"/>
              </w:rPr>
              <w:t>, LLC</w:t>
            </w:r>
          </w:p>
        </w:tc>
      </w:tr>
      <w:tr w:rsidRPr="00782FA6" w:rsidR="00DB248A" w:rsidTr="00E52317" w14:paraId="5652CF88" w14:textId="77777777">
        <w:trPr>
          <w:trHeight w:val="300"/>
        </w:trPr>
        <w:tc>
          <w:tcPr>
            <w:tcW w:w="1170" w:type="dxa"/>
            <w:noWrap/>
            <w:vAlign w:val="center"/>
            <w:hideMark/>
          </w:tcPr>
          <w:p w:rsidRPr="00782FA6" w:rsidR="00DB248A" w:rsidP="00DB248A" w:rsidRDefault="00DB248A" w14:paraId="7643142B" w14:textId="77777777">
            <w:pPr>
              <w:spacing w:line="240" w:lineRule="auto"/>
              <w:ind w:firstLine="0"/>
              <w:jc w:val="center"/>
              <w:rPr>
                <w:rFonts w:eastAsia="Aptos" w:cs="Times New Roman"/>
                <w:sz w:val="20"/>
                <w:szCs w:val="20"/>
              </w:rPr>
            </w:pPr>
            <w:r w:rsidRPr="00782FA6">
              <w:rPr>
                <w:rFonts w:eastAsia="Aptos" w:cs="Times New Roman"/>
                <w:sz w:val="20"/>
                <w:szCs w:val="20"/>
              </w:rPr>
              <w:t>1319</w:t>
            </w:r>
          </w:p>
        </w:tc>
        <w:tc>
          <w:tcPr>
            <w:tcW w:w="1036" w:type="dxa"/>
            <w:noWrap/>
            <w:vAlign w:val="center"/>
            <w:hideMark/>
          </w:tcPr>
          <w:p w:rsidRPr="00782FA6" w:rsidR="00DB248A" w:rsidP="00DB248A" w:rsidRDefault="00DB248A" w14:paraId="0669A19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FD45549" w14:textId="38C817B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D691452" w14:textId="62039E14">
            <w:pPr>
              <w:spacing w:line="240" w:lineRule="auto"/>
              <w:ind w:firstLine="0"/>
              <w:rPr>
                <w:rFonts w:eastAsia="Aptos" w:cs="Times New Roman"/>
                <w:sz w:val="20"/>
                <w:szCs w:val="20"/>
              </w:rPr>
            </w:pPr>
            <w:r w:rsidRPr="00782FA6">
              <w:rPr>
                <w:rFonts w:eastAsia="Aptos" w:cs="Times New Roman"/>
                <w:sz w:val="20"/>
                <w:szCs w:val="20"/>
              </w:rPr>
              <w:t>IT Management Corporation</w:t>
            </w:r>
          </w:p>
        </w:tc>
      </w:tr>
      <w:tr w:rsidRPr="00782FA6" w:rsidR="00DB248A" w:rsidTr="00E52317" w14:paraId="6B921432" w14:textId="77777777">
        <w:trPr>
          <w:trHeight w:val="300"/>
        </w:trPr>
        <w:tc>
          <w:tcPr>
            <w:tcW w:w="1170" w:type="dxa"/>
            <w:noWrap/>
            <w:vAlign w:val="center"/>
            <w:hideMark/>
          </w:tcPr>
          <w:p w:rsidRPr="00782FA6" w:rsidR="00DB248A" w:rsidP="00DB248A" w:rsidRDefault="00DB248A" w14:paraId="41F083FA" w14:textId="77777777">
            <w:pPr>
              <w:spacing w:line="240" w:lineRule="auto"/>
              <w:ind w:firstLine="0"/>
              <w:jc w:val="center"/>
              <w:rPr>
                <w:rFonts w:eastAsia="Aptos" w:cs="Times New Roman"/>
                <w:sz w:val="20"/>
                <w:szCs w:val="20"/>
              </w:rPr>
            </w:pPr>
            <w:r w:rsidRPr="00782FA6">
              <w:rPr>
                <w:rFonts w:eastAsia="Aptos" w:cs="Times New Roman"/>
                <w:sz w:val="20"/>
                <w:szCs w:val="20"/>
              </w:rPr>
              <w:t>1320</w:t>
            </w:r>
          </w:p>
        </w:tc>
        <w:tc>
          <w:tcPr>
            <w:tcW w:w="1036" w:type="dxa"/>
            <w:noWrap/>
            <w:vAlign w:val="center"/>
            <w:hideMark/>
          </w:tcPr>
          <w:p w:rsidRPr="00782FA6" w:rsidR="00DB248A" w:rsidP="00DB248A" w:rsidRDefault="00DB248A" w14:paraId="4303D30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3A077B6" w14:textId="51DBB0D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4C493A3" w14:textId="4FD89A33">
            <w:pPr>
              <w:spacing w:line="240" w:lineRule="auto"/>
              <w:ind w:firstLine="0"/>
              <w:rPr>
                <w:rFonts w:eastAsia="Aptos" w:cs="Times New Roman"/>
                <w:sz w:val="20"/>
                <w:szCs w:val="20"/>
              </w:rPr>
            </w:pPr>
            <w:r w:rsidRPr="00782FA6">
              <w:rPr>
                <w:rFonts w:eastAsia="Aptos" w:cs="Times New Roman"/>
                <w:sz w:val="20"/>
                <w:szCs w:val="20"/>
              </w:rPr>
              <w:t>Succeed.net</w:t>
            </w:r>
          </w:p>
        </w:tc>
      </w:tr>
      <w:tr w:rsidRPr="00782FA6" w:rsidR="00DB248A" w:rsidTr="00E52317" w14:paraId="53F2F4D5" w14:textId="77777777">
        <w:trPr>
          <w:trHeight w:val="300"/>
        </w:trPr>
        <w:tc>
          <w:tcPr>
            <w:tcW w:w="1170" w:type="dxa"/>
            <w:noWrap/>
            <w:vAlign w:val="center"/>
            <w:hideMark/>
          </w:tcPr>
          <w:p w:rsidRPr="00782FA6" w:rsidR="00DB248A" w:rsidP="00DB248A" w:rsidRDefault="00DB248A" w14:paraId="5E1DA930" w14:textId="77777777">
            <w:pPr>
              <w:spacing w:line="240" w:lineRule="auto"/>
              <w:ind w:firstLine="0"/>
              <w:jc w:val="center"/>
              <w:rPr>
                <w:rFonts w:eastAsia="Aptos" w:cs="Times New Roman"/>
                <w:sz w:val="20"/>
                <w:szCs w:val="20"/>
              </w:rPr>
            </w:pPr>
            <w:r w:rsidRPr="00782FA6">
              <w:rPr>
                <w:rFonts w:eastAsia="Aptos" w:cs="Times New Roman"/>
                <w:sz w:val="20"/>
                <w:szCs w:val="20"/>
              </w:rPr>
              <w:t>1321</w:t>
            </w:r>
          </w:p>
        </w:tc>
        <w:tc>
          <w:tcPr>
            <w:tcW w:w="1036" w:type="dxa"/>
            <w:noWrap/>
            <w:vAlign w:val="center"/>
            <w:hideMark/>
          </w:tcPr>
          <w:p w:rsidRPr="00782FA6" w:rsidR="00DB248A" w:rsidP="00DB248A" w:rsidRDefault="00DB248A" w14:paraId="32F08D5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4D8B5F7" w14:textId="70D6FA5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16B7349" w14:textId="7E1D4B25">
            <w:pPr>
              <w:spacing w:line="240" w:lineRule="auto"/>
              <w:ind w:firstLine="0"/>
              <w:rPr>
                <w:rFonts w:eastAsia="Aptos" w:cs="Times New Roman"/>
                <w:sz w:val="20"/>
                <w:szCs w:val="20"/>
              </w:rPr>
            </w:pPr>
            <w:r w:rsidRPr="00782FA6">
              <w:rPr>
                <w:rFonts w:eastAsia="Aptos" w:cs="Times New Roman"/>
                <w:sz w:val="20"/>
                <w:szCs w:val="20"/>
              </w:rPr>
              <w:t>Central Valley Networks, Inc.</w:t>
            </w:r>
          </w:p>
        </w:tc>
      </w:tr>
      <w:tr w:rsidRPr="00782FA6" w:rsidR="00DB248A" w:rsidTr="00E52317" w14:paraId="50CFAECE" w14:textId="77777777">
        <w:trPr>
          <w:trHeight w:val="300"/>
        </w:trPr>
        <w:tc>
          <w:tcPr>
            <w:tcW w:w="1170" w:type="dxa"/>
            <w:noWrap/>
            <w:vAlign w:val="center"/>
            <w:hideMark/>
          </w:tcPr>
          <w:p w:rsidRPr="00782FA6" w:rsidR="00DB248A" w:rsidP="00DB248A" w:rsidRDefault="00DB248A" w14:paraId="2AA77270" w14:textId="77777777">
            <w:pPr>
              <w:spacing w:line="240" w:lineRule="auto"/>
              <w:ind w:firstLine="0"/>
              <w:jc w:val="center"/>
              <w:rPr>
                <w:rFonts w:eastAsia="Aptos" w:cs="Times New Roman"/>
                <w:sz w:val="20"/>
                <w:szCs w:val="20"/>
              </w:rPr>
            </w:pPr>
            <w:r w:rsidRPr="00782FA6">
              <w:rPr>
                <w:rFonts w:eastAsia="Aptos" w:cs="Times New Roman"/>
                <w:sz w:val="20"/>
                <w:szCs w:val="20"/>
              </w:rPr>
              <w:t>1322</w:t>
            </w:r>
          </w:p>
        </w:tc>
        <w:tc>
          <w:tcPr>
            <w:tcW w:w="1036" w:type="dxa"/>
            <w:noWrap/>
            <w:vAlign w:val="center"/>
            <w:hideMark/>
          </w:tcPr>
          <w:p w:rsidRPr="00782FA6" w:rsidR="00DB248A" w:rsidP="00DB248A" w:rsidRDefault="00DB248A" w14:paraId="74DDEB1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7DB2F78" w14:textId="28D748F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0916266" w14:textId="48C99162">
            <w:pPr>
              <w:spacing w:line="240" w:lineRule="auto"/>
              <w:ind w:firstLine="0"/>
              <w:rPr>
                <w:rFonts w:eastAsia="Aptos" w:cs="Times New Roman"/>
                <w:sz w:val="20"/>
                <w:szCs w:val="20"/>
              </w:rPr>
            </w:pPr>
            <w:proofErr w:type="spellStart"/>
            <w:r w:rsidRPr="00782FA6">
              <w:rPr>
                <w:rFonts w:eastAsia="Aptos" w:cs="Times New Roman"/>
                <w:sz w:val="20"/>
                <w:szCs w:val="20"/>
              </w:rPr>
              <w:t>BluIP</w:t>
            </w:r>
            <w:proofErr w:type="spellEnd"/>
            <w:r w:rsidRPr="00782FA6">
              <w:rPr>
                <w:rFonts w:eastAsia="Aptos" w:cs="Times New Roman"/>
                <w:sz w:val="20"/>
                <w:szCs w:val="20"/>
              </w:rPr>
              <w:t>, Inc</w:t>
            </w:r>
          </w:p>
        </w:tc>
      </w:tr>
      <w:tr w:rsidRPr="00782FA6" w:rsidR="00DB248A" w:rsidTr="00E52317" w14:paraId="3CD5118F" w14:textId="77777777">
        <w:trPr>
          <w:trHeight w:val="300"/>
        </w:trPr>
        <w:tc>
          <w:tcPr>
            <w:tcW w:w="1170" w:type="dxa"/>
            <w:noWrap/>
            <w:vAlign w:val="center"/>
            <w:hideMark/>
          </w:tcPr>
          <w:p w:rsidRPr="00782FA6" w:rsidR="00DB248A" w:rsidP="00DB248A" w:rsidRDefault="00DB248A" w14:paraId="4A71EDED" w14:textId="77777777">
            <w:pPr>
              <w:spacing w:line="240" w:lineRule="auto"/>
              <w:ind w:firstLine="0"/>
              <w:jc w:val="center"/>
              <w:rPr>
                <w:rFonts w:eastAsia="Aptos" w:cs="Times New Roman"/>
                <w:sz w:val="20"/>
                <w:szCs w:val="20"/>
              </w:rPr>
            </w:pPr>
            <w:r w:rsidRPr="00782FA6">
              <w:rPr>
                <w:rFonts w:eastAsia="Aptos" w:cs="Times New Roman"/>
                <w:sz w:val="20"/>
                <w:szCs w:val="20"/>
              </w:rPr>
              <w:t>1323</w:t>
            </w:r>
          </w:p>
        </w:tc>
        <w:tc>
          <w:tcPr>
            <w:tcW w:w="1036" w:type="dxa"/>
            <w:noWrap/>
            <w:vAlign w:val="center"/>
            <w:hideMark/>
          </w:tcPr>
          <w:p w:rsidRPr="00782FA6" w:rsidR="00DB248A" w:rsidP="00DB248A" w:rsidRDefault="00DB248A" w14:paraId="0FC1814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BDE40D8" w14:textId="2E1AECF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D895504" w14:textId="2EB90AC0">
            <w:pPr>
              <w:spacing w:line="240" w:lineRule="auto"/>
              <w:ind w:firstLine="0"/>
              <w:rPr>
                <w:rFonts w:eastAsia="Aptos" w:cs="Times New Roman"/>
                <w:sz w:val="20"/>
                <w:szCs w:val="20"/>
              </w:rPr>
            </w:pPr>
            <w:r w:rsidRPr="00782FA6">
              <w:rPr>
                <w:rFonts w:eastAsia="Aptos" w:cs="Times New Roman"/>
                <w:sz w:val="20"/>
                <w:szCs w:val="20"/>
              </w:rPr>
              <w:t>Bespoke Communications LLC</w:t>
            </w:r>
          </w:p>
        </w:tc>
      </w:tr>
      <w:tr w:rsidRPr="00782FA6" w:rsidR="00DB248A" w:rsidTr="00E52317" w14:paraId="4710DE1F" w14:textId="77777777">
        <w:trPr>
          <w:trHeight w:val="300"/>
        </w:trPr>
        <w:tc>
          <w:tcPr>
            <w:tcW w:w="1170" w:type="dxa"/>
            <w:noWrap/>
            <w:vAlign w:val="center"/>
            <w:hideMark/>
          </w:tcPr>
          <w:p w:rsidRPr="00782FA6" w:rsidR="00DB248A" w:rsidP="00DB248A" w:rsidRDefault="00DB248A" w14:paraId="550F6248" w14:textId="77777777">
            <w:pPr>
              <w:spacing w:line="240" w:lineRule="auto"/>
              <w:ind w:firstLine="0"/>
              <w:jc w:val="center"/>
              <w:rPr>
                <w:rFonts w:eastAsia="Aptos" w:cs="Times New Roman"/>
                <w:sz w:val="20"/>
                <w:szCs w:val="20"/>
              </w:rPr>
            </w:pPr>
            <w:r w:rsidRPr="00782FA6">
              <w:rPr>
                <w:rFonts w:eastAsia="Aptos" w:cs="Times New Roman"/>
                <w:sz w:val="20"/>
                <w:szCs w:val="20"/>
              </w:rPr>
              <w:t>1324</w:t>
            </w:r>
          </w:p>
        </w:tc>
        <w:tc>
          <w:tcPr>
            <w:tcW w:w="1036" w:type="dxa"/>
            <w:noWrap/>
            <w:vAlign w:val="center"/>
            <w:hideMark/>
          </w:tcPr>
          <w:p w:rsidRPr="00782FA6" w:rsidR="00DB248A" w:rsidP="00DB248A" w:rsidRDefault="00DB248A" w14:paraId="4A3A3AF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1AB6486" w14:textId="7E07D67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6F6367C" w14:textId="686A50D2">
            <w:pPr>
              <w:spacing w:line="240" w:lineRule="auto"/>
              <w:ind w:firstLine="0"/>
              <w:rPr>
                <w:rFonts w:eastAsia="Aptos" w:cs="Times New Roman"/>
                <w:sz w:val="20"/>
                <w:szCs w:val="20"/>
              </w:rPr>
            </w:pPr>
            <w:proofErr w:type="spellStart"/>
            <w:r w:rsidRPr="00782FA6">
              <w:rPr>
                <w:rFonts w:eastAsia="Aptos" w:cs="Times New Roman"/>
                <w:sz w:val="20"/>
                <w:szCs w:val="20"/>
              </w:rPr>
              <w:t>InfoReach</w:t>
            </w:r>
            <w:proofErr w:type="spellEnd"/>
            <w:r w:rsidRPr="00782FA6">
              <w:rPr>
                <w:rFonts w:eastAsia="Aptos" w:cs="Times New Roman"/>
                <w:sz w:val="20"/>
                <w:szCs w:val="20"/>
              </w:rPr>
              <w:t>, Inc.</w:t>
            </w:r>
          </w:p>
        </w:tc>
      </w:tr>
      <w:tr w:rsidRPr="00782FA6" w:rsidR="00DB248A" w:rsidTr="00E52317" w14:paraId="01549747" w14:textId="77777777">
        <w:trPr>
          <w:trHeight w:val="300"/>
        </w:trPr>
        <w:tc>
          <w:tcPr>
            <w:tcW w:w="1170" w:type="dxa"/>
            <w:noWrap/>
            <w:vAlign w:val="center"/>
            <w:hideMark/>
          </w:tcPr>
          <w:p w:rsidRPr="00782FA6" w:rsidR="00DB248A" w:rsidP="00DB248A" w:rsidRDefault="00DB248A" w14:paraId="6D2629D2" w14:textId="77777777">
            <w:pPr>
              <w:spacing w:line="240" w:lineRule="auto"/>
              <w:ind w:firstLine="0"/>
              <w:jc w:val="center"/>
              <w:rPr>
                <w:rFonts w:eastAsia="Aptos" w:cs="Times New Roman"/>
                <w:sz w:val="20"/>
                <w:szCs w:val="20"/>
              </w:rPr>
            </w:pPr>
            <w:r w:rsidRPr="00782FA6">
              <w:rPr>
                <w:rFonts w:eastAsia="Aptos" w:cs="Times New Roman"/>
                <w:sz w:val="20"/>
                <w:szCs w:val="20"/>
              </w:rPr>
              <w:t>1326</w:t>
            </w:r>
          </w:p>
        </w:tc>
        <w:tc>
          <w:tcPr>
            <w:tcW w:w="1036" w:type="dxa"/>
            <w:noWrap/>
            <w:vAlign w:val="center"/>
            <w:hideMark/>
          </w:tcPr>
          <w:p w:rsidRPr="00782FA6" w:rsidR="00DB248A" w:rsidP="00DB248A" w:rsidRDefault="00DB248A" w14:paraId="6C1F3FF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143324A" w14:textId="0A6B6BA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5E5EF7A" w14:textId="373C5986">
            <w:pPr>
              <w:spacing w:line="240" w:lineRule="auto"/>
              <w:ind w:firstLine="0"/>
              <w:rPr>
                <w:rFonts w:eastAsia="Aptos" w:cs="Times New Roman"/>
                <w:sz w:val="20"/>
                <w:szCs w:val="20"/>
              </w:rPr>
            </w:pPr>
            <w:proofErr w:type="spellStart"/>
            <w:r w:rsidRPr="00782FA6">
              <w:rPr>
                <w:rFonts w:eastAsia="Aptos" w:cs="Times New Roman"/>
                <w:sz w:val="20"/>
                <w:szCs w:val="20"/>
              </w:rPr>
              <w:t>Olaffe</w:t>
            </w:r>
            <w:proofErr w:type="spellEnd"/>
            <w:r w:rsidRPr="00782FA6">
              <w:rPr>
                <w:rFonts w:eastAsia="Aptos" w:cs="Times New Roman"/>
                <w:sz w:val="20"/>
                <w:szCs w:val="20"/>
              </w:rPr>
              <w:t>, LLC</w:t>
            </w:r>
          </w:p>
        </w:tc>
      </w:tr>
      <w:tr w:rsidRPr="00782FA6" w:rsidR="00DB248A" w:rsidTr="00E52317" w14:paraId="31830A88" w14:textId="77777777">
        <w:trPr>
          <w:trHeight w:val="300"/>
        </w:trPr>
        <w:tc>
          <w:tcPr>
            <w:tcW w:w="1170" w:type="dxa"/>
            <w:noWrap/>
            <w:vAlign w:val="center"/>
            <w:hideMark/>
          </w:tcPr>
          <w:p w:rsidRPr="00782FA6" w:rsidR="00DB248A" w:rsidP="00DB248A" w:rsidRDefault="00DB248A" w14:paraId="253C3917" w14:textId="77777777">
            <w:pPr>
              <w:spacing w:line="240" w:lineRule="auto"/>
              <w:ind w:firstLine="0"/>
              <w:jc w:val="center"/>
              <w:rPr>
                <w:rFonts w:eastAsia="Aptos" w:cs="Times New Roman"/>
                <w:sz w:val="20"/>
                <w:szCs w:val="20"/>
              </w:rPr>
            </w:pPr>
            <w:r w:rsidRPr="00782FA6">
              <w:rPr>
                <w:rFonts w:eastAsia="Aptos" w:cs="Times New Roman"/>
                <w:sz w:val="20"/>
                <w:szCs w:val="20"/>
              </w:rPr>
              <w:t>1327</w:t>
            </w:r>
          </w:p>
        </w:tc>
        <w:tc>
          <w:tcPr>
            <w:tcW w:w="1036" w:type="dxa"/>
            <w:noWrap/>
            <w:vAlign w:val="center"/>
            <w:hideMark/>
          </w:tcPr>
          <w:p w:rsidRPr="00782FA6" w:rsidR="00DB248A" w:rsidP="00DB248A" w:rsidRDefault="00DB248A" w14:paraId="1266E6F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2759E73" w14:textId="06203A5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0B7A59B" w14:textId="29ECF4BC">
            <w:pPr>
              <w:spacing w:line="240" w:lineRule="auto"/>
              <w:ind w:firstLine="0"/>
              <w:rPr>
                <w:rFonts w:eastAsia="Aptos" w:cs="Times New Roman"/>
                <w:sz w:val="20"/>
                <w:szCs w:val="20"/>
              </w:rPr>
            </w:pPr>
            <w:proofErr w:type="spellStart"/>
            <w:r w:rsidRPr="00782FA6">
              <w:rPr>
                <w:rFonts w:eastAsia="Aptos" w:cs="Times New Roman"/>
                <w:sz w:val="20"/>
                <w:szCs w:val="20"/>
              </w:rPr>
              <w:t>NuWave</w:t>
            </w:r>
            <w:proofErr w:type="spellEnd"/>
            <w:r w:rsidRPr="00782FA6">
              <w:rPr>
                <w:rFonts w:eastAsia="Aptos" w:cs="Times New Roman"/>
                <w:sz w:val="20"/>
                <w:szCs w:val="20"/>
              </w:rPr>
              <w:t xml:space="preserve"> Communications, Inc.</w:t>
            </w:r>
          </w:p>
        </w:tc>
      </w:tr>
      <w:tr w:rsidRPr="00782FA6" w:rsidR="00DB248A" w:rsidTr="00E52317" w14:paraId="64E3DD07" w14:textId="77777777">
        <w:trPr>
          <w:trHeight w:val="300"/>
        </w:trPr>
        <w:tc>
          <w:tcPr>
            <w:tcW w:w="1170" w:type="dxa"/>
            <w:noWrap/>
            <w:vAlign w:val="center"/>
            <w:hideMark/>
          </w:tcPr>
          <w:p w:rsidRPr="00782FA6" w:rsidR="00DB248A" w:rsidP="00DB248A" w:rsidRDefault="00DB248A" w14:paraId="0B37E21F" w14:textId="77777777">
            <w:pPr>
              <w:spacing w:line="240" w:lineRule="auto"/>
              <w:ind w:firstLine="0"/>
              <w:jc w:val="center"/>
              <w:rPr>
                <w:rFonts w:eastAsia="Aptos" w:cs="Times New Roman"/>
                <w:sz w:val="20"/>
                <w:szCs w:val="20"/>
              </w:rPr>
            </w:pPr>
            <w:r w:rsidRPr="00782FA6">
              <w:rPr>
                <w:rFonts w:eastAsia="Aptos" w:cs="Times New Roman"/>
                <w:sz w:val="20"/>
                <w:szCs w:val="20"/>
              </w:rPr>
              <w:t>1328</w:t>
            </w:r>
          </w:p>
        </w:tc>
        <w:tc>
          <w:tcPr>
            <w:tcW w:w="1036" w:type="dxa"/>
            <w:noWrap/>
            <w:vAlign w:val="center"/>
            <w:hideMark/>
          </w:tcPr>
          <w:p w:rsidRPr="00782FA6" w:rsidR="00DB248A" w:rsidP="00DB248A" w:rsidRDefault="00DB248A" w14:paraId="79EA632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F07726B" w14:textId="387CF0A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FEAA93C" w14:textId="754C668F">
            <w:pPr>
              <w:spacing w:line="240" w:lineRule="auto"/>
              <w:ind w:firstLine="0"/>
              <w:rPr>
                <w:rFonts w:eastAsia="Aptos" w:cs="Times New Roman"/>
                <w:sz w:val="20"/>
                <w:szCs w:val="20"/>
              </w:rPr>
            </w:pPr>
            <w:proofErr w:type="spellStart"/>
            <w:r w:rsidRPr="00782FA6">
              <w:rPr>
                <w:rFonts w:eastAsia="Aptos" w:cs="Times New Roman"/>
                <w:sz w:val="20"/>
                <w:szCs w:val="20"/>
              </w:rPr>
              <w:t>TeleVoIPs</w:t>
            </w:r>
            <w:proofErr w:type="spellEnd"/>
            <w:r w:rsidRPr="00782FA6">
              <w:rPr>
                <w:rFonts w:eastAsia="Aptos" w:cs="Times New Roman"/>
                <w:sz w:val="20"/>
                <w:szCs w:val="20"/>
              </w:rPr>
              <w:t>, LLC</w:t>
            </w:r>
          </w:p>
        </w:tc>
      </w:tr>
      <w:tr w:rsidRPr="00782FA6" w:rsidR="00DB248A" w:rsidTr="00E52317" w14:paraId="7AF21B8B" w14:textId="77777777">
        <w:trPr>
          <w:trHeight w:val="300"/>
        </w:trPr>
        <w:tc>
          <w:tcPr>
            <w:tcW w:w="1170" w:type="dxa"/>
            <w:noWrap/>
            <w:vAlign w:val="center"/>
            <w:hideMark/>
          </w:tcPr>
          <w:p w:rsidRPr="00782FA6" w:rsidR="00DB248A" w:rsidP="00DB248A" w:rsidRDefault="00DB248A" w14:paraId="14A33DD9" w14:textId="77777777">
            <w:pPr>
              <w:spacing w:line="240" w:lineRule="auto"/>
              <w:ind w:firstLine="0"/>
              <w:jc w:val="center"/>
              <w:rPr>
                <w:rFonts w:eastAsia="Aptos" w:cs="Times New Roman"/>
                <w:sz w:val="20"/>
                <w:szCs w:val="20"/>
              </w:rPr>
            </w:pPr>
            <w:r w:rsidRPr="00782FA6">
              <w:rPr>
                <w:rFonts w:eastAsia="Aptos" w:cs="Times New Roman"/>
                <w:sz w:val="20"/>
                <w:szCs w:val="20"/>
              </w:rPr>
              <w:lastRenderedPageBreak/>
              <w:t>1329</w:t>
            </w:r>
          </w:p>
        </w:tc>
        <w:tc>
          <w:tcPr>
            <w:tcW w:w="1036" w:type="dxa"/>
            <w:noWrap/>
            <w:vAlign w:val="center"/>
            <w:hideMark/>
          </w:tcPr>
          <w:p w:rsidRPr="00782FA6" w:rsidR="00DB248A" w:rsidP="00DB248A" w:rsidRDefault="00DB248A" w14:paraId="55885B5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1278502" w14:textId="340DF44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B23EFB7" w14:textId="2BBD1DA8">
            <w:pPr>
              <w:spacing w:line="240" w:lineRule="auto"/>
              <w:ind w:firstLine="0"/>
              <w:rPr>
                <w:rFonts w:eastAsia="Aptos" w:cs="Times New Roman"/>
                <w:sz w:val="20"/>
                <w:szCs w:val="20"/>
              </w:rPr>
            </w:pPr>
            <w:r w:rsidRPr="00782FA6">
              <w:rPr>
                <w:rFonts w:eastAsia="Aptos" w:cs="Times New Roman"/>
                <w:sz w:val="20"/>
                <w:szCs w:val="20"/>
              </w:rPr>
              <w:t>CCI Systems, Inc.</w:t>
            </w:r>
          </w:p>
        </w:tc>
      </w:tr>
      <w:tr w:rsidRPr="00782FA6" w:rsidR="00DB248A" w:rsidTr="00E52317" w14:paraId="377DE50A" w14:textId="77777777">
        <w:trPr>
          <w:trHeight w:val="300"/>
        </w:trPr>
        <w:tc>
          <w:tcPr>
            <w:tcW w:w="1170" w:type="dxa"/>
            <w:noWrap/>
            <w:vAlign w:val="center"/>
            <w:hideMark/>
          </w:tcPr>
          <w:p w:rsidRPr="00782FA6" w:rsidR="00DB248A" w:rsidP="00DB248A" w:rsidRDefault="00DB248A" w14:paraId="35179085" w14:textId="77777777">
            <w:pPr>
              <w:spacing w:line="240" w:lineRule="auto"/>
              <w:ind w:firstLine="0"/>
              <w:jc w:val="center"/>
              <w:rPr>
                <w:rFonts w:eastAsia="Aptos" w:cs="Times New Roman"/>
                <w:sz w:val="20"/>
                <w:szCs w:val="20"/>
              </w:rPr>
            </w:pPr>
            <w:r w:rsidRPr="00782FA6">
              <w:rPr>
                <w:rFonts w:eastAsia="Aptos" w:cs="Times New Roman"/>
                <w:sz w:val="20"/>
                <w:szCs w:val="20"/>
              </w:rPr>
              <w:t>1330</w:t>
            </w:r>
          </w:p>
        </w:tc>
        <w:tc>
          <w:tcPr>
            <w:tcW w:w="1036" w:type="dxa"/>
            <w:noWrap/>
            <w:vAlign w:val="center"/>
            <w:hideMark/>
          </w:tcPr>
          <w:p w:rsidRPr="00782FA6" w:rsidR="00DB248A" w:rsidP="00DB248A" w:rsidRDefault="00DB248A" w14:paraId="640FFCE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F9B2BD1" w14:textId="16E0F2F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4653747" w14:textId="34266270">
            <w:pPr>
              <w:spacing w:line="240" w:lineRule="auto"/>
              <w:ind w:firstLine="0"/>
              <w:rPr>
                <w:rFonts w:eastAsia="Aptos" w:cs="Times New Roman"/>
                <w:sz w:val="20"/>
                <w:szCs w:val="20"/>
              </w:rPr>
            </w:pPr>
            <w:r w:rsidRPr="00782FA6">
              <w:rPr>
                <w:rFonts w:eastAsia="Aptos" w:cs="Times New Roman"/>
                <w:sz w:val="20"/>
                <w:szCs w:val="20"/>
              </w:rPr>
              <w:t>IP Living, LLC</w:t>
            </w:r>
          </w:p>
        </w:tc>
      </w:tr>
      <w:tr w:rsidRPr="00782FA6" w:rsidR="00DB248A" w:rsidTr="00E52317" w14:paraId="1E2DEA36" w14:textId="77777777">
        <w:trPr>
          <w:trHeight w:val="300"/>
        </w:trPr>
        <w:tc>
          <w:tcPr>
            <w:tcW w:w="1170" w:type="dxa"/>
            <w:noWrap/>
            <w:vAlign w:val="center"/>
            <w:hideMark/>
          </w:tcPr>
          <w:p w:rsidRPr="00782FA6" w:rsidR="00DB248A" w:rsidP="00DB248A" w:rsidRDefault="00DB248A" w14:paraId="73C8902A" w14:textId="77777777">
            <w:pPr>
              <w:spacing w:line="240" w:lineRule="auto"/>
              <w:ind w:firstLine="0"/>
              <w:jc w:val="center"/>
              <w:rPr>
                <w:rFonts w:eastAsia="Aptos" w:cs="Times New Roman"/>
                <w:sz w:val="20"/>
                <w:szCs w:val="20"/>
              </w:rPr>
            </w:pPr>
            <w:r w:rsidRPr="00782FA6">
              <w:rPr>
                <w:rFonts w:eastAsia="Aptos" w:cs="Times New Roman"/>
                <w:sz w:val="20"/>
                <w:szCs w:val="20"/>
              </w:rPr>
              <w:t>1331</w:t>
            </w:r>
          </w:p>
        </w:tc>
        <w:tc>
          <w:tcPr>
            <w:tcW w:w="1036" w:type="dxa"/>
            <w:noWrap/>
            <w:vAlign w:val="center"/>
            <w:hideMark/>
          </w:tcPr>
          <w:p w:rsidRPr="00782FA6" w:rsidR="00DB248A" w:rsidP="00DB248A" w:rsidRDefault="00DB248A" w14:paraId="704F8BC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EC98041" w14:textId="19287AB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6B30AB8" w14:textId="3EECD58E">
            <w:pPr>
              <w:spacing w:line="240" w:lineRule="auto"/>
              <w:ind w:firstLine="0"/>
              <w:rPr>
                <w:rFonts w:eastAsia="Aptos" w:cs="Times New Roman"/>
                <w:sz w:val="20"/>
                <w:szCs w:val="20"/>
              </w:rPr>
            </w:pPr>
            <w:proofErr w:type="spellStart"/>
            <w:r w:rsidRPr="00782FA6">
              <w:rPr>
                <w:rFonts w:eastAsia="Aptos" w:cs="Times New Roman"/>
                <w:sz w:val="20"/>
                <w:szCs w:val="20"/>
              </w:rPr>
              <w:t>Bridgeconnex</w:t>
            </w:r>
            <w:proofErr w:type="spellEnd"/>
            <w:r w:rsidRPr="00782FA6">
              <w:rPr>
                <w:rFonts w:eastAsia="Aptos" w:cs="Times New Roman"/>
                <w:sz w:val="20"/>
                <w:szCs w:val="20"/>
              </w:rPr>
              <w:t>, LLC</w:t>
            </w:r>
          </w:p>
        </w:tc>
      </w:tr>
      <w:tr w:rsidRPr="00782FA6" w:rsidR="00DB248A" w:rsidTr="00E52317" w14:paraId="0513E4B4" w14:textId="77777777">
        <w:trPr>
          <w:trHeight w:val="300"/>
        </w:trPr>
        <w:tc>
          <w:tcPr>
            <w:tcW w:w="1170" w:type="dxa"/>
            <w:noWrap/>
            <w:vAlign w:val="center"/>
            <w:hideMark/>
          </w:tcPr>
          <w:p w:rsidRPr="00782FA6" w:rsidR="00DB248A" w:rsidP="00DB248A" w:rsidRDefault="00DB248A" w14:paraId="627EE8BD" w14:textId="77777777">
            <w:pPr>
              <w:spacing w:line="240" w:lineRule="auto"/>
              <w:ind w:firstLine="0"/>
              <w:jc w:val="center"/>
              <w:rPr>
                <w:rFonts w:eastAsia="Aptos" w:cs="Times New Roman"/>
                <w:sz w:val="20"/>
                <w:szCs w:val="20"/>
              </w:rPr>
            </w:pPr>
            <w:r w:rsidRPr="00782FA6">
              <w:rPr>
                <w:rFonts w:eastAsia="Aptos" w:cs="Times New Roman"/>
                <w:sz w:val="20"/>
                <w:szCs w:val="20"/>
              </w:rPr>
              <w:t>1334</w:t>
            </w:r>
          </w:p>
        </w:tc>
        <w:tc>
          <w:tcPr>
            <w:tcW w:w="1036" w:type="dxa"/>
            <w:noWrap/>
            <w:vAlign w:val="center"/>
            <w:hideMark/>
          </w:tcPr>
          <w:p w:rsidRPr="00782FA6" w:rsidR="00DB248A" w:rsidP="00DB248A" w:rsidRDefault="00DB248A" w14:paraId="39B393A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9AF6EA1" w14:textId="16E22E0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934EE5F" w14:textId="334A0505">
            <w:pPr>
              <w:spacing w:line="240" w:lineRule="auto"/>
              <w:ind w:firstLine="0"/>
              <w:rPr>
                <w:rFonts w:eastAsia="Aptos" w:cs="Times New Roman"/>
                <w:sz w:val="20"/>
                <w:szCs w:val="20"/>
              </w:rPr>
            </w:pPr>
            <w:r w:rsidRPr="00782FA6">
              <w:rPr>
                <w:rFonts w:eastAsia="Aptos" w:cs="Times New Roman"/>
                <w:sz w:val="20"/>
                <w:szCs w:val="20"/>
              </w:rPr>
              <w:t>Cobalt IT, Inc.</w:t>
            </w:r>
          </w:p>
        </w:tc>
      </w:tr>
      <w:tr w:rsidRPr="00782FA6" w:rsidR="00DB248A" w:rsidTr="00E52317" w14:paraId="3E4435E4" w14:textId="77777777">
        <w:trPr>
          <w:trHeight w:val="300"/>
        </w:trPr>
        <w:tc>
          <w:tcPr>
            <w:tcW w:w="1170" w:type="dxa"/>
            <w:noWrap/>
            <w:vAlign w:val="center"/>
            <w:hideMark/>
          </w:tcPr>
          <w:p w:rsidRPr="00782FA6" w:rsidR="00DB248A" w:rsidP="00DB248A" w:rsidRDefault="00DB248A" w14:paraId="67398895" w14:textId="77777777">
            <w:pPr>
              <w:spacing w:line="240" w:lineRule="auto"/>
              <w:ind w:firstLine="0"/>
              <w:jc w:val="center"/>
              <w:rPr>
                <w:rFonts w:eastAsia="Aptos" w:cs="Times New Roman"/>
                <w:sz w:val="20"/>
                <w:szCs w:val="20"/>
              </w:rPr>
            </w:pPr>
            <w:r w:rsidRPr="00782FA6">
              <w:rPr>
                <w:rFonts w:eastAsia="Aptos" w:cs="Times New Roman"/>
                <w:sz w:val="20"/>
                <w:szCs w:val="20"/>
              </w:rPr>
              <w:t>1335</w:t>
            </w:r>
          </w:p>
        </w:tc>
        <w:tc>
          <w:tcPr>
            <w:tcW w:w="1036" w:type="dxa"/>
            <w:noWrap/>
            <w:vAlign w:val="center"/>
            <w:hideMark/>
          </w:tcPr>
          <w:p w:rsidRPr="00782FA6" w:rsidR="00DB248A" w:rsidP="00DB248A" w:rsidRDefault="00DB248A" w14:paraId="2539A90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2393EFC" w14:textId="5F94595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0153BEB" w14:textId="1A33D9DA">
            <w:pPr>
              <w:spacing w:line="240" w:lineRule="auto"/>
              <w:ind w:firstLine="0"/>
              <w:rPr>
                <w:rFonts w:eastAsia="Aptos" w:cs="Times New Roman"/>
                <w:sz w:val="20"/>
                <w:szCs w:val="20"/>
              </w:rPr>
            </w:pPr>
            <w:proofErr w:type="spellStart"/>
            <w:r w:rsidRPr="00782FA6">
              <w:rPr>
                <w:rFonts w:eastAsia="Aptos" w:cs="Times New Roman"/>
                <w:sz w:val="20"/>
                <w:szCs w:val="20"/>
              </w:rPr>
              <w:t>Zray</w:t>
            </w:r>
            <w:proofErr w:type="spellEnd"/>
            <w:r w:rsidRPr="00782FA6">
              <w:rPr>
                <w:rFonts w:eastAsia="Aptos" w:cs="Times New Roman"/>
                <w:sz w:val="20"/>
                <w:szCs w:val="20"/>
              </w:rPr>
              <w:t xml:space="preserve"> Technologies Corporation</w:t>
            </w:r>
          </w:p>
        </w:tc>
      </w:tr>
      <w:tr w:rsidRPr="00782FA6" w:rsidR="00DB248A" w:rsidTr="00E52317" w14:paraId="02CE851F" w14:textId="77777777">
        <w:trPr>
          <w:trHeight w:val="300"/>
        </w:trPr>
        <w:tc>
          <w:tcPr>
            <w:tcW w:w="1170" w:type="dxa"/>
            <w:noWrap/>
            <w:vAlign w:val="center"/>
            <w:hideMark/>
          </w:tcPr>
          <w:p w:rsidRPr="00782FA6" w:rsidR="00DB248A" w:rsidP="00DB248A" w:rsidRDefault="00DB248A" w14:paraId="59D44DD5" w14:textId="77777777">
            <w:pPr>
              <w:spacing w:line="240" w:lineRule="auto"/>
              <w:ind w:firstLine="0"/>
              <w:jc w:val="center"/>
              <w:rPr>
                <w:rFonts w:eastAsia="Aptos" w:cs="Times New Roman"/>
                <w:sz w:val="20"/>
                <w:szCs w:val="20"/>
              </w:rPr>
            </w:pPr>
            <w:r w:rsidRPr="00782FA6">
              <w:rPr>
                <w:rFonts w:eastAsia="Aptos" w:cs="Times New Roman"/>
                <w:sz w:val="20"/>
                <w:szCs w:val="20"/>
              </w:rPr>
              <w:t>1339</w:t>
            </w:r>
          </w:p>
        </w:tc>
        <w:tc>
          <w:tcPr>
            <w:tcW w:w="1036" w:type="dxa"/>
            <w:noWrap/>
            <w:vAlign w:val="center"/>
            <w:hideMark/>
          </w:tcPr>
          <w:p w:rsidRPr="00782FA6" w:rsidR="00DB248A" w:rsidP="00DB248A" w:rsidRDefault="00DB248A" w14:paraId="40BAD4B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4C0906A" w14:textId="5027AC2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A7E9537" w14:textId="79322BA0">
            <w:pPr>
              <w:spacing w:line="240" w:lineRule="auto"/>
              <w:ind w:firstLine="0"/>
              <w:rPr>
                <w:rFonts w:eastAsia="Aptos" w:cs="Times New Roman"/>
                <w:sz w:val="20"/>
                <w:szCs w:val="20"/>
              </w:rPr>
            </w:pPr>
            <w:r w:rsidRPr="00782FA6">
              <w:rPr>
                <w:rFonts w:eastAsia="Aptos" w:cs="Times New Roman"/>
                <w:sz w:val="20"/>
                <w:szCs w:val="20"/>
              </w:rPr>
              <w:t>Junction Networks, Inc.</w:t>
            </w:r>
          </w:p>
        </w:tc>
      </w:tr>
      <w:tr w:rsidRPr="00782FA6" w:rsidR="00DB248A" w:rsidTr="00E52317" w14:paraId="09BAF3E7" w14:textId="77777777">
        <w:trPr>
          <w:trHeight w:val="300"/>
        </w:trPr>
        <w:tc>
          <w:tcPr>
            <w:tcW w:w="1170" w:type="dxa"/>
            <w:noWrap/>
            <w:vAlign w:val="center"/>
            <w:hideMark/>
          </w:tcPr>
          <w:p w:rsidRPr="00782FA6" w:rsidR="00DB248A" w:rsidP="00DB248A" w:rsidRDefault="00DB248A" w14:paraId="47D596C8" w14:textId="77777777">
            <w:pPr>
              <w:spacing w:line="240" w:lineRule="auto"/>
              <w:ind w:firstLine="0"/>
              <w:jc w:val="center"/>
              <w:rPr>
                <w:rFonts w:eastAsia="Aptos" w:cs="Times New Roman"/>
                <w:sz w:val="20"/>
                <w:szCs w:val="20"/>
              </w:rPr>
            </w:pPr>
            <w:r w:rsidRPr="00782FA6">
              <w:rPr>
                <w:rFonts w:eastAsia="Aptos" w:cs="Times New Roman"/>
                <w:sz w:val="20"/>
                <w:szCs w:val="20"/>
              </w:rPr>
              <w:t>1340</w:t>
            </w:r>
          </w:p>
        </w:tc>
        <w:tc>
          <w:tcPr>
            <w:tcW w:w="1036" w:type="dxa"/>
            <w:noWrap/>
            <w:vAlign w:val="center"/>
            <w:hideMark/>
          </w:tcPr>
          <w:p w:rsidRPr="00782FA6" w:rsidR="00DB248A" w:rsidP="00DB248A" w:rsidRDefault="00DB248A" w14:paraId="68064A0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930BAD7" w14:textId="60E54C2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453CBEF" w14:textId="3A70EC94">
            <w:pPr>
              <w:spacing w:line="240" w:lineRule="auto"/>
              <w:ind w:firstLine="0"/>
              <w:rPr>
                <w:rFonts w:eastAsia="Aptos" w:cs="Times New Roman"/>
                <w:sz w:val="20"/>
                <w:szCs w:val="20"/>
              </w:rPr>
            </w:pPr>
            <w:r w:rsidRPr="00782FA6">
              <w:rPr>
                <w:rFonts w:eastAsia="Aptos" w:cs="Times New Roman"/>
                <w:sz w:val="20"/>
                <w:szCs w:val="20"/>
              </w:rPr>
              <w:t>Cal.net, Inc.</w:t>
            </w:r>
          </w:p>
        </w:tc>
      </w:tr>
      <w:tr w:rsidRPr="00782FA6" w:rsidR="00DB248A" w:rsidTr="00E52317" w14:paraId="5DA7953D" w14:textId="77777777">
        <w:trPr>
          <w:trHeight w:val="300"/>
        </w:trPr>
        <w:tc>
          <w:tcPr>
            <w:tcW w:w="1170" w:type="dxa"/>
            <w:noWrap/>
            <w:vAlign w:val="center"/>
            <w:hideMark/>
          </w:tcPr>
          <w:p w:rsidRPr="00782FA6" w:rsidR="00DB248A" w:rsidP="00DB248A" w:rsidRDefault="00DB248A" w14:paraId="642B8AE8" w14:textId="77777777">
            <w:pPr>
              <w:spacing w:line="240" w:lineRule="auto"/>
              <w:ind w:firstLine="0"/>
              <w:jc w:val="center"/>
              <w:rPr>
                <w:rFonts w:eastAsia="Aptos" w:cs="Times New Roman"/>
                <w:sz w:val="20"/>
                <w:szCs w:val="20"/>
              </w:rPr>
            </w:pPr>
            <w:r w:rsidRPr="00782FA6">
              <w:rPr>
                <w:rFonts w:eastAsia="Aptos" w:cs="Times New Roman"/>
                <w:sz w:val="20"/>
                <w:szCs w:val="20"/>
              </w:rPr>
              <w:t>1341</w:t>
            </w:r>
          </w:p>
        </w:tc>
        <w:tc>
          <w:tcPr>
            <w:tcW w:w="1036" w:type="dxa"/>
            <w:noWrap/>
            <w:vAlign w:val="center"/>
            <w:hideMark/>
          </w:tcPr>
          <w:p w:rsidRPr="00782FA6" w:rsidR="00DB248A" w:rsidP="00DB248A" w:rsidRDefault="00DB248A" w14:paraId="757CC3A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EFE2B5E" w14:textId="616CD44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E6A50DB" w14:textId="7D7C921C">
            <w:pPr>
              <w:spacing w:line="240" w:lineRule="auto"/>
              <w:ind w:firstLine="0"/>
              <w:rPr>
                <w:rFonts w:eastAsia="Aptos" w:cs="Times New Roman"/>
                <w:sz w:val="20"/>
                <w:szCs w:val="20"/>
              </w:rPr>
            </w:pPr>
            <w:r w:rsidRPr="00782FA6">
              <w:rPr>
                <w:rFonts w:eastAsia="Aptos" w:cs="Times New Roman"/>
                <w:sz w:val="20"/>
                <w:szCs w:val="20"/>
              </w:rPr>
              <w:t>Sierra Nevada Communications LLC</w:t>
            </w:r>
          </w:p>
        </w:tc>
      </w:tr>
      <w:tr w:rsidRPr="00782FA6" w:rsidR="00DB248A" w:rsidTr="00E52317" w14:paraId="1537C6AB" w14:textId="77777777">
        <w:trPr>
          <w:trHeight w:val="300"/>
        </w:trPr>
        <w:tc>
          <w:tcPr>
            <w:tcW w:w="1170" w:type="dxa"/>
            <w:noWrap/>
            <w:vAlign w:val="center"/>
            <w:hideMark/>
          </w:tcPr>
          <w:p w:rsidRPr="00782FA6" w:rsidR="00DB248A" w:rsidP="00DB248A" w:rsidRDefault="00DB248A" w14:paraId="01152E84" w14:textId="77777777">
            <w:pPr>
              <w:spacing w:line="240" w:lineRule="auto"/>
              <w:ind w:firstLine="0"/>
              <w:jc w:val="center"/>
              <w:rPr>
                <w:rFonts w:eastAsia="Aptos" w:cs="Times New Roman"/>
                <w:sz w:val="20"/>
                <w:szCs w:val="20"/>
              </w:rPr>
            </w:pPr>
            <w:r w:rsidRPr="00782FA6">
              <w:rPr>
                <w:rFonts w:eastAsia="Aptos" w:cs="Times New Roman"/>
                <w:sz w:val="20"/>
                <w:szCs w:val="20"/>
              </w:rPr>
              <w:t>1345</w:t>
            </w:r>
          </w:p>
        </w:tc>
        <w:tc>
          <w:tcPr>
            <w:tcW w:w="1036" w:type="dxa"/>
            <w:noWrap/>
            <w:vAlign w:val="center"/>
            <w:hideMark/>
          </w:tcPr>
          <w:p w:rsidRPr="00782FA6" w:rsidR="00DB248A" w:rsidP="00DB248A" w:rsidRDefault="00DB248A" w14:paraId="24A6284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134EF12" w14:textId="5933556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5646A6A" w14:textId="67D27DE7">
            <w:pPr>
              <w:spacing w:line="240" w:lineRule="auto"/>
              <w:ind w:firstLine="0"/>
              <w:rPr>
                <w:rFonts w:eastAsia="Aptos" w:cs="Times New Roman"/>
                <w:sz w:val="20"/>
                <w:szCs w:val="20"/>
              </w:rPr>
            </w:pPr>
            <w:r w:rsidRPr="00782FA6">
              <w:rPr>
                <w:rFonts w:eastAsia="Aptos" w:cs="Times New Roman"/>
                <w:sz w:val="20"/>
                <w:szCs w:val="20"/>
              </w:rPr>
              <w:t>YTEL Inc.</w:t>
            </w:r>
          </w:p>
        </w:tc>
      </w:tr>
      <w:tr w:rsidRPr="00782FA6" w:rsidR="00DB248A" w:rsidTr="00E52317" w14:paraId="50B9FA18" w14:textId="77777777">
        <w:trPr>
          <w:trHeight w:val="300"/>
        </w:trPr>
        <w:tc>
          <w:tcPr>
            <w:tcW w:w="1170" w:type="dxa"/>
            <w:noWrap/>
            <w:vAlign w:val="center"/>
            <w:hideMark/>
          </w:tcPr>
          <w:p w:rsidRPr="00782FA6" w:rsidR="00DB248A" w:rsidP="00DB248A" w:rsidRDefault="00DB248A" w14:paraId="17CD4472" w14:textId="77777777">
            <w:pPr>
              <w:spacing w:line="240" w:lineRule="auto"/>
              <w:ind w:firstLine="0"/>
              <w:jc w:val="center"/>
              <w:rPr>
                <w:rFonts w:eastAsia="Aptos" w:cs="Times New Roman"/>
                <w:sz w:val="20"/>
                <w:szCs w:val="20"/>
              </w:rPr>
            </w:pPr>
            <w:r w:rsidRPr="00782FA6">
              <w:rPr>
                <w:rFonts w:eastAsia="Aptos" w:cs="Times New Roman"/>
                <w:sz w:val="20"/>
                <w:szCs w:val="20"/>
              </w:rPr>
              <w:t>1348</w:t>
            </w:r>
          </w:p>
        </w:tc>
        <w:tc>
          <w:tcPr>
            <w:tcW w:w="1036" w:type="dxa"/>
            <w:noWrap/>
            <w:vAlign w:val="center"/>
            <w:hideMark/>
          </w:tcPr>
          <w:p w:rsidRPr="00782FA6" w:rsidR="00DB248A" w:rsidP="00DB248A" w:rsidRDefault="00DB248A" w14:paraId="38C7975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38F4050" w14:textId="01E2F06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C05BAD9" w14:textId="36C44B73">
            <w:pPr>
              <w:spacing w:line="240" w:lineRule="auto"/>
              <w:ind w:firstLine="0"/>
              <w:rPr>
                <w:rFonts w:eastAsia="Aptos" w:cs="Times New Roman"/>
                <w:sz w:val="20"/>
                <w:szCs w:val="20"/>
              </w:rPr>
            </w:pPr>
            <w:proofErr w:type="spellStart"/>
            <w:r w:rsidRPr="00782FA6">
              <w:rPr>
                <w:rFonts w:eastAsia="Aptos" w:cs="Times New Roman"/>
                <w:sz w:val="20"/>
                <w:szCs w:val="20"/>
              </w:rPr>
              <w:t>Airus</w:t>
            </w:r>
            <w:proofErr w:type="spellEnd"/>
            <w:r w:rsidRPr="00782FA6">
              <w:rPr>
                <w:rFonts w:eastAsia="Aptos" w:cs="Times New Roman"/>
                <w:sz w:val="20"/>
                <w:szCs w:val="20"/>
              </w:rPr>
              <w:t xml:space="preserve"> Inc</w:t>
            </w:r>
          </w:p>
        </w:tc>
      </w:tr>
      <w:tr w:rsidRPr="00782FA6" w:rsidR="00DB248A" w:rsidTr="00E52317" w14:paraId="332FAB85" w14:textId="77777777">
        <w:trPr>
          <w:trHeight w:val="300"/>
        </w:trPr>
        <w:tc>
          <w:tcPr>
            <w:tcW w:w="1170" w:type="dxa"/>
            <w:noWrap/>
            <w:vAlign w:val="center"/>
            <w:hideMark/>
          </w:tcPr>
          <w:p w:rsidRPr="00782FA6" w:rsidR="00DB248A" w:rsidP="00DB248A" w:rsidRDefault="00DB248A" w14:paraId="09BC460F" w14:textId="77777777">
            <w:pPr>
              <w:spacing w:line="240" w:lineRule="auto"/>
              <w:ind w:firstLine="0"/>
              <w:jc w:val="center"/>
              <w:rPr>
                <w:rFonts w:eastAsia="Aptos" w:cs="Times New Roman"/>
                <w:sz w:val="20"/>
                <w:szCs w:val="20"/>
              </w:rPr>
            </w:pPr>
            <w:r w:rsidRPr="00782FA6">
              <w:rPr>
                <w:rFonts w:eastAsia="Aptos" w:cs="Times New Roman"/>
                <w:sz w:val="20"/>
                <w:szCs w:val="20"/>
              </w:rPr>
              <w:t>1350</w:t>
            </w:r>
          </w:p>
        </w:tc>
        <w:tc>
          <w:tcPr>
            <w:tcW w:w="1036" w:type="dxa"/>
            <w:noWrap/>
            <w:vAlign w:val="center"/>
            <w:hideMark/>
          </w:tcPr>
          <w:p w:rsidRPr="00782FA6" w:rsidR="00DB248A" w:rsidP="00DB248A" w:rsidRDefault="00DB248A" w14:paraId="16D8710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E2E8A90" w14:textId="43292A3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87539F8" w14:textId="49A3061E">
            <w:pPr>
              <w:spacing w:line="240" w:lineRule="auto"/>
              <w:ind w:firstLine="0"/>
              <w:rPr>
                <w:rFonts w:eastAsia="Aptos" w:cs="Times New Roman"/>
                <w:sz w:val="20"/>
                <w:szCs w:val="20"/>
              </w:rPr>
            </w:pPr>
            <w:proofErr w:type="spellStart"/>
            <w:r w:rsidRPr="00782FA6">
              <w:rPr>
                <w:rFonts w:eastAsia="Aptos" w:cs="Times New Roman"/>
                <w:sz w:val="20"/>
                <w:szCs w:val="20"/>
              </w:rPr>
              <w:t>UniVoIP</w:t>
            </w:r>
            <w:proofErr w:type="spellEnd"/>
            <w:r w:rsidRPr="00782FA6">
              <w:rPr>
                <w:rFonts w:eastAsia="Aptos" w:cs="Times New Roman"/>
                <w:sz w:val="20"/>
                <w:szCs w:val="20"/>
              </w:rPr>
              <w:t xml:space="preserve"> Inc.</w:t>
            </w:r>
          </w:p>
        </w:tc>
      </w:tr>
      <w:tr w:rsidRPr="00782FA6" w:rsidR="00DB248A" w:rsidTr="00E52317" w14:paraId="0341831C" w14:textId="77777777">
        <w:trPr>
          <w:trHeight w:val="300"/>
        </w:trPr>
        <w:tc>
          <w:tcPr>
            <w:tcW w:w="1170" w:type="dxa"/>
            <w:noWrap/>
            <w:vAlign w:val="center"/>
            <w:hideMark/>
          </w:tcPr>
          <w:p w:rsidRPr="00782FA6" w:rsidR="00DB248A" w:rsidP="00DB248A" w:rsidRDefault="00DB248A" w14:paraId="46D3ED4D" w14:textId="77777777">
            <w:pPr>
              <w:spacing w:line="240" w:lineRule="auto"/>
              <w:ind w:firstLine="0"/>
              <w:jc w:val="center"/>
              <w:rPr>
                <w:rFonts w:eastAsia="Aptos" w:cs="Times New Roman"/>
                <w:sz w:val="20"/>
                <w:szCs w:val="20"/>
              </w:rPr>
            </w:pPr>
            <w:r w:rsidRPr="00782FA6">
              <w:rPr>
                <w:rFonts w:eastAsia="Aptos" w:cs="Times New Roman"/>
                <w:sz w:val="20"/>
                <w:szCs w:val="20"/>
              </w:rPr>
              <w:t>1351</w:t>
            </w:r>
          </w:p>
        </w:tc>
        <w:tc>
          <w:tcPr>
            <w:tcW w:w="1036" w:type="dxa"/>
            <w:noWrap/>
            <w:vAlign w:val="center"/>
            <w:hideMark/>
          </w:tcPr>
          <w:p w:rsidRPr="00782FA6" w:rsidR="00DB248A" w:rsidP="00DB248A" w:rsidRDefault="00DB248A" w14:paraId="4B43709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1DFF8B2" w14:textId="371B870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5437E50" w14:textId="270B5F3F">
            <w:pPr>
              <w:spacing w:line="240" w:lineRule="auto"/>
              <w:ind w:firstLine="0"/>
              <w:rPr>
                <w:rFonts w:eastAsia="Aptos" w:cs="Times New Roman"/>
                <w:sz w:val="20"/>
                <w:szCs w:val="20"/>
              </w:rPr>
            </w:pPr>
            <w:r w:rsidRPr="00782FA6">
              <w:rPr>
                <w:rFonts w:eastAsia="Aptos" w:cs="Times New Roman"/>
                <w:sz w:val="20"/>
                <w:szCs w:val="20"/>
              </w:rPr>
              <w:t>Comm</w:t>
            </w:r>
            <w:r w:rsidR="006951D5">
              <w:rPr>
                <w:rFonts w:eastAsia="Aptos" w:cs="Times New Roman"/>
                <w:sz w:val="20"/>
                <w:szCs w:val="20"/>
              </w:rPr>
              <w:noBreakHyphen/>
            </w:r>
            <w:r w:rsidRPr="00782FA6">
              <w:rPr>
                <w:rFonts w:eastAsia="Aptos" w:cs="Times New Roman"/>
                <w:sz w:val="20"/>
                <w:szCs w:val="20"/>
              </w:rPr>
              <w:t>Core LLC</w:t>
            </w:r>
          </w:p>
        </w:tc>
      </w:tr>
      <w:tr w:rsidRPr="00782FA6" w:rsidR="00DB248A" w:rsidTr="00E52317" w14:paraId="2E5ACF61" w14:textId="77777777">
        <w:trPr>
          <w:trHeight w:val="300"/>
        </w:trPr>
        <w:tc>
          <w:tcPr>
            <w:tcW w:w="1170" w:type="dxa"/>
            <w:noWrap/>
            <w:vAlign w:val="center"/>
            <w:hideMark/>
          </w:tcPr>
          <w:p w:rsidRPr="00782FA6" w:rsidR="00DB248A" w:rsidP="00DB248A" w:rsidRDefault="00DB248A" w14:paraId="034F7B9A" w14:textId="77777777">
            <w:pPr>
              <w:spacing w:line="240" w:lineRule="auto"/>
              <w:ind w:firstLine="0"/>
              <w:jc w:val="center"/>
              <w:rPr>
                <w:rFonts w:eastAsia="Aptos" w:cs="Times New Roman"/>
                <w:sz w:val="20"/>
                <w:szCs w:val="20"/>
              </w:rPr>
            </w:pPr>
            <w:r w:rsidRPr="00782FA6">
              <w:rPr>
                <w:rFonts w:eastAsia="Aptos" w:cs="Times New Roman"/>
                <w:sz w:val="20"/>
                <w:szCs w:val="20"/>
              </w:rPr>
              <w:t>1352</w:t>
            </w:r>
          </w:p>
        </w:tc>
        <w:tc>
          <w:tcPr>
            <w:tcW w:w="1036" w:type="dxa"/>
            <w:noWrap/>
            <w:vAlign w:val="center"/>
            <w:hideMark/>
          </w:tcPr>
          <w:p w:rsidRPr="00782FA6" w:rsidR="00DB248A" w:rsidP="00DB248A" w:rsidRDefault="00DB248A" w14:paraId="1B457FC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CB141D2" w14:textId="5A1C54F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44445BD" w14:textId="08547FA3">
            <w:pPr>
              <w:spacing w:line="240" w:lineRule="auto"/>
              <w:ind w:firstLine="0"/>
              <w:rPr>
                <w:rFonts w:eastAsia="Aptos" w:cs="Times New Roman"/>
                <w:sz w:val="20"/>
                <w:szCs w:val="20"/>
              </w:rPr>
            </w:pPr>
            <w:r w:rsidRPr="00782FA6">
              <w:rPr>
                <w:rFonts w:eastAsia="Aptos" w:cs="Times New Roman"/>
                <w:sz w:val="20"/>
                <w:szCs w:val="20"/>
              </w:rPr>
              <w:t>Google North America Inc.</w:t>
            </w:r>
          </w:p>
        </w:tc>
      </w:tr>
      <w:tr w:rsidRPr="00782FA6" w:rsidR="00DB248A" w:rsidTr="00E52317" w14:paraId="38CF3530" w14:textId="77777777">
        <w:trPr>
          <w:trHeight w:val="300"/>
        </w:trPr>
        <w:tc>
          <w:tcPr>
            <w:tcW w:w="1170" w:type="dxa"/>
            <w:noWrap/>
            <w:vAlign w:val="center"/>
            <w:hideMark/>
          </w:tcPr>
          <w:p w:rsidRPr="00782FA6" w:rsidR="00DB248A" w:rsidP="00DB248A" w:rsidRDefault="00DB248A" w14:paraId="6CD27C13" w14:textId="77777777">
            <w:pPr>
              <w:spacing w:line="240" w:lineRule="auto"/>
              <w:ind w:firstLine="0"/>
              <w:jc w:val="center"/>
              <w:rPr>
                <w:rFonts w:eastAsia="Aptos" w:cs="Times New Roman"/>
                <w:sz w:val="20"/>
                <w:szCs w:val="20"/>
              </w:rPr>
            </w:pPr>
            <w:r w:rsidRPr="00782FA6">
              <w:rPr>
                <w:rFonts w:eastAsia="Aptos" w:cs="Times New Roman"/>
                <w:sz w:val="20"/>
                <w:szCs w:val="20"/>
              </w:rPr>
              <w:t>1353</w:t>
            </w:r>
          </w:p>
        </w:tc>
        <w:tc>
          <w:tcPr>
            <w:tcW w:w="1036" w:type="dxa"/>
            <w:noWrap/>
            <w:vAlign w:val="center"/>
            <w:hideMark/>
          </w:tcPr>
          <w:p w:rsidRPr="00782FA6" w:rsidR="00DB248A" w:rsidP="00DB248A" w:rsidRDefault="00DB248A" w14:paraId="61EEDBD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09D24E8" w14:textId="3A9D60B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3739E98" w14:textId="2736E934">
            <w:pPr>
              <w:spacing w:line="240" w:lineRule="auto"/>
              <w:ind w:firstLine="0"/>
              <w:rPr>
                <w:rFonts w:eastAsia="Aptos" w:cs="Times New Roman"/>
                <w:sz w:val="20"/>
                <w:szCs w:val="20"/>
              </w:rPr>
            </w:pPr>
            <w:r w:rsidRPr="00782FA6">
              <w:rPr>
                <w:rFonts w:eastAsia="Aptos" w:cs="Times New Roman"/>
                <w:sz w:val="20"/>
                <w:szCs w:val="20"/>
              </w:rPr>
              <w:t>Vine Clouds Technologies</w:t>
            </w:r>
          </w:p>
        </w:tc>
      </w:tr>
      <w:tr w:rsidRPr="00782FA6" w:rsidR="00DB248A" w:rsidTr="00E52317" w14:paraId="6E238D61" w14:textId="77777777">
        <w:trPr>
          <w:trHeight w:val="300"/>
        </w:trPr>
        <w:tc>
          <w:tcPr>
            <w:tcW w:w="1170" w:type="dxa"/>
            <w:noWrap/>
            <w:vAlign w:val="center"/>
            <w:hideMark/>
          </w:tcPr>
          <w:p w:rsidRPr="00782FA6" w:rsidR="00DB248A" w:rsidP="00DB248A" w:rsidRDefault="00DB248A" w14:paraId="003851FA" w14:textId="77777777">
            <w:pPr>
              <w:spacing w:line="240" w:lineRule="auto"/>
              <w:ind w:firstLine="0"/>
              <w:jc w:val="center"/>
              <w:rPr>
                <w:rFonts w:eastAsia="Aptos" w:cs="Times New Roman"/>
                <w:sz w:val="20"/>
                <w:szCs w:val="20"/>
              </w:rPr>
            </w:pPr>
            <w:r w:rsidRPr="00782FA6">
              <w:rPr>
                <w:rFonts w:eastAsia="Aptos" w:cs="Times New Roman"/>
                <w:sz w:val="20"/>
                <w:szCs w:val="20"/>
              </w:rPr>
              <w:t>1354</w:t>
            </w:r>
          </w:p>
        </w:tc>
        <w:tc>
          <w:tcPr>
            <w:tcW w:w="1036" w:type="dxa"/>
            <w:noWrap/>
            <w:vAlign w:val="center"/>
            <w:hideMark/>
          </w:tcPr>
          <w:p w:rsidRPr="00782FA6" w:rsidR="00DB248A" w:rsidP="00DB248A" w:rsidRDefault="00DB248A" w14:paraId="0BAD87A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2173270" w14:textId="40178AF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B394B50" w14:textId="279D8C2C">
            <w:pPr>
              <w:spacing w:line="240" w:lineRule="auto"/>
              <w:ind w:firstLine="0"/>
              <w:rPr>
                <w:rFonts w:eastAsia="Aptos" w:cs="Times New Roman"/>
                <w:sz w:val="20"/>
                <w:szCs w:val="20"/>
              </w:rPr>
            </w:pPr>
            <w:r w:rsidRPr="00782FA6">
              <w:rPr>
                <w:rFonts w:eastAsia="Aptos" w:cs="Times New Roman"/>
                <w:sz w:val="20"/>
                <w:szCs w:val="20"/>
              </w:rPr>
              <w:t>Granite Telecommunications LLC</w:t>
            </w:r>
          </w:p>
        </w:tc>
      </w:tr>
      <w:tr w:rsidRPr="00782FA6" w:rsidR="00DB248A" w:rsidTr="00E52317" w14:paraId="2B1E0B02" w14:textId="77777777">
        <w:trPr>
          <w:trHeight w:val="300"/>
        </w:trPr>
        <w:tc>
          <w:tcPr>
            <w:tcW w:w="1170" w:type="dxa"/>
            <w:noWrap/>
            <w:vAlign w:val="center"/>
            <w:hideMark/>
          </w:tcPr>
          <w:p w:rsidRPr="00782FA6" w:rsidR="00DB248A" w:rsidP="00DB248A" w:rsidRDefault="00DB248A" w14:paraId="64F3AEBC" w14:textId="77777777">
            <w:pPr>
              <w:spacing w:line="240" w:lineRule="auto"/>
              <w:ind w:firstLine="0"/>
              <w:jc w:val="center"/>
              <w:rPr>
                <w:rFonts w:eastAsia="Aptos" w:cs="Times New Roman"/>
                <w:sz w:val="20"/>
                <w:szCs w:val="20"/>
              </w:rPr>
            </w:pPr>
            <w:r w:rsidRPr="00782FA6">
              <w:rPr>
                <w:rFonts w:eastAsia="Aptos" w:cs="Times New Roman"/>
                <w:sz w:val="20"/>
                <w:szCs w:val="20"/>
              </w:rPr>
              <w:t>1356</w:t>
            </w:r>
          </w:p>
        </w:tc>
        <w:tc>
          <w:tcPr>
            <w:tcW w:w="1036" w:type="dxa"/>
            <w:noWrap/>
            <w:vAlign w:val="center"/>
            <w:hideMark/>
          </w:tcPr>
          <w:p w:rsidRPr="00782FA6" w:rsidR="00DB248A" w:rsidP="00DB248A" w:rsidRDefault="00DB248A" w14:paraId="73833CB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E337BA7" w14:textId="17D3D25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CBDDB5B" w14:textId="2EF6D418">
            <w:pPr>
              <w:spacing w:line="240" w:lineRule="auto"/>
              <w:ind w:firstLine="0"/>
              <w:rPr>
                <w:rFonts w:eastAsia="Aptos" w:cs="Times New Roman"/>
                <w:sz w:val="20"/>
                <w:szCs w:val="20"/>
              </w:rPr>
            </w:pPr>
            <w:proofErr w:type="spellStart"/>
            <w:r w:rsidRPr="00782FA6">
              <w:rPr>
                <w:rFonts w:eastAsia="Aptos" w:cs="Times New Roman"/>
                <w:sz w:val="20"/>
                <w:szCs w:val="20"/>
              </w:rPr>
              <w:t>Ipitimi</w:t>
            </w:r>
            <w:proofErr w:type="spellEnd"/>
            <w:r w:rsidRPr="00782FA6">
              <w:rPr>
                <w:rFonts w:eastAsia="Aptos" w:cs="Times New Roman"/>
                <w:sz w:val="20"/>
                <w:szCs w:val="20"/>
              </w:rPr>
              <w:t xml:space="preserve"> Inc</w:t>
            </w:r>
          </w:p>
        </w:tc>
      </w:tr>
      <w:tr w:rsidRPr="00782FA6" w:rsidR="00DB248A" w:rsidTr="00E52317" w14:paraId="3C0F04BE" w14:textId="77777777">
        <w:trPr>
          <w:trHeight w:val="300"/>
        </w:trPr>
        <w:tc>
          <w:tcPr>
            <w:tcW w:w="1170" w:type="dxa"/>
            <w:noWrap/>
            <w:vAlign w:val="center"/>
            <w:hideMark/>
          </w:tcPr>
          <w:p w:rsidRPr="00782FA6" w:rsidR="00DB248A" w:rsidP="00DB248A" w:rsidRDefault="00DB248A" w14:paraId="3A990D24" w14:textId="77777777">
            <w:pPr>
              <w:spacing w:line="240" w:lineRule="auto"/>
              <w:ind w:firstLine="0"/>
              <w:jc w:val="center"/>
              <w:rPr>
                <w:rFonts w:eastAsia="Aptos" w:cs="Times New Roman"/>
                <w:sz w:val="20"/>
                <w:szCs w:val="20"/>
              </w:rPr>
            </w:pPr>
            <w:r w:rsidRPr="00782FA6">
              <w:rPr>
                <w:rFonts w:eastAsia="Aptos" w:cs="Times New Roman"/>
                <w:sz w:val="20"/>
                <w:szCs w:val="20"/>
              </w:rPr>
              <w:t>1357</w:t>
            </w:r>
          </w:p>
        </w:tc>
        <w:tc>
          <w:tcPr>
            <w:tcW w:w="1036" w:type="dxa"/>
            <w:noWrap/>
            <w:vAlign w:val="center"/>
            <w:hideMark/>
          </w:tcPr>
          <w:p w:rsidRPr="00782FA6" w:rsidR="00DB248A" w:rsidP="00DB248A" w:rsidRDefault="00DB248A" w14:paraId="1C99E78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52956B7" w14:textId="6D32977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753405D" w14:textId="281B94D4">
            <w:pPr>
              <w:spacing w:line="240" w:lineRule="auto"/>
              <w:ind w:firstLine="0"/>
              <w:rPr>
                <w:rFonts w:eastAsia="Aptos" w:cs="Times New Roman"/>
                <w:sz w:val="20"/>
                <w:szCs w:val="20"/>
              </w:rPr>
            </w:pPr>
            <w:proofErr w:type="spellStart"/>
            <w:r w:rsidRPr="00782FA6">
              <w:rPr>
                <w:rFonts w:eastAsia="Aptos" w:cs="Times New Roman"/>
                <w:sz w:val="20"/>
                <w:szCs w:val="20"/>
              </w:rPr>
              <w:t>RingSquared</w:t>
            </w:r>
            <w:proofErr w:type="spellEnd"/>
            <w:r w:rsidRPr="00782FA6">
              <w:rPr>
                <w:rFonts w:eastAsia="Aptos" w:cs="Times New Roman"/>
                <w:sz w:val="20"/>
                <w:szCs w:val="20"/>
              </w:rPr>
              <w:t xml:space="preserve"> Telecom LLC</w:t>
            </w:r>
          </w:p>
        </w:tc>
      </w:tr>
      <w:tr w:rsidRPr="00782FA6" w:rsidR="00DB248A" w:rsidTr="00E52317" w14:paraId="65B8E6E0" w14:textId="77777777">
        <w:trPr>
          <w:trHeight w:val="300"/>
        </w:trPr>
        <w:tc>
          <w:tcPr>
            <w:tcW w:w="1170" w:type="dxa"/>
            <w:noWrap/>
            <w:vAlign w:val="center"/>
            <w:hideMark/>
          </w:tcPr>
          <w:p w:rsidRPr="00782FA6" w:rsidR="00DB248A" w:rsidP="00DB248A" w:rsidRDefault="00DB248A" w14:paraId="2735D10E" w14:textId="77777777">
            <w:pPr>
              <w:spacing w:line="240" w:lineRule="auto"/>
              <w:ind w:firstLine="0"/>
              <w:jc w:val="center"/>
              <w:rPr>
                <w:rFonts w:eastAsia="Aptos" w:cs="Times New Roman"/>
                <w:sz w:val="20"/>
                <w:szCs w:val="20"/>
              </w:rPr>
            </w:pPr>
            <w:r w:rsidRPr="00782FA6">
              <w:rPr>
                <w:rFonts w:eastAsia="Aptos" w:cs="Times New Roman"/>
                <w:sz w:val="20"/>
                <w:szCs w:val="20"/>
              </w:rPr>
              <w:t>1358</w:t>
            </w:r>
          </w:p>
        </w:tc>
        <w:tc>
          <w:tcPr>
            <w:tcW w:w="1036" w:type="dxa"/>
            <w:noWrap/>
            <w:vAlign w:val="center"/>
            <w:hideMark/>
          </w:tcPr>
          <w:p w:rsidRPr="00782FA6" w:rsidR="00DB248A" w:rsidP="00DB248A" w:rsidRDefault="00DB248A" w14:paraId="56A1CC5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124D788" w14:textId="3EBF503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82A1A87" w14:textId="5DF0922E">
            <w:pPr>
              <w:spacing w:line="240" w:lineRule="auto"/>
              <w:ind w:firstLine="0"/>
              <w:rPr>
                <w:rFonts w:eastAsia="Aptos" w:cs="Times New Roman"/>
                <w:sz w:val="20"/>
                <w:szCs w:val="20"/>
              </w:rPr>
            </w:pPr>
            <w:proofErr w:type="spellStart"/>
            <w:r w:rsidRPr="00782FA6">
              <w:rPr>
                <w:rFonts w:eastAsia="Aptos" w:cs="Times New Roman"/>
                <w:sz w:val="20"/>
                <w:szCs w:val="20"/>
              </w:rPr>
              <w:t>DentalTek</w:t>
            </w:r>
            <w:proofErr w:type="spellEnd"/>
            <w:r w:rsidRPr="00782FA6">
              <w:rPr>
                <w:rFonts w:eastAsia="Aptos" w:cs="Times New Roman"/>
                <w:sz w:val="20"/>
                <w:szCs w:val="20"/>
              </w:rPr>
              <w:t xml:space="preserve"> LLC</w:t>
            </w:r>
          </w:p>
        </w:tc>
      </w:tr>
      <w:tr w:rsidRPr="00782FA6" w:rsidR="00DB248A" w:rsidTr="00E52317" w14:paraId="5D09A4B6" w14:textId="77777777">
        <w:trPr>
          <w:trHeight w:val="300"/>
        </w:trPr>
        <w:tc>
          <w:tcPr>
            <w:tcW w:w="1170" w:type="dxa"/>
            <w:noWrap/>
            <w:vAlign w:val="center"/>
            <w:hideMark/>
          </w:tcPr>
          <w:p w:rsidRPr="00782FA6" w:rsidR="00DB248A" w:rsidP="00DB248A" w:rsidRDefault="00DB248A" w14:paraId="017E18D7" w14:textId="77777777">
            <w:pPr>
              <w:spacing w:line="240" w:lineRule="auto"/>
              <w:ind w:firstLine="0"/>
              <w:jc w:val="center"/>
              <w:rPr>
                <w:rFonts w:eastAsia="Aptos" w:cs="Times New Roman"/>
                <w:sz w:val="20"/>
                <w:szCs w:val="20"/>
              </w:rPr>
            </w:pPr>
            <w:r w:rsidRPr="00782FA6">
              <w:rPr>
                <w:rFonts w:eastAsia="Aptos" w:cs="Times New Roman"/>
                <w:sz w:val="20"/>
                <w:szCs w:val="20"/>
              </w:rPr>
              <w:t>1359</w:t>
            </w:r>
          </w:p>
        </w:tc>
        <w:tc>
          <w:tcPr>
            <w:tcW w:w="1036" w:type="dxa"/>
            <w:noWrap/>
            <w:vAlign w:val="center"/>
            <w:hideMark/>
          </w:tcPr>
          <w:p w:rsidRPr="00782FA6" w:rsidR="00DB248A" w:rsidP="00DB248A" w:rsidRDefault="00DB248A" w14:paraId="5D8B8E1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CFBD6DD" w14:textId="1D21E62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DD661EB" w14:textId="2D6D8108">
            <w:pPr>
              <w:spacing w:line="240" w:lineRule="auto"/>
              <w:ind w:firstLine="0"/>
              <w:rPr>
                <w:rFonts w:eastAsia="Aptos" w:cs="Times New Roman"/>
                <w:sz w:val="20"/>
                <w:szCs w:val="20"/>
              </w:rPr>
            </w:pPr>
            <w:proofErr w:type="spellStart"/>
            <w:r w:rsidRPr="00782FA6">
              <w:rPr>
                <w:rFonts w:eastAsia="Aptos" w:cs="Times New Roman"/>
                <w:sz w:val="20"/>
                <w:szCs w:val="20"/>
              </w:rPr>
              <w:t>Iprot</w:t>
            </w:r>
            <w:proofErr w:type="spellEnd"/>
            <w:r w:rsidRPr="00782FA6">
              <w:rPr>
                <w:rFonts w:eastAsia="Aptos" w:cs="Times New Roman"/>
                <w:sz w:val="20"/>
                <w:szCs w:val="20"/>
              </w:rPr>
              <w:t xml:space="preserve"> Inc</w:t>
            </w:r>
          </w:p>
        </w:tc>
      </w:tr>
      <w:tr w:rsidRPr="00782FA6" w:rsidR="00DB248A" w:rsidTr="00E52317" w14:paraId="64293409" w14:textId="77777777">
        <w:trPr>
          <w:trHeight w:val="300"/>
        </w:trPr>
        <w:tc>
          <w:tcPr>
            <w:tcW w:w="1170" w:type="dxa"/>
            <w:noWrap/>
            <w:vAlign w:val="center"/>
            <w:hideMark/>
          </w:tcPr>
          <w:p w:rsidRPr="00782FA6" w:rsidR="00DB248A" w:rsidP="00DB248A" w:rsidRDefault="00DB248A" w14:paraId="5600BED2" w14:textId="77777777">
            <w:pPr>
              <w:spacing w:line="240" w:lineRule="auto"/>
              <w:ind w:firstLine="0"/>
              <w:jc w:val="center"/>
              <w:rPr>
                <w:rFonts w:eastAsia="Aptos" w:cs="Times New Roman"/>
                <w:sz w:val="20"/>
                <w:szCs w:val="20"/>
              </w:rPr>
            </w:pPr>
            <w:r w:rsidRPr="00782FA6">
              <w:rPr>
                <w:rFonts w:eastAsia="Aptos" w:cs="Times New Roman"/>
                <w:sz w:val="20"/>
                <w:szCs w:val="20"/>
              </w:rPr>
              <w:t>1362</w:t>
            </w:r>
          </w:p>
        </w:tc>
        <w:tc>
          <w:tcPr>
            <w:tcW w:w="1036" w:type="dxa"/>
            <w:noWrap/>
            <w:vAlign w:val="center"/>
            <w:hideMark/>
          </w:tcPr>
          <w:p w:rsidRPr="00782FA6" w:rsidR="00DB248A" w:rsidP="00DB248A" w:rsidRDefault="00DB248A" w14:paraId="75A55CE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661DA64" w14:textId="2E66295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3EAB362" w14:textId="446EB6A6">
            <w:pPr>
              <w:spacing w:line="240" w:lineRule="auto"/>
              <w:ind w:firstLine="0"/>
              <w:rPr>
                <w:rFonts w:eastAsia="Aptos" w:cs="Times New Roman"/>
                <w:sz w:val="20"/>
                <w:szCs w:val="20"/>
              </w:rPr>
            </w:pPr>
            <w:r w:rsidRPr="00782FA6">
              <w:rPr>
                <w:rFonts w:eastAsia="Aptos" w:cs="Times New Roman"/>
                <w:sz w:val="20"/>
                <w:szCs w:val="20"/>
              </w:rPr>
              <w:t>Bandwidth Inc.</w:t>
            </w:r>
          </w:p>
        </w:tc>
      </w:tr>
      <w:tr w:rsidRPr="00782FA6" w:rsidR="00DB248A" w:rsidTr="00E52317" w14:paraId="7843CF5B" w14:textId="77777777">
        <w:trPr>
          <w:trHeight w:val="300"/>
        </w:trPr>
        <w:tc>
          <w:tcPr>
            <w:tcW w:w="1170" w:type="dxa"/>
            <w:noWrap/>
            <w:vAlign w:val="center"/>
            <w:hideMark/>
          </w:tcPr>
          <w:p w:rsidRPr="00782FA6" w:rsidR="00DB248A" w:rsidP="00DB248A" w:rsidRDefault="00DB248A" w14:paraId="1BBE21FA" w14:textId="77777777">
            <w:pPr>
              <w:spacing w:line="240" w:lineRule="auto"/>
              <w:ind w:firstLine="0"/>
              <w:jc w:val="center"/>
              <w:rPr>
                <w:rFonts w:eastAsia="Aptos" w:cs="Times New Roman"/>
                <w:sz w:val="20"/>
                <w:szCs w:val="20"/>
              </w:rPr>
            </w:pPr>
            <w:r w:rsidRPr="00782FA6">
              <w:rPr>
                <w:rFonts w:eastAsia="Aptos" w:cs="Times New Roman"/>
                <w:sz w:val="20"/>
                <w:szCs w:val="20"/>
              </w:rPr>
              <w:t>1363</w:t>
            </w:r>
          </w:p>
        </w:tc>
        <w:tc>
          <w:tcPr>
            <w:tcW w:w="1036" w:type="dxa"/>
            <w:noWrap/>
            <w:vAlign w:val="center"/>
            <w:hideMark/>
          </w:tcPr>
          <w:p w:rsidRPr="00782FA6" w:rsidR="00DB248A" w:rsidP="00DB248A" w:rsidRDefault="00DB248A" w14:paraId="682A2C1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E15FBA5" w14:textId="4CF1F3F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4EA5801" w14:textId="5304113C">
            <w:pPr>
              <w:spacing w:line="240" w:lineRule="auto"/>
              <w:ind w:firstLine="0"/>
              <w:rPr>
                <w:rFonts w:eastAsia="Aptos" w:cs="Times New Roman"/>
                <w:sz w:val="20"/>
                <w:szCs w:val="20"/>
              </w:rPr>
            </w:pPr>
            <w:r w:rsidRPr="00782FA6">
              <w:rPr>
                <w:rFonts w:eastAsia="Aptos" w:cs="Times New Roman"/>
                <w:sz w:val="20"/>
                <w:szCs w:val="20"/>
              </w:rPr>
              <w:t>ThinkSecureNet, LLC</w:t>
            </w:r>
          </w:p>
        </w:tc>
      </w:tr>
      <w:tr w:rsidRPr="00782FA6" w:rsidR="00DB248A" w:rsidTr="00E52317" w14:paraId="1C755C03" w14:textId="77777777">
        <w:trPr>
          <w:trHeight w:val="300"/>
        </w:trPr>
        <w:tc>
          <w:tcPr>
            <w:tcW w:w="1170" w:type="dxa"/>
            <w:noWrap/>
            <w:vAlign w:val="center"/>
            <w:hideMark/>
          </w:tcPr>
          <w:p w:rsidRPr="00782FA6" w:rsidR="00DB248A" w:rsidP="00DB248A" w:rsidRDefault="00DB248A" w14:paraId="5C76E060" w14:textId="77777777">
            <w:pPr>
              <w:spacing w:line="240" w:lineRule="auto"/>
              <w:ind w:firstLine="0"/>
              <w:jc w:val="center"/>
              <w:rPr>
                <w:rFonts w:eastAsia="Aptos" w:cs="Times New Roman"/>
                <w:sz w:val="20"/>
                <w:szCs w:val="20"/>
              </w:rPr>
            </w:pPr>
            <w:r w:rsidRPr="00782FA6">
              <w:rPr>
                <w:rFonts w:eastAsia="Aptos" w:cs="Times New Roman"/>
                <w:sz w:val="20"/>
                <w:szCs w:val="20"/>
              </w:rPr>
              <w:t>1364</w:t>
            </w:r>
          </w:p>
        </w:tc>
        <w:tc>
          <w:tcPr>
            <w:tcW w:w="1036" w:type="dxa"/>
            <w:noWrap/>
            <w:vAlign w:val="center"/>
            <w:hideMark/>
          </w:tcPr>
          <w:p w:rsidRPr="00782FA6" w:rsidR="00DB248A" w:rsidP="00DB248A" w:rsidRDefault="00DB248A" w14:paraId="578AA8B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A25E4F9" w14:textId="26958B3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D76D575" w14:textId="0C63C269">
            <w:pPr>
              <w:spacing w:line="240" w:lineRule="auto"/>
              <w:ind w:firstLine="0"/>
              <w:rPr>
                <w:rFonts w:eastAsia="Aptos" w:cs="Times New Roman"/>
                <w:sz w:val="20"/>
                <w:szCs w:val="20"/>
              </w:rPr>
            </w:pPr>
            <w:proofErr w:type="spellStart"/>
            <w:r w:rsidRPr="00782FA6">
              <w:rPr>
                <w:rFonts w:eastAsia="Aptos" w:cs="Times New Roman"/>
                <w:sz w:val="20"/>
                <w:szCs w:val="20"/>
              </w:rPr>
              <w:t>DelmarvaVoIP</w:t>
            </w:r>
            <w:proofErr w:type="spellEnd"/>
            <w:r w:rsidRPr="00782FA6">
              <w:rPr>
                <w:rFonts w:eastAsia="Aptos" w:cs="Times New Roman"/>
                <w:sz w:val="20"/>
                <w:szCs w:val="20"/>
              </w:rPr>
              <w:t>, LLC</w:t>
            </w:r>
          </w:p>
        </w:tc>
      </w:tr>
      <w:tr w:rsidRPr="00782FA6" w:rsidR="00DB248A" w:rsidTr="00E52317" w14:paraId="000E94CE" w14:textId="77777777">
        <w:trPr>
          <w:trHeight w:val="300"/>
        </w:trPr>
        <w:tc>
          <w:tcPr>
            <w:tcW w:w="1170" w:type="dxa"/>
            <w:noWrap/>
            <w:vAlign w:val="center"/>
            <w:hideMark/>
          </w:tcPr>
          <w:p w:rsidRPr="00782FA6" w:rsidR="00DB248A" w:rsidP="00DB248A" w:rsidRDefault="00DB248A" w14:paraId="5D57A958" w14:textId="77777777">
            <w:pPr>
              <w:spacing w:line="240" w:lineRule="auto"/>
              <w:ind w:firstLine="0"/>
              <w:jc w:val="center"/>
              <w:rPr>
                <w:rFonts w:eastAsia="Aptos" w:cs="Times New Roman"/>
                <w:sz w:val="20"/>
                <w:szCs w:val="20"/>
              </w:rPr>
            </w:pPr>
            <w:r w:rsidRPr="00782FA6">
              <w:rPr>
                <w:rFonts w:eastAsia="Aptos" w:cs="Times New Roman"/>
                <w:sz w:val="20"/>
                <w:szCs w:val="20"/>
              </w:rPr>
              <w:t>1365</w:t>
            </w:r>
          </w:p>
        </w:tc>
        <w:tc>
          <w:tcPr>
            <w:tcW w:w="1036" w:type="dxa"/>
            <w:noWrap/>
            <w:vAlign w:val="center"/>
            <w:hideMark/>
          </w:tcPr>
          <w:p w:rsidRPr="00782FA6" w:rsidR="00DB248A" w:rsidP="00DB248A" w:rsidRDefault="00DB248A" w14:paraId="07086F0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EA6B87E" w14:textId="11284C0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9986C7B" w14:textId="4ACE1274">
            <w:pPr>
              <w:spacing w:line="240" w:lineRule="auto"/>
              <w:ind w:firstLine="0"/>
              <w:rPr>
                <w:rFonts w:eastAsia="Aptos" w:cs="Times New Roman"/>
                <w:sz w:val="20"/>
                <w:szCs w:val="20"/>
              </w:rPr>
            </w:pPr>
            <w:proofErr w:type="spellStart"/>
            <w:r w:rsidRPr="00782FA6">
              <w:rPr>
                <w:rFonts w:eastAsia="Aptos" w:cs="Times New Roman"/>
                <w:sz w:val="20"/>
                <w:szCs w:val="20"/>
              </w:rPr>
              <w:t>WaveNation</w:t>
            </w:r>
            <w:proofErr w:type="spellEnd"/>
            <w:r w:rsidRPr="00782FA6">
              <w:rPr>
                <w:rFonts w:eastAsia="Aptos" w:cs="Times New Roman"/>
                <w:sz w:val="20"/>
                <w:szCs w:val="20"/>
              </w:rPr>
              <w:t xml:space="preserve"> LLC</w:t>
            </w:r>
          </w:p>
        </w:tc>
      </w:tr>
      <w:tr w:rsidRPr="00782FA6" w:rsidR="00DB248A" w:rsidTr="00E52317" w14:paraId="520A4AA9" w14:textId="77777777">
        <w:trPr>
          <w:trHeight w:val="300"/>
        </w:trPr>
        <w:tc>
          <w:tcPr>
            <w:tcW w:w="1170" w:type="dxa"/>
            <w:noWrap/>
            <w:vAlign w:val="center"/>
            <w:hideMark/>
          </w:tcPr>
          <w:p w:rsidRPr="00782FA6" w:rsidR="00DB248A" w:rsidP="00DB248A" w:rsidRDefault="00DB248A" w14:paraId="4A6F575C" w14:textId="77777777">
            <w:pPr>
              <w:spacing w:line="240" w:lineRule="auto"/>
              <w:ind w:firstLine="0"/>
              <w:jc w:val="center"/>
              <w:rPr>
                <w:rFonts w:eastAsia="Aptos" w:cs="Times New Roman"/>
                <w:sz w:val="20"/>
                <w:szCs w:val="20"/>
              </w:rPr>
            </w:pPr>
            <w:r w:rsidRPr="00782FA6">
              <w:rPr>
                <w:rFonts w:eastAsia="Aptos" w:cs="Times New Roman"/>
                <w:sz w:val="20"/>
                <w:szCs w:val="20"/>
              </w:rPr>
              <w:t>1367</w:t>
            </w:r>
          </w:p>
        </w:tc>
        <w:tc>
          <w:tcPr>
            <w:tcW w:w="1036" w:type="dxa"/>
            <w:noWrap/>
            <w:vAlign w:val="center"/>
            <w:hideMark/>
          </w:tcPr>
          <w:p w:rsidRPr="00782FA6" w:rsidR="00DB248A" w:rsidP="00DB248A" w:rsidRDefault="00DB248A" w14:paraId="2C774AE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AB2D9A1" w14:textId="75FE88B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78239CA" w14:textId="3D009722">
            <w:pPr>
              <w:spacing w:line="240" w:lineRule="auto"/>
              <w:ind w:firstLine="0"/>
              <w:rPr>
                <w:rFonts w:eastAsia="Aptos" w:cs="Times New Roman"/>
                <w:sz w:val="20"/>
                <w:szCs w:val="20"/>
              </w:rPr>
            </w:pPr>
            <w:proofErr w:type="spellStart"/>
            <w:r w:rsidRPr="00782FA6">
              <w:rPr>
                <w:rFonts w:eastAsia="Aptos" w:cs="Times New Roman"/>
                <w:sz w:val="20"/>
                <w:szCs w:val="20"/>
              </w:rPr>
              <w:t>NthoNet</w:t>
            </w:r>
            <w:proofErr w:type="spellEnd"/>
            <w:r w:rsidRPr="00782FA6">
              <w:rPr>
                <w:rFonts w:eastAsia="Aptos" w:cs="Times New Roman"/>
                <w:sz w:val="20"/>
                <w:szCs w:val="20"/>
              </w:rPr>
              <w:t xml:space="preserve"> Inc</w:t>
            </w:r>
          </w:p>
        </w:tc>
      </w:tr>
      <w:tr w:rsidRPr="00782FA6" w:rsidR="00DB248A" w:rsidTr="00E52317" w14:paraId="05968DE2" w14:textId="77777777">
        <w:trPr>
          <w:trHeight w:val="300"/>
        </w:trPr>
        <w:tc>
          <w:tcPr>
            <w:tcW w:w="1170" w:type="dxa"/>
            <w:noWrap/>
            <w:vAlign w:val="center"/>
            <w:hideMark/>
          </w:tcPr>
          <w:p w:rsidRPr="00782FA6" w:rsidR="00DB248A" w:rsidP="00DB248A" w:rsidRDefault="00DB248A" w14:paraId="6FDF1560" w14:textId="77777777">
            <w:pPr>
              <w:spacing w:line="240" w:lineRule="auto"/>
              <w:ind w:firstLine="0"/>
              <w:jc w:val="center"/>
              <w:rPr>
                <w:rFonts w:eastAsia="Aptos" w:cs="Times New Roman"/>
                <w:sz w:val="20"/>
                <w:szCs w:val="20"/>
              </w:rPr>
            </w:pPr>
            <w:r w:rsidRPr="00782FA6">
              <w:rPr>
                <w:rFonts w:eastAsia="Aptos" w:cs="Times New Roman"/>
                <w:sz w:val="20"/>
                <w:szCs w:val="20"/>
              </w:rPr>
              <w:t>1370</w:t>
            </w:r>
          </w:p>
        </w:tc>
        <w:tc>
          <w:tcPr>
            <w:tcW w:w="1036" w:type="dxa"/>
            <w:noWrap/>
            <w:vAlign w:val="center"/>
            <w:hideMark/>
          </w:tcPr>
          <w:p w:rsidRPr="00782FA6" w:rsidR="00DB248A" w:rsidP="00DB248A" w:rsidRDefault="00DB248A" w14:paraId="5C43F7D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BEC7F33" w14:textId="56CCEB3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688BA05" w14:textId="1A53CD02">
            <w:pPr>
              <w:spacing w:line="240" w:lineRule="auto"/>
              <w:ind w:firstLine="0"/>
              <w:rPr>
                <w:rFonts w:eastAsia="Aptos" w:cs="Times New Roman"/>
                <w:sz w:val="20"/>
                <w:szCs w:val="20"/>
              </w:rPr>
            </w:pPr>
            <w:proofErr w:type="spellStart"/>
            <w:r w:rsidRPr="00782FA6">
              <w:rPr>
                <w:rFonts w:eastAsia="Aptos" w:cs="Times New Roman"/>
                <w:sz w:val="20"/>
                <w:szCs w:val="20"/>
              </w:rPr>
              <w:t>Synpact</w:t>
            </w:r>
            <w:proofErr w:type="spellEnd"/>
            <w:r w:rsidRPr="00782FA6">
              <w:rPr>
                <w:rFonts w:eastAsia="Aptos" w:cs="Times New Roman"/>
                <w:sz w:val="20"/>
                <w:szCs w:val="20"/>
              </w:rPr>
              <w:t>, LLC</w:t>
            </w:r>
          </w:p>
        </w:tc>
      </w:tr>
      <w:tr w:rsidRPr="00782FA6" w:rsidR="00DB248A" w:rsidTr="00E52317" w14:paraId="0D2EE773" w14:textId="77777777">
        <w:trPr>
          <w:trHeight w:val="300"/>
        </w:trPr>
        <w:tc>
          <w:tcPr>
            <w:tcW w:w="1170" w:type="dxa"/>
            <w:noWrap/>
            <w:vAlign w:val="center"/>
            <w:hideMark/>
          </w:tcPr>
          <w:p w:rsidRPr="00782FA6" w:rsidR="00DB248A" w:rsidP="00DB248A" w:rsidRDefault="00DB248A" w14:paraId="7BCDD1C4" w14:textId="77777777">
            <w:pPr>
              <w:spacing w:line="240" w:lineRule="auto"/>
              <w:ind w:firstLine="0"/>
              <w:jc w:val="center"/>
              <w:rPr>
                <w:rFonts w:eastAsia="Aptos" w:cs="Times New Roman"/>
                <w:sz w:val="20"/>
                <w:szCs w:val="20"/>
              </w:rPr>
            </w:pPr>
            <w:r w:rsidRPr="00782FA6">
              <w:rPr>
                <w:rFonts w:eastAsia="Aptos" w:cs="Times New Roman"/>
                <w:sz w:val="20"/>
                <w:szCs w:val="20"/>
              </w:rPr>
              <w:t>1372</w:t>
            </w:r>
          </w:p>
        </w:tc>
        <w:tc>
          <w:tcPr>
            <w:tcW w:w="1036" w:type="dxa"/>
            <w:noWrap/>
            <w:vAlign w:val="center"/>
            <w:hideMark/>
          </w:tcPr>
          <w:p w:rsidRPr="00782FA6" w:rsidR="00DB248A" w:rsidP="00DB248A" w:rsidRDefault="00DB248A" w14:paraId="21F5550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FC831F5" w14:textId="7DE79AB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BCB94BB" w14:textId="5AD88737">
            <w:pPr>
              <w:spacing w:line="240" w:lineRule="auto"/>
              <w:ind w:firstLine="0"/>
              <w:rPr>
                <w:rFonts w:eastAsia="Aptos" w:cs="Times New Roman"/>
                <w:sz w:val="20"/>
                <w:szCs w:val="20"/>
              </w:rPr>
            </w:pPr>
            <w:r w:rsidRPr="00782FA6">
              <w:rPr>
                <w:rFonts w:eastAsia="Aptos" w:cs="Times New Roman"/>
                <w:sz w:val="20"/>
                <w:szCs w:val="20"/>
              </w:rPr>
              <w:t>Advent Technologies Inc.</w:t>
            </w:r>
          </w:p>
        </w:tc>
      </w:tr>
      <w:tr w:rsidRPr="00782FA6" w:rsidR="00DB248A" w:rsidTr="00E52317" w14:paraId="3B4EEE3A" w14:textId="77777777">
        <w:trPr>
          <w:trHeight w:val="300"/>
        </w:trPr>
        <w:tc>
          <w:tcPr>
            <w:tcW w:w="1170" w:type="dxa"/>
            <w:noWrap/>
            <w:vAlign w:val="center"/>
            <w:hideMark/>
          </w:tcPr>
          <w:p w:rsidRPr="00782FA6" w:rsidR="00DB248A" w:rsidP="00DB248A" w:rsidRDefault="00DB248A" w14:paraId="5B71CE43" w14:textId="77777777">
            <w:pPr>
              <w:spacing w:line="240" w:lineRule="auto"/>
              <w:ind w:firstLine="0"/>
              <w:jc w:val="center"/>
              <w:rPr>
                <w:rFonts w:eastAsia="Aptos" w:cs="Times New Roman"/>
                <w:sz w:val="20"/>
                <w:szCs w:val="20"/>
              </w:rPr>
            </w:pPr>
            <w:r w:rsidRPr="00782FA6">
              <w:rPr>
                <w:rFonts w:eastAsia="Aptos" w:cs="Times New Roman"/>
                <w:sz w:val="20"/>
                <w:szCs w:val="20"/>
              </w:rPr>
              <w:t>1373</w:t>
            </w:r>
          </w:p>
        </w:tc>
        <w:tc>
          <w:tcPr>
            <w:tcW w:w="1036" w:type="dxa"/>
            <w:noWrap/>
            <w:vAlign w:val="center"/>
            <w:hideMark/>
          </w:tcPr>
          <w:p w:rsidRPr="00782FA6" w:rsidR="00DB248A" w:rsidP="00DB248A" w:rsidRDefault="00DB248A" w14:paraId="3802D5F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3EA7BAC" w14:textId="44856EA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FD7B867" w14:textId="7E3149D5">
            <w:pPr>
              <w:spacing w:line="240" w:lineRule="auto"/>
              <w:ind w:firstLine="0"/>
              <w:rPr>
                <w:rFonts w:eastAsia="Aptos" w:cs="Times New Roman"/>
                <w:sz w:val="20"/>
                <w:szCs w:val="20"/>
              </w:rPr>
            </w:pPr>
            <w:r w:rsidRPr="00782FA6">
              <w:rPr>
                <w:rFonts w:eastAsia="Aptos" w:cs="Times New Roman"/>
                <w:sz w:val="20"/>
                <w:szCs w:val="20"/>
              </w:rPr>
              <w:t>Preferred Long Distance Inc.</w:t>
            </w:r>
          </w:p>
        </w:tc>
      </w:tr>
      <w:tr w:rsidRPr="00782FA6" w:rsidR="00DB248A" w:rsidTr="00E52317" w14:paraId="6CB0520A" w14:textId="77777777">
        <w:trPr>
          <w:trHeight w:val="300"/>
        </w:trPr>
        <w:tc>
          <w:tcPr>
            <w:tcW w:w="1170" w:type="dxa"/>
            <w:noWrap/>
            <w:vAlign w:val="center"/>
            <w:hideMark/>
          </w:tcPr>
          <w:p w:rsidRPr="00782FA6" w:rsidR="00DB248A" w:rsidP="00DB248A" w:rsidRDefault="00DB248A" w14:paraId="5E15EFD3" w14:textId="77777777">
            <w:pPr>
              <w:spacing w:line="240" w:lineRule="auto"/>
              <w:ind w:firstLine="0"/>
              <w:jc w:val="center"/>
              <w:rPr>
                <w:rFonts w:eastAsia="Aptos" w:cs="Times New Roman"/>
                <w:sz w:val="20"/>
                <w:szCs w:val="20"/>
              </w:rPr>
            </w:pPr>
            <w:r w:rsidRPr="00782FA6">
              <w:rPr>
                <w:rFonts w:eastAsia="Aptos" w:cs="Times New Roman"/>
                <w:sz w:val="20"/>
                <w:szCs w:val="20"/>
              </w:rPr>
              <w:t>1375</w:t>
            </w:r>
          </w:p>
        </w:tc>
        <w:tc>
          <w:tcPr>
            <w:tcW w:w="1036" w:type="dxa"/>
            <w:noWrap/>
            <w:vAlign w:val="center"/>
            <w:hideMark/>
          </w:tcPr>
          <w:p w:rsidRPr="00782FA6" w:rsidR="00DB248A" w:rsidP="00DB248A" w:rsidRDefault="00DB248A" w14:paraId="0A9E59C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6E80A8D" w14:textId="25DD9BE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7E7F9BE" w14:textId="159742BD">
            <w:pPr>
              <w:spacing w:line="240" w:lineRule="auto"/>
              <w:ind w:firstLine="0"/>
              <w:rPr>
                <w:rFonts w:eastAsia="Aptos" w:cs="Times New Roman"/>
                <w:sz w:val="20"/>
                <w:szCs w:val="20"/>
              </w:rPr>
            </w:pPr>
            <w:proofErr w:type="spellStart"/>
            <w:r w:rsidRPr="00782FA6">
              <w:rPr>
                <w:rFonts w:eastAsia="Aptos" w:cs="Times New Roman"/>
                <w:sz w:val="20"/>
                <w:szCs w:val="20"/>
              </w:rPr>
              <w:t>Abbax</w:t>
            </w:r>
            <w:proofErr w:type="spellEnd"/>
            <w:r w:rsidRPr="00782FA6">
              <w:rPr>
                <w:rFonts w:eastAsia="Aptos" w:cs="Times New Roman"/>
                <w:sz w:val="20"/>
                <w:szCs w:val="20"/>
              </w:rPr>
              <w:t xml:space="preserve"> Technologies Inc</w:t>
            </w:r>
          </w:p>
        </w:tc>
      </w:tr>
      <w:tr w:rsidRPr="00782FA6" w:rsidR="00DB248A" w:rsidTr="00E52317" w14:paraId="23FBFAEE" w14:textId="77777777">
        <w:trPr>
          <w:trHeight w:val="300"/>
        </w:trPr>
        <w:tc>
          <w:tcPr>
            <w:tcW w:w="1170" w:type="dxa"/>
            <w:noWrap/>
            <w:vAlign w:val="center"/>
            <w:hideMark/>
          </w:tcPr>
          <w:p w:rsidRPr="00782FA6" w:rsidR="00DB248A" w:rsidP="00DB248A" w:rsidRDefault="00DB248A" w14:paraId="43484BC9" w14:textId="77777777">
            <w:pPr>
              <w:spacing w:line="240" w:lineRule="auto"/>
              <w:ind w:firstLine="0"/>
              <w:jc w:val="center"/>
              <w:rPr>
                <w:rFonts w:eastAsia="Aptos" w:cs="Times New Roman"/>
                <w:sz w:val="20"/>
                <w:szCs w:val="20"/>
              </w:rPr>
            </w:pPr>
            <w:r w:rsidRPr="00782FA6">
              <w:rPr>
                <w:rFonts w:eastAsia="Aptos" w:cs="Times New Roman"/>
                <w:sz w:val="20"/>
                <w:szCs w:val="20"/>
              </w:rPr>
              <w:t>1377</w:t>
            </w:r>
          </w:p>
        </w:tc>
        <w:tc>
          <w:tcPr>
            <w:tcW w:w="1036" w:type="dxa"/>
            <w:noWrap/>
            <w:vAlign w:val="center"/>
            <w:hideMark/>
          </w:tcPr>
          <w:p w:rsidRPr="00782FA6" w:rsidR="00DB248A" w:rsidP="00DB248A" w:rsidRDefault="00DB248A" w14:paraId="4790252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36EFE29" w14:textId="7867A66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FED24EC" w14:textId="6EE99E68">
            <w:pPr>
              <w:spacing w:line="240" w:lineRule="auto"/>
              <w:ind w:firstLine="0"/>
              <w:rPr>
                <w:rFonts w:eastAsia="Aptos" w:cs="Times New Roman"/>
                <w:sz w:val="20"/>
                <w:szCs w:val="20"/>
              </w:rPr>
            </w:pPr>
            <w:r w:rsidRPr="00782FA6">
              <w:rPr>
                <w:rFonts w:eastAsia="Aptos" w:cs="Times New Roman"/>
                <w:sz w:val="20"/>
                <w:szCs w:val="20"/>
              </w:rPr>
              <w:t>Zito West Holding, LLC</w:t>
            </w:r>
          </w:p>
        </w:tc>
      </w:tr>
      <w:tr w:rsidRPr="00782FA6" w:rsidR="00DB248A" w:rsidTr="00E52317" w14:paraId="7BA13359" w14:textId="77777777">
        <w:trPr>
          <w:trHeight w:val="300"/>
        </w:trPr>
        <w:tc>
          <w:tcPr>
            <w:tcW w:w="1170" w:type="dxa"/>
            <w:noWrap/>
            <w:vAlign w:val="center"/>
            <w:hideMark/>
          </w:tcPr>
          <w:p w:rsidRPr="00782FA6" w:rsidR="00DB248A" w:rsidP="00DB248A" w:rsidRDefault="00DB248A" w14:paraId="14D64EF6" w14:textId="77777777">
            <w:pPr>
              <w:spacing w:line="240" w:lineRule="auto"/>
              <w:ind w:firstLine="0"/>
              <w:jc w:val="center"/>
              <w:rPr>
                <w:rFonts w:eastAsia="Aptos" w:cs="Times New Roman"/>
                <w:sz w:val="20"/>
                <w:szCs w:val="20"/>
              </w:rPr>
            </w:pPr>
            <w:r w:rsidRPr="00782FA6">
              <w:rPr>
                <w:rFonts w:eastAsia="Aptos" w:cs="Times New Roman"/>
                <w:sz w:val="20"/>
                <w:szCs w:val="20"/>
              </w:rPr>
              <w:t>1379</w:t>
            </w:r>
          </w:p>
        </w:tc>
        <w:tc>
          <w:tcPr>
            <w:tcW w:w="1036" w:type="dxa"/>
            <w:noWrap/>
            <w:vAlign w:val="center"/>
            <w:hideMark/>
          </w:tcPr>
          <w:p w:rsidRPr="00782FA6" w:rsidR="00DB248A" w:rsidP="00DB248A" w:rsidRDefault="00DB248A" w14:paraId="7C9FE65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2FF708F" w14:textId="1EDB074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D539F0C" w14:textId="24192078">
            <w:pPr>
              <w:spacing w:line="240" w:lineRule="auto"/>
              <w:ind w:firstLine="0"/>
              <w:rPr>
                <w:rFonts w:eastAsia="Aptos" w:cs="Times New Roman"/>
                <w:sz w:val="20"/>
                <w:szCs w:val="20"/>
              </w:rPr>
            </w:pPr>
            <w:r w:rsidRPr="00782FA6">
              <w:rPr>
                <w:rFonts w:eastAsia="Aptos" w:cs="Times New Roman"/>
                <w:sz w:val="20"/>
                <w:szCs w:val="20"/>
              </w:rPr>
              <w:t>Accelerated Voice LLC</w:t>
            </w:r>
          </w:p>
        </w:tc>
      </w:tr>
      <w:tr w:rsidRPr="00782FA6" w:rsidR="00DB248A" w:rsidTr="00E52317" w14:paraId="01274C8F" w14:textId="77777777">
        <w:trPr>
          <w:trHeight w:val="300"/>
        </w:trPr>
        <w:tc>
          <w:tcPr>
            <w:tcW w:w="1170" w:type="dxa"/>
            <w:noWrap/>
            <w:vAlign w:val="center"/>
            <w:hideMark/>
          </w:tcPr>
          <w:p w:rsidRPr="00782FA6" w:rsidR="00DB248A" w:rsidP="00DB248A" w:rsidRDefault="00DB248A" w14:paraId="723BC6E7" w14:textId="77777777">
            <w:pPr>
              <w:spacing w:line="240" w:lineRule="auto"/>
              <w:ind w:firstLine="0"/>
              <w:jc w:val="center"/>
              <w:rPr>
                <w:rFonts w:eastAsia="Aptos" w:cs="Times New Roman"/>
                <w:sz w:val="20"/>
                <w:szCs w:val="20"/>
              </w:rPr>
            </w:pPr>
            <w:r w:rsidRPr="00782FA6">
              <w:rPr>
                <w:rFonts w:eastAsia="Aptos" w:cs="Times New Roman"/>
                <w:sz w:val="20"/>
                <w:szCs w:val="20"/>
              </w:rPr>
              <w:t>1380</w:t>
            </w:r>
          </w:p>
        </w:tc>
        <w:tc>
          <w:tcPr>
            <w:tcW w:w="1036" w:type="dxa"/>
            <w:noWrap/>
            <w:vAlign w:val="center"/>
            <w:hideMark/>
          </w:tcPr>
          <w:p w:rsidRPr="00782FA6" w:rsidR="00DB248A" w:rsidP="00DB248A" w:rsidRDefault="00DB248A" w14:paraId="7A4A899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30AD136" w14:textId="71204D7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88C9769" w14:textId="4C8E1D67">
            <w:pPr>
              <w:spacing w:line="240" w:lineRule="auto"/>
              <w:ind w:firstLine="0"/>
              <w:rPr>
                <w:rFonts w:eastAsia="Aptos" w:cs="Times New Roman"/>
                <w:sz w:val="20"/>
                <w:szCs w:val="20"/>
              </w:rPr>
            </w:pPr>
            <w:r w:rsidRPr="00782FA6">
              <w:rPr>
                <w:rFonts w:eastAsia="Aptos" w:cs="Times New Roman"/>
                <w:sz w:val="20"/>
                <w:szCs w:val="20"/>
              </w:rPr>
              <w:t>T4 Telecom</w:t>
            </w:r>
          </w:p>
        </w:tc>
      </w:tr>
      <w:tr w:rsidRPr="00782FA6" w:rsidR="00DB248A" w:rsidTr="00E52317" w14:paraId="23A2FFA4" w14:textId="77777777">
        <w:trPr>
          <w:trHeight w:val="300"/>
        </w:trPr>
        <w:tc>
          <w:tcPr>
            <w:tcW w:w="1170" w:type="dxa"/>
            <w:noWrap/>
            <w:vAlign w:val="center"/>
            <w:hideMark/>
          </w:tcPr>
          <w:p w:rsidRPr="00782FA6" w:rsidR="00DB248A" w:rsidP="00DB248A" w:rsidRDefault="00DB248A" w14:paraId="5BB0B675" w14:textId="77777777">
            <w:pPr>
              <w:spacing w:line="240" w:lineRule="auto"/>
              <w:ind w:firstLine="0"/>
              <w:jc w:val="center"/>
              <w:rPr>
                <w:rFonts w:eastAsia="Aptos" w:cs="Times New Roman"/>
                <w:sz w:val="20"/>
                <w:szCs w:val="20"/>
              </w:rPr>
            </w:pPr>
            <w:r w:rsidRPr="00782FA6">
              <w:rPr>
                <w:rFonts w:eastAsia="Aptos" w:cs="Times New Roman"/>
                <w:sz w:val="20"/>
                <w:szCs w:val="20"/>
              </w:rPr>
              <w:t>1381</w:t>
            </w:r>
          </w:p>
        </w:tc>
        <w:tc>
          <w:tcPr>
            <w:tcW w:w="1036" w:type="dxa"/>
            <w:noWrap/>
            <w:vAlign w:val="center"/>
            <w:hideMark/>
          </w:tcPr>
          <w:p w:rsidRPr="00782FA6" w:rsidR="00DB248A" w:rsidP="00DB248A" w:rsidRDefault="00DB248A" w14:paraId="25547C4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7F2923A" w14:textId="5125C63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5315417" w14:textId="5108C175">
            <w:pPr>
              <w:spacing w:line="240" w:lineRule="auto"/>
              <w:ind w:firstLine="0"/>
              <w:rPr>
                <w:rFonts w:eastAsia="Aptos" w:cs="Times New Roman"/>
                <w:sz w:val="20"/>
                <w:szCs w:val="20"/>
              </w:rPr>
            </w:pPr>
            <w:proofErr w:type="spellStart"/>
            <w:r w:rsidRPr="00782FA6">
              <w:rPr>
                <w:rFonts w:eastAsia="Aptos" w:cs="Times New Roman"/>
                <w:sz w:val="20"/>
                <w:szCs w:val="20"/>
              </w:rPr>
              <w:t>Bluetone</w:t>
            </w:r>
            <w:proofErr w:type="spellEnd"/>
            <w:r w:rsidRPr="00782FA6">
              <w:rPr>
                <w:rFonts w:eastAsia="Aptos" w:cs="Times New Roman"/>
                <w:sz w:val="20"/>
                <w:szCs w:val="20"/>
              </w:rPr>
              <w:t xml:space="preserve"> Communications LLC</w:t>
            </w:r>
          </w:p>
        </w:tc>
      </w:tr>
      <w:tr w:rsidRPr="00782FA6" w:rsidR="00DB248A" w:rsidTr="00E52317" w14:paraId="27EDA514" w14:textId="77777777">
        <w:trPr>
          <w:trHeight w:val="300"/>
        </w:trPr>
        <w:tc>
          <w:tcPr>
            <w:tcW w:w="1170" w:type="dxa"/>
            <w:noWrap/>
            <w:vAlign w:val="center"/>
            <w:hideMark/>
          </w:tcPr>
          <w:p w:rsidRPr="00782FA6" w:rsidR="00DB248A" w:rsidP="00DB248A" w:rsidRDefault="00DB248A" w14:paraId="3F3600FB" w14:textId="77777777">
            <w:pPr>
              <w:spacing w:line="240" w:lineRule="auto"/>
              <w:ind w:firstLine="0"/>
              <w:jc w:val="center"/>
              <w:rPr>
                <w:rFonts w:eastAsia="Aptos" w:cs="Times New Roman"/>
                <w:sz w:val="20"/>
                <w:szCs w:val="20"/>
              </w:rPr>
            </w:pPr>
            <w:r w:rsidRPr="00782FA6">
              <w:rPr>
                <w:rFonts w:eastAsia="Aptos" w:cs="Times New Roman"/>
                <w:sz w:val="20"/>
                <w:szCs w:val="20"/>
              </w:rPr>
              <w:t>1383</w:t>
            </w:r>
          </w:p>
        </w:tc>
        <w:tc>
          <w:tcPr>
            <w:tcW w:w="1036" w:type="dxa"/>
            <w:noWrap/>
            <w:vAlign w:val="center"/>
            <w:hideMark/>
          </w:tcPr>
          <w:p w:rsidRPr="00782FA6" w:rsidR="00DB248A" w:rsidP="00DB248A" w:rsidRDefault="00DB248A" w14:paraId="15D0853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6A935B6" w14:textId="3F8FE23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B923A68" w14:textId="0FE09B0F">
            <w:pPr>
              <w:spacing w:line="240" w:lineRule="auto"/>
              <w:ind w:firstLine="0"/>
              <w:rPr>
                <w:rFonts w:eastAsia="Aptos" w:cs="Times New Roman"/>
                <w:sz w:val="20"/>
                <w:szCs w:val="20"/>
              </w:rPr>
            </w:pPr>
            <w:r w:rsidRPr="00782FA6">
              <w:rPr>
                <w:rFonts w:eastAsia="Aptos" w:cs="Times New Roman"/>
                <w:sz w:val="20"/>
                <w:szCs w:val="20"/>
              </w:rPr>
              <w:t>Sangoma U.S., Inc.</w:t>
            </w:r>
          </w:p>
        </w:tc>
      </w:tr>
      <w:tr w:rsidRPr="00782FA6" w:rsidR="00DB248A" w:rsidTr="00E52317" w14:paraId="3D83641E" w14:textId="77777777">
        <w:trPr>
          <w:trHeight w:val="300"/>
        </w:trPr>
        <w:tc>
          <w:tcPr>
            <w:tcW w:w="1170" w:type="dxa"/>
            <w:noWrap/>
            <w:vAlign w:val="center"/>
            <w:hideMark/>
          </w:tcPr>
          <w:p w:rsidRPr="00782FA6" w:rsidR="00DB248A" w:rsidP="00DB248A" w:rsidRDefault="00DB248A" w14:paraId="62E2C6CE" w14:textId="77777777">
            <w:pPr>
              <w:spacing w:line="240" w:lineRule="auto"/>
              <w:ind w:firstLine="0"/>
              <w:jc w:val="center"/>
              <w:rPr>
                <w:rFonts w:eastAsia="Aptos" w:cs="Times New Roman"/>
                <w:sz w:val="20"/>
                <w:szCs w:val="20"/>
              </w:rPr>
            </w:pPr>
            <w:r w:rsidRPr="00782FA6">
              <w:rPr>
                <w:rFonts w:eastAsia="Aptos" w:cs="Times New Roman"/>
                <w:sz w:val="20"/>
                <w:szCs w:val="20"/>
              </w:rPr>
              <w:t>1384</w:t>
            </w:r>
          </w:p>
        </w:tc>
        <w:tc>
          <w:tcPr>
            <w:tcW w:w="1036" w:type="dxa"/>
            <w:noWrap/>
            <w:vAlign w:val="center"/>
            <w:hideMark/>
          </w:tcPr>
          <w:p w:rsidRPr="00782FA6" w:rsidR="00DB248A" w:rsidP="00DB248A" w:rsidRDefault="00DB248A" w14:paraId="30F1C52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062DCC7" w14:textId="2B7A9EF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625F7E2" w14:textId="147E67DA">
            <w:pPr>
              <w:spacing w:line="240" w:lineRule="auto"/>
              <w:ind w:firstLine="0"/>
              <w:rPr>
                <w:rFonts w:eastAsia="Aptos" w:cs="Times New Roman"/>
                <w:sz w:val="20"/>
                <w:szCs w:val="20"/>
              </w:rPr>
            </w:pPr>
            <w:r w:rsidRPr="00782FA6">
              <w:rPr>
                <w:rFonts w:eastAsia="Aptos" w:cs="Times New Roman"/>
                <w:sz w:val="20"/>
                <w:szCs w:val="20"/>
              </w:rPr>
              <w:t>Anza Electric Cooperative, Inc.</w:t>
            </w:r>
          </w:p>
        </w:tc>
      </w:tr>
      <w:tr w:rsidRPr="00782FA6" w:rsidR="00DB248A" w:rsidTr="00E52317" w14:paraId="3397CA2F" w14:textId="77777777">
        <w:trPr>
          <w:trHeight w:val="300"/>
        </w:trPr>
        <w:tc>
          <w:tcPr>
            <w:tcW w:w="1170" w:type="dxa"/>
            <w:noWrap/>
            <w:vAlign w:val="center"/>
            <w:hideMark/>
          </w:tcPr>
          <w:p w:rsidRPr="00782FA6" w:rsidR="00DB248A" w:rsidP="00DB248A" w:rsidRDefault="00DB248A" w14:paraId="74A4AE15" w14:textId="77777777">
            <w:pPr>
              <w:spacing w:line="240" w:lineRule="auto"/>
              <w:ind w:firstLine="0"/>
              <w:jc w:val="center"/>
              <w:rPr>
                <w:rFonts w:eastAsia="Aptos" w:cs="Times New Roman"/>
                <w:sz w:val="20"/>
                <w:szCs w:val="20"/>
              </w:rPr>
            </w:pPr>
            <w:r w:rsidRPr="00782FA6">
              <w:rPr>
                <w:rFonts w:eastAsia="Aptos" w:cs="Times New Roman"/>
                <w:sz w:val="20"/>
                <w:szCs w:val="20"/>
              </w:rPr>
              <w:t>1385</w:t>
            </w:r>
          </w:p>
        </w:tc>
        <w:tc>
          <w:tcPr>
            <w:tcW w:w="1036" w:type="dxa"/>
            <w:noWrap/>
            <w:vAlign w:val="center"/>
            <w:hideMark/>
          </w:tcPr>
          <w:p w:rsidRPr="00782FA6" w:rsidR="00DB248A" w:rsidP="00DB248A" w:rsidRDefault="00DB248A" w14:paraId="6CB75E0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DC05B0B" w14:textId="6D9599B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19E284D" w14:textId="7BBC9C2D">
            <w:pPr>
              <w:spacing w:line="240" w:lineRule="auto"/>
              <w:ind w:firstLine="0"/>
              <w:rPr>
                <w:rFonts w:eastAsia="Aptos" w:cs="Times New Roman"/>
                <w:sz w:val="20"/>
                <w:szCs w:val="20"/>
              </w:rPr>
            </w:pPr>
            <w:proofErr w:type="spellStart"/>
            <w:r w:rsidRPr="00782FA6">
              <w:rPr>
                <w:rFonts w:eastAsia="Aptos" w:cs="Times New Roman"/>
                <w:sz w:val="20"/>
                <w:szCs w:val="20"/>
              </w:rPr>
              <w:t>Xobee</w:t>
            </w:r>
            <w:proofErr w:type="spellEnd"/>
            <w:r w:rsidRPr="00782FA6">
              <w:rPr>
                <w:rFonts w:eastAsia="Aptos" w:cs="Times New Roman"/>
                <w:sz w:val="20"/>
                <w:szCs w:val="20"/>
              </w:rPr>
              <w:t xml:space="preserve"> Networks, LLC</w:t>
            </w:r>
          </w:p>
        </w:tc>
      </w:tr>
      <w:tr w:rsidRPr="00782FA6" w:rsidR="00DB248A" w:rsidTr="00E52317" w14:paraId="52A91F2D" w14:textId="77777777">
        <w:trPr>
          <w:trHeight w:val="300"/>
        </w:trPr>
        <w:tc>
          <w:tcPr>
            <w:tcW w:w="1170" w:type="dxa"/>
            <w:noWrap/>
            <w:vAlign w:val="center"/>
            <w:hideMark/>
          </w:tcPr>
          <w:p w:rsidRPr="00782FA6" w:rsidR="00DB248A" w:rsidP="00DB248A" w:rsidRDefault="00DB248A" w14:paraId="613449AF" w14:textId="77777777">
            <w:pPr>
              <w:spacing w:line="240" w:lineRule="auto"/>
              <w:ind w:firstLine="0"/>
              <w:jc w:val="center"/>
              <w:rPr>
                <w:rFonts w:eastAsia="Aptos" w:cs="Times New Roman"/>
                <w:sz w:val="20"/>
                <w:szCs w:val="20"/>
              </w:rPr>
            </w:pPr>
            <w:r w:rsidRPr="00782FA6">
              <w:rPr>
                <w:rFonts w:eastAsia="Aptos" w:cs="Times New Roman"/>
                <w:sz w:val="20"/>
                <w:szCs w:val="20"/>
              </w:rPr>
              <w:t>1386</w:t>
            </w:r>
          </w:p>
        </w:tc>
        <w:tc>
          <w:tcPr>
            <w:tcW w:w="1036" w:type="dxa"/>
            <w:noWrap/>
            <w:vAlign w:val="center"/>
            <w:hideMark/>
          </w:tcPr>
          <w:p w:rsidRPr="00782FA6" w:rsidR="00DB248A" w:rsidP="00DB248A" w:rsidRDefault="00DB248A" w14:paraId="2DFBABE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5D5AF37" w14:textId="464CC46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AFE4A8E" w14:textId="27716FAB">
            <w:pPr>
              <w:spacing w:line="240" w:lineRule="auto"/>
              <w:ind w:firstLine="0"/>
              <w:rPr>
                <w:rFonts w:eastAsia="Aptos" w:cs="Times New Roman"/>
                <w:sz w:val="20"/>
                <w:szCs w:val="20"/>
              </w:rPr>
            </w:pPr>
            <w:r w:rsidRPr="00782FA6">
              <w:rPr>
                <w:rFonts w:eastAsia="Aptos" w:cs="Times New Roman"/>
                <w:sz w:val="20"/>
                <w:szCs w:val="20"/>
              </w:rPr>
              <w:t>Renegade Technologies</w:t>
            </w:r>
          </w:p>
        </w:tc>
      </w:tr>
      <w:tr w:rsidRPr="00782FA6" w:rsidR="00DB248A" w:rsidTr="00E52317" w14:paraId="1F97D1EA" w14:textId="77777777">
        <w:trPr>
          <w:trHeight w:val="300"/>
        </w:trPr>
        <w:tc>
          <w:tcPr>
            <w:tcW w:w="1170" w:type="dxa"/>
            <w:noWrap/>
            <w:vAlign w:val="center"/>
            <w:hideMark/>
          </w:tcPr>
          <w:p w:rsidRPr="00782FA6" w:rsidR="00DB248A" w:rsidP="00DB248A" w:rsidRDefault="00DB248A" w14:paraId="3D1DDAD0" w14:textId="77777777">
            <w:pPr>
              <w:spacing w:line="240" w:lineRule="auto"/>
              <w:ind w:firstLine="0"/>
              <w:jc w:val="center"/>
              <w:rPr>
                <w:rFonts w:eastAsia="Aptos" w:cs="Times New Roman"/>
                <w:sz w:val="20"/>
                <w:szCs w:val="20"/>
              </w:rPr>
            </w:pPr>
            <w:r w:rsidRPr="00782FA6">
              <w:rPr>
                <w:rFonts w:eastAsia="Aptos" w:cs="Times New Roman"/>
                <w:sz w:val="20"/>
                <w:szCs w:val="20"/>
              </w:rPr>
              <w:t>1387</w:t>
            </w:r>
          </w:p>
        </w:tc>
        <w:tc>
          <w:tcPr>
            <w:tcW w:w="1036" w:type="dxa"/>
            <w:noWrap/>
            <w:vAlign w:val="center"/>
            <w:hideMark/>
          </w:tcPr>
          <w:p w:rsidRPr="00782FA6" w:rsidR="00DB248A" w:rsidP="00DB248A" w:rsidRDefault="00DB248A" w14:paraId="3D6032C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95BE16E" w14:textId="2690BCA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E88041C" w14:textId="31AF9E62">
            <w:pPr>
              <w:spacing w:line="240" w:lineRule="auto"/>
              <w:ind w:firstLine="0"/>
              <w:rPr>
                <w:rFonts w:eastAsia="Aptos" w:cs="Times New Roman"/>
                <w:sz w:val="20"/>
                <w:szCs w:val="20"/>
              </w:rPr>
            </w:pPr>
            <w:r w:rsidRPr="00782FA6">
              <w:rPr>
                <w:rFonts w:eastAsia="Aptos" w:cs="Times New Roman"/>
                <w:sz w:val="20"/>
                <w:szCs w:val="20"/>
              </w:rPr>
              <w:t>Voyant Communications, LLC</w:t>
            </w:r>
          </w:p>
        </w:tc>
      </w:tr>
      <w:tr w:rsidRPr="00782FA6" w:rsidR="00DB248A" w:rsidTr="00E52317" w14:paraId="65693AB3" w14:textId="77777777">
        <w:trPr>
          <w:trHeight w:val="300"/>
        </w:trPr>
        <w:tc>
          <w:tcPr>
            <w:tcW w:w="1170" w:type="dxa"/>
            <w:noWrap/>
            <w:vAlign w:val="center"/>
            <w:hideMark/>
          </w:tcPr>
          <w:p w:rsidRPr="00782FA6" w:rsidR="00DB248A" w:rsidP="00DB248A" w:rsidRDefault="00DB248A" w14:paraId="1E5CAF2A" w14:textId="77777777">
            <w:pPr>
              <w:spacing w:line="240" w:lineRule="auto"/>
              <w:ind w:firstLine="0"/>
              <w:jc w:val="center"/>
              <w:rPr>
                <w:rFonts w:eastAsia="Aptos" w:cs="Times New Roman"/>
                <w:sz w:val="20"/>
                <w:szCs w:val="20"/>
              </w:rPr>
            </w:pPr>
            <w:r w:rsidRPr="00782FA6">
              <w:rPr>
                <w:rFonts w:eastAsia="Aptos" w:cs="Times New Roman"/>
                <w:sz w:val="20"/>
                <w:szCs w:val="20"/>
              </w:rPr>
              <w:t>1388</w:t>
            </w:r>
          </w:p>
        </w:tc>
        <w:tc>
          <w:tcPr>
            <w:tcW w:w="1036" w:type="dxa"/>
            <w:noWrap/>
            <w:vAlign w:val="center"/>
            <w:hideMark/>
          </w:tcPr>
          <w:p w:rsidRPr="00782FA6" w:rsidR="00DB248A" w:rsidP="00DB248A" w:rsidRDefault="00DB248A" w14:paraId="64B897B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BA9A00C" w14:textId="09DDDB4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8A1A0A0" w14:textId="14E40BE9">
            <w:pPr>
              <w:spacing w:line="240" w:lineRule="auto"/>
              <w:ind w:firstLine="0"/>
              <w:rPr>
                <w:rFonts w:eastAsia="Aptos" w:cs="Times New Roman"/>
                <w:sz w:val="20"/>
                <w:szCs w:val="20"/>
              </w:rPr>
            </w:pPr>
            <w:r w:rsidRPr="00782FA6">
              <w:rPr>
                <w:rFonts w:eastAsia="Aptos" w:cs="Times New Roman"/>
                <w:sz w:val="20"/>
                <w:szCs w:val="20"/>
              </w:rPr>
              <w:t>Silicon Business System</w:t>
            </w:r>
          </w:p>
        </w:tc>
      </w:tr>
      <w:tr w:rsidRPr="00782FA6" w:rsidR="00DB248A" w:rsidTr="00E52317" w14:paraId="4107E21B" w14:textId="77777777">
        <w:trPr>
          <w:trHeight w:val="300"/>
        </w:trPr>
        <w:tc>
          <w:tcPr>
            <w:tcW w:w="1170" w:type="dxa"/>
            <w:noWrap/>
            <w:vAlign w:val="center"/>
            <w:hideMark/>
          </w:tcPr>
          <w:p w:rsidRPr="00782FA6" w:rsidR="00DB248A" w:rsidP="00DB248A" w:rsidRDefault="00DB248A" w14:paraId="10FDD8A5" w14:textId="77777777">
            <w:pPr>
              <w:spacing w:line="240" w:lineRule="auto"/>
              <w:ind w:firstLine="0"/>
              <w:jc w:val="center"/>
              <w:rPr>
                <w:rFonts w:eastAsia="Aptos" w:cs="Times New Roman"/>
                <w:sz w:val="20"/>
                <w:szCs w:val="20"/>
              </w:rPr>
            </w:pPr>
            <w:r w:rsidRPr="00782FA6">
              <w:rPr>
                <w:rFonts w:eastAsia="Aptos" w:cs="Times New Roman"/>
                <w:sz w:val="20"/>
                <w:szCs w:val="20"/>
              </w:rPr>
              <w:t>1389</w:t>
            </w:r>
          </w:p>
        </w:tc>
        <w:tc>
          <w:tcPr>
            <w:tcW w:w="1036" w:type="dxa"/>
            <w:noWrap/>
            <w:vAlign w:val="center"/>
            <w:hideMark/>
          </w:tcPr>
          <w:p w:rsidRPr="00782FA6" w:rsidR="00DB248A" w:rsidP="00DB248A" w:rsidRDefault="00DB248A" w14:paraId="756CEFD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8DBEEF3" w14:textId="6BAEB82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F399990" w14:textId="056D9AE5">
            <w:pPr>
              <w:spacing w:line="240" w:lineRule="auto"/>
              <w:ind w:firstLine="0"/>
              <w:rPr>
                <w:rFonts w:eastAsia="Aptos" w:cs="Times New Roman"/>
                <w:sz w:val="20"/>
                <w:szCs w:val="20"/>
              </w:rPr>
            </w:pPr>
            <w:r w:rsidRPr="00782FA6">
              <w:rPr>
                <w:rFonts w:eastAsia="Aptos" w:cs="Times New Roman"/>
                <w:sz w:val="20"/>
                <w:szCs w:val="20"/>
              </w:rPr>
              <w:t>Morse Communications Inc</w:t>
            </w:r>
          </w:p>
        </w:tc>
      </w:tr>
      <w:tr w:rsidRPr="00782FA6" w:rsidR="00DB248A" w:rsidTr="00E52317" w14:paraId="3331250F" w14:textId="77777777">
        <w:trPr>
          <w:trHeight w:val="300"/>
        </w:trPr>
        <w:tc>
          <w:tcPr>
            <w:tcW w:w="1170" w:type="dxa"/>
            <w:noWrap/>
            <w:vAlign w:val="center"/>
            <w:hideMark/>
          </w:tcPr>
          <w:p w:rsidRPr="00782FA6" w:rsidR="00DB248A" w:rsidP="00DB248A" w:rsidRDefault="00DB248A" w14:paraId="6679FB26" w14:textId="77777777">
            <w:pPr>
              <w:spacing w:line="240" w:lineRule="auto"/>
              <w:ind w:firstLine="0"/>
              <w:jc w:val="center"/>
              <w:rPr>
                <w:rFonts w:eastAsia="Aptos" w:cs="Times New Roman"/>
                <w:sz w:val="20"/>
                <w:szCs w:val="20"/>
              </w:rPr>
            </w:pPr>
            <w:r w:rsidRPr="00782FA6">
              <w:rPr>
                <w:rFonts w:eastAsia="Aptos" w:cs="Times New Roman"/>
                <w:sz w:val="20"/>
                <w:szCs w:val="20"/>
              </w:rPr>
              <w:t>1390</w:t>
            </w:r>
          </w:p>
        </w:tc>
        <w:tc>
          <w:tcPr>
            <w:tcW w:w="1036" w:type="dxa"/>
            <w:noWrap/>
            <w:vAlign w:val="center"/>
            <w:hideMark/>
          </w:tcPr>
          <w:p w:rsidRPr="00782FA6" w:rsidR="00DB248A" w:rsidP="00DB248A" w:rsidRDefault="00DB248A" w14:paraId="70A4DCB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1E5DD67" w14:textId="20F2D01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FB502C4" w14:textId="086ABD1E">
            <w:pPr>
              <w:spacing w:line="240" w:lineRule="auto"/>
              <w:ind w:firstLine="0"/>
              <w:rPr>
                <w:rFonts w:eastAsia="Aptos" w:cs="Times New Roman"/>
                <w:sz w:val="20"/>
                <w:szCs w:val="20"/>
              </w:rPr>
            </w:pPr>
            <w:proofErr w:type="spellStart"/>
            <w:r w:rsidRPr="00782FA6">
              <w:rPr>
                <w:rFonts w:eastAsia="Aptos" w:cs="Times New Roman"/>
                <w:sz w:val="20"/>
                <w:szCs w:val="20"/>
              </w:rPr>
              <w:t>EMRFaxBox</w:t>
            </w:r>
            <w:proofErr w:type="spellEnd"/>
            <w:r w:rsidRPr="00782FA6">
              <w:rPr>
                <w:rFonts w:eastAsia="Aptos" w:cs="Times New Roman"/>
                <w:sz w:val="20"/>
                <w:szCs w:val="20"/>
              </w:rPr>
              <w:t xml:space="preserve"> LLC</w:t>
            </w:r>
          </w:p>
        </w:tc>
      </w:tr>
      <w:tr w:rsidRPr="00782FA6" w:rsidR="00DB248A" w:rsidTr="00E52317" w14:paraId="489EDC6F" w14:textId="77777777">
        <w:trPr>
          <w:trHeight w:val="300"/>
        </w:trPr>
        <w:tc>
          <w:tcPr>
            <w:tcW w:w="1170" w:type="dxa"/>
            <w:noWrap/>
            <w:vAlign w:val="center"/>
            <w:hideMark/>
          </w:tcPr>
          <w:p w:rsidRPr="00782FA6" w:rsidR="00DB248A" w:rsidP="00DB248A" w:rsidRDefault="00DB248A" w14:paraId="7F679047" w14:textId="77777777">
            <w:pPr>
              <w:spacing w:line="240" w:lineRule="auto"/>
              <w:ind w:firstLine="0"/>
              <w:jc w:val="center"/>
              <w:rPr>
                <w:rFonts w:eastAsia="Aptos" w:cs="Times New Roman"/>
                <w:sz w:val="20"/>
                <w:szCs w:val="20"/>
              </w:rPr>
            </w:pPr>
            <w:r w:rsidRPr="00782FA6">
              <w:rPr>
                <w:rFonts w:eastAsia="Aptos" w:cs="Times New Roman"/>
                <w:sz w:val="20"/>
                <w:szCs w:val="20"/>
              </w:rPr>
              <w:lastRenderedPageBreak/>
              <w:t>1391</w:t>
            </w:r>
          </w:p>
        </w:tc>
        <w:tc>
          <w:tcPr>
            <w:tcW w:w="1036" w:type="dxa"/>
            <w:noWrap/>
            <w:vAlign w:val="center"/>
            <w:hideMark/>
          </w:tcPr>
          <w:p w:rsidRPr="00782FA6" w:rsidR="00DB248A" w:rsidP="00DB248A" w:rsidRDefault="00DB248A" w14:paraId="4317003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450D64D" w14:textId="7F936CA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46FDA60" w14:textId="6A6B600E">
            <w:pPr>
              <w:spacing w:line="240" w:lineRule="auto"/>
              <w:ind w:firstLine="0"/>
              <w:rPr>
                <w:rFonts w:eastAsia="Aptos" w:cs="Times New Roman"/>
                <w:sz w:val="20"/>
                <w:szCs w:val="20"/>
              </w:rPr>
            </w:pPr>
            <w:r w:rsidRPr="00782FA6">
              <w:rPr>
                <w:rFonts w:eastAsia="Aptos" w:cs="Times New Roman"/>
                <w:sz w:val="20"/>
                <w:szCs w:val="20"/>
              </w:rPr>
              <w:t>Interactive Intelligence Telecom Inc</w:t>
            </w:r>
          </w:p>
        </w:tc>
      </w:tr>
      <w:tr w:rsidRPr="00782FA6" w:rsidR="00DB248A" w:rsidTr="00E52317" w14:paraId="1079B062" w14:textId="77777777">
        <w:trPr>
          <w:trHeight w:val="300"/>
        </w:trPr>
        <w:tc>
          <w:tcPr>
            <w:tcW w:w="1170" w:type="dxa"/>
            <w:noWrap/>
            <w:vAlign w:val="center"/>
            <w:hideMark/>
          </w:tcPr>
          <w:p w:rsidRPr="00782FA6" w:rsidR="00DB248A" w:rsidP="00DB248A" w:rsidRDefault="00DB248A" w14:paraId="117B6492" w14:textId="77777777">
            <w:pPr>
              <w:spacing w:line="240" w:lineRule="auto"/>
              <w:ind w:firstLine="0"/>
              <w:jc w:val="center"/>
              <w:rPr>
                <w:rFonts w:eastAsia="Aptos" w:cs="Times New Roman"/>
                <w:sz w:val="20"/>
                <w:szCs w:val="20"/>
              </w:rPr>
            </w:pPr>
            <w:r w:rsidRPr="00782FA6">
              <w:rPr>
                <w:rFonts w:eastAsia="Aptos" w:cs="Times New Roman"/>
                <w:sz w:val="20"/>
                <w:szCs w:val="20"/>
              </w:rPr>
              <w:t>1392</w:t>
            </w:r>
          </w:p>
        </w:tc>
        <w:tc>
          <w:tcPr>
            <w:tcW w:w="1036" w:type="dxa"/>
            <w:noWrap/>
            <w:vAlign w:val="center"/>
            <w:hideMark/>
          </w:tcPr>
          <w:p w:rsidRPr="00782FA6" w:rsidR="00DB248A" w:rsidP="00DB248A" w:rsidRDefault="00DB248A" w14:paraId="45CDEB2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AA93754" w14:textId="283A8B7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7C27D1A" w14:textId="1C3A10F5">
            <w:pPr>
              <w:spacing w:line="240" w:lineRule="auto"/>
              <w:ind w:firstLine="0"/>
              <w:rPr>
                <w:rFonts w:eastAsia="Aptos" w:cs="Times New Roman"/>
                <w:sz w:val="20"/>
                <w:szCs w:val="20"/>
              </w:rPr>
            </w:pPr>
            <w:r w:rsidRPr="00782FA6">
              <w:rPr>
                <w:rFonts w:eastAsia="Aptos" w:cs="Times New Roman"/>
                <w:sz w:val="20"/>
                <w:szCs w:val="20"/>
              </w:rPr>
              <w:t>USIPCommunications LLC</w:t>
            </w:r>
          </w:p>
        </w:tc>
      </w:tr>
      <w:tr w:rsidRPr="00782FA6" w:rsidR="00DB248A" w:rsidTr="00E52317" w14:paraId="38322031" w14:textId="77777777">
        <w:trPr>
          <w:trHeight w:val="300"/>
        </w:trPr>
        <w:tc>
          <w:tcPr>
            <w:tcW w:w="1170" w:type="dxa"/>
            <w:noWrap/>
            <w:vAlign w:val="center"/>
            <w:hideMark/>
          </w:tcPr>
          <w:p w:rsidRPr="00782FA6" w:rsidR="00DB248A" w:rsidP="00DB248A" w:rsidRDefault="00DB248A" w14:paraId="27704CEF" w14:textId="77777777">
            <w:pPr>
              <w:spacing w:line="240" w:lineRule="auto"/>
              <w:ind w:firstLine="0"/>
              <w:jc w:val="center"/>
              <w:rPr>
                <w:rFonts w:eastAsia="Aptos" w:cs="Times New Roman"/>
                <w:sz w:val="20"/>
                <w:szCs w:val="20"/>
              </w:rPr>
            </w:pPr>
            <w:r w:rsidRPr="00782FA6">
              <w:rPr>
                <w:rFonts w:eastAsia="Aptos" w:cs="Times New Roman"/>
                <w:sz w:val="20"/>
                <w:szCs w:val="20"/>
              </w:rPr>
              <w:t>1394</w:t>
            </w:r>
          </w:p>
        </w:tc>
        <w:tc>
          <w:tcPr>
            <w:tcW w:w="1036" w:type="dxa"/>
            <w:noWrap/>
            <w:vAlign w:val="center"/>
            <w:hideMark/>
          </w:tcPr>
          <w:p w:rsidRPr="00782FA6" w:rsidR="00DB248A" w:rsidP="00DB248A" w:rsidRDefault="00DB248A" w14:paraId="1A44428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617E70B" w14:textId="06B6DAD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7B9A08B" w14:textId="48BC97C9">
            <w:pPr>
              <w:spacing w:line="240" w:lineRule="auto"/>
              <w:ind w:firstLine="0"/>
              <w:rPr>
                <w:rFonts w:eastAsia="Aptos" w:cs="Times New Roman"/>
                <w:sz w:val="20"/>
                <w:szCs w:val="20"/>
              </w:rPr>
            </w:pPr>
            <w:r w:rsidRPr="00782FA6">
              <w:rPr>
                <w:rFonts w:eastAsia="Aptos" w:cs="Times New Roman"/>
                <w:sz w:val="20"/>
                <w:szCs w:val="20"/>
              </w:rPr>
              <w:t>VoIP Tech LLC</w:t>
            </w:r>
          </w:p>
        </w:tc>
      </w:tr>
      <w:tr w:rsidRPr="00782FA6" w:rsidR="00DB248A" w:rsidTr="00E52317" w14:paraId="757EA699" w14:textId="77777777">
        <w:trPr>
          <w:trHeight w:val="300"/>
        </w:trPr>
        <w:tc>
          <w:tcPr>
            <w:tcW w:w="1170" w:type="dxa"/>
            <w:noWrap/>
            <w:vAlign w:val="center"/>
            <w:hideMark/>
          </w:tcPr>
          <w:p w:rsidRPr="00782FA6" w:rsidR="00DB248A" w:rsidP="00DB248A" w:rsidRDefault="00DB248A" w14:paraId="7609D888" w14:textId="77777777">
            <w:pPr>
              <w:spacing w:line="240" w:lineRule="auto"/>
              <w:ind w:firstLine="0"/>
              <w:jc w:val="center"/>
              <w:rPr>
                <w:rFonts w:eastAsia="Aptos" w:cs="Times New Roman"/>
                <w:sz w:val="20"/>
                <w:szCs w:val="20"/>
              </w:rPr>
            </w:pPr>
            <w:r w:rsidRPr="00782FA6">
              <w:rPr>
                <w:rFonts w:eastAsia="Aptos" w:cs="Times New Roman"/>
                <w:sz w:val="20"/>
                <w:szCs w:val="20"/>
              </w:rPr>
              <w:t>1397</w:t>
            </w:r>
          </w:p>
        </w:tc>
        <w:tc>
          <w:tcPr>
            <w:tcW w:w="1036" w:type="dxa"/>
            <w:noWrap/>
            <w:vAlign w:val="center"/>
            <w:hideMark/>
          </w:tcPr>
          <w:p w:rsidRPr="00782FA6" w:rsidR="00DB248A" w:rsidP="00DB248A" w:rsidRDefault="00DB248A" w14:paraId="72C4C65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981349E" w14:textId="2F9DA0F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1FA48BC" w14:textId="5E074F7C">
            <w:pPr>
              <w:spacing w:line="240" w:lineRule="auto"/>
              <w:ind w:firstLine="0"/>
              <w:rPr>
                <w:rFonts w:eastAsia="Aptos" w:cs="Times New Roman"/>
                <w:sz w:val="20"/>
                <w:szCs w:val="20"/>
              </w:rPr>
            </w:pPr>
            <w:r w:rsidRPr="00782FA6">
              <w:rPr>
                <w:rFonts w:eastAsia="Aptos" w:cs="Times New Roman"/>
                <w:sz w:val="20"/>
                <w:szCs w:val="20"/>
              </w:rPr>
              <w:t>Clarity Communication Advisors Inc.</w:t>
            </w:r>
          </w:p>
        </w:tc>
      </w:tr>
      <w:tr w:rsidRPr="00782FA6" w:rsidR="00DB248A" w:rsidTr="00E52317" w14:paraId="1D0EF391" w14:textId="77777777">
        <w:trPr>
          <w:trHeight w:val="300"/>
        </w:trPr>
        <w:tc>
          <w:tcPr>
            <w:tcW w:w="1170" w:type="dxa"/>
            <w:noWrap/>
            <w:vAlign w:val="center"/>
            <w:hideMark/>
          </w:tcPr>
          <w:p w:rsidRPr="00782FA6" w:rsidR="00DB248A" w:rsidP="00DB248A" w:rsidRDefault="00DB248A" w14:paraId="16CA2695" w14:textId="77777777">
            <w:pPr>
              <w:spacing w:line="240" w:lineRule="auto"/>
              <w:ind w:firstLine="0"/>
              <w:jc w:val="center"/>
              <w:rPr>
                <w:rFonts w:eastAsia="Aptos" w:cs="Times New Roman"/>
                <w:sz w:val="20"/>
                <w:szCs w:val="20"/>
              </w:rPr>
            </w:pPr>
            <w:r w:rsidRPr="00782FA6">
              <w:rPr>
                <w:rFonts w:eastAsia="Aptos" w:cs="Times New Roman"/>
                <w:sz w:val="20"/>
                <w:szCs w:val="20"/>
              </w:rPr>
              <w:t>1398</w:t>
            </w:r>
          </w:p>
        </w:tc>
        <w:tc>
          <w:tcPr>
            <w:tcW w:w="1036" w:type="dxa"/>
            <w:noWrap/>
            <w:vAlign w:val="center"/>
            <w:hideMark/>
          </w:tcPr>
          <w:p w:rsidRPr="00782FA6" w:rsidR="00DB248A" w:rsidP="00DB248A" w:rsidRDefault="00DB248A" w14:paraId="6436E44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A5D27C5" w14:textId="5D39852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8E0D3A2" w14:textId="4CCC72CE">
            <w:pPr>
              <w:spacing w:line="240" w:lineRule="auto"/>
              <w:ind w:firstLine="0"/>
              <w:rPr>
                <w:rFonts w:eastAsia="Aptos" w:cs="Times New Roman"/>
                <w:sz w:val="20"/>
                <w:szCs w:val="20"/>
              </w:rPr>
            </w:pPr>
            <w:proofErr w:type="spellStart"/>
            <w:r w:rsidRPr="00782FA6">
              <w:rPr>
                <w:rFonts w:eastAsia="Aptos" w:cs="Times New Roman"/>
                <w:sz w:val="20"/>
                <w:szCs w:val="20"/>
              </w:rPr>
              <w:t>Centurylink</w:t>
            </w:r>
            <w:proofErr w:type="spellEnd"/>
            <w:r w:rsidRPr="00782FA6">
              <w:rPr>
                <w:rFonts w:eastAsia="Aptos" w:cs="Times New Roman"/>
                <w:sz w:val="20"/>
                <w:szCs w:val="20"/>
              </w:rPr>
              <w:t xml:space="preserve"> Communications LLC</w:t>
            </w:r>
          </w:p>
        </w:tc>
      </w:tr>
      <w:tr w:rsidRPr="00782FA6" w:rsidR="00DB248A" w:rsidTr="00E52317" w14:paraId="70A17098" w14:textId="77777777">
        <w:trPr>
          <w:trHeight w:val="300"/>
        </w:trPr>
        <w:tc>
          <w:tcPr>
            <w:tcW w:w="1170" w:type="dxa"/>
            <w:noWrap/>
            <w:vAlign w:val="center"/>
            <w:hideMark/>
          </w:tcPr>
          <w:p w:rsidRPr="00782FA6" w:rsidR="00DB248A" w:rsidP="00DB248A" w:rsidRDefault="00DB248A" w14:paraId="61A2C33C" w14:textId="77777777">
            <w:pPr>
              <w:spacing w:line="240" w:lineRule="auto"/>
              <w:ind w:firstLine="0"/>
              <w:jc w:val="center"/>
              <w:rPr>
                <w:rFonts w:eastAsia="Aptos" w:cs="Times New Roman"/>
                <w:sz w:val="20"/>
                <w:szCs w:val="20"/>
              </w:rPr>
            </w:pPr>
            <w:r w:rsidRPr="00782FA6">
              <w:rPr>
                <w:rFonts w:eastAsia="Aptos" w:cs="Times New Roman"/>
                <w:sz w:val="20"/>
                <w:szCs w:val="20"/>
              </w:rPr>
              <w:t>1399</w:t>
            </w:r>
          </w:p>
        </w:tc>
        <w:tc>
          <w:tcPr>
            <w:tcW w:w="1036" w:type="dxa"/>
            <w:noWrap/>
            <w:vAlign w:val="center"/>
            <w:hideMark/>
          </w:tcPr>
          <w:p w:rsidRPr="00782FA6" w:rsidR="00DB248A" w:rsidP="00DB248A" w:rsidRDefault="00DB248A" w14:paraId="3C28D28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655A046" w14:textId="0446224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52156F2" w14:textId="42CB8FBA">
            <w:pPr>
              <w:spacing w:line="240" w:lineRule="auto"/>
              <w:ind w:firstLine="0"/>
              <w:rPr>
                <w:rFonts w:eastAsia="Aptos" w:cs="Times New Roman"/>
                <w:sz w:val="20"/>
                <w:szCs w:val="20"/>
              </w:rPr>
            </w:pPr>
            <w:r w:rsidRPr="00782FA6">
              <w:rPr>
                <w:rFonts w:eastAsia="Aptos" w:cs="Times New Roman"/>
                <w:sz w:val="20"/>
                <w:szCs w:val="20"/>
              </w:rPr>
              <w:t>NTT Cloud Communications US, Inc.</w:t>
            </w:r>
          </w:p>
        </w:tc>
      </w:tr>
      <w:tr w:rsidRPr="00782FA6" w:rsidR="00DB248A" w:rsidTr="00E52317" w14:paraId="2FDC579F" w14:textId="77777777">
        <w:trPr>
          <w:trHeight w:val="300"/>
        </w:trPr>
        <w:tc>
          <w:tcPr>
            <w:tcW w:w="1170" w:type="dxa"/>
            <w:noWrap/>
            <w:vAlign w:val="center"/>
            <w:hideMark/>
          </w:tcPr>
          <w:p w:rsidRPr="00782FA6" w:rsidR="00DB248A" w:rsidP="00DB248A" w:rsidRDefault="00DB248A" w14:paraId="7C6965F6" w14:textId="77777777">
            <w:pPr>
              <w:spacing w:line="240" w:lineRule="auto"/>
              <w:ind w:firstLine="0"/>
              <w:jc w:val="center"/>
              <w:rPr>
                <w:rFonts w:eastAsia="Aptos" w:cs="Times New Roman"/>
                <w:sz w:val="20"/>
                <w:szCs w:val="20"/>
              </w:rPr>
            </w:pPr>
            <w:r w:rsidRPr="00782FA6">
              <w:rPr>
                <w:rFonts w:eastAsia="Aptos" w:cs="Times New Roman"/>
                <w:sz w:val="20"/>
                <w:szCs w:val="20"/>
              </w:rPr>
              <w:t>1400</w:t>
            </w:r>
          </w:p>
        </w:tc>
        <w:tc>
          <w:tcPr>
            <w:tcW w:w="1036" w:type="dxa"/>
            <w:noWrap/>
            <w:vAlign w:val="center"/>
            <w:hideMark/>
          </w:tcPr>
          <w:p w:rsidRPr="00782FA6" w:rsidR="00DB248A" w:rsidP="00DB248A" w:rsidRDefault="00DB248A" w14:paraId="72797A3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62A6E08" w14:textId="5FFB9C1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9516BF7" w14:textId="6DF25EC4">
            <w:pPr>
              <w:spacing w:line="240" w:lineRule="auto"/>
              <w:ind w:firstLine="0"/>
              <w:rPr>
                <w:rFonts w:eastAsia="Aptos" w:cs="Times New Roman"/>
                <w:sz w:val="20"/>
                <w:szCs w:val="20"/>
              </w:rPr>
            </w:pPr>
            <w:r w:rsidRPr="00782FA6">
              <w:rPr>
                <w:rFonts w:eastAsia="Aptos" w:cs="Times New Roman"/>
                <w:sz w:val="20"/>
                <w:szCs w:val="20"/>
              </w:rPr>
              <w:t>MJ2 IP, LLC</w:t>
            </w:r>
          </w:p>
        </w:tc>
      </w:tr>
      <w:tr w:rsidRPr="00782FA6" w:rsidR="00DB248A" w:rsidTr="00E52317" w14:paraId="4D305B31" w14:textId="77777777">
        <w:trPr>
          <w:trHeight w:val="300"/>
        </w:trPr>
        <w:tc>
          <w:tcPr>
            <w:tcW w:w="1170" w:type="dxa"/>
            <w:noWrap/>
            <w:vAlign w:val="center"/>
            <w:hideMark/>
          </w:tcPr>
          <w:p w:rsidRPr="00782FA6" w:rsidR="00DB248A" w:rsidP="00DB248A" w:rsidRDefault="00DB248A" w14:paraId="331A3B31" w14:textId="77777777">
            <w:pPr>
              <w:spacing w:line="240" w:lineRule="auto"/>
              <w:ind w:firstLine="0"/>
              <w:jc w:val="center"/>
              <w:rPr>
                <w:rFonts w:eastAsia="Aptos" w:cs="Times New Roman"/>
                <w:sz w:val="20"/>
                <w:szCs w:val="20"/>
              </w:rPr>
            </w:pPr>
            <w:r w:rsidRPr="00782FA6">
              <w:rPr>
                <w:rFonts w:eastAsia="Aptos" w:cs="Times New Roman"/>
                <w:sz w:val="20"/>
                <w:szCs w:val="20"/>
              </w:rPr>
              <w:t>1401</w:t>
            </w:r>
          </w:p>
        </w:tc>
        <w:tc>
          <w:tcPr>
            <w:tcW w:w="1036" w:type="dxa"/>
            <w:noWrap/>
            <w:vAlign w:val="center"/>
            <w:hideMark/>
          </w:tcPr>
          <w:p w:rsidRPr="00782FA6" w:rsidR="00DB248A" w:rsidP="00DB248A" w:rsidRDefault="00DB248A" w14:paraId="105D84C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C7EE584" w14:textId="519D668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EBB355B" w14:textId="24CBE0E1">
            <w:pPr>
              <w:spacing w:line="240" w:lineRule="auto"/>
              <w:ind w:firstLine="0"/>
              <w:rPr>
                <w:rFonts w:eastAsia="Aptos" w:cs="Times New Roman"/>
                <w:sz w:val="20"/>
                <w:szCs w:val="20"/>
              </w:rPr>
            </w:pPr>
            <w:proofErr w:type="spellStart"/>
            <w:r w:rsidRPr="00782FA6">
              <w:rPr>
                <w:rFonts w:eastAsia="Aptos" w:cs="Times New Roman"/>
                <w:sz w:val="20"/>
                <w:szCs w:val="20"/>
              </w:rPr>
              <w:t>PanTerra</w:t>
            </w:r>
            <w:proofErr w:type="spellEnd"/>
            <w:r w:rsidRPr="00782FA6">
              <w:rPr>
                <w:rFonts w:eastAsia="Aptos" w:cs="Times New Roman"/>
                <w:sz w:val="20"/>
                <w:szCs w:val="20"/>
              </w:rPr>
              <w:t xml:space="preserve"> Networks Inc.</w:t>
            </w:r>
          </w:p>
        </w:tc>
      </w:tr>
      <w:tr w:rsidRPr="00782FA6" w:rsidR="00DB248A" w:rsidTr="00E52317" w14:paraId="645830BD" w14:textId="77777777">
        <w:trPr>
          <w:trHeight w:val="300"/>
        </w:trPr>
        <w:tc>
          <w:tcPr>
            <w:tcW w:w="1170" w:type="dxa"/>
            <w:noWrap/>
            <w:vAlign w:val="center"/>
            <w:hideMark/>
          </w:tcPr>
          <w:p w:rsidRPr="00782FA6" w:rsidR="00DB248A" w:rsidP="00DB248A" w:rsidRDefault="00DB248A" w14:paraId="53274D87" w14:textId="77777777">
            <w:pPr>
              <w:spacing w:line="240" w:lineRule="auto"/>
              <w:ind w:firstLine="0"/>
              <w:jc w:val="center"/>
              <w:rPr>
                <w:rFonts w:eastAsia="Aptos" w:cs="Times New Roman"/>
                <w:sz w:val="20"/>
                <w:szCs w:val="20"/>
              </w:rPr>
            </w:pPr>
            <w:r w:rsidRPr="00782FA6">
              <w:rPr>
                <w:rFonts w:eastAsia="Aptos" w:cs="Times New Roman"/>
                <w:sz w:val="20"/>
                <w:szCs w:val="20"/>
              </w:rPr>
              <w:t>1403</w:t>
            </w:r>
          </w:p>
        </w:tc>
        <w:tc>
          <w:tcPr>
            <w:tcW w:w="1036" w:type="dxa"/>
            <w:noWrap/>
            <w:vAlign w:val="center"/>
            <w:hideMark/>
          </w:tcPr>
          <w:p w:rsidRPr="00782FA6" w:rsidR="00DB248A" w:rsidP="00DB248A" w:rsidRDefault="00DB248A" w14:paraId="25D60F0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4FDE5AE" w14:textId="27D337E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00A86D6" w14:textId="6B37C142">
            <w:pPr>
              <w:spacing w:line="240" w:lineRule="auto"/>
              <w:ind w:firstLine="0"/>
              <w:rPr>
                <w:rFonts w:eastAsia="Aptos" w:cs="Times New Roman"/>
                <w:sz w:val="20"/>
                <w:szCs w:val="20"/>
              </w:rPr>
            </w:pPr>
            <w:r w:rsidRPr="00782FA6">
              <w:rPr>
                <w:rFonts w:eastAsia="Aptos" w:cs="Times New Roman"/>
                <w:sz w:val="20"/>
                <w:szCs w:val="20"/>
              </w:rPr>
              <w:t>Telnet Worldwide Inc.</w:t>
            </w:r>
          </w:p>
        </w:tc>
      </w:tr>
      <w:tr w:rsidRPr="00782FA6" w:rsidR="00DB248A" w:rsidTr="00E52317" w14:paraId="28CEB9B3" w14:textId="77777777">
        <w:trPr>
          <w:trHeight w:val="300"/>
        </w:trPr>
        <w:tc>
          <w:tcPr>
            <w:tcW w:w="1170" w:type="dxa"/>
            <w:noWrap/>
            <w:vAlign w:val="center"/>
            <w:hideMark/>
          </w:tcPr>
          <w:p w:rsidRPr="00782FA6" w:rsidR="00DB248A" w:rsidP="00DB248A" w:rsidRDefault="00DB248A" w14:paraId="2652B2D4" w14:textId="77777777">
            <w:pPr>
              <w:spacing w:line="240" w:lineRule="auto"/>
              <w:ind w:firstLine="0"/>
              <w:jc w:val="center"/>
              <w:rPr>
                <w:rFonts w:eastAsia="Aptos" w:cs="Times New Roman"/>
                <w:sz w:val="20"/>
                <w:szCs w:val="20"/>
              </w:rPr>
            </w:pPr>
            <w:r w:rsidRPr="00782FA6">
              <w:rPr>
                <w:rFonts w:eastAsia="Aptos" w:cs="Times New Roman"/>
                <w:sz w:val="20"/>
                <w:szCs w:val="20"/>
              </w:rPr>
              <w:t>1404</w:t>
            </w:r>
          </w:p>
        </w:tc>
        <w:tc>
          <w:tcPr>
            <w:tcW w:w="1036" w:type="dxa"/>
            <w:noWrap/>
            <w:vAlign w:val="center"/>
            <w:hideMark/>
          </w:tcPr>
          <w:p w:rsidRPr="00782FA6" w:rsidR="00DB248A" w:rsidP="00DB248A" w:rsidRDefault="00DB248A" w14:paraId="4DA345A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882A21E" w14:textId="2197A05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BB330CC" w14:textId="2B6122D9">
            <w:pPr>
              <w:spacing w:line="240" w:lineRule="auto"/>
              <w:ind w:firstLine="0"/>
              <w:rPr>
                <w:rFonts w:eastAsia="Aptos" w:cs="Times New Roman"/>
                <w:sz w:val="20"/>
                <w:szCs w:val="20"/>
              </w:rPr>
            </w:pPr>
            <w:r w:rsidRPr="00782FA6">
              <w:rPr>
                <w:rFonts w:eastAsia="Aptos" w:cs="Times New Roman"/>
                <w:sz w:val="20"/>
                <w:szCs w:val="20"/>
              </w:rPr>
              <w:t>Mix Networks Inc.</w:t>
            </w:r>
          </w:p>
        </w:tc>
      </w:tr>
      <w:tr w:rsidRPr="00782FA6" w:rsidR="00DB248A" w:rsidTr="00E52317" w14:paraId="6740DA8D" w14:textId="77777777">
        <w:trPr>
          <w:trHeight w:val="300"/>
        </w:trPr>
        <w:tc>
          <w:tcPr>
            <w:tcW w:w="1170" w:type="dxa"/>
            <w:noWrap/>
            <w:vAlign w:val="center"/>
            <w:hideMark/>
          </w:tcPr>
          <w:p w:rsidRPr="00782FA6" w:rsidR="00DB248A" w:rsidP="00DB248A" w:rsidRDefault="00DB248A" w14:paraId="1DB6DEA6" w14:textId="77777777">
            <w:pPr>
              <w:spacing w:line="240" w:lineRule="auto"/>
              <w:ind w:firstLine="0"/>
              <w:jc w:val="center"/>
              <w:rPr>
                <w:rFonts w:eastAsia="Aptos" w:cs="Times New Roman"/>
                <w:sz w:val="20"/>
                <w:szCs w:val="20"/>
              </w:rPr>
            </w:pPr>
            <w:r w:rsidRPr="00782FA6">
              <w:rPr>
                <w:rFonts w:eastAsia="Aptos" w:cs="Times New Roman"/>
                <w:sz w:val="20"/>
                <w:szCs w:val="20"/>
              </w:rPr>
              <w:t>1406</w:t>
            </w:r>
          </w:p>
        </w:tc>
        <w:tc>
          <w:tcPr>
            <w:tcW w:w="1036" w:type="dxa"/>
            <w:noWrap/>
            <w:vAlign w:val="center"/>
            <w:hideMark/>
          </w:tcPr>
          <w:p w:rsidRPr="00782FA6" w:rsidR="00DB248A" w:rsidP="00DB248A" w:rsidRDefault="00DB248A" w14:paraId="0B8838E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25806D5" w14:textId="0E0AB2C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3FB00E2" w14:textId="56923715">
            <w:pPr>
              <w:spacing w:line="240" w:lineRule="auto"/>
              <w:ind w:firstLine="0"/>
              <w:rPr>
                <w:rFonts w:eastAsia="Aptos" w:cs="Times New Roman"/>
                <w:sz w:val="20"/>
                <w:szCs w:val="20"/>
              </w:rPr>
            </w:pPr>
            <w:r w:rsidRPr="00782FA6">
              <w:rPr>
                <w:rFonts w:eastAsia="Aptos" w:cs="Times New Roman"/>
                <w:sz w:val="20"/>
                <w:szCs w:val="20"/>
              </w:rPr>
              <w:t xml:space="preserve">American Prepaid </w:t>
            </w:r>
            <w:proofErr w:type="spellStart"/>
            <w:r w:rsidRPr="00782FA6">
              <w:rPr>
                <w:rFonts w:eastAsia="Aptos" w:cs="Times New Roman"/>
                <w:sz w:val="20"/>
                <w:szCs w:val="20"/>
              </w:rPr>
              <w:t>Telecard</w:t>
            </w:r>
            <w:proofErr w:type="spellEnd"/>
            <w:r w:rsidRPr="00782FA6">
              <w:rPr>
                <w:rFonts w:eastAsia="Aptos" w:cs="Times New Roman"/>
                <w:sz w:val="20"/>
                <w:szCs w:val="20"/>
              </w:rPr>
              <w:t xml:space="preserve"> Inc.</w:t>
            </w:r>
          </w:p>
        </w:tc>
      </w:tr>
      <w:tr w:rsidRPr="00782FA6" w:rsidR="00DB248A" w:rsidTr="00E52317" w14:paraId="56B3A9CB" w14:textId="77777777">
        <w:trPr>
          <w:trHeight w:val="300"/>
        </w:trPr>
        <w:tc>
          <w:tcPr>
            <w:tcW w:w="1170" w:type="dxa"/>
            <w:noWrap/>
            <w:vAlign w:val="center"/>
            <w:hideMark/>
          </w:tcPr>
          <w:p w:rsidRPr="00782FA6" w:rsidR="00DB248A" w:rsidP="00DB248A" w:rsidRDefault="00DB248A" w14:paraId="3E0D3049" w14:textId="77777777">
            <w:pPr>
              <w:spacing w:line="240" w:lineRule="auto"/>
              <w:ind w:firstLine="0"/>
              <w:jc w:val="center"/>
              <w:rPr>
                <w:rFonts w:eastAsia="Aptos" w:cs="Times New Roman"/>
                <w:sz w:val="20"/>
                <w:szCs w:val="20"/>
              </w:rPr>
            </w:pPr>
            <w:r w:rsidRPr="00782FA6">
              <w:rPr>
                <w:rFonts w:eastAsia="Aptos" w:cs="Times New Roman"/>
                <w:sz w:val="20"/>
                <w:szCs w:val="20"/>
              </w:rPr>
              <w:t>1409</w:t>
            </w:r>
          </w:p>
        </w:tc>
        <w:tc>
          <w:tcPr>
            <w:tcW w:w="1036" w:type="dxa"/>
            <w:noWrap/>
            <w:vAlign w:val="center"/>
            <w:hideMark/>
          </w:tcPr>
          <w:p w:rsidRPr="00782FA6" w:rsidR="00DB248A" w:rsidP="00DB248A" w:rsidRDefault="00DB248A" w14:paraId="1B022AE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BBD0D0E" w14:textId="151BDB9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D3587BC" w14:textId="460AE9ED">
            <w:pPr>
              <w:spacing w:line="240" w:lineRule="auto"/>
              <w:ind w:firstLine="0"/>
              <w:rPr>
                <w:rFonts w:eastAsia="Aptos" w:cs="Times New Roman"/>
                <w:sz w:val="20"/>
                <w:szCs w:val="20"/>
              </w:rPr>
            </w:pPr>
            <w:r w:rsidRPr="00782FA6">
              <w:rPr>
                <w:rFonts w:eastAsia="Aptos" w:cs="Times New Roman"/>
                <w:sz w:val="20"/>
                <w:szCs w:val="20"/>
              </w:rPr>
              <w:t>Extended Office Solutions, Inc.</w:t>
            </w:r>
          </w:p>
        </w:tc>
      </w:tr>
      <w:tr w:rsidRPr="00782FA6" w:rsidR="00DB248A" w:rsidTr="00E52317" w14:paraId="6D40EF4E" w14:textId="77777777">
        <w:trPr>
          <w:trHeight w:val="300"/>
        </w:trPr>
        <w:tc>
          <w:tcPr>
            <w:tcW w:w="1170" w:type="dxa"/>
            <w:noWrap/>
            <w:vAlign w:val="center"/>
            <w:hideMark/>
          </w:tcPr>
          <w:p w:rsidRPr="00782FA6" w:rsidR="00DB248A" w:rsidP="00DB248A" w:rsidRDefault="00DB248A" w14:paraId="4585B573" w14:textId="77777777">
            <w:pPr>
              <w:spacing w:line="240" w:lineRule="auto"/>
              <w:ind w:firstLine="0"/>
              <w:jc w:val="center"/>
              <w:rPr>
                <w:rFonts w:eastAsia="Aptos" w:cs="Times New Roman"/>
                <w:sz w:val="20"/>
                <w:szCs w:val="20"/>
              </w:rPr>
            </w:pPr>
            <w:r w:rsidRPr="00782FA6">
              <w:rPr>
                <w:rFonts w:eastAsia="Aptos" w:cs="Times New Roman"/>
                <w:sz w:val="20"/>
                <w:szCs w:val="20"/>
              </w:rPr>
              <w:t>1410</w:t>
            </w:r>
          </w:p>
        </w:tc>
        <w:tc>
          <w:tcPr>
            <w:tcW w:w="1036" w:type="dxa"/>
            <w:noWrap/>
            <w:vAlign w:val="center"/>
            <w:hideMark/>
          </w:tcPr>
          <w:p w:rsidRPr="00782FA6" w:rsidR="00DB248A" w:rsidP="00DB248A" w:rsidRDefault="00DB248A" w14:paraId="358EDB6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098E28D" w14:textId="2E98B67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48434CB" w14:textId="0EAA9167">
            <w:pPr>
              <w:spacing w:line="240" w:lineRule="auto"/>
              <w:ind w:firstLine="0"/>
              <w:rPr>
                <w:rFonts w:eastAsia="Aptos" w:cs="Times New Roman"/>
                <w:sz w:val="20"/>
                <w:szCs w:val="20"/>
              </w:rPr>
            </w:pPr>
            <w:r w:rsidRPr="00782FA6">
              <w:rPr>
                <w:rFonts w:eastAsia="Aptos" w:cs="Times New Roman"/>
                <w:sz w:val="20"/>
                <w:szCs w:val="20"/>
              </w:rPr>
              <w:t>GoTel Communications, LLC</w:t>
            </w:r>
          </w:p>
        </w:tc>
      </w:tr>
      <w:tr w:rsidRPr="00782FA6" w:rsidR="00DB248A" w:rsidTr="00E52317" w14:paraId="27258AFA" w14:textId="77777777">
        <w:trPr>
          <w:trHeight w:val="300"/>
        </w:trPr>
        <w:tc>
          <w:tcPr>
            <w:tcW w:w="1170" w:type="dxa"/>
            <w:noWrap/>
            <w:vAlign w:val="center"/>
            <w:hideMark/>
          </w:tcPr>
          <w:p w:rsidRPr="00782FA6" w:rsidR="00DB248A" w:rsidP="00DB248A" w:rsidRDefault="00DB248A" w14:paraId="6F29674A" w14:textId="77777777">
            <w:pPr>
              <w:spacing w:line="240" w:lineRule="auto"/>
              <w:ind w:firstLine="0"/>
              <w:jc w:val="center"/>
              <w:rPr>
                <w:rFonts w:eastAsia="Aptos" w:cs="Times New Roman"/>
                <w:sz w:val="20"/>
                <w:szCs w:val="20"/>
              </w:rPr>
            </w:pPr>
            <w:r w:rsidRPr="00782FA6">
              <w:rPr>
                <w:rFonts w:eastAsia="Aptos" w:cs="Times New Roman"/>
                <w:sz w:val="20"/>
                <w:szCs w:val="20"/>
              </w:rPr>
              <w:t>1411</w:t>
            </w:r>
          </w:p>
        </w:tc>
        <w:tc>
          <w:tcPr>
            <w:tcW w:w="1036" w:type="dxa"/>
            <w:noWrap/>
            <w:vAlign w:val="center"/>
            <w:hideMark/>
          </w:tcPr>
          <w:p w:rsidRPr="00782FA6" w:rsidR="00DB248A" w:rsidP="00DB248A" w:rsidRDefault="00DB248A" w14:paraId="226C67B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6A3D773" w14:textId="26DD7EE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3D38543" w14:textId="443815A9">
            <w:pPr>
              <w:spacing w:line="240" w:lineRule="auto"/>
              <w:ind w:firstLine="0"/>
              <w:rPr>
                <w:rFonts w:eastAsia="Aptos" w:cs="Times New Roman"/>
                <w:sz w:val="20"/>
                <w:szCs w:val="20"/>
              </w:rPr>
            </w:pPr>
            <w:r w:rsidRPr="00782FA6">
              <w:rPr>
                <w:rFonts w:eastAsia="Aptos" w:cs="Times New Roman"/>
                <w:sz w:val="20"/>
                <w:szCs w:val="20"/>
              </w:rPr>
              <w:t>Northview Communications Inc.</w:t>
            </w:r>
          </w:p>
        </w:tc>
      </w:tr>
      <w:tr w:rsidRPr="00782FA6" w:rsidR="00DB248A" w:rsidTr="00E52317" w14:paraId="2EF0F22D" w14:textId="77777777">
        <w:trPr>
          <w:trHeight w:val="300"/>
        </w:trPr>
        <w:tc>
          <w:tcPr>
            <w:tcW w:w="1170" w:type="dxa"/>
            <w:noWrap/>
            <w:vAlign w:val="center"/>
            <w:hideMark/>
          </w:tcPr>
          <w:p w:rsidRPr="00782FA6" w:rsidR="00DB248A" w:rsidP="00DB248A" w:rsidRDefault="00DB248A" w14:paraId="665163AC" w14:textId="77777777">
            <w:pPr>
              <w:spacing w:line="240" w:lineRule="auto"/>
              <w:ind w:firstLine="0"/>
              <w:jc w:val="center"/>
              <w:rPr>
                <w:rFonts w:eastAsia="Aptos" w:cs="Times New Roman"/>
                <w:sz w:val="20"/>
                <w:szCs w:val="20"/>
              </w:rPr>
            </w:pPr>
            <w:r w:rsidRPr="00782FA6">
              <w:rPr>
                <w:rFonts w:eastAsia="Aptos" w:cs="Times New Roman"/>
                <w:sz w:val="20"/>
                <w:szCs w:val="20"/>
              </w:rPr>
              <w:t>1412</w:t>
            </w:r>
          </w:p>
        </w:tc>
        <w:tc>
          <w:tcPr>
            <w:tcW w:w="1036" w:type="dxa"/>
            <w:noWrap/>
            <w:vAlign w:val="center"/>
            <w:hideMark/>
          </w:tcPr>
          <w:p w:rsidRPr="00782FA6" w:rsidR="00DB248A" w:rsidP="00DB248A" w:rsidRDefault="00DB248A" w14:paraId="5B69A8E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24CA689" w14:textId="6BF84EA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F829E6E" w14:textId="468D3590">
            <w:pPr>
              <w:spacing w:line="240" w:lineRule="auto"/>
              <w:ind w:firstLine="0"/>
              <w:rPr>
                <w:rFonts w:eastAsia="Aptos" w:cs="Times New Roman"/>
                <w:sz w:val="20"/>
                <w:szCs w:val="20"/>
              </w:rPr>
            </w:pPr>
            <w:r w:rsidRPr="00782FA6">
              <w:rPr>
                <w:rFonts w:eastAsia="Aptos" w:cs="Times New Roman"/>
                <w:sz w:val="20"/>
                <w:szCs w:val="20"/>
              </w:rPr>
              <w:t>Skype Communications US Corporation</w:t>
            </w:r>
          </w:p>
        </w:tc>
      </w:tr>
      <w:tr w:rsidRPr="00782FA6" w:rsidR="00DB248A" w:rsidTr="00E52317" w14:paraId="4000D953" w14:textId="77777777">
        <w:trPr>
          <w:trHeight w:val="300"/>
        </w:trPr>
        <w:tc>
          <w:tcPr>
            <w:tcW w:w="1170" w:type="dxa"/>
            <w:noWrap/>
            <w:vAlign w:val="center"/>
            <w:hideMark/>
          </w:tcPr>
          <w:p w:rsidRPr="00782FA6" w:rsidR="00DB248A" w:rsidP="00DB248A" w:rsidRDefault="00DB248A" w14:paraId="6C876BDB" w14:textId="77777777">
            <w:pPr>
              <w:spacing w:line="240" w:lineRule="auto"/>
              <w:ind w:firstLine="0"/>
              <w:jc w:val="center"/>
              <w:rPr>
                <w:rFonts w:eastAsia="Aptos" w:cs="Times New Roman"/>
                <w:sz w:val="20"/>
                <w:szCs w:val="20"/>
              </w:rPr>
            </w:pPr>
            <w:r w:rsidRPr="00782FA6">
              <w:rPr>
                <w:rFonts w:eastAsia="Aptos" w:cs="Times New Roman"/>
                <w:sz w:val="20"/>
                <w:szCs w:val="20"/>
              </w:rPr>
              <w:t>1417</w:t>
            </w:r>
          </w:p>
        </w:tc>
        <w:tc>
          <w:tcPr>
            <w:tcW w:w="1036" w:type="dxa"/>
            <w:noWrap/>
            <w:vAlign w:val="center"/>
            <w:hideMark/>
          </w:tcPr>
          <w:p w:rsidRPr="00782FA6" w:rsidR="00DB248A" w:rsidP="00DB248A" w:rsidRDefault="00DB248A" w14:paraId="2241A3A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8D14C11" w14:textId="10E4FFA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B2FF125" w14:textId="419DABB6">
            <w:pPr>
              <w:spacing w:line="240" w:lineRule="auto"/>
              <w:ind w:firstLine="0"/>
              <w:rPr>
                <w:rFonts w:eastAsia="Aptos" w:cs="Times New Roman"/>
                <w:sz w:val="20"/>
                <w:szCs w:val="20"/>
              </w:rPr>
            </w:pPr>
            <w:r w:rsidRPr="00782FA6">
              <w:rPr>
                <w:rFonts w:eastAsia="Aptos" w:cs="Times New Roman"/>
                <w:sz w:val="20"/>
                <w:szCs w:val="20"/>
              </w:rPr>
              <w:t>Happy Hamster Computer Repair LLC</w:t>
            </w:r>
          </w:p>
        </w:tc>
      </w:tr>
      <w:tr w:rsidRPr="00782FA6" w:rsidR="00DB248A" w:rsidTr="00E52317" w14:paraId="45EB160A" w14:textId="77777777">
        <w:trPr>
          <w:trHeight w:val="300"/>
        </w:trPr>
        <w:tc>
          <w:tcPr>
            <w:tcW w:w="1170" w:type="dxa"/>
            <w:noWrap/>
            <w:vAlign w:val="center"/>
            <w:hideMark/>
          </w:tcPr>
          <w:p w:rsidRPr="00782FA6" w:rsidR="00DB248A" w:rsidP="00DB248A" w:rsidRDefault="00DB248A" w14:paraId="7B9E10E7" w14:textId="77777777">
            <w:pPr>
              <w:spacing w:line="240" w:lineRule="auto"/>
              <w:ind w:firstLine="0"/>
              <w:jc w:val="center"/>
              <w:rPr>
                <w:rFonts w:eastAsia="Aptos" w:cs="Times New Roman"/>
                <w:sz w:val="20"/>
                <w:szCs w:val="20"/>
              </w:rPr>
            </w:pPr>
            <w:r w:rsidRPr="00782FA6">
              <w:rPr>
                <w:rFonts w:eastAsia="Aptos" w:cs="Times New Roman"/>
                <w:sz w:val="20"/>
                <w:szCs w:val="20"/>
              </w:rPr>
              <w:t>1420</w:t>
            </w:r>
          </w:p>
        </w:tc>
        <w:tc>
          <w:tcPr>
            <w:tcW w:w="1036" w:type="dxa"/>
            <w:noWrap/>
            <w:vAlign w:val="center"/>
            <w:hideMark/>
          </w:tcPr>
          <w:p w:rsidRPr="00782FA6" w:rsidR="00DB248A" w:rsidP="00DB248A" w:rsidRDefault="00DB248A" w14:paraId="79FB604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1873F1B" w14:textId="25DF8CB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BA8A502" w14:textId="7060180B">
            <w:pPr>
              <w:spacing w:line="240" w:lineRule="auto"/>
              <w:ind w:firstLine="0"/>
              <w:rPr>
                <w:rFonts w:eastAsia="Aptos" w:cs="Times New Roman"/>
                <w:sz w:val="20"/>
                <w:szCs w:val="20"/>
              </w:rPr>
            </w:pPr>
            <w:r w:rsidRPr="00782FA6">
              <w:rPr>
                <w:rFonts w:eastAsia="Aptos" w:cs="Times New Roman"/>
                <w:sz w:val="20"/>
                <w:szCs w:val="20"/>
              </w:rPr>
              <w:t>Fresno Area Telephone</w:t>
            </w:r>
            <w:r>
              <w:rPr>
                <w:rFonts w:eastAsia="Aptos" w:cs="Times New Roman"/>
                <w:sz w:val="20"/>
                <w:szCs w:val="20"/>
              </w:rPr>
              <w:t xml:space="preserve"> &amp; </w:t>
            </w:r>
            <w:r w:rsidRPr="00782FA6">
              <w:rPr>
                <w:rFonts w:eastAsia="Aptos" w:cs="Times New Roman"/>
                <w:sz w:val="20"/>
                <w:szCs w:val="20"/>
              </w:rPr>
              <w:t>PBX</w:t>
            </w:r>
          </w:p>
        </w:tc>
      </w:tr>
      <w:tr w:rsidRPr="00782FA6" w:rsidR="00DB248A" w:rsidTr="00E52317" w14:paraId="023BC2D2" w14:textId="77777777">
        <w:trPr>
          <w:trHeight w:val="300"/>
        </w:trPr>
        <w:tc>
          <w:tcPr>
            <w:tcW w:w="1170" w:type="dxa"/>
            <w:noWrap/>
            <w:vAlign w:val="center"/>
            <w:hideMark/>
          </w:tcPr>
          <w:p w:rsidRPr="00782FA6" w:rsidR="00DB248A" w:rsidP="00DB248A" w:rsidRDefault="00DB248A" w14:paraId="66B950F3" w14:textId="77777777">
            <w:pPr>
              <w:spacing w:line="240" w:lineRule="auto"/>
              <w:ind w:firstLine="0"/>
              <w:jc w:val="center"/>
              <w:rPr>
                <w:rFonts w:eastAsia="Aptos" w:cs="Times New Roman"/>
                <w:sz w:val="20"/>
                <w:szCs w:val="20"/>
              </w:rPr>
            </w:pPr>
            <w:r w:rsidRPr="00782FA6">
              <w:rPr>
                <w:rFonts w:eastAsia="Aptos" w:cs="Times New Roman"/>
                <w:sz w:val="20"/>
                <w:szCs w:val="20"/>
              </w:rPr>
              <w:t>1422</w:t>
            </w:r>
          </w:p>
        </w:tc>
        <w:tc>
          <w:tcPr>
            <w:tcW w:w="1036" w:type="dxa"/>
            <w:noWrap/>
            <w:vAlign w:val="center"/>
            <w:hideMark/>
          </w:tcPr>
          <w:p w:rsidRPr="00782FA6" w:rsidR="00DB248A" w:rsidP="00DB248A" w:rsidRDefault="00DB248A" w14:paraId="6E6379E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C90814B" w14:textId="252EFAF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9479363" w14:textId="2C8CB1DF">
            <w:pPr>
              <w:spacing w:line="240" w:lineRule="auto"/>
              <w:ind w:firstLine="0"/>
              <w:rPr>
                <w:rFonts w:eastAsia="Aptos" w:cs="Times New Roman"/>
                <w:sz w:val="20"/>
                <w:szCs w:val="20"/>
              </w:rPr>
            </w:pPr>
            <w:r w:rsidRPr="00782FA6">
              <w:rPr>
                <w:rFonts w:eastAsia="Aptos" w:cs="Times New Roman"/>
                <w:sz w:val="20"/>
                <w:szCs w:val="20"/>
              </w:rPr>
              <w:t>DSCI, LLC</w:t>
            </w:r>
          </w:p>
        </w:tc>
      </w:tr>
      <w:tr w:rsidRPr="00782FA6" w:rsidR="00DB248A" w:rsidTr="00E52317" w14:paraId="6D6E2701" w14:textId="77777777">
        <w:trPr>
          <w:trHeight w:val="300"/>
        </w:trPr>
        <w:tc>
          <w:tcPr>
            <w:tcW w:w="1170" w:type="dxa"/>
            <w:noWrap/>
            <w:vAlign w:val="center"/>
            <w:hideMark/>
          </w:tcPr>
          <w:p w:rsidRPr="00782FA6" w:rsidR="00DB248A" w:rsidP="00DB248A" w:rsidRDefault="00DB248A" w14:paraId="49AD9FEC" w14:textId="77777777">
            <w:pPr>
              <w:spacing w:line="240" w:lineRule="auto"/>
              <w:ind w:firstLine="0"/>
              <w:jc w:val="center"/>
              <w:rPr>
                <w:rFonts w:eastAsia="Aptos" w:cs="Times New Roman"/>
                <w:sz w:val="20"/>
                <w:szCs w:val="20"/>
              </w:rPr>
            </w:pPr>
            <w:r w:rsidRPr="00782FA6">
              <w:rPr>
                <w:rFonts w:eastAsia="Aptos" w:cs="Times New Roman"/>
                <w:sz w:val="20"/>
                <w:szCs w:val="20"/>
              </w:rPr>
              <w:t>1423</w:t>
            </w:r>
          </w:p>
        </w:tc>
        <w:tc>
          <w:tcPr>
            <w:tcW w:w="1036" w:type="dxa"/>
            <w:noWrap/>
            <w:vAlign w:val="center"/>
            <w:hideMark/>
          </w:tcPr>
          <w:p w:rsidRPr="00782FA6" w:rsidR="00DB248A" w:rsidP="00DB248A" w:rsidRDefault="00DB248A" w14:paraId="24DCEBF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FE19933" w14:textId="6250080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A553B4C" w14:textId="3EBCE673">
            <w:pPr>
              <w:spacing w:line="240" w:lineRule="auto"/>
              <w:ind w:firstLine="0"/>
              <w:rPr>
                <w:rFonts w:eastAsia="Aptos" w:cs="Times New Roman"/>
                <w:sz w:val="20"/>
                <w:szCs w:val="20"/>
              </w:rPr>
            </w:pPr>
            <w:r w:rsidRPr="00782FA6">
              <w:rPr>
                <w:rFonts w:eastAsia="Aptos" w:cs="Times New Roman"/>
                <w:sz w:val="20"/>
                <w:szCs w:val="20"/>
              </w:rPr>
              <w:t>NTT America, Inc.</w:t>
            </w:r>
          </w:p>
        </w:tc>
      </w:tr>
      <w:tr w:rsidRPr="00782FA6" w:rsidR="00DB248A" w:rsidTr="00E52317" w14:paraId="4B22B29F" w14:textId="77777777">
        <w:trPr>
          <w:trHeight w:val="300"/>
        </w:trPr>
        <w:tc>
          <w:tcPr>
            <w:tcW w:w="1170" w:type="dxa"/>
            <w:noWrap/>
            <w:vAlign w:val="center"/>
            <w:hideMark/>
          </w:tcPr>
          <w:p w:rsidRPr="00782FA6" w:rsidR="00DB248A" w:rsidP="00DB248A" w:rsidRDefault="00DB248A" w14:paraId="35DB329F" w14:textId="77777777">
            <w:pPr>
              <w:spacing w:line="240" w:lineRule="auto"/>
              <w:ind w:firstLine="0"/>
              <w:jc w:val="center"/>
              <w:rPr>
                <w:rFonts w:eastAsia="Aptos" w:cs="Times New Roman"/>
                <w:sz w:val="20"/>
                <w:szCs w:val="20"/>
              </w:rPr>
            </w:pPr>
            <w:r w:rsidRPr="00782FA6">
              <w:rPr>
                <w:rFonts w:eastAsia="Aptos" w:cs="Times New Roman"/>
                <w:sz w:val="20"/>
                <w:szCs w:val="20"/>
              </w:rPr>
              <w:t>1424</w:t>
            </w:r>
          </w:p>
        </w:tc>
        <w:tc>
          <w:tcPr>
            <w:tcW w:w="1036" w:type="dxa"/>
            <w:noWrap/>
            <w:vAlign w:val="center"/>
            <w:hideMark/>
          </w:tcPr>
          <w:p w:rsidRPr="00782FA6" w:rsidR="00DB248A" w:rsidP="00DB248A" w:rsidRDefault="00DB248A" w14:paraId="3531CEE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C702B34" w14:textId="4206C95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2DB8F9E" w14:textId="3CBF280C">
            <w:pPr>
              <w:spacing w:line="240" w:lineRule="auto"/>
              <w:ind w:firstLine="0"/>
              <w:rPr>
                <w:rFonts w:eastAsia="Aptos" w:cs="Times New Roman"/>
                <w:sz w:val="20"/>
                <w:szCs w:val="20"/>
              </w:rPr>
            </w:pPr>
            <w:proofErr w:type="spellStart"/>
            <w:r w:rsidRPr="00782FA6">
              <w:rPr>
                <w:rFonts w:eastAsia="Aptos" w:cs="Times New Roman"/>
                <w:sz w:val="20"/>
                <w:szCs w:val="20"/>
              </w:rPr>
              <w:t>Ipitomy</w:t>
            </w:r>
            <w:proofErr w:type="spellEnd"/>
            <w:r w:rsidRPr="00782FA6">
              <w:rPr>
                <w:rFonts w:eastAsia="Aptos" w:cs="Times New Roman"/>
                <w:sz w:val="20"/>
                <w:szCs w:val="20"/>
              </w:rPr>
              <w:t xml:space="preserve"> Communications LLC</w:t>
            </w:r>
          </w:p>
        </w:tc>
      </w:tr>
      <w:tr w:rsidRPr="00782FA6" w:rsidR="00DB248A" w:rsidTr="00E52317" w14:paraId="53E7924A" w14:textId="77777777">
        <w:trPr>
          <w:trHeight w:val="300"/>
        </w:trPr>
        <w:tc>
          <w:tcPr>
            <w:tcW w:w="1170" w:type="dxa"/>
            <w:noWrap/>
            <w:vAlign w:val="center"/>
            <w:hideMark/>
          </w:tcPr>
          <w:p w:rsidRPr="00782FA6" w:rsidR="00DB248A" w:rsidP="00DB248A" w:rsidRDefault="00DB248A" w14:paraId="0D2B556E" w14:textId="77777777">
            <w:pPr>
              <w:spacing w:line="240" w:lineRule="auto"/>
              <w:ind w:firstLine="0"/>
              <w:jc w:val="center"/>
              <w:rPr>
                <w:rFonts w:eastAsia="Aptos" w:cs="Times New Roman"/>
                <w:sz w:val="20"/>
                <w:szCs w:val="20"/>
              </w:rPr>
            </w:pPr>
            <w:r w:rsidRPr="00782FA6">
              <w:rPr>
                <w:rFonts w:eastAsia="Aptos" w:cs="Times New Roman"/>
                <w:sz w:val="20"/>
                <w:szCs w:val="20"/>
              </w:rPr>
              <w:t>1425</w:t>
            </w:r>
          </w:p>
        </w:tc>
        <w:tc>
          <w:tcPr>
            <w:tcW w:w="1036" w:type="dxa"/>
            <w:noWrap/>
            <w:vAlign w:val="center"/>
            <w:hideMark/>
          </w:tcPr>
          <w:p w:rsidRPr="00782FA6" w:rsidR="00DB248A" w:rsidP="00DB248A" w:rsidRDefault="00DB248A" w14:paraId="5279245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810EE4B" w14:textId="3D970B7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C7507F6" w14:textId="4636315F">
            <w:pPr>
              <w:spacing w:line="240" w:lineRule="auto"/>
              <w:ind w:firstLine="0"/>
              <w:rPr>
                <w:rFonts w:eastAsia="Aptos" w:cs="Times New Roman"/>
                <w:sz w:val="20"/>
                <w:szCs w:val="20"/>
              </w:rPr>
            </w:pPr>
            <w:proofErr w:type="spellStart"/>
            <w:r w:rsidRPr="00782FA6">
              <w:rPr>
                <w:rFonts w:eastAsia="Aptos" w:cs="Times New Roman"/>
                <w:sz w:val="20"/>
                <w:szCs w:val="20"/>
              </w:rPr>
              <w:t>Bludog</w:t>
            </w:r>
            <w:proofErr w:type="spellEnd"/>
            <w:r w:rsidRPr="00782FA6">
              <w:rPr>
                <w:rFonts w:eastAsia="Aptos" w:cs="Times New Roman"/>
                <w:sz w:val="20"/>
                <w:szCs w:val="20"/>
              </w:rPr>
              <w:t xml:space="preserve"> Telecom Inc.</w:t>
            </w:r>
          </w:p>
        </w:tc>
      </w:tr>
      <w:tr w:rsidRPr="00782FA6" w:rsidR="00DB248A" w:rsidTr="00E52317" w14:paraId="6DDDD118" w14:textId="77777777">
        <w:trPr>
          <w:trHeight w:val="300"/>
        </w:trPr>
        <w:tc>
          <w:tcPr>
            <w:tcW w:w="1170" w:type="dxa"/>
            <w:noWrap/>
            <w:vAlign w:val="center"/>
            <w:hideMark/>
          </w:tcPr>
          <w:p w:rsidRPr="00782FA6" w:rsidR="00DB248A" w:rsidP="00DB248A" w:rsidRDefault="00DB248A" w14:paraId="75E3FD44" w14:textId="77777777">
            <w:pPr>
              <w:spacing w:line="240" w:lineRule="auto"/>
              <w:ind w:firstLine="0"/>
              <w:jc w:val="center"/>
              <w:rPr>
                <w:rFonts w:eastAsia="Aptos" w:cs="Times New Roman"/>
                <w:sz w:val="20"/>
                <w:szCs w:val="20"/>
              </w:rPr>
            </w:pPr>
            <w:r w:rsidRPr="00782FA6">
              <w:rPr>
                <w:rFonts w:eastAsia="Aptos" w:cs="Times New Roman"/>
                <w:sz w:val="20"/>
                <w:szCs w:val="20"/>
              </w:rPr>
              <w:t>1427</w:t>
            </w:r>
          </w:p>
        </w:tc>
        <w:tc>
          <w:tcPr>
            <w:tcW w:w="1036" w:type="dxa"/>
            <w:noWrap/>
            <w:vAlign w:val="center"/>
            <w:hideMark/>
          </w:tcPr>
          <w:p w:rsidRPr="00782FA6" w:rsidR="00DB248A" w:rsidP="00DB248A" w:rsidRDefault="00DB248A" w14:paraId="4678187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93EE494" w14:textId="4525C58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8500D6A" w14:textId="2C92727D">
            <w:pPr>
              <w:spacing w:line="240" w:lineRule="auto"/>
              <w:ind w:firstLine="0"/>
              <w:rPr>
                <w:rFonts w:eastAsia="Aptos" w:cs="Times New Roman"/>
                <w:sz w:val="20"/>
                <w:szCs w:val="20"/>
              </w:rPr>
            </w:pPr>
            <w:r w:rsidRPr="00782FA6">
              <w:rPr>
                <w:rFonts w:eastAsia="Aptos" w:cs="Times New Roman"/>
                <w:sz w:val="20"/>
                <w:szCs w:val="20"/>
              </w:rPr>
              <w:t>SIP.US LLC</w:t>
            </w:r>
          </w:p>
        </w:tc>
      </w:tr>
      <w:tr w:rsidRPr="00782FA6" w:rsidR="00DB248A" w:rsidTr="00E52317" w14:paraId="2D1A69B6" w14:textId="77777777">
        <w:trPr>
          <w:trHeight w:val="300"/>
        </w:trPr>
        <w:tc>
          <w:tcPr>
            <w:tcW w:w="1170" w:type="dxa"/>
            <w:noWrap/>
            <w:vAlign w:val="center"/>
            <w:hideMark/>
          </w:tcPr>
          <w:p w:rsidRPr="00782FA6" w:rsidR="00DB248A" w:rsidP="00DB248A" w:rsidRDefault="00DB248A" w14:paraId="71AB708E" w14:textId="77777777">
            <w:pPr>
              <w:spacing w:line="240" w:lineRule="auto"/>
              <w:ind w:firstLine="0"/>
              <w:jc w:val="center"/>
              <w:rPr>
                <w:rFonts w:eastAsia="Aptos" w:cs="Times New Roman"/>
                <w:sz w:val="20"/>
                <w:szCs w:val="20"/>
              </w:rPr>
            </w:pPr>
            <w:r w:rsidRPr="00782FA6">
              <w:rPr>
                <w:rFonts w:eastAsia="Aptos" w:cs="Times New Roman"/>
                <w:sz w:val="20"/>
                <w:szCs w:val="20"/>
              </w:rPr>
              <w:t>1428</w:t>
            </w:r>
          </w:p>
        </w:tc>
        <w:tc>
          <w:tcPr>
            <w:tcW w:w="1036" w:type="dxa"/>
            <w:noWrap/>
            <w:vAlign w:val="center"/>
            <w:hideMark/>
          </w:tcPr>
          <w:p w:rsidRPr="00782FA6" w:rsidR="00DB248A" w:rsidP="00DB248A" w:rsidRDefault="00DB248A" w14:paraId="5909E96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191F50C" w14:textId="78FE252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C4BEAF5" w14:textId="4CD3B9F6">
            <w:pPr>
              <w:spacing w:line="240" w:lineRule="auto"/>
              <w:ind w:firstLine="0"/>
              <w:rPr>
                <w:rFonts w:eastAsia="Aptos" w:cs="Times New Roman"/>
                <w:sz w:val="20"/>
                <w:szCs w:val="20"/>
              </w:rPr>
            </w:pPr>
            <w:proofErr w:type="spellStart"/>
            <w:r w:rsidRPr="00782FA6">
              <w:rPr>
                <w:rFonts w:eastAsia="Aptos" w:cs="Times New Roman"/>
                <w:sz w:val="20"/>
                <w:szCs w:val="20"/>
              </w:rPr>
              <w:t>Votacall</w:t>
            </w:r>
            <w:proofErr w:type="spellEnd"/>
            <w:r w:rsidRPr="00782FA6">
              <w:rPr>
                <w:rFonts w:eastAsia="Aptos" w:cs="Times New Roman"/>
                <w:sz w:val="20"/>
                <w:szCs w:val="20"/>
              </w:rPr>
              <w:t>, Inc.</w:t>
            </w:r>
          </w:p>
        </w:tc>
      </w:tr>
      <w:tr w:rsidRPr="00782FA6" w:rsidR="00DB248A" w:rsidTr="00E52317" w14:paraId="31570FD5" w14:textId="77777777">
        <w:trPr>
          <w:trHeight w:val="300"/>
        </w:trPr>
        <w:tc>
          <w:tcPr>
            <w:tcW w:w="1170" w:type="dxa"/>
            <w:noWrap/>
            <w:vAlign w:val="center"/>
            <w:hideMark/>
          </w:tcPr>
          <w:p w:rsidRPr="00782FA6" w:rsidR="00DB248A" w:rsidP="00DB248A" w:rsidRDefault="00DB248A" w14:paraId="69563020" w14:textId="77777777">
            <w:pPr>
              <w:spacing w:line="240" w:lineRule="auto"/>
              <w:ind w:firstLine="0"/>
              <w:jc w:val="center"/>
              <w:rPr>
                <w:rFonts w:eastAsia="Aptos" w:cs="Times New Roman"/>
                <w:sz w:val="20"/>
                <w:szCs w:val="20"/>
              </w:rPr>
            </w:pPr>
            <w:r w:rsidRPr="00782FA6">
              <w:rPr>
                <w:rFonts w:eastAsia="Aptos" w:cs="Times New Roman"/>
                <w:sz w:val="20"/>
                <w:szCs w:val="20"/>
              </w:rPr>
              <w:t>1429</w:t>
            </w:r>
          </w:p>
        </w:tc>
        <w:tc>
          <w:tcPr>
            <w:tcW w:w="1036" w:type="dxa"/>
            <w:noWrap/>
            <w:vAlign w:val="center"/>
            <w:hideMark/>
          </w:tcPr>
          <w:p w:rsidRPr="00782FA6" w:rsidR="00DB248A" w:rsidP="00DB248A" w:rsidRDefault="00DB248A" w14:paraId="2A8120A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5C9F296" w14:textId="6A9FD77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6CD94A2" w14:textId="0772AFAB">
            <w:pPr>
              <w:spacing w:line="240" w:lineRule="auto"/>
              <w:ind w:firstLine="0"/>
              <w:rPr>
                <w:rFonts w:eastAsia="Aptos" w:cs="Times New Roman"/>
                <w:sz w:val="20"/>
                <w:szCs w:val="20"/>
              </w:rPr>
            </w:pPr>
            <w:r w:rsidRPr="00782FA6">
              <w:rPr>
                <w:rFonts w:eastAsia="Aptos" w:cs="Times New Roman"/>
                <w:sz w:val="20"/>
                <w:szCs w:val="20"/>
              </w:rPr>
              <w:t>MagicJack SMB, Inc.</w:t>
            </w:r>
          </w:p>
        </w:tc>
      </w:tr>
      <w:tr w:rsidRPr="00782FA6" w:rsidR="00DB248A" w:rsidTr="00E52317" w14:paraId="7A187BF6" w14:textId="77777777">
        <w:trPr>
          <w:trHeight w:val="300"/>
        </w:trPr>
        <w:tc>
          <w:tcPr>
            <w:tcW w:w="1170" w:type="dxa"/>
            <w:noWrap/>
            <w:vAlign w:val="center"/>
            <w:hideMark/>
          </w:tcPr>
          <w:p w:rsidRPr="00782FA6" w:rsidR="00DB248A" w:rsidP="00DB248A" w:rsidRDefault="00DB248A" w14:paraId="7407293B" w14:textId="77777777">
            <w:pPr>
              <w:spacing w:line="240" w:lineRule="auto"/>
              <w:ind w:firstLine="0"/>
              <w:jc w:val="center"/>
              <w:rPr>
                <w:rFonts w:eastAsia="Aptos" w:cs="Times New Roman"/>
                <w:sz w:val="20"/>
                <w:szCs w:val="20"/>
              </w:rPr>
            </w:pPr>
            <w:r w:rsidRPr="00782FA6">
              <w:rPr>
                <w:rFonts w:eastAsia="Aptos" w:cs="Times New Roman"/>
                <w:sz w:val="20"/>
                <w:szCs w:val="20"/>
              </w:rPr>
              <w:t>1431</w:t>
            </w:r>
          </w:p>
        </w:tc>
        <w:tc>
          <w:tcPr>
            <w:tcW w:w="1036" w:type="dxa"/>
            <w:noWrap/>
            <w:vAlign w:val="center"/>
            <w:hideMark/>
          </w:tcPr>
          <w:p w:rsidRPr="00782FA6" w:rsidR="00DB248A" w:rsidP="00DB248A" w:rsidRDefault="00DB248A" w14:paraId="51C5A7E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5C2BE83" w14:textId="0C8524E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6C64EDD" w14:textId="3F6C3890">
            <w:pPr>
              <w:spacing w:line="240" w:lineRule="auto"/>
              <w:ind w:firstLine="0"/>
              <w:rPr>
                <w:rFonts w:eastAsia="Aptos" w:cs="Times New Roman"/>
                <w:sz w:val="20"/>
                <w:szCs w:val="20"/>
              </w:rPr>
            </w:pPr>
            <w:proofErr w:type="spellStart"/>
            <w:r w:rsidRPr="00782FA6">
              <w:rPr>
                <w:rFonts w:eastAsia="Aptos" w:cs="Times New Roman"/>
                <w:sz w:val="20"/>
                <w:szCs w:val="20"/>
              </w:rPr>
              <w:t>QuantumShift</w:t>
            </w:r>
            <w:proofErr w:type="spellEnd"/>
            <w:r w:rsidRPr="00782FA6">
              <w:rPr>
                <w:rFonts w:eastAsia="Aptos" w:cs="Times New Roman"/>
                <w:sz w:val="20"/>
                <w:szCs w:val="20"/>
              </w:rPr>
              <w:t xml:space="preserve"> Communications, Inc.</w:t>
            </w:r>
          </w:p>
        </w:tc>
      </w:tr>
      <w:tr w:rsidRPr="00782FA6" w:rsidR="00DB248A" w:rsidTr="00E52317" w14:paraId="025D8451" w14:textId="77777777">
        <w:trPr>
          <w:trHeight w:val="300"/>
        </w:trPr>
        <w:tc>
          <w:tcPr>
            <w:tcW w:w="1170" w:type="dxa"/>
            <w:noWrap/>
            <w:vAlign w:val="center"/>
            <w:hideMark/>
          </w:tcPr>
          <w:p w:rsidRPr="00782FA6" w:rsidR="00DB248A" w:rsidP="00DB248A" w:rsidRDefault="00DB248A" w14:paraId="18589590" w14:textId="77777777">
            <w:pPr>
              <w:spacing w:line="240" w:lineRule="auto"/>
              <w:ind w:firstLine="0"/>
              <w:jc w:val="center"/>
              <w:rPr>
                <w:rFonts w:eastAsia="Aptos" w:cs="Times New Roman"/>
                <w:sz w:val="20"/>
                <w:szCs w:val="20"/>
              </w:rPr>
            </w:pPr>
            <w:r w:rsidRPr="00782FA6">
              <w:rPr>
                <w:rFonts w:eastAsia="Aptos" w:cs="Times New Roman"/>
                <w:sz w:val="20"/>
                <w:szCs w:val="20"/>
              </w:rPr>
              <w:t>1432</w:t>
            </w:r>
          </w:p>
        </w:tc>
        <w:tc>
          <w:tcPr>
            <w:tcW w:w="1036" w:type="dxa"/>
            <w:noWrap/>
            <w:vAlign w:val="center"/>
            <w:hideMark/>
          </w:tcPr>
          <w:p w:rsidRPr="00782FA6" w:rsidR="00DB248A" w:rsidP="00DB248A" w:rsidRDefault="00DB248A" w14:paraId="196E7F4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217BBA7" w14:textId="267FAC6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F153842" w14:textId="0B136509">
            <w:pPr>
              <w:spacing w:line="240" w:lineRule="auto"/>
              <w:ind w:firstLine="0"/>
              <w:rPr>
                <w:rFonts w:eastAsia="Aptos" w:cs="Times New Roman"/>
                <w:sz w:val="20"/>
                <w:szCs w:val="20"/>
              </w:rPr>
            </w:pPr>
            <w:proofErr w:type="spellStart"/>
            <w:r w:rsidRPr="00782FA6">
              <w:rPr>
                <w:rFonts w:eastAsia="Aptos" w:cs="Times New Roman"/>
                <w:sz w:val="20"/>
                <w:szCs w:val="20"/>
              </w:rPr>
              <w:t>SimpleVoIP</w:t>
            </w:r>
            <w:proofErr w:type="spellEnd"/>
            <w:r w:rsidRPr="00782FA6">
              <w:rPr>
                <w:rFonts w:eastAsia="Aptos" w:cs="Times New Roman"/>
                <w:sz w:val="20"/>
                <w:szCs w:val="20"/>
              </w:rPr>
              <w:t>, LLC</w:t>
            </w:r>
          </w:p>
        </w:tc>
      </w:tr>
      <w:tr w:rsidRPr="00782FA6" w:rsidR="00DB248A" w:rsidTr="00E52317" w14:paraId="1E76F814" w14:textId="77777777">
        <w:trPr>
          <w:trHeight w:val="300"/>
        </w:trPr>
        <w:tc>
          <w:tcPr>
            <w:tcW w:w="1170" w:type="dxa"/>
            <w:noWrap/>
            <w:vAlign w:val="center"/>
            <w:hideMark/>
          </w:tcPr>
          <w:p w:rsidRPr="00782FA6" w:rsidR="00DB248A" w:rsidP="00DB248A" w:rsidRDefault="00DB248A" w14:paraId="58A9B7F2" w14:textId="77777777">
            <w:pPr>
              <w:spacing w:line="240" w:lineRule="auto"/>
              <w:ind w:firstLine="0"/>
              <w:jc w:val="center"/>
              <w:rPr>
                <w:rFonts w:eastAsia="Aptos" w:cs="Times New Roman"/>
                <w:sz w:val="20"/>
                <w:szCs w:val="20"/>
              </w:rPr>
            </w:pPr>
            <w:r w:rsidRPr="00782FA6">
              <w:rPr>
                <w:rFonts w:eastAsia="Aptos" w:cs="Times New Roman"/>
                <w:sz w:val="20"/>
                <w:szCs w:val="20"/>
              </w:rPr>
              <w:t>1433</w:t>
            </w:r>
          </w:p>
        </w:tc>
        <w:tc>
          <w:tcPr>
            <w:tcW w:w="1036" w:type="dxa"/>
            <w:noWrap/>
            <w:vAlign w:val="center"/>
            <w:hideMark/>
          </w:tcPr>
          <w:p w:rsidRPr="00782FA6" w:rsidR="00DB248A" w:rsidP="00DB248A" w:rsidRDefault="00DB248A" w14:paraId="0202925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E5BF5E7" w14:textId="0F46B3F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7B3D7E9" w14:textId="63869DAE">
            <w:pPr>
              <w:spacing w:line="240" w:lineRule="auto"/>
              <w:ind w:firstLine="0"/>
              <w:rPr>
                <w:rFonts w:eastAsia="Aptos" w:cs="Times New Roman"/>
                <w:sz w:val="20"/>
                <w:szCs w:val="20"/>
              </w:rPr>
            </w:pPr>
            <w:proofErr w:type="spellStart"/>
            <w:r w:rsidRPr="00782FA6">
              <w:rPr>
                <w:rFonts w:eastAsia="Aptos" w:cs="Times New Roman"/>
                <w:sz w:val="20"/>
                <w:szCs w:val="20"/>
              </w:rPr>
              <w:t>CallTower</w:t>
            </w:r>
            <w:proofErr w:type="spellEnd"/>
            <w:r w:rsidRPr="00782FA6">
              <w:rPr>
                <w:rFonts w:eastAsia="Aptos" w:cs="Times New Roman"/>
                <w:sz w:val="20"/>
                <w:szCs w:val="20"/>
              </w:rPr>
              <w:t>, Inc.</w:t>
            </w:r>
          </w:p>
        </w:tc>
      </w:tr>
      <w:tr w:rsidRPr="00782FA6" w:rsidR="00DB248A" w:rsidTr="00E52317" w14:paraId="71D416B7" w14:textId="77777777">
        <w:trPr>
          <w:trHeight w:val="300"/>
        </w:trPr>
        <w:tc>
          <w:tcPr>
            <w:tcW w:w="1170" w:type="dxa"/>
            <w:noWrap/>
            <w:vAlign w:val="center"/>
            <w:hideMark/>
          </w:tcPr>
          <w:p w:rsidRPr="00782FA6" w:rsidR="00DB248A" w:rsidP="00DB248A" w:rsidRDefault="00DB248A" w14:paraId="5517E484" w14:textId="77777777">
            <w:pPr>
              <w:spacing w:line="240" w:lineRule="auto"/>
              <w:ind w:firstLine="0"/>
              <w:jc w:val="center"/>
              <w:rPr>
                <w:rFonts w:eastAsia="Aptos" w:cs="Times New Roman"/>
                <w:sz w:val="20"/>
                <w:szCs w:val="20"/>
              </w:rPr>
            </w:pPr>
            <w:r w:rsidRPr="00782FA6">
              <w:rPr>
                <w:rFonts w:eastAsia="Aptos" w:cs="Times New Roman"/>
                <w:sz w:val="20"/>
                <w:szCs w:val="20"/>
              </w:rPr>
              <w:t>1440</w:t>
            </w:r>
          </w:p>
        </w:tc>
        <w:tc>
          <w:tcPr>
            <w:tcW w:w="1036" w:type="dxa"/>
            <w:noWrap/>
            <w:vAlign w:val="center"/>
            <w:hideMark/>
          </w:tcPr>
          <w:p w:rsidRPr="00782FA6" w:rsidR="00DB248A" w:rsidP="00DB248A" w:rsidRDefault="00DB248A" w14:paraId="10A6803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C48FA99" w14:textId="19F5149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E914C71" w14:textId="68F579A7">
            <w:pPr>
              <w:spacing w:line="240" w:lineRule="auto"/>
              <w:ind w:firstLine="0"/>
              <w:rPr>
                <w:rFonts w:eastAsia="Aptos" w:cs="Times New Roman"/>
                <w:sz w:val="20"/>
                <w:szCs w:val="20"/>
              </w:rPr>
            </w:pPr>
            <w:proofErr w:type="spellStart"/>
            <w:r w:rsidRPr="00782FA6">
              <w:rPr>
                <w:rFonts w:eastAsia="Aptos" w:cs="Times New Roman"/>
                <w:sz w:val="20"/>
                <w:szCs w:val="20"/>
              </w:rPr>
              <w:t>Intelletrace</w:t>
            </w:r>
            <w:proofErr w:type="spellEnd"/>
            <w:r w:rsidRPr="00782FA6">
              <w:rPr>
                <w:rFonts w:eastAsia="Aptos" w:cs="Times New Roman"/>
                <w:sz w:val="20"/>
                <w:szCs w:val="20"/>
              </w:rPr>
              <w:t>, Inc.</w:t>
            </w:r>
          </w:p>
        </w:tc>
      </w:tr>
      <w:tr w:rsidRPr="00782FA6" w:rsidR="00DB248A" w:rsidTr="00E52317" w14:paraId="130FC787" w14:textId="77777777">
        <w:trPr>
          <w:trHeight w:val="300"/>
        </w:trPr>
        <w:tc>
          <w:tcPr>
            <w:tcW w:w="1170" w:type="dxa"/>
            <w:noWrap/>
            <w:vAlign w:val="center"/>
            <w:hideMark/>
          </w:tcPr>
          <w:p w:rsidRPr="00782FA6" w:rsidR="00DB248A" w:rsidP="00DB248A" w:rsidRDefault="00DB248A" w14:paraId="707869EE" w14:textId="77777777">
            <w:pPr>
              <w:spacing w:line="240" w:lineRule="auto"/>
              <w:ind w:firstLine="0"/>
              <w:jc w:val="center"/>
              <w:rPr>
                <w:rFonts w:eastAsia="Aptos" w:cs="Times New Roman"/>
                <w:sz w:val="20"/>
                <w:szCs w:val="20"/>
              </w:rPr>
            </w:pPr>
            <w:r w:rsidRPr="00782FA6">
              <w:rPr>
                <w:rFonts w:eastAsia="Aptos" w:cs="Times New Roman"/>
                <w:sz w:val="20"/>
                <w:szCs w:val="20"/>
              </w:rPr>
              <w:t>1441</w:t>
            </w:r>
          </w:p>
        </w:tc>
        <w:tc>
          <w:tcPr>
            <w:tcW w:w="1036" w:type="dxa"/>
            <w:noWrap/>
            <w:vAlign w:val="center"/>
            <w:hideMark/>
          </w:tcPr>
          <w:p w:rsidRPr="00782FA6" w:rsidR="00DB248A" w:rsidP="00DB248A" w:rsidRDefault="00DB248A" w14:paraId="5684CE9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0C9E9D2" w14:textId="53DF286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FF74051" w14:textId="06C28DE3">
            <w:pPr>
              <w:spacing w:line="240" w:lineRule="auto"/>
              <w:ind w:firstLine="0"/>
              <w:rPr>
                <w:rFonts w:eastAsia="Aptos" w:cs="Times New Roman"/>
                <w:sz w:val="20"/>
                <w:szCs w:val="20"/>
              </w:rPr>
            </w:pPr>
            <w:proofErr w:type="spellStart"/>
            <w:r w:rsidRPr="00782FA6">
              <w:rPr>
                <w:rFonts w:eastAsia="Aptos" w:cs="Times New Roman"/>
                <w:sz w:val="20"/>
                <w:szCs w:val="20"/>
              </w:rPr>
              <w:t>Comstar</w:t>
            </w:r>
            <w:proofErr w:type="spellEnd"/>
            <w:r w:rsidRPr="00782FA6">
              <w:rPr>
                <w:rFonts w:eastAsia="Aptos" w:cs="Times New Roman"/>
                <w:sz w:val="20"/>
                <w:szCs w:val="20"/>
              </w:rPr>
              <w:t xml:space="preserve"> Technologies, LLC</w:t>
            </w:r>
          </w:p>
        </w:tc>
      </w:tr>
      <w:tr w:rsidRPr="00782FA6" w:rsidR="00DB248A" w:rsidTr="00E52317" w14:paraId="2A7E2DD8" w14:textId="77777777">
        <w:trPr>
          <w:trHeight w:val="300"/>
        </w:trPr>
        <w:tc>
          <w:tcPr>
            <w:tcW w:w="1170" w:type="dxa"/>
            <w:noWrap/>
            <w:vAlign w:val="center"/>
            <w:hideMark/>
          </w:tcPr>
          <w:p w:rsidRPr="00782FA6" w:rsidR="00DB248A" w:rsidP="00DB248A" w:rsidRDefault="00DB248A" w14:paraId="5F663C11" w14:textId="77777777">
            <w:pPr>
              <w:spacing w:line="240" w:lineRule="auto"/>
              <w:ind w:firstLine="0"/>
              <w:jc w:val="center"/>
              <w:rPr>
                <w:rFonts w:eastAsia="Aptos" w:cs="Times New Roman"/>
                <w:sz w:val="20"/>
                <w:szCs w:val="20"/>
              </w:rPr>
            </w:pPr>
            <w:r w:rsidRPr="00782FA6">
              <w:rPr>
                <w:rFonts w:eastAsia="Aptos" w:cs="Times New Roman"/>
                <w:sz w:val="20"/>
                <w:szCs w:val="20"/>
              </w:rPr>
              <w:t>1443</w:t>
            </w:r>
          </w:p>
        </w:tc>
        <w:tc>
          <w:tcPr>
            <w:tcW w:w="1036" w:type="dxa"/>
            <w:noWrap/>
            <w:vAlign w:val="center"/>
            <w:hideMark/>
          </w:tcPr>
          <w:p w:rsidRPr="00782FA6" w:rsidR="00DB248A" w:rsidP="00DB248A" w:rsidRDefault="00DB248A" w14:paraId="701B309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7F25B90" w14:textId="0257727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E23F795" w14:textId="0D1C0B83">
            <w:pPr>
              <w:spacing w:line="240" w:lineRule="auto"/>
              <w:ind w:firstLine="0"/>
              <w:rPr>
                <w:rFonts w:eastAsia="Aptos" w:cs="Times New Roman"/>
                <w:sz w:val="20"/>
                <w:szCs w:val="20"/>
              </w:rPr>
            </w:pPr>
            <w:r w:rsidRPr="00782FA6">
              <w:rPr>
                <w:rFonts w:eastAsia="Aptos" w:cs="Times New Roman"/>
                <w:sz w:val="20"/>
                <w:szCs w:val="20"/>
              </w:rPr>
              <w:t>Interface Security Systems, LLC</w:t>
            </w:r>
          </w:p>
        </w:tc>
      </w:tr>
      <w:tr w:rsidRPr="00782FA6" w:rsidR="00DB248A" w:rsidTr="00E52317" w14:paraId="2E982824" w14:textId="77777777">
        <w:trPr>
          <w:trHeight w:val="300"/>
        </w:trPr>
        <w:tc>
          <w:tcPr>
            <w:tcW w:w="1170" w:type="dxa"/>
            <w:noWrap/>
            <w:vAlign w:val="center"/>
            <w:hideMark/>
          </w:tcPr>
          <w:p w:rsidRPr="00782FA6" w:rsidR="00DB248A" w:rsidP="00DB248A" w:rsidRDefault="00DB248A" w14:paraId="45B18BC3" w14:textId="77777777">
            <w:pPr>
              <w:spacing w:line="240" w:lineRule="auto"/>
              <w:ind w:firstLine="0"/>
              <w:jc w:val="center"/>
              <w:rPr>
                <w:rFonts w:eastAsia="Aptos" w:cs="Times New Roman"/>
                <w:sz w:val="20"/>
                <w:szCs w:val="20"/>
              </w:rPr>
            </w:pPr>
            <w:r w:rsidRPr="00782FA6">
              <w:rPr>
                <w:rFonts w:eastAsia="Aptos" w:cs="Times New Roman"/>
                <w:sz w:val="20"/>
                <w:szCs w:val="20"/>
              </w:rPr>
              <w:t>1444</w:t>
            </w:r>
          </w:p>
        </w:tc>
        <w:tc>
          <w:tcPr>
            <w:tcW w:w="1036" w:type="dxa"/>
            <w:noWrap/>
            <w:vAlign w:val="center"/>
            <w:hideMark/>
          </w:tcPr>
          <w:p w:rsidRPr="00782FA6" w:rsidR="00DB248A" w:rsidP="00DB248A" w:rsidRDefault="00DB248A" w14:paraId="474B9EF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C59784A" w14:textId="1E0957A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B1D5AFE" w14:textId="77AF54E9">
            <w:pPr>
              <w:spacing w:line="240" w:lineRule="auto"/>
              <w:ind w:firstLine="0"/>
              <w:rPr>
                <w:rFonts w:eastAsia="Aptos" w:cs="Times New Roman"/>
                <w:sz w:val="20"/>
                <w:szCs w:val="20"/>
              </w:rPr>
            </w:pPr>
            <w:proofErr w:type="spellStart"/>
            <w:r w:rsidRPr="00782FA6">
              <w:rPr>
                <w:rFonts w:eastAsia="Aptos" w:cs="Times New Roman"/>
                <w:sz w:val="20"/>
                <w:szCs w:val="20"/>
              </w:rPr>
              <w:t>WhiteSky</w:t>
            </w:r>
            <w:proofErr w:type="spellEnd"/>
            <w:r w:rsidRPr="00782FA6">
              <w:rPr>
                <w:rFonts w:eastAsia="Aptos" w:cs="Times New Roman"/>
                <w:sz w:val="20"/>
                <w:szCs w:val="20"/>
              </w:rPr>
              <w:t xml:space="preserve"> Communications, LLC</w:t>
            </w:r>
          </w:p>
        </w:tc>
      </w:tr>
      <w:tr w:rsidRPr="00782FA6" w:rsidR="00DB248A" w:rsidTr="00E52317" w14:paraId="4CCF7F72" w14:textId="77777777">
        <w:trPr>
          <w:trHeight w:val="300"/>
        </w:trPr>
        <w:tc>
          <w:tcPr>
            <w:tcW w:w="1170" w:type="dxa"/>
            <w:noWrap/>
            <w:vAlign w:val="center"/>
            <w:hideMark/>
          </w:tcPr>
          <w:p w:rsidRPr="00782FA6" w:rsidR="00DB248A" w:rsidP="00DB248A" w:rsidRDefault="00DB248A" w14:paraId="1E48BD67" w14:textId="77777777">
            <w:pPr>
              <w:spacing w:line="240" w:lineRule="auto"/>
              <w:ind w:firstLine="0"/>
              <w:jc w:val="center"/>
              <w:rPr>
                <w:rFonts w:eastAsia="Aptos" w:cs="Times New Roman"/>
                <w:sz w:val="20"/>
                <w:szCs w:val="20"/>
              </w:rPr>
            </w:pPr>
            <w:r w:rsidRPr="00782FA6">
              <w:rPr>
                <w:rFonts w:eastAsia="Aptos" w:cs="Times New Roman"/>
                <w:sz w:val="20"/>
                <w:szCs w:val="20"/>
              </w:rPr>
              <w:t>1445</w:t>
            </w:r>
          </w:p>
        </w:tc>
        <w:tc>
          <w:tcPr>
            <w:tcW w:w="1036" w:type="dxa"/>
            <w:noWrap/>
            <w:vAlign w:val="center"/>
            <w:hideMark/>
          </w:tcPr>
          <w:p w:rsidRPr="00782FA6" w:rsidR="00DB248A" w:rsidP="00DB248A" w:rsidRDefault="00DB248A" w14:paraId="6796E77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674C859" w14:textId="1E4B21F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33AB246" w14:textId="2F687C49">
            <w:pPr>
              <w:spacing w:line="240" w:lineRule="auto"/>
              <w:ind w:firstLine="0"/>
              <w:rPr>
                <w:rFonts w:eastAsia="Aptos" w:cs="Times New Roman"/>
                <w:sz w:val="20"/>
                <w:szCs w:val="20"/>
              </w:rPr>
            </w:pPr>
            <w:r w:rsidRPr="00782FA6">
              <w:rPr>
                <w:rFonts w:eastAsia="Aptos" w:cs="Times New Roman"/>
                <w:sz w:val="20"/>
                <w:szCs w:val="20"/>
              </w:rPr>
              <w:t>California Telecom Inc.</w:t>
            </w:r>
          </w:p>
        </w:tc>
      </w:tr>
      <w:tr w:rsidRPr="00782FA6" w:rsidR="00DB248A" w:rsidTr="00E52317" w14:paraId="19CF3D2D" w14:textId="77777777">
        <w:trPr>
          <w:trHeight w:val="300"/>
        </w:trPr>
        <w:tc>
          <w:tcPr>
            <w:tcW w:w="1170" w:type="dxa"/>
            <w:noWrap/>
            <w:vAlign w:val="center"/>
            <w:hideMark/>
          </w:tcPr>
          <w:p w:rsidRPr="00782FA6" w:rsidR="00DB248A" w:rsidP="00DB248A" w:rsidRDefault="00DB248A" w14:paraId="4F591194" w14:textId="77777777">
            <w:pPr>
              <w:spacing w:line="240" w:lineRule="auto"/>
              <w:ind w:firstLine="0"/>
              <w:jc w:val="center"/>
              <w:rPr>
                <w:rFonts w:eastAsia="Aptos" w:cs="Times New Roman"/>
                <w:sz w:val="20"/>
                <w:szCs w:val="20"/>
              </w:rPr>
            </w:pPr>
            <w:r w:rsidRPr="00782FA6">
              <w:rPr>
                <w:rFonts w:eastAsia="Aptos" w:cs="Times New Roman"/>
                <w:sz w:val="20"/>
                <w:szCs w:val="20"/>
              </w:rPr>
              <w:t>1447</w:t>
            </w:r>
          </w:p>
        </w:tc>
        <w:tc>
          <w:tcPr>
            <w:tcW w:w="1036" w:type="dxa"/>
            <w:noWrap/>
            <w:vAlign w:val="center"/>
            <w:hideMark/>
          </w:tcPr>
          <w:p w:rsidRPr="00782FA6" w:rsidR="00DB248A" w:rsidP="00DB248A" w:rsidRDefault="00DB248A" w14:paraId="27043A7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7076D8E" w14:textId="171057E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84325E4" w14:textId="5936D147">
            <w:pPr>
              <w:spacing w:line="240" w:lineRule="auto"/>
              <w:ind w:firstLine="0"/>
              <w:rPr>
                <w:rFonts w:eastAsia="Aptos" w:cs="Times New Roman"/>
                <w:sz w:val="20"/>
                <w:szCs w:val="20"/>
              </w:rPr>
            </w:pPr>
            <w:r w:rsidRPr="00782FA6">
              <w:rPr>
                <w:rFonts w:eastAsia="Aptos" w:cs="Times New Roman"/>
                <w:sz w:val="20"/>
                <w:szCs w:val="20"/>
              </w:rPr>
              <w:t xml:space="preserve">Affiliated </w:t>
            </w:r>
            <w:proofErr w:type="spellStart"/>
            <w:r w:rsidRPr="00782FA6">
              <w:rPr>
                <w:rFonts w:eastAsia="Aptos" w:cs="Times New Roman"/>
                <w:sz w:val="20"/>
                <w:szCs w:val="20"/>
              </w:rPr>
              <w:t>TEchnology</w:t>
            </w:r>
            <w:proofErr w:type="spellEnd"/>
            <w:r w:rsidRPr="00782FA6">
              <w:rPr>
                <w:rFonts w:eastAsia="Aptos" w:cs="Times New Roman"/>
                <w:sz w:val="20"/>
                <w:szCs w:val="20"/>
              </w:rPr>
              <w:t xml:space="preserve"> Solutions Inc</w:t>
            </w:r>
          </w:p>
        </w:tc>
      </w:tr>
      <w:tr w:rsidRPr="00782FA6" w:rsidR="00DB248A" w:rsidTr="00E52317" w14:paraId="4C229E33" w14:textId="77777777">
        <w:trPr>
          <w:trHeight w:val="300"/>
        </w:trPr>
        <w:tc>
          <w:tcPr>
            <w:tcW w:w="1170" w:type="dxa"/>
            <w:noWrap/>
            <w:vAlign w:val="center"/>
            <w:hideMark/>
          </w:tcPr>
          <w:p w:rsidRPr="00782FA6" w:rsidR="00DB248A" w:rsidP="00DB248A" w:rsidRDefault="00DB248A" w14:paraId="3E6A9EF2" w14:textId="77777777">
            <w:pPr>
              <w:spacing w:line="240" w:lineRule="auto"/>
              <w:ind w:firstLine="0"/>
              <w:jc w:val="center"/>
              <w:rPr>
                <w:rFonts w:eastAsia="Aptos" w:cs="Times New Roman"/>
                <w:sz w:val="20"/>
                <w:szCs w:val="20"/>
              </w:rPr>
            </w:pPr>
            <w:r w:rsidRPr="00782FA6">
              <w:rPr>
                <w:rFonts w:eastAsia="Aptos" w:cs="Times New Roman"/>
                <w:sz w:val="20"/>
                <w:szCs w:val="20"/>
              </w:rPr>
              <w:t>1448</w:t>
            </w:r>
          </w:p>
        </w:tc>
        <w:tc>
          <w:tcPr>
            <w:tcW w:w="1036" w:type="dxa"/>
            <w:noWrap/>
            <w:vAlign w:val="center"/>
            <w:hideMark/>
          </w:tcPr>
          <w:p w:rsidRPr="00782FA6" w:rsidR="00DB248A" w:rsidP="00DB248A" w:rsidRDefault="00DB248A" w14:paraId="1B607B3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9F901CD" w14:textId="258A41C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F63A387" w14:textId="6302B57A">
            <w:pPr>
              <w:spacing w:line="240" w:lineRule="auto"/>
              <w:ind w:firstLine="0"/>
              <w:rPr>
                <w:rFonts w:eastAsia="Aptos" w:cs="Times New Roman"/>
                <w:sz w:val="20"/>
                <w:szCs w:val="20"/>
              </w:rPr>
            </w:pPr>
            <w:proofErr w:type="spellStart"/>
            <w:r w:rsidRPr="00782FA6">
              <w:rPr>
                <w:rFonts w:eastAsia="Aptos" w:cs="Times New Roman"/>
                <w:sz w:val="20"/>
                <w:szCs w:val="20"/>
              </w:rPr>
              <w:t>Telelink</w:t>
            </w:r>
            <w:proofErr w:type="spellEnd"/>
            <w:r w:rsidRPr="00782FA6">
              <w:rPr>
                <w:rFonts w:eastAsia="Aptos" w:cs="Times New Roman"/>
                <w:sz w:val="20"/>
                <w:szCs w:val="20"/>
              </w:rPr>
              <w:t xml:space="preserve"> Services</w:t>
            </w:r>
          </w:p>
        </w:tc>
      </w:tr>
      <w:tr w:rsidRPr="00782FA6" w:rsidR="00DB248A" w:rsidTr="00E52317" w14:paraId="396A2847" w14:textId="77777777">
        <w:trPr>
          <w:trHeight w:val="300"/>
        </w:trPr>
        <w:tc>
          <w:tcPr>
            <w:tcW w:w="1170" w:type="dxa"/>
            <w:noWrap/>
            <w:vAlign w:val="center"/>
            <w:hideMark/>
          </w:tcPr>
          <w:p w:rsidRPr="00782FA6" w:rsidR="00DB248A" w:rsidP="00DB248A" w:rsidRDefault="00DB248A" w14:paraId="671BDF6B" w14:textId="77777777">
            <w:pPr>
              <w:spacing w:line="240" w:lineRule="auto"/>
              <w:ind w:firstLine="0"/>
              <w:jc w:val="center"/>
              <w:rPr>
                <w:rFonts w:eastAsia="Aptos" w:cs="Times New Roman"/>
                <w:sz w:val="20"/>
                <w:szCs w:val="20"/>
              </w:rPr>
            </w:pPr>
            <w:r w:rsidRPr="00782FA6">
              <w:rPr>
                <w:rFonts w:eastAsia="Aptos" w:cs="Times New Roman"/>
                <w:sz w:val="20"/>
                <w:szCs w:val="20"/>
              </w:rPr>
              <w:t>1449</w:t>
            </w:r>
          </w:p>
        </w:tc>
        <w:tc>
          <w:tcPr>
            <w:tcW w:w="1036" w:type="dxa"/>
            <w:noWrap/>
            <w:vAlign w:val="center"/>
            <w:hideMark/>
          </w:tcPr>
          <w:p w:rsidRPr="00782FA6" w:rsidR="00DB248A" w:rsidP="00DB248A" w:rsidRDefault="00DB248A" w14:paraId="3357045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10A5A6C" w14:textId="53B6B34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C4EF3E5" w14:textId="60C718AC">
            <w:pPr>
              <w:spacing w:line="240" w:lineRule="auto"/>
              <w:ind w:firstLine="0"/>
              <w:rPr>
                <w:rFonts w:eastAsia="Aptos" w:cs="Times New Roman"/>
                <w:sz w:val="20"/>
                <w:szCs w:val="20"/>
              </w:rPr>
            </w:pPr>
            <w:r w:rsidRPr="00782FA6">
              <w:rPr>
                <w:rFonts w:eastAsia="Aptos" w:cs="Times New Roman"/>
                <w:sz w:val="20"/>
                <w:szCs w:val="20"/>
              </w:rPr>
              <w:t>VTech Support, Inc.</w:t>
            </w:r>
          </w:p>
        </w:tc>
      </w:tr>
      <w:tr w:rsidRPr="00782FA6" w:rsidR="00DB248A" w:rsidTr="00E52317" w14:paraId="01813828" w14:textId="77777777">
        <w:trPr>
          <w:trHeight w:val="300"/>
        </w:trPr>
        <w:tc>
          <w:tcPr>
            <w:tcW w:w="1170" w:type="dxa"/>
            <w:noWrap/>
            <w:vAlign w:val="center"/>
            <w:hideMark/>
          </w:tcPr>
          <w:p w:rsidRPr="00782FA6" w:rsidR="00DB248A" w:rsidP="00DB248A" w:rsidRDefault="00DB248A" w14:paraId="38980B1A" w14:textId="77777777">
            <w:pPr>
              <w:spacing w:line="240" w:lineRule="auto"/>
              <w:ind w:firstLine="0"/>
              <w:jc w:val="center"/>
              <w:rPr>
                <w:rFonts w:eastAsia="Aptos" w:cs="Times New Roman"/>
                <w:sz w:val="20"/>
                <w:szCs w:val="20"/>
              </w:rPr>
            </w:pPr>
            <w:r w:rsidRPr="00782FA6">
              <w:rPr>
                <w:rFonts w:eastAsia="Aptos" w:cs="Times New Roman"/>
                <w:sz w:val="20"/>
                <w:szCs w:val="20"/>
              </w:rPr>
              <w:t>1450</w:t>
            </w:r>
          </w:p>
        </w:tc>
        <w:tc>
          <w:tcPr>
            <w:tcW w:w="1036" w:type="dxa"/>
            <w:noWrap/>
            <w:vAlign w:val="center"/>
            <w:hideMark/>
          </w:tcPr>
          <w:p w:rsidRPr="00782FA6" w:rsidR="00DB248A" w:rsidP="00DB248A" w:rsidRDefault="00DB248A" w14:paraId="3BEEC01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EC9C1FB" w14:textId="4523CE3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14BC516" w14:textId="153BB635">
            <w:pPr>
              <w:spacing w:line="240" w:lineRule="auto"/>
              <w:ind w:firstLine="0"/>
              <w:rPr>
                <w:rFonts w:eastAsia="Aptos" w:cs="Times New Roman"/>
                <w:sz w:val="20"/>
                <w:szCs w:val="20"/>
              </w:rPr>
            </w:pPr>
            <w:r w:rsidRPr="00782FA6">
              <w:rPr>
                <w:rFonts w:eastAsia="Aptos" w:cs="Times New Roman"/>
                <w:sz w:val="20"/>
                <w:szCs w:val="20"/>
              </w:rPr>
              <w:t>Zayo Group, LLC</w:t>
            </w:r>
          </w:p>
        </w:tc>
      </w:tr>
      <w:tr w:rsidRPr="00782FA6" w:rsidR="00DB248A" w:rsidTr="00E52317" w14:paraId="5FF2E8F2" w14:textId="77777777">
        <w:trPr>
          <w:trHeight w:val="300"/>
        </w:trPr>
        <w:tc>
          <w:tcPr>
            <w:tcW w:w="1170" w:type="dxa"/>
            <w:noWrap/>
            <w:vAlign w:val="center"/>
            <w:hideMark/>
          </w:tcPr>
          <w:p w:rsidRPr="00782FA6" w:rsidR="00DB248A" w:rsidP="00DB248A" w:rsidRDefault="00DB248A" w14:paraId="55540057" w14:textId="77777777">
            <w:pPr>
              <w:spacing w:line="240" w:lineRule="auto"/>
              <w:ind w:firstLine="0"/>
              <w:jc w:val="center"/>
              <w:rPr>
                <w:rFonts w:eastAsia="Aptos" w:cs="Times New Roman"/>
                <w:sz w:val="20"/>
                <w:szCs w:val="20"/>
              </w:rPr>
            </w:pPr>
            <w:r w:rsidRPr="00782FA6">
              <w:rPr>
                <w:rFonts w:eastAsia="Aptos" w:cs="Times New Roman"/>
                <w:sz w:val="20"/>
                <w:szCs w:val="20"/>
              </w:rPr>
              <w:t>1452</w:t>
            </w:r>
          </w:p>
        </w:tc>
        <w:tc>
          <w:tcPr>
            <w:tcW w:w="1036" w:type="dxa"/>
            <w:noWrap/>
            <w:vAlign w:val="center"/>
            <w:hideMark/>
          </w:tcPr>
          <w:p w:rsidRPr="00782FA6" w:rsidR="00DB248A" w:rsidP="00DB248A" w:rsidRDefault="00DB248A" w14:paraId="129DF11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8C75DCB" w14:textId="6CC8A2E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0369203" w14:textId="0D2392E7">
            <w:pPr>
              <w:spacing w:line="240" w:lineRule="auto"/>
              <w:ind w:firstLine="0"/>
              <w:rPr>
                <w:rFonts w:eastAsia="Aptos" w:cs="Times New Roman"/>
                <w:sz w:val="20"/>
                <w:szCs w:val="20"/>
              </w:rPr>
            </w:pPr>
            <w:r w:rsidRPr="00782FA6">
              <w:rPr>
                <w:rFonts w:eastAsia="Aptos" w:cs="Times New Roman"/>
                <w:sz w:val="20"/>
                <w:szCs w:val="20"/>
              </w:rPr>
              <w:t>VoIP International LLC</w:t>
            </w:r>
          </w:p>
        </w:tc>
      </w:tr>
      <w:tr w:rsidRPr="00782FA6" w:rsidR="00DB248A" w:rsidTr="00E52317" w14:paraId="34D951EA" w14:textId="77777777">
        <w:trPr>
          <w:trHeight w:val="300"/>
        </w:trPr>
        <w:tc>
          <w:tcPr>
            <w:tcW w:w="1170" w:type="dxa"/>
            <w:noWrap/>
            <w:vAlign w:val="center"/>
            <w:hideMark/>
          </w:tcPr>
          <w:p w:rsidRPr="00782FA6" w:rsidR="00DB248A" w:rsidP="00DB248A" w:rsidRDefault="00DB248A" w14:paraId="04DF85FA" w14:textId="77777777">
            <w:pPr>
              <w:spacing w:line="240" w:lineRule="auto"/>
              <w:ind w:firstLine="0"/>
              <w:jc w:val="center"/>
              <w:rPr>
                <w:rFonts w:eastAsia="Aptos" w:cs="Times New Roman"/>
                <w:sz w:val="20"/>
                <w:szCs w:val="20"/>
              </w:rPr>
            </w:pPr>
            <w:r w:rsidRPr="00782FA6">
              <w:rPr>
                <w:rFonts w:eastAsia="Aptos" w:cs="Times New Roman"/>
                <w:sz w:val="20"/>
                <w:szCs w:val="20"/>
              </w:rPr>
              <w:t>1453</w:t>
            </w:r>
          </w:p>
        </w:tc>
        <w:tc>
          <w:tcPr>
            <w:tcW w:w="1036" w:type="dxa"/>
            <w:noWrap/>
            <w:vAlign w:val="center"/>
            <w:hideMark/>
          </w:tcPr>
          <w:p w:rsidRPr="00782FA6" w:rsidR="00DB248A" w:rsidP="00DB248A" w:rsidRDefault="00DB248A" w14:paraId="0E23772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AFD1CAC" w14:textId="4E0503D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19FCB66" w14:textId="0365FF3B">
            <w:pPr>
              <w:spacing w:line="240" w:lineRule="auto"/>
              <w:ind w:firstLine="0"/>
              <w:rPr>
                <w:rFonts w:eastAsia="Aptos" w:cs="Times New Roman"/>
                <w:sz w:val="20"/>
                <w:szCs w:val="20"/>
              </w:rPr>
            </w:pPr>
            <w:r w:rsidRPr="00782FA6">
              <w:rPr>
                <w:rFonts w:eastAsia="Aptos" w:cs="Times New Roman"/>
                <w:sz w:val="20"/>
                <w:szCs w:val="20"/>
              </w:rPr>
              <w:t>Distributed Computing, Inc.</w:t>
            </w:r>
          </w:p>
        </w:tc>
      </w:tr>
      <w:tr w:rsidRPr="00782FA6" w:rsidR="00DB248A" w:rsidTr="00E52317" w14:paraId="60458D15" w14:textId="77777777">
        <w:trPr>
          <w:trHeight w:val="300"/>
        </w:trPr>
        <w:tc>
          <w:tcPr>
            <w:tcW w:w="1170" w:type="dxa"/>
            <w:noWrap/>
            <w:vAlign w:val="center"/>
            <w:hideMark/>
          </w:tcPr>
          <w:p w:rsidRPr="00782FA6" w:rsidR="00DB248A" w:rsidP="00DB248A" w:rsidRDefault="00DB248A" w14:paraId="102856BA" w14:textId="77777777">
            <w:pPr>
              <w:spacing w:line="240" w:lineRule="auto"/>
              <w:ind w:firstLine="0"/>
              <w:jc w:val="center"/>
              <w:rPr>
                <w:rFonts w:eastAsia="Aptos" w:cs="Times New Roman"/>
                <w:sz w:val="20"/>
                <w:szCs w:val="20"/>
              </w:rPr>
            </w:pPr>
            <w:r w:rsidRPr="00782FA6">
              <w:rPr>
                <w:rFonts w:eastAsia="Aptos" w:cs="Times New Roman"/>
                <w:sz w:val="20"/>
                <w:szCs w:val="20"/>
              </w:rPr>
              <w:t>1454</w:t>
            </w:r>
          </w:p>
        </w:tc>
        <w:tc>
          <w:tcPr>
            <w:tcW w:w="1036" w:type="dxa"/>
            <w:noWrap/>
            <w:vAlign w:val="center"/>
            <w:hideMark/>
          </w:tcPr>
          <w:p w:rsidRPr="00782FA6" w:rsidR="00DB248A" w:rsidP="00DB248A" w:rsidRDefault="00DB248A" w14:paraId="7693D37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C167AF7" w14:textId="0B76E92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02386E5" w14:textId="5B41F30F">
            <w:pPr>
              <w:spacing w:line="240" w:lineRule="auto"/>
              <w:ind w:firstLine="0"/>
              <w:rPr>
                <w:rFonts w:eastAsia="Aptos" w:cs="Times New Roman"/>
                <w:sz w:val="20"/>
                <w:szCs w:val="20"/>
              </w:rPr>
            </w:pPr>
            <w:r w:rsidRPr="00782FA6">
              <w:rPr>
                <w:rFonts w:eastAsia="Aptos" w:cs="Times New Roman"/>
                <w:sz w:val="20"/>
                <w:szCs w:val="20"/>
              </w:rPr>
              <w:t>Fore Street Telecom LLC</w:t>
            </w:r>
          </w:p>
        </w:tc>
      </w:tr>
      <w:tr w:rsidRPr="00782FA6" w:rsidR="00DB248A" w:rsidTr="00E52317" w14:paraId="75842C54" w14:textId="77777777">
        <w:trPr>
          <w:trHeight w:val="300"/>
        </w:trPr>
        <w:tc>
          <w:tcPr>
            <w:tcW w:w="1170" w:type="dxa"/>
            <w:noWrap/>
            <w:vAlign w:val="center"/>
            <w:hideMark/>
          </w:tcPr>
          <w:p w:rsidRPr="00782FA6" w:rsidR="00DB248A" w:rsidP="00DB248A" w:rsidRDefault="00DB248A" w14:paraId="67424A86" w14:textId="77777777">
            <w:pPr>
              <w:spacing w:line="240" w:lineRule="auto"/>
              <w:ind w:firstLine="0"/>
              <w:jc w:val="center"/>
              <w:rPr>
                <w:rFonts w:eastAsia="Aptos" w:cs="Times New Roman"/>
                <w:sz w:val="20"/>
                <w:szCs w:val="20"/>
              </w:rPr>
            </w:pPr>
            <w:r w:rsidRPr="00782FA6">
              <w:rPr>
                <w:rFonts w:eastAsia="Aptos" w:cs="Times New Roman"/>
                <w:sz w:val="20"/>
                <w:szCs w:val="20"/>
              </w:rPr>
              <w:t>1457</w:t>
            </w:r>
          </w:p>
        </w:tc>
        <w:tc>
          <w:tcPr>
            <w:tcW w:w="1036" w:type="dxa"/>
            <w:noWrap/>
            <w:vAlign w:val="center"/>
            <w:hideMark/>
          </w:tcPr>
          <w:p w:rsidRPr="00782FA6" w:rsidR="00DB248A" w:rsidP="00DB248A" w:rsidRDefault="00DB248A" w14:paraId="7531E61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B9E0A0C" w14:textId="571BEB1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6552ABF" w14:textId="55781A83">
            <w:pPr>
              <w:spacing w:line="240" w:lineRule="auto"/>
              <w:ind w:firstLine="0"/>
              <w:rPr>
                <w:rFonts w:eastAsia="Aptos" w:cs="Times New Roman"/>
                <w:sz w:val="20"/>
                <w:szCs w:val="20"/>
              </w:rPr>
            </w:pPr>
            <w:proofErr w:type="spellStart"/>
            <w:r w:rsidRPr="00782FA6">
              <w:rPr>
                <w:rFonts w:eastAsia="Aptos" w:cs="Times New Roman"/>
                <w:sz w:val="20"/>
                <w:szCs w:val="20"/>
              </w:rPr>
              <w:t>Broadsmart</w:t>
            </w:r>
            <w:proofErr w:type="spellEnd"/>
            <w:r w:rsidRPr="00782FA6">
              <w:rPr>
                <w:rFonts w:eastAsia="Aptos" w:cs="Times New Roman"/>
                <w:sz w:val="20"/>
                <w:szCs w:val="20"/>
              </w:rPr>
              <w:t xml:space="preserve"> Global, Inc</w:t>
            </w:r>
          </w:p>
        </w:tc>
      </w:tr>
      <w:tr w:rsidRPr="00782FA6" w:rsidR="00DB248A" w:rsidTr="00E52317" w14:paraId="4002D189" w14:textId="77777777">
        <w:trPr>
          <w:trHeight w:val="300"/>
        </w:trPr>
        <w:tc>
          <w:tcPr>
            <w:tcW w:w="1170" w:type="dxa"/>
            <w:noWrap/>
            <w:vAlign w:val="center"/>
            <w:hideMark/>
          </w:tcPr>
          <w:p w:rsidRPr="00782FA6" w:rsidR="00DB248A" w:rsidP="00DB248A" w:rsidRDefault="00DB248A" w14:paraId="6AA59197" w14:textId="77777777">
            <w:pPr>
              <w:spacing w:line="240" w:lineRule="auto"/>
              <w:ind w:firstLine="0"/>
              <w:jc w:val="center"/>
              <w:rPr>
                <w:rFonts w:eastAsia="Aptos" w:cs="Times New Roman"/>
                <w:sz w:val="20"/>
                <w:szCs w:val="20"/>
              </w:rPr>
            </w:pPr>
            <w:r w:rsidRPr="00782FA6">
              <w:rPr>
                <w:rFonts w:eastAsia="Aptos" w:cs="Times New Roman"/>
                <w:sz w:val="20"/>
                <w:szCs w:val="20"/>
              </w:rPr>
              <w:lastRenderedPageBreak/>
              <w:t>1458</w:t>
            </w:r>
          </w:p>
        </w:tc>
        <w:tc>
          <w:tcPr>
            <w:tcW w:w="1036" w:type="dxa"/>
            <w:noWrap/>
            <w:vAlign w:val="center"/>
            <w:hideMark/>
          </w:tcPr>
          <w:p w:rsidRPr="00782FA6" w:rsidR="00DB248A" w:rsidP="00DB248A" w:rsidRDefault="00DB248A" w14:paraId="6CCF507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5423079" w14:textId="584172B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84E62FB" w14:textId="78F4753A">
            <w:pPr>
              <w:spacing w:line="240" w:lineRule="auto"/>
              <w:ind w:firstLine="0"/>
              <w:rPr>
                <w:rFonts w:eastAsia="Aptos" w:cs="Times New Roman"/>
                <w:sz w:val="20"/>
                <w:szCs w:val="20"/>
              </w:rPr>
            </w:pPr>
            <w:proofErr w:type="spellStart"/>
            <w:r w:rsidRPr="00782FA6">
              <w:rPr>
                <w:rFonts w:eastAsia="Aptos" w:cs="Times New Roman"/>
                <w:sz w:val="20"/>
                <w:szCs w:val="20"/>
              </w:rPr>
              <w:t>BullsEye</w:t>
            </w:r>
            <w:proofErr w:type="spellEnd"/>
            <w:r w:rsidRPr="00782FA6">
              <w:rPr>
                <w:rFonts w:eastAsia="Aptos" w:cs="Times New Roman"/>
                <w:sz w:val="20"/>
                <w:szCs w:val="20"/>
              </w:rPr>
              <w:t xml:space="preserve"> Telecom, Inc.</w:t>
            </w:r>
          </w:p>
        </w:tc>
      </w:tr>
      <w:tr w:rsidRPr="00782FA6" w:rsidR="00DB248A" w:rsidTr="00E52317" w14:paraId="6DCF77C7" w14:textId="77777777">
        <w:trPr>
          <w:trHeight w:val="300"/>
        </w:trPr>
        <w:tc>
          <w:tcPr>
            <w:tcW w:w="1170" w:type="dxa"/>
            <w:noWrap/>
            <w:vAlign w:val="center"/>
            <w:hideMark/>
          </w:tcPr>
          <w:p w:rsidRPr="00782FA6" w:rsidR="00DB248A" w:rsidP="00DB248A" w:rsidRDefault="00DB248A" w14:paraId="472D3A4E" w14:textId="77777777">
            <w:pPr>
              <w:spacing w:line="240" w:lineRule="auto"/>
              <w:ind w:firstLine="0"/>
              <w:jc w:val="center"/>
              <w:rPr>
                <w:rFonts w:eastAsia="Aptos" w:cs="Times New Roman"/>
                <w:sz w:val="20"/>
                <w:szCs w:val="20"/>
              </w:rPr>
            </w:pPr>
            <w:r w:rsidRPr="00782FA6">
              <w:rPr>
                <w:rFonts w:eastAsia="Aptos" w:cs="Times New Roman"/>
                <w:sz w:val="20"/>
                <w:szCs w:val="20"/>
              </w:rPr>
              <w:t>1459</w:t>
            </w:r>
          </w:p>
        </w:tc>
        <w:tc>
          <w:tcPr>
            <w:tcW w:w="1036" w:type="dxa"/>
            <w:noWrap/>
            <w:vAlign w:val="center"/>
            <w:hideMark/>
          </w:tcPr>
          <w:p w:rsidRPr="00782FA6" w:rsidR="00DB248A" w:rsidP="00DB248A" w:rsidRDefault="00DB248A" w14:paraId="2D228B6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F8EA655" w14:textId="353F7BE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14A58FE" w14:textId="674A7C47">
            <w:pPr>
              <w:spacing w:line="240" w:lineRule="auto"/>
              <w:ind w:firstLine="0"/>
              <w:rPr>
                <w:rFonts w:eastAsia="Aptos" w:cs="Times New Roman"/>
                <w:sz w:val="20"/>
                <w:szCs w:val="20"/>
              </w:rPr>
            </w:pPr>
            <w:r w:rsidRPr="00782FA6">
              <w:rPr>
                <w:rFonts w:eastAsia="Aptos" w:cs="Times New Roman"/>
                <w:sz w:val="20"/>
                <w:szCs w:val="20"/>
              </w:rPr>
              <w:t>Tailwind Voice and Data, Inc.</w:t>
            </w:r>
          </w:p>
        </w:tc>
      </w:tr>
      <w:tr w:rsidRPr="00782FA6" w:rsidR="00DB248A" w:rsidTr="00E52317" w14:paraId="6247C4D3" w14:textId="77777777">
        <w:trPr>
          <w:trHeight w:val="300"/>
        </w:trPr>
        <w:tc>
          <w:tcPr>
            <w:tcW w:w="1170" w:type="dxa"/>
            <w:noWrap/>
            <w:vAlign w:val="center"/>
            <w:hideMark/>
          </w:tcPr>
          <w:p w:rsidRPr="00782FA6" w:rsidR="00DB248A" w:rsidP="00DB248A" w:rsidRDefault="00DB248A" w14:paraId="4B330B9F" w14:textId="77777777">
            <w:pPr>
              <w:spacing w:line="240" w:lineRule="auto"/>
              <w:ind w:firstLine="0"/>
              <w:jc w:val="center"/>
              <w:rPr>
                <w:rFonts w:eastAsia="Aptos" w:cs="Times New Roman"/>
                <w:sz w:val="20"/>
                <w:szCs w:val="20"/>
              </w:rPr>
            </w:pPr>
            <w:r w:rsidRPr="00782FA6">
              <w:rPr>
                <w:rFonts w:eastAsia="Aptos" w:cs="Times New Roman"/>
                <w:sz w:val="20"/>
                <w:szCs w:val="20"/>
              </w:rPr>
              <w:t>1460</w:t>
            </w:r>
          </w:p>
        </w:tc>
        <w:tc>
          <w:tcPr>
            <w:tcW w:w="1036" w:type="dxa"/>
            <w:noWrap/>
            <w:vAlign w:val="center"/>
            <w:hideMark/>
          </w:tcPr>
          <w:p w:rsidRPr="00782FA6" w:rsidR="00DB248A" w:rsidP="00DB248A" w:rsidRDefault="00DB248A" w14:paraId="0051B63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D91A332" w14:textId="52CAA70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9C75110" w14:textId="0E8FCBFF">
            <w:pPr>
              <w:spacing w:line="240" w:lineRule="auto"/>
              <w:ind w:firstLine="0"/>
              <w:rPr>
                <w:rFonts w:eastAsia="Aptos" w:cs="Times New Roman"/>
                <w:sz w:val="20"/>
                <w:szCs w:val="20"/>
              </w:rPr>
            </w:pPr>
            <w:r w:rsidRPr="00782FA6">
              <w:rPr>
                <w:rFonts w:eastAsia="Aptos" w:cs="Times New Roman"/>
                <w:sz w:val="20"/>
                <w:szCs w:val="20"/>
              </w:rPr>
              <w:t>Cox Strategic Services, LLC</w:t>
            </w:r>
          </w:p>
        </w:tc>
      </w:tr>
      <w:tr w:rsidRPr="00782FA6" w:rsidR="00DB248A" w:rsidTr="00E52317" w14:paraId="6D6A301D" w14:textId="77777777">
        <w:trPr>
          <w:trHeight w:val="300"/>
        </w:trPr>
        <w:tc>
          <w:tcPr>
            <w:tcW w:w="1170" w:type="dxa"/>
            <w:noWrap/>
            <w:vAlign w:val="center"/>
            <w:hideMark/>
          </w:tcPr>
          <w:p w:rsidRPr="00782FA6" w:rsidR="00DB248A" w:rsidP="00DB248A" w:rsidRDefault="00DB248A" w14:paraId="7656B69B" w14:textId="77777777">
            <w:pPr>
              <w:spacing w:line="240" w:lineRule="auto"/>
              <w:ind w:firstLine="0"/>
              <w:jc w:val="center"/>
              <w:rPr>
                <w:rFonts w:eastAsia="Aptos" w:cs="Times New Roman"/>
                <w:sz w:val="20"/>
                <w:szCs w:val="20"/>
              </w:rPr>
            </w:pPr>
            <w:r w:rsidRPr="00782FA6">
              <w:rPr>
                <w:rFonts w:eastAsia="Aptos" w:cs="Times New Roman"/>
                <w:sz w:val="20"/>
                <w:szCs w:val="20"/>
              </w:rPr>
              <w:t>1465</w:t>
            </w:r>
          </w:p>
        </w:tc>
        <w:tc>
          <w:tcPr>
            <w:tcW w:w="1036" w:type="dxa"/>
            <w:noWrap/>
            <w:vAlign w:val="center"/>
            <w:hideMark/>
          </w:tcPr>
          <w:p w:rsidRPr="00782FA6" w:rsidR="00DB248A" w:rsidP="00DB248A" w:rsidRDefault="00DB248A" w14:paraId="77A83DF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CF51047" w14:textId="1EE6407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C5ED91F" w14:textId="172E796D">
            <w:pPr>
              <w:spacing w:line="240" w:lineRule="auto"/>
              <w:ind w:firstLine="0"/>
              <w:rPr>
                <w:rFonts w:eastAsia="Aptos" w:cs="Times New Roman"/>
                <w:sz w:val="20"/>
                <w:szCs w:val="20"/>
              </w:rPr>
            </w:pPr>
            <w:r w:rsidRPr="00782FA6">
              <w:rPr>
                <w:rFonts w:eastAsia="Aptos" w:cs="Times New Roman"/>
                <w:sz w:val="20"/>
                <w:szCs w:val="20"/>
              </w:rPr>
              <w:t>ITC Global Networks, LLC</w:t>
            </w:r>
          </w:p>
        </w:tc>
      </w:tr>
      <w:tr w:rsidRPr="00782FA6" w:rsidR="00DB248A" w:rsidTr="00E52317" w14:paraId="03F53E68" w14:textId="77777777">
        <w:trPr>
          <w:trHeight w:val="300"/>
        </w:trPr>
        <w:tc>
          <w:tcPr>
            <w:tcW w:w="1170" w:type="dxa"/>
            <w:noWrap/>
            <w:vAlign w:val="center"/>
            <w:hideMark/>
          </w:tcPr>
          <w:p w:rsidRPr="00782FA6" w:rsidR="00DB248A" w:rsidP="00DB248A" w:rsidRDefault="00DB248A" w14:paraId="1DC4BCFA" w14:textId="77777777">
            <w:pPr>
              <w:spacing w:line="240" w:lineRule="auto"/>
              <w:ind w:firstLine="0"/>
              <w:jc w:val="center"/>
              <w:rPr>
                <w:rFonts w:eastAsia="Aptos" w:cs="Times New Roman"/>
                <w:sz w:val="20"/>
                <w:szCs w:val="20"/>
              </w:rPr>
            </w:pPr>
            <w:r w:rsidRPr="00782FA6">
              <w:rPr>
                <w:rFonts w:eastAsia="Aptos" w:cs="Times New Roman"/>
                <w:sz w:val="20"/>
                <w:szCs w:val="20"/>
              </w:rPr>
              <w:t>1466</w:t>
            </w:r>
          </w:p>
        </w:tc>
        <w:tc>
          <w:tcPr>
            <w:tcW w:w="1036" w:type="dxa"/>
            <w:noWrap/>
            <w:vAlign w:val="center"/>
            <w:hideMark/>
          </w:tcPr>
          <w:p w:rsidRPr="00782FA6" w:rsidR="00DB248A" w:rsidP="00DB248A" w:rsidRDefault="00DB248A" w14:paraId="1F9280C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DC7944C" w14:textId="64E074A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263812D" w14:textId="107E7127">
            <w:pPr>
              <w:spacing w:line="240" w:lineRule="auto"/>
              <w:ind w:firstLine="0"/>
              <w:rPr>
                <w:rFonts w:eastAsia="Aptos" w:cs="Times New Roman"/>
                <w:sz w:val="20"/>
                <w:szCs w:val="20"/>
              </w:rPr>
            </w:pPr>
            <w:r w:rsidRPr="00782FA6">
              <w:rPr>
                <w:rFonts w:eastAsia="Aptos" w:cs="Times New Roman"/>
                <w:sz w:val="20"/>
                <w:szCs w:val="20"/>
              </w:rPr>
              <w:t>Assist Wireless, LLC</w:t>
            </w:r>
          </w:p>
        </w:tc>
      </w:tr>
      <w:tr w:rsidRPr="00782FA6" w:rsidR="00DB248A" w:rsidTr="00E52317" w14:paraId="5A810810" w14:textId="77777777">
        <w:trPr>
          <w:trHeight w:val="300"/>
        </w:trPr>
        <w:tc>
          <w:tcPr>
            <w:tcW w:w="1170" w:type="dxa"/>
            <w:noWrap/>
            <w:vAlign w:val="center"/>
            <w:hideMark/>
          </w:tcPr>
          <w:p w:rsidRPr="00782FA6" w:rsidR="00DB248A" w:rsidP="00DB248A" w:rsidRDefault="00DB248A" w14:paraId="7267E043" w14:textId="77777777">
            <w:pPr>
              <w:spacing w:line="240" w:lineRule="auto"/>
              <w:ind w:firstLine="0"/>
              <w:jc w:val="center"/>
              <w:rPr>
                <w:rFonts w:eastAsia="Aptos" w:cs="Times New Roman"/>
                <w:sz w:val="20"/>
                <w:szCs w:val="20"/>
              </w:rPr>
            </w:pPr>
            <w:r w:rsidRPr="00782FA6">
              <w:rPr>
                <w:rFonts w:eastAsia="Aptos" w:cs="Times New Roman"/>
                <w:sz w:val="20"/>
                <w:szCs w:val="20"/>
              </w:rPr>
              <w:t>1467</w:t>
            </w:r>
          </w:p>
        </w:tc>
        <w:tc>
          <w:tcPr>
            <w:tcW w:w="1036" w:type="dxa"/>
            <w:noWrap/>
            <w:vAlign w:val="center"/>
            <w:hideMark/>
          </w:tcPr>
          <w:p w:rsidRPr="00782FA6" w:rsidR="00DB248A" w:rsidP="00DB248A" w:rsidRDefault="00DB248A" w14:paraId="16136B4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36439C3" w14:textId="08A68A1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207E6F4" w14:textId="4C910B1D">
            <w:pPr>
              <w:spacing w:line="240" w:lineRule="auto"/>
              <w:ind w:firstLine="0"/>
              <w:rPr>
                <w:rFonts w:eastAsia="Aptos" w:cs="Times New Roman"/>
                <w:sz w:val="20"/>
                <w:szCs w:val="20"/>
              </w:rPr>
            </w:pPr>
            <w:r w:rsidRPr="00782FA6">
              <w:rPr>
                <w:rFonts w:eastAsia="Aptos" w:cs="Times New Roman"/>
                <w:sz w:val="20"/>
                <w:szCs w:val="20"/>
              </w:rPr>
              <w:t>CNK Network Solutions</w:t>
            </w:r>
          </w:p>
        </w:tc>
      </w:tr>
      <w:tr w:rsidRPr="00782FA6" w:rsidR="00DB248A" w:rsidTr="00E52317" w14:paraId="75A1E2FD" w14:textId="77777777">
        <w:trPr>
          <w:trHeight w:val="300"/>
        </w:trPr>
        <w:tc>
          <w:tcPr>
            <w:tcW w:w="1170" w:type="dxa"/>
            <w:noWrap/>
            <w:vAlign w:val="center"/>
            <w:hideMark/>
          </w:tcPr>
          <w:p w:rsidRPr="00782FA6" w:rsidR="00DB248A" w:rsidP="00DB248A" w:rsidRDefault="00DB248A" w14:paraId="231F3C69" w14:textId="77777777">
            <w:pPr>
              <w:spacing w:line="240" w:lineRule="auto"/>
              <w:ind w:firstLine="0"/>
              <w:jc w:val="center"/>
              <w:rPr>
                <w:rFonts w:eastAsia="Aptos" w:cs="Times New Roman"/>
                <w:sz w:val="20"/>
                <w:szCs w:val="20"/>
              </w:rPr>
            </w:pPr>
            <w:r w:rsidRPr="00782FA6">
              <w:rPr>
                <w:rFonts w:eastAsia="Aptos" w:cs="Times New Roman"/>
                <w:sz w:val="20"/>
                <w:szCs w:val="20"/>
              </w:rPr>
              <w:t>1468</w:t>
            </w:r>
          </w:p>
        </w:tc>
        <w:tc>
          <w:tcPr>
            <w:tcW w:w="1036" w:type="dxa"/>
            <w:noWrap/>
            <w:vAlign w:val="center"/>
            <w:hideMark/>
          </w:tcPr>
          <w:p w:rsidRPr="00782FA6" w:rsidR="00DB248A" w:rsidP="00DB248A" w:rsidRDefault="00DB248A" w14:paraId="005D3F8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D618527" w14:textId="01284FE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45A8DB6" w14:textId="6708F30F">
            <w:pPr>
              <w:spacing w:line="240" w:lineRule="auto"/>
              <w:ind w:firstLine="0"/>
              <w:rPr>
                <w:rFonts w:eastAsia="Aptos" w:cs="Times New Roman"/>
                <w:sz w:val="20"/>
                <w:szCs w:val="20"/>
              </w:rPr>
            </w:pPr>
            <w:r w:rsidRPr="00782FA6">
              <w:rPr>
                <w:rFonts w:eastAsia="Aptos" w:cs="Times New Roman"/>
                <w:sz w:val="20"/>
                <w:szCs w:val="20"/>
              </w:rPr>
              <w:t>Chicago Business VoIP, LLC</w:t>
            </w:r>
          </w:p>
        </w:tc>
      </w:tr>
      <w:tr w:rsidRPr="00782FA6" w:rsidR="00DB248A" w:rsidTr="00E52317" w14:paraId="4A3070CA" w14:textId="77777777">
        <w:trPr>
          <w:trHeight w:val="300"/>
        </w:trPr>
        <w:tc>
          <w:tcPr>
            <w:tcW w:w="1170" w:type="dxa"/>
            <w:noWrap/>
            <w:vAlign w:val="center"/>
            <w:hideMark/>
          </w:tcPr>
          <w:p w:rsidRPr="00782FA6" w:rsidR="00DB248A" w:rsidP="00DB248A" w:rsidRDefault="00DB248A" w14:paraId="5E8DEAC9" w14:textId="77777777">
            <w:pPr>
              <w:spacing w:line="240" w:lineRule="auto"/>
              <w:ind w:firstLine="0"/>
              <w:jc w:val="center"/>
              <w:rPr>
                <w:rFonts w:eastAsia="Aptos" w:cs="Times New Roman"/>
                <w:sz w:val="20"/>
                <w:szCs w:val="20"/>
              </w:rPr>
            </w:pPr>
            <w:r w:rsidRPr="00782FA6">
              <w:rPr>
                <w:rFonts w:eastAsia="Aptos" w:cs="Times New Roman"/>
                <w:sz w:val="20"/>
                <w:szCs w:val="20"/>
              </w:rPr>
              <w:t>1472</w:t>
            </w:r>
          </w:p>
        </w:tc>
        <w:tc>
          <w:tcPr>
            <w:tcW w:w="1036" w:type="dxa"/>
            <w:noWrap/>
            <w:vAlign w:val="center"/>
            <w:hideMark/>
          </w:tcPr>
          <w:p w:rsidRPr="00782FA6" w:rsidR="00DB248A" w:rsidP="00DB248A" w:rsidRDefault="00DB248A" w14:paraId="057509F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3E94B2F" w14:textId="1EBB57D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60D4178" w14:textId="013E08EE">
            <w:pPr>
              <w:spacing w:line="240" w:lineRule="auto"/>
              <w:ind w:firstLine="0"/>
              <w:rPr>
                <w:rFonts w:eastAsia="Aptos" w:cs="Times New Roman"/>
                <w:sz w:val="20"/>
                <w:szCs w:val="20"/>
              </w:rPr>
            </w:pPr>
            <w:r w:rsidRPr="00782FA6">
              <w:rPr>
                <w:rFonts w:eastAsia="Aptos" w:cs="Times New Roman"/>
                <w:sz w:val="20"/>
                <w:szCs w:val="20"/>
              </w:rPr>
              <w:t>JT Global, Limited</w:t>
            </w:r>
          </w:p>
        </w:tc>
      </w:tr>
      <w:tr w:rsidRPr="00782FA6" w:rsidR="00DB248A" w:rsidTr="00E52317" w14:paraId="702E5B8F" w14:textId="77777777">
        <w:trPr>
          <w:trHeight w:val="300"/>
        </w:trPr>
        <w:tc>
          <w:tcPr>
            <w:tcW w:w="1170" w:type="dxa"/>
            <w:noWrap/>
            <w:vAlign w:val="center"/>
            <w:hideMark/>
          </w:tcPr>
          <w:p w:rsidRPr="00782FA6" w:rsidR="00DB248A" w:rsidP="00DB248A" w:rsidRDefault="00DB248A" w14:paraId="3F63D78B" w14:textId="77777777">
            <w:pPr>
              <w:spacing w:line="240" w:lineRule="auto"/>
              <w:ind w:firstLine="0"/>
              <w:jc w:val="center"/>
              <w:rPr>
                <w:rFonts w:eastAsia="Aptos" w:cs="Times New Roman"/>
                <w:sz w:val="20"/>
                <w:szCs w:val="20"/>
              </w:rPr>
            </w:pPr>
            <w:r w:rsidRPr="00782FA6">
              <w:rPr>
                <w:rFonts w:eastAsia="Aptos" w:cs="Times New Roman"/>
                <w:sz w:val="20"/>
                <w:szCs w:val="20"/>
              </w:rPr>
              <w:t>1473</w:t>
            </w:r>
          </w:p>
        </w:tc>
        <w:tc>
          <w:tcPr>
            <w:tcW w:w="1036" w:type="dxa"/>
            <w:noWrap/>
            <w:vAlign w:val="center"/>
            <w:hideMark/>
          </w:tcPr>
          <w:p w:rsidRPr="00782FA6" w:rsidR="00DB248A" w:rsidP="00DB248A" w:rsidRDefault="00DB248A" w14:paraId="7450B80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5EFA61F" w14:textId="598278A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7B0B7CA" w14:textId="67F610CE">
            <w:pPr>
              <w:spacing w:line="240" w:lineRule="auto"/>
              <w:ind w:firstLine="0"/>
              <w:rPr>
                <w:rFonts w:eastAsia="Aptos" w:cs="Times New Roman"/>
                <w:sz w:val="20"/>
                <w:szCs w:val="20"/>
              </w:rPr>
            </w:pPr>
            <w:r w:rsidRPr="00782FA6">
              <w:rPr>
                <w:rFonts w:eastAsia="Aptos" w:cs="Times New Roman"/>
                <w:sz w:val="20"/>
                <w:szCs w:val="20"/>
              </w:rPr>
              <w:t>GoDaddy.com, LLC</w:t>
            </w:r>
          </w:p>
        </w:tc>
      </w:tr>
      <w:tr w:rsidRPr="00782FA6" w:rsidR="00DB248A" w:rsidTr="00E52317" w14:paraId="7EFA167C" w14:textId="77777777">
        <w:trPr>
          <w:trHeight w:val="300"/>
        </w:trPr>
        <w:tc>
          <w:tcPr>
            <w:tcW w:w="1170" w:type="dxa"/>
            <w:noWrap/>
            <w:vAlign w:val="center"/>
            <w:hideMark/>
          </w:tcPr>
          <w:p w:rsidRPr="00782FA6" w:rsidR="00DB248A" w:rsidP="00DB248A" w:rsidRDefault="00DB248A" w14:paraId="3D7B7270" w14:textId="77777777">
            <w:pPr>
              <w:spacing w:line="240" w:lineRule="auto"/>
              <w:ind w:firstLine="0"/>
              <w:jc w:val="center"/>
              <w:rPr>
                <w:rFonts w:eastAsia="Aptos" w:cs="Times New Roman"/>
                <w:sz w:val="20"/>
                <w:szCs w:val="20"/>
              </w:rPr>
            </w:pPr>
            <w:r w:rsidRPr="00782FA6">
              <w:rPr>
                <w:rFonts w:eastAsia="Aptos" w:cs="Times New Roman"/>
                <w:sz w:val="20"/>
                <w:szCs w:val="20"/>
              </w:rPr>
              <w:t>1475</w:t>
            </w:r>
          </w:p>
        </w:tc>
        <w:tc>
          <w:tcPr>
            <w:tcW w:w="1036" w:type="dxa"/>
            <w:noWrap/>
            <w:vAlign w:val="center"/>
            <w:hideMark/>
          </w:tcPr>
          <w:p w:rsidRPr="00782FA6" w:rsidR="00DB248A" w:rsidP="00DB248A" w:rsidRDefault="00DB248A" w14:paraId="43E2055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AFA24BC" w14:textId="56A8C12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0F37521" w14:textId="35C4D3B2">
            <w:pPr>
              <w:spacing w:line="240" w:lineRule="auto"/>
              <w:ind w:firstLine="0"/>
              <w:rPr>
                <w:rFonts w:eastAsia="Aptos" w:cs="Times New Roman"/>
                <w:sz w:val="20"/>
                <w:szCs w:val="20"/>
              </w:rPr>
            </w:pPr>
            <w:proofErr w:type="spellStart"/>
            <w:r w:rsidRPr="00782FA6">
              <w:rPr>
                <w:rFonts w:eastAsia="Aptos" w:cs="Times New Roman"/>
                <w:sz w:val="20"/>
                <w:szCs w:val="20"/>
              </w:rPr>
              <w:t>iCommerce</w:t>
            </w:r>
            <w:proofErr w:type="spellEnd"/>
            <w:r w:rsidRPr="00782FA6">
              <w:rPr>
                <w:rFonts w:eastAsia="Aptos" w:cs="Times New Roman"/>
                <w:sz w:val="20"/>
                <w:szCs w:val="20"/>
              </w:rPr>
              <w:t xml:space="preserve"> Services, Inc.</w:t>
            </w:r>
          </w:p>
        </w:tc>
      </w:tr>
      <w:tr w:rsidRPr="00782FA6" w:rsidR="00DB248A" w:rsidTr="00E52317" w14:paraId="1166E15C" w14:textId="77777777">
        <w:trPr>
          <w:trHeight w:val="300"/>
        </w:trPr>
        <w:tc>
          <w:tcPr>
            <w:tcW w:w="1170" w:type="dxa"/>
            <w:noWrap/>
            <w:vAlign w:val="center"/>
            <w:hideMark/>
          </w:tcPr>
          <w:p w:rsidRPr="00782FA6" w:rsidR="00DB248A" w:rsidP="00DB248A" w:rsidRDefault="00DB248A" w14:paraId="5B3D9AF7" w14:textId="77777777">
            <w:pPr>
              <w:spacing w:line="240" w:lineRule="auto"/>
              <w:ind w:firstLine="0"/>
              <w:jc w:val="center"/>
              <w:rPr>
                <w:rFonts w:eastAsia="Aptos" w:cs="Times New Roman"/>
                <w:sz w:val="20"/>
                <w:szCs w:val="20"/>
              </w:rPr>
            </w:pPr>
            <w:r w:rsidRPr="00782FA6">
              <w:rPr>
                <w:rFonts w:eastAsia="Aptos" w:cs="Times New Roman"/>
                <w:sz w:val="20"/>
                <w:szCs w:val="20"/>
              </w:rPr>
              <w:t>1476</w:t>
            </w:r>
          </w:p>
        </w:tc>
        <w:tc>
          <w:tcPr>
            <w:tcW w:w="1036" w:type="dxa"/>
            <w:noWrap/>
            <w:vAlign w:val="center"/>
            <w:hideMark/>
          </w:tcPr>
          <w:p w:rsidRPr="00782FA6" w:rsidR="00DB248A" w:rsidP="00DB248A" w:rsidRDefault="00DB248A" w14:paraId="656EE2C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9EB1EF4" w14:textId="09998D8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9FDC49A" w14:textId="49602EAA">
            <w:pPr>
              <w:spacing w:line="240" w:lineRule="auto"/>
              <w:ind w:firstLine="0"/>
              <w:rPr>
                <w:rFonts w:eastAsia="Aptos" w:cs="Times New Roman"/>
                <w:sz w:val="20"/>
                <w:szCs w:val="20"/>
              </w:rPr>
            </w:pPr>
            <w:r w:rsidRPr="00782FA6">
              <w:rPr>
                <w:rFonts w:eastAsia="Aptos" w:cs="Times New Roman"/>
                <w:sz w:val="20"/>
                <w:szCs w:val="20"/>
              </w:rPr>
              <w:t>DMR Communications, Inc</w:t>
            </w:r>
          </w:p>
        </w:tc>
      </w:tr>
      <w:tr w:rsidRPr="00782FA6" w:rsidR="00DB248A" w:rsidTr="00E52317" w14:paraId="76270570" w14:textId="77777777">
        <w:trPr>
          <w:trHeight w:val="300"/>
        </w:trPr>
        <w:tc>
          <w:tcPr>
            <w:tcW w:w="1170" w:type="dxa"/>
            <w:noWrap/>
            <w:vAlign w:val="center"/>
            <w:hideMark/>
          </w:tcPr>
          <w:p w:rsidRPr="00782FA6" w:rsidR="00DB248A" w:rsidP="00DB248A" w:rsidRDefault="00DB248A" w14:paraId="32E03F38" w14:textId="77777777">
            <w:pPr>
              <w:spacing w:line="240" w:lineRule="auto"/>
              <w:ind w:firstLine="0"/>
              <w:jc w:val="center"/>
              <w:rPr>
                <w:rFonts w:eastAsia="Aptos" w:cs="Times New Roman"/>
                <w:sz w:val="20"/>
                <w:szCs w:val="20"/>
              </w:rPr>
            </w:pPr>
            <w:r w:rsidRPr="00782FA6">
              <w:rPr>
                <w:rFonts w:eastAsia="Aptos" w:cs="Times New Roman"/>
                <w:sz w:val="20"/>
                <w:szCs w:val="20"/>
              </w:rPr>
              <w:t>1477</w:t>
            </w:r>
          </w:p>
        </w:tc>
        <w:tc>
          <w:tcPr>
            <w:tcW w:w="1036" w:type="dxa"/>
            <w:noWrap/>
            <w:vAlign w:val="center"/>
            <w:hideMark/>
          </w:tcPr>
          <w:p w:rsidRPr="00782FA6" w:rsidR="00DB248A" w:rsidP="00DB248A" w:rsidRDefault="00DB248A" w14:paraId="5FE6150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FFFEDD8" w14:textId="525BA3D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8C22EB3" w14:textId="1C0F3F66">
            <w:pPr>
              <w:spacing w:line="240" w:lineRule="auto"/>
              <w:ind w:firstLine="0"/>
              <w:rPr>
                <w:rFonts w:eastAsia="Aptos" w:cs="Times New Roman"/>
                <w:sz w:val="20"/>
                <w:szCs w:val="20"/>
              </w:rPr>
            </w:pPr>
            <w:r w:rsidRPr="00782FA6">
              <w:rPr>
                <w:rFonts w:eastAsia="Aptos" w:cs="Times New Roman"/>
                <w:sz w:val="20"/>
                <w:szCs w:val="20"/>
              </w:rPr>
              <w:t>WTI Communications, Inc.</w:t>
            </w:r>
          </w:p>
        </w:tc>
      </w:tr>
      <w:tr w:rsidRPr="00782FA6" w:rsidR="00DB248A" w:rsidTr="00E52317" w14:paraId="6720CBB4" w14:textId="77777777">
        <w:trPr>
          <w:trHeight w:val="300"/>
        </w:trPr>
        <w:tc>
          <w:tcPr>
            <w:tcW w:w="1170" w:type="dxa"/>
            <w:noWrap/>
            <w:vAlign w:val="center"/>
            <w:hideMark/>
          </w:tcPr>
          <w:p w:rsidRPr="00782FA6" w:rsidR="00DB248A" w:rsidP="00DB248A" w:rsidRDefault="00DB248A" w14:paraId="52089A7D" w14:textId="77777777">
            <w:pPr>
              <w:spacing w:line="240" w:lineRule="auto"/>
              <w:ind w:firstLine="0"/>
              <w:jc w:val="center"/>
              <w:rPr>
                <w:rFonts w:eastAsia="Aptos" w:cs="Times New Roman"/>
                <w:sz w:val="20"/>
                <w:szCs w:val="20"/>
              </w:rPr>
            </w:pPr>
            <w:r w:rsidRPr="00782FA6">
              <w:rPr>
                <w:rFonts w:eastAsia="Aptos" w:cs="Times New Roman"/>
                <w:sz w:val="20"/>
                <w:szCs w:val="20"/>
              </w:rPr>
              <w:t>1479</w:t>
            </w:r>
          </w:p>
        </w:tc>
        <w:tc>
          <w:tcPr>
            <w:tcW w:w="1036" w:type="dxa"/>
            <w:noWrap/>
            <w:vAlign w:val="center"/>
            <w:hideMark/>
          </w:tcPr>
          <w:p w:rsidRPr="00782FA6" w:rsidR="00DB248A" w:rsidP="00DB248A" w:rsidRDefault="00DB248A" w14:paraId="2F1B908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2C377C7" w14:textId="1F36FA5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F84E3E3" w14:textId="68543D60">
            <w:pPr>
              <w:spacing w:line="240" w:lineRule="auto"/>
              <w:ind w:firstLine="0"/>
              <w:rPr>
                <w:rFonts w:eastAsia="Aptos" w:cs="Times New Roman"/>
                <w:sz w:val="20"/>
                <w:szCs w:val="20"/>
              </w:rPr>
            </w:pPr>
            <w:r w:rsidRPr="00782FA6">
              <w:rPr>
                <w:rFonts w:eastAsia="Aptos" w:cs="Times New Roman"/>
                <w:sz w:val="20"/>
                <w:szCs w:val="20"/>
              </w:rPr>
              <w:t>France Telecom Corporate Solutions L.L.C.</w:t>
            </w:r>
          </w:p>
        </w:tc>
      </w:tr>
      <w:tr w:rsidRPr="00782FA6" w:rsidR="00DB248A" w:rsidTr="00E52317" w14:paraId="5E7AF10D" w14:textId="77777777">
        <w:trPr>
          <w:trHeight w:val="300"/>
        </w:trPr>
        <w:tc>
          <w:tcPr>
            <w:tcW w:w="1170" w:type="dxa"/>
            <w:noWrap/>
            <w:vAlign w:val="center"/>
            <w:hideMark/>
          </w:tcPr>
          <w:p w:rsidRPr="00782FA6" w:rsidR="00DB248A" w:rsidP="00DB248A" w:rsidRDefault="00DB248A" w14:paraId="703393A7" w14:textId="77777777">
            <w:pPr>
              <w:spacing w:line="240" w:lineRule="auto"/>
              <w:ind w:firstLine="0"/>
              <w:jc w:val="center"/>
              <w:rPr>
                <w:rFonts w:eastAsia="Aptos" w:cs="Times New Roman"/>
                <w:sz w:val="20"/>
                <w:szCs w:val="20"/>
              </w:rPr>
            </w:pPr>
            <w:r w:rsidRPr="00782FA6">
              <w:rPr>
                <w:rFonts w:eastAsia="Aptos" w:cs="Times New Roman"/>
                <w:sz w:val="20"/>
                <w:szCs w:val="20"/>
              </w:rPr>
              <w:t>1480</w:t>
            </w:r>
          </w:p>
        </w:tc>
        <w:tc>
          <w:tcPr>
            <w:tcW w:w="1036" w:type="dxa"/>
            <w:noWrap/>
            <w:vAlign w:val="center"/>
            <w:hideMark/>
          </w:tcPr>
          <w:p w:rsidRPr="00782FA6" w:rsidR="00DB248A" w:rsidP="00DB248A" w:rsidRDefault="00DB248A" w14:paraId="05B450A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A2A3437" w14:textId="64F1A1C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186C831" w14:textId="1FD6AFFD">
            <w:pPr>
              <w:spacing w:line="240" w:lineRule="auto"/>
              <w:ind w:firstLine="0"/>
              <w:rPr>
                <w:rFonts w:eastAsia="Aptos" w:cs="Times New Roman"/>
                <w:sz w:val="20"/>
                <w:szCs w:val="20"/>
              </w:rPr>
            </w:pPr>
            <w:r w:rsidRPr="00782FA6">
              <w:rPr>
                <w:rFonts w:eastAsia="Aptos" w:cs="Times New Roman"/>
                <w:sz w:val="20"/>
                <w:szCs w:val="20"/>
              </w:rPr>
              <w:t>Perrins Management Corporation</w:t>
            </w:r>
          </w:p>
        </w:tc>
      </w:tr>
      <w:tr w:rsidRPr="00782FA6" w:rsidR="00DB248A" w:rsidTr="00E52317" w14:paraId="08F93C63" w14:textId="77777777">
        <w:trPr>
          <w:trHeight w:val="300"/>
        </w:trPr>
        <w:tc>
          <w:tcPr>
            <w:tcW w:w="1170" w:type="dxa"/>
            <w:noWrap/>
            <w:vAlign w:val="center"/>
            <w:hideMark/>
          </w:tcPr>
          <w:p w:rsidRPr="00782FA6" w:rsidR="00DB248A" w:rsidP="00DB248A" w:rsidRDefault="00DB248A" w14:paraId="2D7E5A50" w14:textId="77777777">
            <w:pPr>
              <w:spacing w:line="240" w:lineRule="auto"/>
              <w:ind w:firstLine="0"/>
              <w:jc w:val="center"/>
              <w:rPr>
                <w:rFonts w:eastAsia="Aptos" w:cs="Times New Roman"/>
                <w:sz w:val="20"/>
                <w:szCs w:val="20"/>
              </w:rPr>
            </w:pPr>
            <w:r w:rsidRPr="00782FA6">
              <w:rPr>
                <w:rFonts w:eastAsia="Aptos" w:cs="Times New Roman"/>
                <w:sz w:val="20"/>
                <w:szCs w:val="20"/>
              </w:rPr>
              <w:t>1482</w:t>
            </w:r>
          </w:p>
        </w:tc>
        <w:tc>
          <w:tcPr>
            <w:tcW w:w="1036" w:type="dxa"/>
            <w:noWrap/>
            <w:vAlign w:val="center"/>
            <w:hideMark/>
          </w:tcPr>
          <w:p w:rsidRPr="00782FA6" w:rsidR="00DB248A" w:rsidP="00DB248A" w:rsidRDefault="00DB248A" w14:paraId="635B79B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B043252" w14:textId="01DA1C6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75851D8" w14:textId="1021C80C">
            <w:pPr>
              <w:spacing w:line="240" w:lineRule="auto"/>
              <w:ind w:firstLine="0"/>
              <w:rPr>
                <w:rFonts w:eastAsia="Aptos" w:cs="Times New Roman"/>
                <w:sz w:val="20"/>
                <w:szCs w:val="20"/>
              </w:rPr>
            </w:pPr>
            <w:r w:rsidRPr="00782FA6">
              <w:rPr>
                <w:rFonts w:eastAsia="Aptos" w:cs="Times New Roman"/>
                <w:sz w:val="20"/>
                <w:szCs w:val="20"/>
              </w:rPr>
              <w:t>Hosted Connection, Inc.</w:t>
            </w:r>
          </w:p>
        </w:tc>
      </w:tr>
      <w:tr w:rsidRPr="00782FA6" w:rsidR="00DB248A" w:rsidTr="00E52317" w14:paraId="54922256" w14:textId="77777777">
        <w:trPr>
          <w:trHeight w:val="300"/>
        </w:trPr>
        <w:tc>
          <w:tcPr>
            <w:tcW w:w="1170" w:type="dxa"/>
            <w:noWrap/>
            <w:vAlign w:val="center"/>
            <w:hideMark/>
          </w:tcPr>
          <w:p w:rsidRPr="00782FA6" w:rsidR="00DB248A" w:rsidP="00DB248A" w:rsidRDefault="00DB248A" w14:paraId="5C8E48DA" w14:textId="77777777">
            <w:pPr>
              <w:spacing w:line="240" w:lineRule="auto"/>
              <w:ind w:firstLine="0"/>
              <w:jc w:val="center"/>
              <w:rPr>
                <w:rFonts w:eastAsia="Aptos" w:cs="Times New Roman"/>
                <w:sz w:val="20"/>
                <w:szCs w:val="20"/>
              </w:rPr>
            </w:pPr>
            <w:r w:rsidRPr="00782FA6">
              <w:rPr>
                <w:rFonts w:eastAsia="Aptos" w:cs="Times New Roman"/>
                <w:sz w:val="20"/>
                <w:szCs w:val="20"/>
              </w:rPr>
              <w:t>1483</w:t>
            </w:r>
          </w:p>
        </w:tc>
        <w:tc>
          <w:tcPr>
            <w:tcW w:w="1036" w:type="dxa"/>
            <w:noWrap/>
            <w:vAlign w:val="center"/>
            <w:hideMark/>
          </w:tcPr>
          <w:p w:rsidRPr="00782FA6" w:rsidR="00DB248A" w:rsidP="00DB248A" w:rsidRDefault="00DB248A" w14:paraId="598DB77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2ACBABE" w14:textId="782D174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CC391F7" w14:textId="6B0B7C4E">
            <w:pPr>
              <w:spacing w:line="240" w:lineRule="auto"/>
              <w:ind w:firstLine="0"/>
              <w:rPr>
                <w:rFonts w:eastAsia="Aptos" w:cs="Times New Roman"/>
                <w:sz w:val="20"/>
                <w:szCs w:val="20"/>
              </w:rPr>
            </w:pPr>
            <w:proofErr w:type="spellStart"/>
            <w:r w:rsidRPr="00782FA6">
              <w:rPr>
                <w:rFonts w:eastAsia="Aptos" w:cs="Times New Roman"/>
                <w:sz w:val="20"/>
                <w:szCs w:val="20"/>
              </w:rPr>
              <w:t>IsoFusion</w:t>
            </w:r>
            <w:proofErr w:type="spellEnd"/>
            <w:r w:rsidRPr="00782FA6">
              <w:rPr>
                <w:rFonts w:eastAsia="Aptos" w:cs="Times New Roman"/>
                <w:sz w:val="20"/>
                <w:szCs w:val="20"/>
              </w:rPr>
              <w:t>, Inc.</w:t>
            </w:r>
          </w:p>
        </w:tc>
      </w:tr>
      <w:tr w:rsidRPr="00782FA6" w:rsidR="00DB248A" w:rsidTr="00E52317" w14:paraId="767E8C45" w14:textId="77777777">
        <w:trPr>
          <w:trHeight w:val="300"/>
        </w:trPr>
        <w:tc>
          <w:tcPr>
            <w:tcW w:w="1170" w:type="dxa"/>
            <w:noWrap/>
            <w:vAlign w:val="center"/>
            <w:hideMark/>
          </w:tcPr>
          <w:p w:rsidRPr="00782FA6" w:rsidR="00DB248A" w:rsidP="00DB248A" w:rsidRDefault="00DB248A" w14:paraId="053C1656" w14:textId="77777777">
            <w:pPr>
              <w:spacing w:line="240" w:lineRule="auto"/>
              <w:ind w:firstLine="0"/>
              <w:jc w:val="center"/>
              <w:rPr>
                <w:rFonts w:eastAsia="Aptos" w:cs="Times New Roman"/>
                <w:sz w:val="20"/>
                <w:szCs w:val="20"/>
              </w:rPr>
            </w:pPr>
            <w:r w:rsidRPr="00782FA6">
              <w:rPr>
                <w:rFonts w:eastAsia="Aptos" w:cs="Times New Roman"/>
                <w:sz w:val="20"/>
                <w:szCs w:val="20"/>
              </w:rPr>
              <w:t>1484</w:t>
            </w:r>
          </w:p>
        </w:tc>
        <w:tc>
          <w:tcPr>
            <w:tcW w:w="1036" w:type="dxa"/>
            <w:noWrap/>
            <w:vAlign w:val="center"/>
            <w:hideMark/>
          </w:tcPr>
          <w:p w:rsidRPr="00782FA6" w:rsidR="00DB248A" w:rsidP="00DB248A" w:rsidRDefault="00DB248A" w14:paraId="6D31939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D0569B9" w14:textId="37E6728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1F80A75" w14:textId="2784CEFC">
            <w:pPr>
              <w:spacing w:line="240" w:lineRule="auto"/>
              <w:ind w:firstLine="0"/>
              <w:rPr>
                <w:rFonts w:eastAsia="Aptos" w:cs="Times New Roman"/>
                <w:sz w:val="20"/>
                <w:szCs w:val="20"/>
              </w:rPr>
            </w:pPr>
            <w:r w:rsidRPr="00782FA6">
              <w:rPr>
                <w:rFonts w:eastAsia="Aptos" w:cs="Times New Roman"/>
                <w:sz w:val="20"/>
                <w:szCs w:val="20"/>
              </w:rPr>
              <w:t>D4US, LLC</w:t>
            </w:r>
          </w:p>
        </w:tc>
      </w:tr>
      <w:tr w:rsidRPr="00782FA6" w:rsidR="00DB248A" w:rsidTr="00E52317" w14:paraId="5B0AF14A" w14:textId="77777777">
        <w:trPr>
          <w:trHeight w:val="300"/>
        </w:trPr>
        <w:tc>
          <w:tcPr>
            <w:tcW w:w="1170" w:type="dxa"/>
            <w:noWrap/>
            <w:vAlign w:val="center"/>
            <w:hideMark/>
          </w:tcPr>
          <w:p w:rsidRPr="00782FA6" w:rsidR="00DB248A" w:rsidP="00DB248A" w:rsidRDefault="00DB248A" w14:paraId="6FD827F4" w14:textId="77777777">
            <w:pPr>
              <w:spacing w:line="240" w:lineRule="auto"/>
              <w:ind w:firstLine="0"/>
              <w:jc w:val="center"/>
              <w:rPr>
                <w:rFonts w:eastAsia="Aptos" w:cs="Times New Roman"/>
                <w:sz w:val="20"/>
                <w:szCs w:val="20"/>
              </w:rPr>
            </w:pPr>
            <w:r w:rsidRPr="00782FA6">
              <w:rPr>
                <w:rFonts w:eastAsia="Aptos" w:cs="Times New Roman"/>
                <w:sz w:val="20"/>
                <w:szCs w:val="20"/>
              </w:rPr>
              <w:t>1485</w:t>
            </w:r>
          </w:p>
        </w:tc>
        <w:tc>
          <w:tcPr>
            <w:tcW w:w="1036" w:type="dxa"/>
            <w:noWrap/>
            <w:vAlign w:val="center"/>
            <w:hideMark/>
          </w:tcPr>
          <w:p w:rsidRPr="00782FA6" w:rsidR="00DB248A" w:rsidP="00DB248A" w:rsidRDefault="00DB248A" w14:paraId="5281A34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9ADE0B6" w14:textId="4B34433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26149A2" w14:textId="43B59F52">
            <w:pPr>
              <w:spacing w:line="240" w:lineRule="auto"/>
              <w:ind w:firstLine="0"/>
              <w:rPr>
                <w:rFonts w:eastAsia="Aptos" w:cs="Times New Roman"/>
                <w:sz w:val="20"/>
                <w:szCs w:val="20"/>
              </w:rPr>
            </w:pPr>
            <w:r w:rsidRPr="00782FA6">
              <w:rPr>
                <w:rFonts w:eastAsia="Aptos" w:cs="Times New Roman"/>
                <w:sz w:val="20"/>
                <w:szCs w:val="20"/>
              </w:rPr>
              <w:t>ACN Communication Services, LLC</w:t>
            </w:r>
          </w:p>
        </w:tc>
      </w:tr>
      <w:tr w:rsidRPr="00782FA6" w:rsidR="00DB248A" w:rsidTr="00E52317" w14:paraId="76F9E3B1" w14:textId="77777777">
        <w:trPr>
          <w:trHeight w:val="300"/>
        </w:trPr>
        <w:tc>
          <w:tcPr>
            <w:tcW w:w="1170" w:type="dxa"/>
            <w:noWrap/>
            <w:vAlign w:val="center"/>
            <w:hideMark/>
          </w:tcPr>
          <w:p w:rsidRPr="00782FA6" w:rsidR="00DB248A" w:rsidP="00DB248A" w:rsidRDefault="00DB248A" w14:paraId="4DD779FA" w14:textId="77777777">
            <w:pPr>
              <w:spacing w:line="240" w:lineRule="auto"/>
              <w:ind w:firstLine="0"/>
              <w:jc w:val="center"/>
              <w:rPr>
                <w:rFonts w:eastAsia="Aptos" w:cs="Times New Roman"/>
                <w:sz w:val="20"/>
                <w:szCs w:val="20"/>
              </w:rPr>
            </w:pPr>
            <w:r w:rsidRPr="00782FA6">
              <w:rPr>
                <w:rFonts w:eastAsia="Aptos" w:cs="Times New Roman"/>
                <w:sz w:val="20"/>
                <w:szCs w:val="20"/>
              </w:rPr>
              <w:t>1487</w:t>
            </w:r>
          </w:p>
        </w:tc>
        <w:tc>
          <w:tcPr>
            <w:tcW w:w="1036" w:type="dxa"/>
            <w:noWrap/>
            <w:vAlign w:val="center"/>
            <w:hideMark/>
          </w:tcPr>
          <w:p w:rsidRPr="00782FA6" w:rsidR="00DB248A" w:rsidP="00DB248A" w:rsidRDefault="00DB248A" w14:paraId="5E6F3A5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207D0EC" w14:textId="27CC728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C1E2998" w14:textId="0E926A61">
            <w:pPr>
              <w:spacing w:line="240" w:lineRule="auto"/>
              <w:ind w:firstLine="0"/>
              <w:rPr>
                <w:rFonts w:eastAsia="Aptos" w:cs="Times New Roman"/>
                <w:sz w:val="20"/>
                <w:szCs w:val="20"/>
              </w:rPr>
            </w:pPr>
            <w:r w:rsidRPr="00782FA6">
              <w:rPr>
                <w:rFonts w:eastAsia="Aptos" w:cs="Times New Roman"/>
                <w:sz w:val="20"/>
                <w:szCs w:val="20"/>
              </w:rPr>
              <w:t>Google Fiber North America Inc.</w:t>
            </w:r>
          </w:p>
        </w:tc>
      </w:tr>
      <w:tr w:rsidRPr="00782FA6" w:rsidR="00DB248A" w:rsidTr="00E52317" w14:paraId="6042D878" w14:textId="77777777">
        <w:trPr>
          <w:trHeight w:val="300"/>
        </w:trPr>
        <w:tc>
          <w:tcPr>
            <w:tcW w:w="1170" w:type="dxa"/>
            <w:noWrap/>
            <w:vAlign w:val="center"/>
            <w:hideMark/>
          </w:tcPr>
          <w:p w:rsidRPr="00782FA6" w:rsidR="00DB248A" w:rsidP="00DB248A" w:rsidRDefault="00DB248A" w14:paraId="6BA0EB5F" w14:textId="77777777">
            <w:pPr>
              <w:spacing w:line="240" w:lineRule="auto"/>
              <w:ind w:firstLine="0"/>
              <w:jc w:val="center"/>
              <w:rPr>
                <w:rFonts w:eastAsia="Aptos" w:cs="Times New Roman"/>
                <w:sz w:val="20"/>
                <w:szCs w:val="20"/>
              </w:rPr>
            </w:pPr>
            <w:r w:rsidRPr="00782FA6">
              <w:rPr>
                <w:rFonts w:eastAsia="Aptos" w:cs="Times New Roman"/>
                <w:sz w:val="20"/>
                <w:szCs w:val="20"/>
              </w:rPr>
              <w:t>1490</w:t>
            </w:r>
          </w:p>
        </w:tc>
        <w:tc>
          <w:tcPr>
            <w:tcW w:w="1036" w:type="dxa"/>
            <w:noWrap/>
            <w:vAlign w:val="center"/>
            <w:hideMark/>
          </w:tcPr>
          <w:p w:rsidRPr="00782FA6" w:rsidR="00DB248A" w:rsidP="00DB248A" w:rsidRDefault="00DB248A" w14:paraId="17727A7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015E8FD" w14:textId="34CAE20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DD046A6" w14:textId="20E6C4BA">
            <w:pPr>
              <w:spacing w:line="240" w:lineRule="auto"/>
              <w:ind w:firstLine="0"/>
              <w:rPr>
                <w:rFonts w:eastAsia="Aptos" w:cs="Times New Roman"/>
                <w:sz w:val="20"/>
                <w:szCs w:val="20"/>
              </w:rPr>
            </w:pPr>
            <w:r w:rsidRPr="00782FA6">
              <w:rPr>
                <w:rFonts w:eastAsia="Aptos" w:cs="Times New Roman"/>
                <w:sz w:val="20"/>
                <w:szCs w:val="20"/>
              </w:rPr>
              <w:t>UPNETWORX, Inc.</w:t>
            </w:r>
          </w:p>
        </w:tc>
      </w:tr>
      <w:tr w:rsidRPr="00782FA6" w:rsidR="00DB248A" w:rsidTr="00E52317" w14:paraId="3781EC0D" w14:textId="77777777">
        <w:trPr>
          <w:trHeight w:val="300"/>
        </w:trPr>
        <w:tc>
          <w:tcPr>
            <w:tcW w:w="1170" w:type="dxa"/>
            <w:noWrap/>
            <w:vAlign w:val="center"/>
            <w:hideMark/>
          </w:tcPr>
          <w:p w:rsidRPr="00782FA6" w:rsidR="00DB248A" w:rsidP="00DB248A" w:rsidRDefault="00DB248A" w14:paraId="7F774E54" w14:textId="77777777">
            <w:pPr>
              <w:spacing w:line="240" w:lineRule="auto"/>
              <w:ind w:firstLine="0"/>
              <w:jc w:val="center"/>
              <w:rPr>
                <w:rFonts w:eastAsia="Aptos" w:cs="Times New Roman"/>
                <w:sz w:val="20"/>
                <w:szCs w:val="20"/>
              </w:rPr>
            </w:pPr>
            <w:r w:rsidRPr="00782FA6">
              <w:rPr>
                <w:rFonts w:eastAsia="Aptos" w:cs="Times New Roman"/>
                <w:sz w:val="20"/>
                <w:szCs w:val="20"/>
              </w:rPr>
              <w:t>1491</w:t>
            </w:r>
          </w:p>
        </w:tc>
        <w:tc>
          <w:tcPr>
            <w:tcW w:w="1036" w:type="dxa"/>
            <w:noWrap/>
            <w:vAlign w:val="center"/>
            <w:hideMark/>
          </w:tcPr>
          <w:p w:rsidRPr="00782FA6" w:rsidR="00DB248A" w:rsidP="00DB248A" w:rsidRDefault="00DB248A" w14:paraId="1F04EB7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B6F11C5" w14:textId="7BBC364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AC942DE" w14:textId="73980E72">
            <w:pPr>
              <w:spacing w:line="240" w:lineRule="auto"/>
              <w:ind w:firstLine="0"/>
              <w:rPr>
                <w:rFonts w:eastAsia="Aptos" w:cs="Times New Roman"/>
                <w:sz w:val="20"/>
                <w:szCs w:val="20"/>
              </w:rPr>
            </w:pPr>
            <w:r w:rsidRPr="00782FA6">
              <w:rPr>
                <w:rFonts w:eastAsia="Aptos" w:cs="Times New Roman"/>
                <w:sz w:val="20"/>
                <w:szCs w:val="20"/>
              </w:rPr>
              <w:t>WAVE.BAND, LLC</w:t>
            </w:r>
          </w:p>
        </w:tc>
      </w:tr>
      <w:tr w:rsidRPr="00782FA6" w:rsidR="00DB248A" w:rsidTr="00E52317" w14:paraId="04E9BA28" w14:textId="77777777">
        <w:trPr>
          <w:trHeight w:val="300"/>
        </w:trPr>
        <w:tc>
          <w:tcPr>
            <w:tcW w:w="1170" w:type="dxa"/>
            <w:noWrap/>
            <w:vAlign w:val="center"/>
            <w:hideMark/>
          </w:tcPr>
          <w:p w:rsidRPr="00782FA6" w:rsidR="00DB248A" w:rsidP="00DB248A" w:rsidRDefault="00DB248A" w14:paraId="0E4978AE" w14:textId="77777777">
            <w:pPr>
              <w:spacing w:line="240" w:lineRule="auto"/>
              <w:ind w:firstLine="0"/>
              <w:jc w:val="center"/>
              <w:rPr>
                <w:rFonts w:eastAsia="Aptos" w:cs="Times New Roman"/>
                <w:sz w:val="20"/>
                <w:szCs w:val="20"/>
              </w:rPr>
            </w:pPr>
            <w:r w:rsidRPr="00782FA6">
              <w:rPr>
                <w:rFonts w:eastAsia="Aptos" w:cs="Times New Roman"/>
                <w:sz w:val="20"/>
                <w:szCs w:val="20"/>
              </w:rPr>
              <w:t>1492</w:t>
            </w:r>
          </w:p>
        </w:tc>
        <w:tc>
          <w:tcPr>
            <w:tcW w:w="1036" w:type="dxa"/>
            <w:noWrap/>
            <w:vAlign w:val="center"/>
            <w:hideMark/>
          </w:tcPr>
          <w:p w:rsidRPr="00782FA6" w:rsidR="00DB248A" w:rsidP="00DB248A" w:rsidRDefault="00DB248A" w14:paraId="33A7696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7547D65" w14:textId="072A98D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883651E" w14:textId="5F096AD6">
            <w:pPr>
              <w:spacing w:line="240" w:lineRule="auto"/>
              <w:ind w:firstLine="0"/>
              <w:rPr>
                <w:rFonts w:eastAsia="Aptos" w:cs="Times New Roman"/>
                <w:sz w:val="20"/>
                <w:szCs w:val="20"/>
              </w:rPr>
            </w:pPr>
            <w:r w:rsidRPr="00782FA6">
              <w:rPr>
                <w:rFonts w:eastAsia="Aptos" w:cs="Times New Roman"/>
                <w:sz w:val="20"/>
                <w:szCs w:val="20"/>
              </w:rPr>
              <w:t>Telecom LLC</w:t>
            </w:r>
          </w:p>
        </w:tc>
      </w:tr>
      <w:tr w:rsidRPr="00782FA6" w:rsidR="00DB248A" w:rsidTr="00E52317" w14:paraId="5958E8FA" w14:textId="77777777">
        <w:trPr>
          <w:trHeight w:val="300"/>
        </w:trPr>
        <w:tc>
          <w:tcPr>
            <w:tcW w:w="1170" w:type="dxa"/>
            <w:noWrap/>
            <w:vAlign w:val="center"/>
            <w:hideMark/>
          </w:tcPr>
          <w:p w:rsidRPr="00782FA6" w:rsidR="00DB248A" w:rsidP="00DB248A" w:rsidRDefault="00DB248A" w14:paraId="15973D91" w14:textId="77777777">
            <w:pPr>
              <w:spacing w:line="240" w:lineRule="auto"/>
              <w:ind w:firstLine="0"/>
              <w:jc w:val="center"/>
              <w:rPr>
                <w:rFonts w:eastAsia="Aptos" w:cs="Times New Roman"/>
                <w:sz w:val="20"/>
                <w:szCs w:val="20"/>
              </w:rPr>
            </w:pPr>
            <w:r w:rsidRPr="00782FA6">
              <w:rPr>
                <w:rFonts w:eastAsia="Aptos" w:cs="Times New Roman"/>
                <w:sz w:val="20"/>
                <w:szCs w:val="20"/>
              </w:rPr>
              <w:t>1494</w:t>
            </w:r>
          </w:p>
        </w:tc>
        <w:tc>
          <w:tcPr>
            <w:tcW w:w="1036" w:type="dxa"/>
            <w:noWrap/>
            <w:vAlign w:val="center"/>
            <w:hideMark/>
          </w:tcPr>
          <w:p w:rsidRPr="00782FA6" w:rsidR="00DB248A" w:rsidP="00DB248A" w:rsidRDefault="00DB248A" w14:paraId="66219D8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B39DECA" w14:textId="22B1BDC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2A4D9D9" w14:textId="4F5B4383">
            <w:pPr>
              <w:spacing w:line="240" w:lineRule="auto"/>
              <w:ind w:firstLine="0"/>
              <w:rPr>
                <w:rFonts w:eastAsia="Aptos" w:cs="Times New Roman"/>
                <w:sz w:val="20"/>
                <w:szCs w:val="20"/>
              </w:rPr>
            </w:pPr>
            <w:proofErr w:type="spellStart"/>
            <w:r w:rsidRPr="00782FA6">
              <w:rPr>
                <w:rFonts w:eastAsia="Aptos" w:cs="Times New Roman"/>
                <w:sz w:val="20"/>
                <w:szCs w:val="20"/>
              </w:rPr>
              <w:t>ShivaGenesis</w:t>
            </w:r>
            <w:proofErr w:type="spellEnd"/>
            <w:r w:rsidRPr="00782FA6">
              <w:rPr>
                <w:rFonts w:eastAsia="Aptos" w:cs="Times New Roman"/>
                <w:sz w:val="20"/>
                <w:szCs w:val="20"/>
              </w:rPr>
              <w:t xml:space="preserve"> Networks, Inc a California S Corporation</w:t>
            </w:r>
          </w:p>
        </w:tc>
      </w:tr>
      <w:tr w:rsidRPr="00782FA6" w:rsidR="00DB248A" w:rsidTr="00E52317" w14:paraId="422D9C82" w14:textId="77777777">
        <w:trPr>
          <w:trHeight w:val="300"/>
        </w:trPr>
        <w:tc>
          <w:tcPr>
            <w:tcW w:w="1170" w:type="dxa"/>
            <w:noWrap/>
            <w:vAlign w:val="center"/>
            <w:hideMark/>
          </w:tcPr>
          <w:p w:rsidRPr="00782FA6" w:rsidR="00DB248A" w:rsidP="00DB248A" w:rsidRDefault="00DB248A" w14:paraId="42EE9F07" w14:textId="77777777">
            <w:pPr>
              <w:spacing w:line="240" w:lineRule="auto"/>
              <w:ind w:firstLine="0"/>
              <w:jc w:val="center"/>
              <w:rPr>
                <w:rFonts w:eastAsia="Aptos" w:cs="Times New Roman"/>
                <w:sz w:val="20"/>
                <w:szCs w:val="20"/>
              </w:rPr>
            </w:pPr>
            <w:r w:rsidRPr="00782FA6">
              <w:rPr>
                <w:rFonts w:eastAsia="Aptos" w:cs="Times New Roman"/>
                <w:sz w:val="20"/>
                <w:szCs w:val="20"/>
              </w:rPr>
              <w:t>1495</w:t>
            </w:r>
          </w:p>
        </w:tc>
        <w:tc>
          <w:tcPr>
            <w:tcW w:w="1036" w:type="dxa"/>
            <w:noWrap/>
            <w:vAlign w:val="center"/>
            <w:hideMark/>
          </w:tcPr>
          <w:p w:rsidRPr="00782FA6" w:rsidR="00DB248A" w:rsidP="00DB248A" w:rsidRDefault="00DB248A" w14:paraId="5757B21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00A3B48" w14:textId="3262862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A575745" w14:textId="7624E24B">
            <w:pPr>
              <w:spacing w:line="240" w:lineRule="auto"/>
              <w:ind w:firstLine="0"/>
              <w:rPr>
                <w:rFonts w:eastAsia="Aptos" w:cs="Times New Roman"/>
                <w:sz w:val="20"/>
                <w:szCs w:val="20"/>
              </w:rPr>
            </w:pPr>
            <w:r w:rsidRPr="00782FA6">
              <w:rPr>
                <w:rFonts w:eastAsia="Aptos" w:cs="Times New Roman"/>
                <w:sz w:val="20"/>
                <w:szCs w:val="20"/>
              </w:rPr>
              <w:t>Engage Holdings, LLC</w:t>
            </w:r>
          </w:p>
        </w:tc>
      </w:tr>
      <w:tr w:rsidRPr="00782FA6" w:rsidR="00DB248A" w:rsidTr="00E52317" w14:paraId="4C206EF2" w14:textId="77777777">
        <w:trPr>
          <w:trHeight w:val="300"/>
        </w:trPr>
        <w:tc>
          <w:tcPr>
            <w:tcW w:w="1170" w:type="dxa"/>
            <w:noWrap/>
            <w:vAlign w:val="center"/>
            <w:hideMark/>
          </w:tcPr>
          <w:p w:rsidRPr="00782FA6" w:rsidR="00DB248A" w:rsidP="00DB248A" w:rsidRDefault="00DB248A" w14:paraId="6ADA0DE0" w14:textId="77777777">
            <w:pPr>
              <w:spacing w:line="240" w:lineRule="auto"/>
              <w:ind w:firstLine="0"/>
              <w:jc w:val="center"/>
              <w:rPr>
                <w:rFonts w:eastAsia="Aptos" w:cs="Times New Roman"/>
                <w:sz w:val="20"/>
                <w:szCs w:val="20"/>
              </w:rPr>
            </w:pPr>
            <w:r w:rsidRPr="00782FA6">
              <w:rPr>
                <w:rFonts w:eastAsia="Aptos" w:cs="Times New Roman"/>
                <w:sz w:val="20"/>
                <w:szCs w:val="20"/>
              </w:rPr>
              <w:t>1496</w:t>
            </w:r>
          </w:p>
        </w:tc>
        <w:tc>
          <w:tcPr>
            <w:tcW w:w="1036" w:type="dxa"/>
            <w:noWrap/>
            <w:vAlign w:val="center"/>
            <w:hideMark/>
          </w:tcPr>
          <w:p w:rsidRPr="00782FA6" w:rsidR="00DB248A" w:rsidP="00DB248A" w:rsidRDefault="00DB248A" w14:paraId="4A5344B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6E77627" w14:textId="1DC10B7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780AB99" w14:textId="2390D927">
            <w:pPr>
              <w:spacing w:line="240" w:lineRule="auto"/>
              <w:ind w:firstLine="0"/>
              <w:rPr>
                <w:rFonts w:eastAsia="Aptos" w:cs="Times New Roman"/>
                <w:sz w:val="20"/>
                <w:szCs w:val="20"/>
              </w:rPr>
            </w:pPr>
            <w:proofErr w:type="spellStart"/>
            <w:r w:rsidRPr="00782FA6">
              <w:rPr>
                <w:rFonts w:eastAsia="Aptos" w:cs="Times New Roman"/>
                <w:sz w:val="20"/>
                <w:szCs w:val="20"/>
              </w:rPr>
              <w:t>WindyCitySDR</w:t>
            </w:r>
            <w:proofErr w:type="spellEnd"/>
          </w:p>
        </w:tc>
      </w:tr>
      <w:tr w:rsidRPr="00782FA6" w:rsidR="00DB248A" w:rsidTr="00E52317" w14:paraId="2EAE0B8A" w14:textId="77777777">
        <w:trPr>
          <w:trHeight w:val="300"/>
        </w:trPr>
        <w:tc>
          <w:tcPr>
            <w:tcW w:w="1170" w:type="dxa"/>
            <w:noWrap/>
            <w:vAlign w:val="center"/>
            <w:hideMark/>
          </w:tcPr>
          <w:p w:rsidRPr="00782FA6" w:rsidR="00DB248A" w:rsidP="00DB248A" w:rsidRDefault="00DB248A" w14:paraId="134D24B1" w14:textId="77777777">
            <w:pPr>
              <w:spacing w:line="240" w:lineRule="auto"/>
              <w:ind w:firstLine="0"/>
              <w:jc w:val="center"/>
              <w:rPr>
                <w:rFonts w:eastAsia="Aptos" w:cs="Times New Roman"/>
                <w:sz w:val="20"/>
                <w:szCs w:val="20"/>
              </w:rPr>
            </w:pPr>
            <w:r w:rsidRPr="00782FA6">
              <w:rPr>
                <w:rFonts w:eastAsia="Aptos" w:cs="Times New Roman"/>
                <w:sz w:val="20"/>
                <w:szCs w:val="20"/>
              </w:rPr>
              <w:t>1497</w:t>
            </w:r>
          </w:p>
        </w:tc>
        <w:tc>
          <w:tcPr>
            <w:tcW w:w="1036" w:type="dxa"/>
            <w:noWrap/>
            <w:vAlign w:val="center"/>
            <w:hideMark/>
          </w:tcPr>
          <w:p w:rsidRPr="00782FA6" w:rsidR="00DB248A" w:rsidP="00DB248A" w:rsidRDefault="00DB248A" w14:paraId="1185479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AF01E83" w14:textId="418E312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11707B3" w14:textId="78AC7421">
            <w:pPr>
              <w:spacing w:line="240" w:lineRule="auto"/>
              <w:ind w:firstLine="0"/>
              <w:rPr>
                <w:rFonts w:eastAsia="Aptos" w:cs="Times New Roman"/>
                <w:sz w:val="20"/>
                <w:szCs w:val="20"/>
              </w:rPr>
            </w:pPr>
            <w:r w:rsidRPr="00782FA6">
              <w:rPr>
                <w:rFonts w:eastAsia="Aptos" w:cs="Times New Roman"/>
                <w:sz w:val="20"/>
                <w:szCs w:val="20"/>
              </w:rPr>
              <w:t>PNG Telecommunications Inc.</w:t>
            </w:r>
          </w:p>
        </w:tc>
      </w:tr>
      <w:tr w:rsidRPr="00782FA6" w:rsidR="00DB248A" w:rsidTr="00E52317" w14:paraId="4EA63AF3" w14:textId="77777777">
        <w:trPr>
          <w:trHeight w:val="300"/>
        </w:trPr>
        <w:tc>
          <w:tcPr>
            <w:tcW w:w="1170" w:type="dxa"/>
            <w:noWrap/>
            <w:vAlign w:val="center"/>
            <w:hideMark/>
          </w:tcPr>
          <w:p w:rsidRPr="00782FA6" w:rsidR="00DB248A" w:rsidP="00DB248A" w:rsidRDefault="00DB248A" w14:paraId="65FD6900" w14:textId="77777777">
            <w:pPr>
              <w:spacing w:line="240" w:lineRule="auto"/>
              <w:ind w:firstLine="0"/>
              <w:jc w:val="center"/>
              <w:rPr>
                <w:rFonts w:eastAsia="Aptos" w:cs="Times New Roman"/>
                <w:sz w:val="20"/>
                <w:szCs w:val="20"/>
              </w:rPr>
            </w:pPr>
            <w:r w:rsidRPr="00782FA6">
              <w:rPr>
                <w:rFonts w:eastAsia="Aptos" w:cs="Times New Roman"/>
                <w:sz w:val="20"/>
                <w:szCs w:val="20"/>
              </w:rPr>
              <w:t>1498</w:t>
            </w:r>
          </w:p>
        </w:tc>
        <w:tc>
          <w:tcPr>
            <w:tcW w:w="1036" w:type="dxa"/>
            <w:noWrap/>
            <w:vAlign w:val="center"/>
            <w:hideMark/>
          </w:tcPr>
          <w:p w:rsidRPr="00782FA6" w:rsidR="00DB248A" w:rsidP="00DB248A" w:rsidRDefault="00DB248A" w14:paraId="45B203D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0D4CFF5" w14:textId="57E4DE8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94AE71C" w14:textId="38CF3945">
            <w:pPr>
              <w:spacing w:line="240" w:lineRule="auto"/>
              <w:ind w:firstLine="0"/>
              <w:rPr>
                <w:rFonts w:eastAsia="Aptos" w:cs="Times New Roman"/>
                <w:sz w:val="20"/>
                <w:szCs w:val="20"/>
              </w:rPr>
            </w:pPr>
            <w:proofErr w:type="spellStart"/>
            <w:r w:rsidRPr="00782FA6">
              <w:rPr>
                <w:rFonts w:eastAsia="Aptos" w:cs="Times New Roman"/>
                <w:sz w:val="20"/>
                <w:szCs w:val="20"/>
              </w:rPr>
              <w:t>Covoda</w:t>
            </w:r>
            <w:proofErr w:type="spellEnd"/>
            <w:r w:rsidRPr="00782FA6">
              <w:rPr>
                <w:rFonts w:eastAsia="Aptos" w:cs="Times New Roman"/>
                <w:sz w:val="20"/>
                <w:szCs w:val="20"/>
              </w:rPr>
              <w:t xml:space="preserve"> Communications, Inc.</w:t>
            </w:r>
          </w:p>
        </w:tc>
      </w:tr>
      <w:tr w:rsidRPr="00782FA6" w:rsidR="00DB248A" w:rsidTr="00E52317" w14:paraId="2AA8F140" w14:textId="77777777">
        <w:trPr>
          <w:trHeight w:val="300"/>
        </w:trPr>
        <w:tc>
          <w:tcPr>
            <w:tcW w:w="1170" w:type="dxa"/>
            <w:noWrap/>
            <w:vAlign w:val="center"/>
            <w:hideMark/>
          </w:tcPr>
          <w:p w:rsidRPr="00782FA6" w:rsidR="00DB248A" w:rsidP="00DB248A" w:rsidRDefault="00DB248A" w14:paraId="5A3048C7" w14:textId="77777777">
            <w:pPr>
              <w:spacing w:line="240" w:lineRule="auto"/>
              <w:ind w:firstLine="0"/>
              <w:jc w:val="center"/>
              <w:rPr>
                <w:rFonts w:eastAsia="Aptos" w:cs="Times New Roman"/>
                <w:sz w:val="20"/>
                <w:szCs w:val="20"/>
              </w:rPr>
            </w:pPr>
            <w:r w:rsidRPr="00782FA6">
              <w:rPr>
                <w:rFonts w:eastAsia="Aptos" w:cs="Times New Roman"/>
                <w:sz w:val="20"/>
                <w:szCs w:val="20"/>
              </w:rPr>
              <w:t>1499</w:t>
            </w:r>
          </w:p>
        </w:tc>
        <w:tc>
          <w:tcPr>
            <w:tcW w:w="1036" w:type="dxa"/>
            <w:noWrap/>
            <w:vAlign w:val="center"/>
            <w:hideMark/>
          </w:tcPr>
          <w:p w:rsidRPr="00782FA6" w:rsidR="00DB248A" w:rsidP="00DB248A" w:rsidRDefault="00DB248A" w14:paraId="0964E59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43A2612" w14:textId="7D0AF30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EC8AFE3" w14:textId="7F3A8CD8">
            <w:pPr>
              <w:spacing w:line="240" w:lineRule="auto"/>
              <w:ind w:firstLine="0"/>
              <w:rPr>
                <w:rFonts w:eastAsia="Aptos" w:cs="Times New Roman"/>
                <w:sz w:val="20"/>
                <w:szCs w:val="20"/>
              </w:rPr>
            </w:pPr>
            <w:r w:rsidRPr="00782FA6">
              <w:rPr>
                <w:rFonts w:eastAsia="Aptos" w:cs="Times New Roman"/>
                <w:sz w:val="20"/>
                <w:szCs w:val="20"/>
              </w:rPr>
              <w:t>Veracity Networks, LLC</w:t>
            </w:r>
          </w:p>
        </w:tc>
      </w:tr>
      <w:tr w:rsidRPr="00782FA6" w:rsidR="00DB248A" w:rsidTr="00E52317" w14:paraId="6D7AAF36" w14:textId="77777777">
        <w:trPr>
          <w:trHeight w:val="300"/>
        </w:trPr>
        <w:tc>
          <w:tcPr>
            <w:tcW w:w="1170" w:type="dxa"/>
            <w:noWrap/>
            <w:vAlign w:val="center"/>
            <w:hideMark/>
          </w:tcPr>
          <w:p w:rsidRPr="00782FA6" w:rsidR="00DB248A" w:rsidP="00DB248A" w:rsidRDefault="00DB248A" w14:paraId="2E3BE956" w14:textId="77777777">
            <w:pPr>
              <w:spacing w:line="240" w:lineRule="auto"/>
              <w:ind w:firstLine="0"/>
              <w:jc w:val="center"/>
              <w:rPr>
                <w:rFonts w:eastAsia="Aptos" w:cs="Times New Roman"/>
                <w:sz w:val="20"/>
                <w:szCs w:val="20"/>
              </w:rPr>
            </w:pPr>
            <w:r w:rsidRPr="00782FA6">
              <w:rPr>
                <w:rFonts w:eastAsia="Aptos" w:cs="Times New Roman"/>
                <w:sz w:val="20"/>
                <w:szCs w:val="20"/>
              </w:rPr>
              <w:t>1501</w:t>
            </w:r>
          </w:p>
        </w:tc>
        <w:tc>
          <w:tcPr>
            <w:tcW w:w="1036" w:type="dxa"/>
            <w:noWrap/>
            <w:vAlign w:val="center"/>
            <w:hideMark/>
          </w:tcPr>
          <w:p w:rsidRPr="00782FA6" w:rsidR="00DB248A" w:rsidP="00DB248A" w:rsidRDefault="00DB248A" w14:paraId="4B734DD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3488612" w14:textId="1390402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17E7439" w14:textId="45D33942">
            <w:pPr>
              <w:spacing w:line="240" w:lineRule="auto"/>
              <w:ind w:firstLine="0"/>
              <w:rPr>
                <w:rFonts w:eastAsia="Aptos" w:cs="Times New Roman"/>
                <w:sz w:val="20"/>
                <w:szCs w:val="20"/>
              </w:rPr>
            </w:pPr>
            <w:r w:rsidRPr="00782FA6">
              <w:rPr>
                <w:rFonts w:eastAsia="Aptos" w:cs="Times New Roman"/>
                <w:sz w:val="20"/>
                <w:szCs w:val="20"/>
              </w:rPr>
              <w:t>IT Support Pros, Inc.</w:t>
            </w:r>
          </w:p>
        </w:tc>
      </w:tr>
      <w:tr w:rsidRPr="00782FA6" w:rsidR="00DB248A" w:rsidTr="00E52317" w14:paraId="3C6094CB" w14:textId="77777777">
        <w:trPr>
          <w:trHeight w:val="300"/>
        </w:trPr>
        <w:tc>
          <w:tcPr>
            <w:tcW w:w="1170" w:type="dxa"/>
            <w:noWrap/>
            <w:vAlign w:val="center"/>
            <w:hideMark/>
          </w:tcPr>
          <w:p w:rsidRPr="00782FA6" w:rsidR="00DB248A" w:rsidP="00DB248A" w:rsidRDefault="00DB248A" w14:paraId="16A09DB6" w14:textId="77777777">
            <w:pPr>
              <w:spacing w:line="240" w:lineRule="auto"/>
              <w:ind w:firstLine="0"/>
              <w:jc w:val="center"/>
              <w:rPr>
                <w:rFonts w:eastAsia="Aptos" w:cs="Times New Roman"/>
                <w:sz w:val="20"/>
                <w:szCs w:val="20"/>
              </w:rPr>
            </w:pPr>
            <w:r w:rsidRPr="00782FA6">
              <w:rPr>
                <w:rFonts w:eastAsia="Aptos" w:cs="Times New Roman"/>
                <w:sz w:val="20"/>
                <w:szCs w:val="20"/>
              </w:rPr>
              <w:t>1502</w:t>
            </w:r>
          </w:p>
        </w:tc>
        <w:tc>
          <w:tcPr>
            <w:tcW w:w="1036" w:type="dxa"/>
            <w:noWrap/>
            <w:vAlign w:val="center"/>
            <w:hideMark/>
          </w:tcPr>
          <w:p w:rsidRPr="00782FA6" w:rsidR="00DB248A" w:rsidP="00DB248A" w:rsidRDefault="00DB248A" w14:paraId="2ACF029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A1A4DE0" w14:textId="35A2B80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2A352E4" w14:textId="204C4C5D">
            <w:pPr>
              <w:spacing w:line="240" w:lineRule="auto"/>
              <w:ind w:firstLine="0"/>
              <w:rPr>
                <w:rFonts w:eastAsia="Aptos" w:cs="Times New Roman"/>
                <w:sz w:val="20"/>
                <w:szCs w:val="20"/>
              </w:rPr>
            </w:pPr>
            <w:proofErr w:type="spellStart"/>
            <w:r w:rsidRPr="00782FA6">
              <w:rPr>
                <w:rFonts w:eastAsia="Aptos" w:cs="Times New Roman"/>
                <w:sz w:val="20"/>
                <w:szCs w:val="20"/>
              </w:rPr>
              <w:t>smplsolutions</w:t>
            </w:r>
            <w:proofErr w:type="spellEnd"/>
          </w:p>
        </w:tc>
      </w:tr>
      <w:tr w:rsidRPr="00782FA6" w:rsidR="00DB248A" w:rsidTr="00E52317" w14:paraId="1D41A32F" w14:textId="77777777">
        <w:trPr>
          <w:trHeight w:val="300"/>
        </w:trPr>
        <w:tc>
          <w:tcPr>
            <w:tcW w:w="1170" w:type="dxa"/>
            <w:noWrap/>
            <w:vAlign w:val="center"/>
            <w:hideMark/>
          </w:tcPr>
          <w:p w:rsidRPr="00782FA6" w:rsidR="00DB248A" w:rsidP="00DB248A" w:rsidRDefault="00DB248A" w14:paraId="6038FBB9" w14:textId="77777777">
            <w:pPr>
              <w:spacing w:line="240" w:lineRule="auto"/>
              <w:ind w:firstLine="0"/>
              <w:jc w:val="center"/>
              <w:rPr>
                <w:rFonts w:eastAsia="Aptos" w:cs="Times New Roman"/>
                <w:sz w:val="20"/>
                <w:szCs w:val="20"/>
              </w:rPr>
            </w:pPr>
            <w:r w:rsidRPr="00782FA6">
              <w:rPr>
                <w:rFonts w:eastAsia="Aptos" w:cs="Times New Roman"/>
                <w:sz w:val="20"/>
                <w:szCs w:val="20"/>
              </w:rPr>
              <w:t>1506</w:t>
            </w:r>
          </w:p>
        </w:tc>
        <w:tc>
          <w:tcPr>
            <w:tcW w:w="1036" w:type="dxa"/>
            <w:noWrap/>
            <w:vAlign w:val="center"/>
            <w:hideMark/>
          </w:tcPr>
          <w:p w:rsidRPr="00782FA6" w:rsidR="00DB248A" w:rsidP="00DB248A" w:rsidRDefault="00DB248A" w14:paraId="051DC91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6C45829" w14:textId="5C35877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2B84BDF" w14:textId="4E2A45CB">
            <w:pPr>
              <w:spacing w:line="240" w:lineRule="auto"/>
              <w:ind w:firstLine="0"/>
              <w:rPr>
                <w:rFonts w:eastAsia="Aptos" w:cs="Times New Roman"/>
                <w:sz w:val="20"/>
                <w:szCs w:val="20"/>
              </w:rPr>
            </w:pPr>
            <w:proofErr w:type="spellStart"/>
            <w:r w:rsidRPr="00782FA6">
              <w:rPr>
                <w:rFonts w:eastAsia="Aptos" w:cs="Times New Roman"/>
                <w:sz w:val="20"/>
                <w:szCs w:val="20"/>
              </w:rPr>
              <w:t>DPAccess</w:t>
            </w:r>
            <w:proofErr w:type="spellEnd"/>
            <w:r w:rsidRPr="00782FA6">
              <w:rPr>
                <w:rFonts w:eastAsia="Aptos" w:cs="Times New Roman"/>
                <w:sz w:val="20"/>
                <w:szCs w:val="20"/>
              </w:rPr>
              <w:t>, LLC</w:t>
            </w:r>
          </w:p>
        </w:tc>
      </w:tr>
      <w:tr w:rsidRPr="00782FA6" w:rsidR="00DB248A" w:rsidTr="00E52317" w14:paraId="56998E4C" w14:textId="77777777">
        <w:trPr>
          <w:trHeight w:val="300"/>
        </w:trPr>
        <w:tc>
          <w:tcPr>
            <w:tcW w:w="1170" w:type="dxa"/>
            <w:noWrap/>
            <w:vAlign w:val="center"/>
            <w:hideMark/>
          </w:tcPr>
          <w:p w:rsidRPr="00782FA6" w:rsidR="00DB248A" w:rsidP="00DB248A" w:rsidRDefault="00DB248A" w14:paraId="7A1DFB51" w14:textId="77777777">
            <w:pPr>
              <w:spacing w:line="240" w:lineRule="auto"/>
              <w:ind w:firstLine="0"/>
              <w:jc w:val="center"/>
              <w:rPr>
                <w:rFonts w:eastAsia="Aptos" w:cs="Times New Roman"/>
                <w:sz w:val="20"/>
                <w:szCs w:val="20"/>
              </w:rPr>
            </w:pPr>
            <w:r w:rsidRPr="00782FA6">
              <w:rPr>
                <w:rFonts w:eastAsia="Aptos" w:cs="Times New Roman"/>
                <w:sz w:val="20"/>
                <w:szCs w:val="20"/>
              </w:rPr>
              <w:t>1507</w:t>
            </w:r>
          </w:p>
        </w:tc>
        <w:tc>
          <w:tcPr>
            <w:tcW w:w="1036" w:type="dxa"/>
            <w:noWrap/>
            <w:vAlign w:val="center"/>
            <w:hideMark/>
          </w:tcPr>
          <w:p w:rsidRPr="00782FA6" w:rsidR="00DB248A" w:rsidP="00DB248A" w:rsidRDefault="00DB248A" w14:paraId="6B3F49E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D99F659" w14:textId="203E42A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6044B3C" w14:textId="7576E772">
            <w:pPr>
              <w:spacing w:line="240" w:lineRule="auto"/>
              <w:ind w:firstLine="0"/>
              <w:rPr>
                <w:rFonts w:eastAsia="Aptos" w:cs="Times New Roman"/>
                <w:sz w:val="20"/>
                <w:szCs w:val="20"/>
              </w:rPr>
            </w:pPr>
            <w:proofErr w:type="spellStart"/>
            <w:r w:rsidRPr="00782FA6">
              <w:rPr>
                <w:rFonts w:eastAsia="Aptos" w:cs="Times New Roman"/>
                <w:sz w:val="20"/>
                <w:szCs w:val="20"/>
              </w:rPr>
              <w:t>FracTel</w:t>
            </w:r>
            <w:proofErr w:type="spellEnd"/>
            <w:r w:rsidRPr="00782FA6">
              <w:rPr>
                <w:rFonts w:eastAsia="Aptos" w:cs="Times New Roman"/>
                <w:sz w:val="20"/>
                <w:szCs w:val="20"/>
              </w:rPr>
              <w:t xml:space="preserve"> LLC</w:t>
            </w:r>
          </w:p>
        </w:tc>
      </w:tr>
      <w:tr w:rsidRPr="00782FA6" w:rsidR="00DB248A" w:rsidTr="00E52317" w14:paraId="7073922A" w14:textId="77777777">
        <w:trPr>
          <w:trHeight w:val="300"/>
        </w:trPr>
        <w:tc>
          <w:tcPr>
            <w:tcW w:w="1170" w:type="dxa"/>
            <w:noWrap/>
            <w:vAlign w:val="center"/>
            <w:hideMark/>
          </w:tcPr>
          <w:p w:rsidRPr="00782FA6" w:rsidR="00DB248A" w:rsidP="00DB248A" w:rsidRDefault="00DB248A" w14:paraId="5BF4F085" w14:textId="77777777">
            <w:pPr>
              <w:spacing w:line="240" w:lineRule="auto"/>
              <w:ind w:firstLine="0"/>
              <w:jc w:val="center"/>
              <w:rPr>
                <w:rFonts w:eastAsia="Aptos" w:cs="Times New Roman"/>
                <w:sz w:val="20"/>
                <w:szCs w:val="20"/>
              </w:rPr>
            </w:pPr>
            <w:r w:rsidRPr="00782FA6">
              <w:rPr>
                <w:rFonts w:eastAsia="Aptos" w:cs="Times New Roman"/>
                <w:sz w:val="20"/>
                <w:szCs w:val="20"/>
              </w:rPr>
              <w:t>1510</w:t>
            </w:r>
          </w:p>
        </w:tc>
        <w:tc>
          <w:tcPr>
            <w:tcW w:w="1036" w:type="dxa"/>
            <w:noWrap/>
            <w:vAlign w:val="center"/>
            <w:hideMark/>
          </w:tcPr>
          <w:p w:rsidRPr="00782FA6" w:rsidR="00DB248A" w:rsidP="00DB248A" w:rsidRDefault="00DB248A" w14:paraId="5EBC024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E6CC3BA" w14:textId="0E39C61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DAFF6BE" w14:textId="468CB0F0">
            <w:pPr>
              <w:spacing w:line="240" w:lineRule="auto"/>
              <w:ind w:firstLine="0"/>
              <w:rPr>
                <w:rFonts w:eastAsia="Aptos" w:cs="Times New Roman"/>
                <w:sz w:val="20"/>
                <w:szCs w:val="20"/>
              </w:rPr>
            </w:pPr>
            <w:r w:rsidRPr="00782FA6">
              <w:rPr>
                <w:rFonts w:eastAsia="Aptos" w:cs="Times New Roman"/>
                <w:sz w:val="20"/>
                <w:szCs w:val="20"/>
              </w:rPr>
              <w:t>Triton Networks, LLC</w:t>
            </w:r>
          </w:p>
        </w:tc>
      </w:tr>
      <w:tr w:rsidRPr="00782FA6" w:rsidR="00DB248A" w:rsidTr="00E52317" w14:paraId="46BED271" w14:textId="77777777">
        <w:trPr>
          <w:trHeight w:val="300"/>
        </w:trPr>
        <w:tc>
          <w:tcPr>
            <w:tcW w:w="1170" w:type="dxa"/>
            <w:noWrap/>
            <w:vAlign w:val="center"/>
            <w:hideMark/>
          </w:tcPr>
          <w:p w:rsidRPr="00782FA6" w:rsidR="00DB248A" w:rsidP="00DB248A" w:rsidRDefault="00DB248A" w14:paraId="1CBB5A68" w14:textId="77777777">
            <w:pPr>
              <w:spacing w:line="240" w:lineRule="auto"/>
              <w:ind w:firstLine="0"/>
              <w:jc w:val="center"/>
              <w:rPr>
                <w:rFonts w:eastAsia="Aptos" w:cs="Times New Roman"/>
                <w:sz w:val="20"/>
                <w:szCs w:val="20"/>
              </w:rPr>
            </w:pPr>
            <w:r w:rsidRPr="00782FA6">
              <w:rPr>
                <w:rFonts w:eastAsia="Aptos" w:cs="Times New Roman"/>
                <w:sz w:val="20"/>
                <w:szCs w:val="20"/>
              </w:rPr>
              <w:t>1511</w:t>
            </w:r>
          </w:p>
        </w:tc>
        <w:tc>
          <w:tcPr>
            <w:tcW w:w="1036" w:type="dxa"/>
            <w:noWrap/>
            <w:vAlign w:val="center"/>
            <w:hideMark/>
          </w:tcPr>
          <w:p w:rsidRPr="00782FA6" w:rsidR="00DB248A" w:rsidP="00DB248A" w:rsidRDefault="00DB248A" w14:paraId="5A88191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CDA2A6F" w14:textId="0F66F9F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236F12E" w14:textId="4D9D768F">
            <w:pPr>
              <w:spacing w:line="240" w:lineRule="auto"/>
              <w:ind w:firstLine="0"/>
              <w:rPr>
                <w:rFonts w:eastAsia="Aptos" w:cs="Times New Roman"/>
                <w:sz w:val="20"/>
                <w:szCs w:val="20"/>
              </w:rPr>
            </w:pPr>
            <w:proofErr w:type="spellStart"/>
            <w:r w:rsidRPr="00782FA6">
              <w:rPr>
                <w:rFonts w:eastAsia="Aptos" w:cs="Times New Roman"/>
                <w:sz w:val="20"/>
                <w:szCs w:val="20"/>
              </w:rPr>
              <w:t>Tekscape</w:t>
            </w:r>
            <w:proofErr w:type="spellEnd"/>
            <w:r w:rsidRPr="00782FA6">
              <w:rPr>
                <w:rFonts w:eastAsia="Aptos" w:cs="Times New Roman"/>
                <w:sz w:val="20"/>
                <w:szCs w:val="20"/>
              </w:rPr>
              <w:t>, Inc</w:t>
            </w:r>
          </w:p>
        </w:tc>
      </w:tr>
      <w:tr w:rsidRPr="00782FA6" w:rsidR="00DB248A" w:rsidTr="00E52317" w14:paraId="35347BB2" w14:textId="77777777">
        <w:trPr>
          <w:trHeight w:val="300"/>
        </w:trPr>
        <w:tc>
          <w:tcPr>
            <w:tcW w:w="1170" w:type="dxa"/>
            <w:noWrap/>
            <w:vAlign w:val="center"/>
            <w:hideMark/>
          </w:tcPr>
          <w:p w:rsidRPr="00782FA6" w:rsidR="00DB248A" w:rsidP="00DB248A" w:rsidRDefault="00DB248A" w14:paraId="219C1960" w14:textId="77777777">
            <w:pPr>
              <w:spacing w:line="240" w:lineRule="auto"/>
              <w:ind w:firstLine="0"/>
              <w:jc w:val="center"/>
              <w:rPr>
                <w:rFonts w:eastAsia="Aptos" w:cs="Times New Roman"/>
                <w:sz w:val="20"/>
                <w:szCs w:val="20"/>
              </w:rPr>
            </w:pPr>
            <w:r w:rsidRPr="00782FA6">
              <w:rPr>
                <w:rFonts w:eastAsia="Aptos" w:cs="Times New Roman"/>
                <w:sz w:val="20"/>
                <w:szCs w:val="20"/>
              </w:rPr>
              <w:t>1512</w:t>
            </w:r>
          </w:p>
        </w:tc>
        <w:tc>
          <w:tcPr>
            <w:tcW w:w="1036" w:type="dxa"/>
            <w:noWrap/>
            <w:vAlign w:val="center"/>
            <w:hideMark/>
          </w:tcPr>
          <w:p w:rsidRPr="00782FA6" w:rsidR="00DB248A" w:rsidP="00DB248A" w:rsidRDefault="00DB248A" w14:paraId="7C862B4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3C5FFB2" w14:textId="43DCC95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2370D7F" w14:textId="489AC009">
            <w:pPr>
              <w:spacing w:line="240" w:lineRule="auto"/>
              <w:ind w:firstLine="0"/>
              <w:rPr>
                <w:rFonts w:eastAsia="Aptos" w:cs="Times New Roman"/>
                <w:sz w:val="20"/>
                <w:szCs w:val="20"/>
              </w:rPr>
            </w:pPr>
            <w:r w:rsidRPr="00782FA6">
              <w:rPr>
                <w:rFonts w:eastAsia="Aptos" w:cs="Times New Roman"/>
                <w:sz w:val="20"/>
                <w:szCs w:val="20"/>
              </w:rPr>
              <w:t>Northland Cable Television</w:t>
            </w:r>
            <w:r>
              <w:rPr>
                <w:rFonts w:eastAsia="Aptos" w:cs="Times New Roman"/>
                <w:sz w:val="20"/>
                <w:szCs w:val="20"/>
              </w:rPr>
              <w:t>,</w:t>
            </w:r>
            <w:r w:rsidRPr="00782FA6">
              <w:rPr>
                <w:rFonts w:eastAsia="Aptos" w:cs="Times New Roman"/>
                <w:sz w:val="20"/>
                <w:szCs w:val="20"/>
              </w:rPr>
              <w:t xml:space="preserve"> Inc.</w:t>
            </w:r>
          </w:p>
        </w:tc>
      </w:tr>
      <w:tr w:rsidRPr="00782FA6" w:rsidR="00DB248A" w:rsidTr="00E52317" w14:paraId="4F6B0D8B" w14:textId="77777777">
        <w:trPr>
          <w:trHeight w:val="300"/>
        </w:trPr>
        <w:tc>
          <w:tcPr>
            <w:tcW w:w="1170" w:type="dxa"/>
            <w:noWrap/>
            <w:vAlign w:val="center"/>
            <w:hideMark/>
          </w:tcPr>
          <w:p w:rsidRPr="00782FA6" w:rsidR="00DB248A" w:rsidP="00DB248A" w:rsidRDefault="00DB248A" w14:paraId="397A3C9F" w14:textId="77777777">
            <w:pPr>
              <w:spacing w:line="240" w:lineRule="auto"/>
              <w:ind w:firstLine="0"/>
              <w:jc w:val="center"/>
              <w:rPr>
                <w:rFonts w:eastAsia="Aptos" w:cs="Times New Roman"/>
                <w:sz w:val="20"/>
                <w:szCs w:val="20"/>
              </w:rPr>
            </w:pPr>
            <w:r w:rsidRPr="00782FA6">
              <w:rPr>
                <w:rFonts w:eastAsia="Aptos" w:cs="Times New Roman"/>
                <w:sz w:val="20"/>
                <w:szCs w:val="20"/>
              </w:rPr>
              <w:t>1513</w:t>
            </w:r>
          </w:p>
        </w:tc>
        <w:tc>
          <w:tcPr>
            <w:tcW w:w="1036" w:type="dxa"/>
            <w:noWrap/>
            <w:vAlign w:val="center"/>
            <w:hideMark/>
          </w:tcPr>
          <w:p w:rsidRPr="00782FA6" w:rsidR="00DB248A" w:rsidP="00DB248A" w:rsidRDefault="00DB248A" w14:paraId="21747B4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CD597A4" w14:textId="7A01B25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CA917C7" w14:textId="0DEF351F">
            <w:pPr>
              <w:spacing w:line="240" w:lineRule="auto"/>
              <w:ind w:firstLine="0"/>
              <w:rPr>
                <w:rFonts w:eastAsia="Aptos" w:cs="Times New Roman"/>
                <w:sz w:val="20"/>
                <w:szCs w:val="20"/>
              </w:rPr>
            </w:pPr>
            <w:proofErr w:type="spellStart"/>
            <w:r w:rsidRPr="00782FA6">
              <w:rPr>
                <w:rFonts w:eastAsia="Aptos" w:cs="Times New Roman"/>
                <w:sz w:val="20"/>
                <w:szCs w:val="20"/>
              </w:rPr>
              <w:t>Syndeo</w:t>
            </w:r>
            <w:proofErr w:type="spellEnd"/>
            <w:r w:rsidRPr="00782FA6">
              <w:rPr>
                <w:rFonts w:eastAsia="Aptos" w:cs="Times New Roman"/>
                <w:sz w:val="20"/>
                <w:szCs w:val="20"/>
              </w:rPr>
              <w:t>, LLC</w:t>
            </w:r>
          </w:p>
        </w:tc>
      </w:tr>
      <w:tr w:rsidRPr="00782FA6" w:rsidR="00DB248A" w:rsidTr="00E52317" w14:paraId="4CB2DF02" w14:textId="77777777">
        <w:trPr>
          <w:trHeight w:val="300"/>
        </w:trPr>
        <w:tc>
          <w:tcPr>
            <w:tcW w:w="1170" w:type="dxa"/>
            <w:noWrap/>
            <w:vAlign w:val="center"/>
            <w:hideMark/>
          </w:tcPr>
          <w:p w:rsidRPr="00782FA6" w:rsidR="00DB248A" w:rsidP="00DB248A" w:rsidRDefault="00DB248A" w14:paraId="58F36084" w14:textId="77777777">
            <w:pPr>
              <w:spacing w:line="240" w:lineRule="auto"/>
              <w:ind w:firstLine="0"/>
              <w:jc w:val="center"/>
              <w:rPr>
                <w:rFonts w:eastAsia="Aptos" w:cs="Times New Roman"/>
                <w:sz w:val="20"/>
                <w:szCs w:val="20"/>
              </w:rPr>
            </w:pPr>
            <w:r w:rsidRPr="00782FA6">
              <w:rPr>
                <w:rFonts w:eastAsia="Aptos" w:cs="Times New Roman"/>
                <w:sz w:val="20"/>
                <w:szCs w:val="20"/>
              </w:rPr>
              <w:t>1514</w:t>
            </w:r>
          </w:p>
        </w:tc>
        <w:tc>
          <w:tcPr>
            <w:tcW w:w="1036" w:type="dxa"/>
            <w:noWrap/>
            <w:vAlign w:val="center"/>
            <w:hideMark/>
          </w:tcPr>
          <w:p w:rsidRPr="00782FA6" w:rsidR="00DB248A" w:rsidP="00DB248A" w:rsidRDefault="00DB248A" w14:paraId="0BCA8BB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15A3655" w14:textId="4E53C3B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45D8958" w14:textId="19273CF5">
            <w:pPr>
              <w:spacing w:line="240" w:lineRule="auto"/>
              <w:ind w:firstLine="0"/>
              <w:rPr>
                <w:rFonts w:eastAsia="Aptos" w:cs="Times New Roman"/>
                <w:sz w:val="20"/>
                <w:szCs w:val="20"/>
              </w:rPr>
            </w:pPr>
            <w:proofErr w:type="spellStart"/>
            <w:r w:rsidRPr="00782FA6">
              <w:rPr>
                <w:rFonts w:eastAsia="Aptos" w:cs="Times New Roman"/>
                <w:sz w:val="20"/>
                <w:szCs w:val="20"/>
              </w:rPr>
              <w:t>VOXtell</w:t>
            </w:r>
            <w:proofErr w:type="spellEnd"/>
            <w:r w:rsidRPr="00782FA6">
              <w:rPr>
                <w:rFonts w:eastAsia="Aptos" w:cs="Times New Roman"/>
                <w:sz w:val="20"/>
                <w:szCs w:val="20"/>
              </w:rPr>
              <w:t xml:space="preserve"> LLC</w:t>
            </w:r>
          </w:p>
        </w:tc>
      </w:tr>
      <w:tr w:rsidRPr="00782FA6" w:rsidR="00DB248A" w:rsidTr="00E52317" w14:paraId="1AF7C9D6" w14:textId="77777777">
        <w:trPr>
          <w:trHeight w:val="300"/>
        </w:trPr>
        <w:tc>
          <w:tcPr>
            <w:tcW w:w="1170" w:type="dxa"/>
            <w:noWrap/>
            <w:vAlign w:val="center"/>
            <w:hideMark/>
          </w:tcPr>
          <w:p w:rsidRPr="00782FA6" w:rsidR="00DB248A" w:rsidP="00DB248A" w:rsidRDefault="00DB248A" w14:paraId="05221B7C" w14:textId="77777777">
            <w:pPr>
              <w:spacing w:line="240" w:lineRule="auto"/>
              <w:ind w:firstLine="0"/>
              <w:jc w:val="center"/>
              <w:rPr>
                <w:rFonts w:eastAsia="Aptos" w:cs="Times New Roman"/>
                <w:sz w:val="20"/>
                <w:szCs w:val="20"/>
              </w:rPr>
            </w:pPr>
            <w:r w:rsidRPr="00782FA6">
              <w:rPr>
                <w:rFonts w:eastAsia="Aptos" w:cs="Times New Roman"/>
                <w:sz w:val="20"/>
                <w:szCs w:val="20"/>
              </w:rPr>
              <w:t>1515</w:t>
            </w:r>
          </w:p>
        </w:tc>
        <w:tc>
          <w:tcPr>
            <w:tcW w:w="1036" w:type="dxa"/>
            <w:noWrap/>
            <w:vAlign w:val="center"/>
            <w:hideMark/>
          </w:tcPr>
          <w:p w:rsidRPr="00782FA6" w:rsidR="00DB248A" w:rsidP="00DB248A" w:rsidRDefault="00DB248A" w14:paraId="088509A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01A4EAB" w14:textId="54CEA3B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2D07946" w14:textId="4CE31E9D">
            <w:pPr>
              <w:spacing w:line="240" w:lineRule="auto"/>
              <w:ind w:firstLine="0"/>
              <w:rPr>
                <w:rFonts w:eastAsia="Aptos" w:cs="Times New Roman"/>
                <w:sz w:val="20"/>
                <w:szCs w:val="20"/>
              </w:rPr>
            </w:pPr>
            <w:r w:rsidRPr="00782FA6">
              <w:rPr>
                <w:rFonts w:eastAsia="Aptos" w:cs="Times New Roman"/>
                <w:sz w:val="20"/>
                <w:szCs w:val="20"/>
              </w:rPr>
              <w:t>Xact Associates, LLC</w:t>
            </w:r>
          </w:p>
        </w:tc>
      </w:tr>
      <w:tr w:rsidRPr="00782FA6" w:rsidR="00DB248A" w:rsidTr="00E52317" w14:paraId="1E02D0AA" w14:textId="77777777">
        <w:trPr>
          <w:trHeight w:val="300"/>
        </w:trPr>
        <w:tc>
          <w:tcPr>
            <w:tcW w:w="1170" w:type="dxa"/>
            <w:noWrap/>
            <w:vAlign w:val="center"/>
            <w:hideMark/>
          </w:tcPr>
          <w:p w:rsidRPr="00782FA6" w:rsidR="00DB248A" w:rsidP="00DB248A" w:rsidRDefault="00DB248A" w14:paraId="2F06CA5F" w14:textId="77777777">
            <w:pPr>
              <w:spacing w:line="240" w:lineRule="auto"/>
              <w:ind w:firstLine="0"/>
              <w:jc w:val="center"/>
              <w:rPr>
                <w:rFonts w:eastAsia="Aptos" w:cs="Times New Roman"/>
                <w:sz w:val="20"/>
                <w:szCs w:val="20"/>
              </w:rPr>
            </w:pPr>
            <w:r w:rsidRPr="00782FA6">
              <w:rPr>
                <w:rFonts w:eastAsia="Aptos" w:cs="Times New Roman"/>
                <w:sz w:val="20"/>
                <w:szCs w:val="20"/>
              </w:rPr>
              <w:t>1516</w:t>
            </w:r>
          </w:p>
        </w:tc>
        <w:tc>
          <w:tcPr>
            <w:tcW w:w="1036" w:type="dxa"/>
            <w:noWrap/>
            <w:vAlign w:val="center"/>
            <w:hideMark/>
          </w:tcPr>
          <w:p w:rsidRPr="00782FA6" w:rsidR="00DB248A" w:rsidP="00DB248A" w:rsidRDefault="00DB248A" w14:paraId="328E57C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E849761" w14:textId="2BE02A1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9C97EA0" w14:textId="4C48C399">
            <w:pPr>
              <w:spacing w:line="240" w:lineRule="auto"/>
              <w:ind w:firstLine="0"/>
              <w:rPr>
                <w:rFonts w:eastAsia="Aptos" w:cs="Times New Roman"/>
                <w:sz w:val="20"/>
                <w:szCs w:val="20"/>
              </w:rPr>
            </w:pPr>
            <w:proofErr w:type="spellStart"/>
            <w:r w:rsidRPr="00782FA6">
              <w:rPr>
                <w:rFonts w:eastAsia="Aptos" w:cs="Times New Roman"/>
                <w:sz w:val="20"/>
                <w:szCs w:val="20"/>
              </w:rPr>
              <w:t>Telesupply</w:t>
            </w:r>
            <w:proofErr w:type="spellEnd"/>
            <w:r w:rsidRPr="00782FA6">
              <w:rPr>
                <w:rFonts w:eastAsia="Aptos" w:cs="Times New Roman"/>
                <w:sz w:val="20"/>
                <w:szCs w:val="20"/>
              </w:rPr>
              <w:t>, LLC</w:t>
            </w:r>
          </w:p>
        </w:tc>
      </w:tr>
      <w:tr w:rsidRPr="00782FA6" w:rsidR="00DB248A" w:rsidTr="00E52317" w14:paraId="795EF960" w14:textId="77777777">
        <w:trPr>
          <w:trHeight w:val="300"/>
        </w:trPr>
        <w:tc>
          <w:tcPr>
            <w:tcW w:w="1170" w:type="dxa"/>
            <w:noWrap/>
            <w:vAlign w:val="center"/>
            <w:hideMark/>
          </w:tcPr>
          <w:p w:rsidRPr="00782FA6" w:rsidR="00DB248A" w:rsidP="00DB248A" w:rsidRDefault="00DB248A" w14:paraId="6D0BC805" w14:textId="77777777">
            <w:pPr>
              <w:spacing w:line="240" w:lineRule="auto"/>
              <w:ind w:firstLine="0"/>
              <w:jc w:val="center"/>
              <w:rPr>
                <w:rFonts w:eastAsia="Aptos" w:cs="Times New Roman"/>
                <w:sz w:val="20"/>
                <w:szCs w:val="20"/>
              </w:rPr>
            </w:pPr>
            <w:r w:rsidRPr="00782FA6">
              <w:rPr>
                <w:rFonts w:eastAsia="Aptos" w:cs="Times New Roman"/>
                <w:sz w:val="20"/>
                <w:szCs w:val="20"/>
              </w:rPr>
              <w:t>1517</w:t>
            </w:r>
          </w:p>
        </w:tc>
        <w:tc>
          <w:tcPr>
            <w:tcW w:w="1036" w:type="dxa"/>
            <w:noWrap/>
            <w:vAlign w:val="center"/>
            <w:hideMark/>
          </w:tcPr>
          <w:p w:rsidRPr="00782FA6" w:rsidR="00DB248A" w:rsidP="00DB248A" w:rsidRDefault="00DB248A" w14:paraId="780565D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5A3C9F4" w14:textId="42767ED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220FD65" w14:textId="5FB03310">
            <w:pPr>
              <w:spacing w:line="240" w:lineRule="auto"/>
              <w:ind w:firstLine="0"/>
              <w:rPr>
                <w:rFonts w:eastAsia="Aptos" w:cs="Times New Roman"/>
                <w:sz w:val="20"/>
                <w:szCs w:val="20"/>
              </w:rPr>
            </w:pPr>
            <w:proofErr w:type="spellStart"/>
            <w:r w:rsidRPr="00782FA6">
              <w:rPr>
                <w:rFonts w:eastAsia="Aptos" w:cs="Times New Roman"/>
                <w:sz w:val="20"/>
                <w:szCs w:val="20"/>
              </w:rPr>
              <w:t>Voipia</w:t>
            </w:r>
            <w:proofErr w:type="spellEnd"/>
            <w:r w:rsidRPr="00782FA6">
              <w:rPr>
                <w:rFonts w:eastAsia="Aptos" w:cs="Times New Roman"/>
                <w:sz w:val="20"/>
                <w:szCs w:val="20"/>
              </w:rPr>
              <w:t xml:space="preserve"> Networks, Inc.</w:t>
            </w:r>
          </w:p>
        </w:tc>
      </w:tr>
      <w:tr w:rsidRPr="00782FA6" w:rsidR="00DB248A" w:rsidTr="00E52317" w14:paraId="1E56643F" w14:textId="77777777">
        <w:trPr>
          <w:trHeight w:val="300"/>
        </w:trPr>
        <w:tc>
          <w:tcPr>
            <w:tcW w:w="1170" w:type="dxa"/>
            <w:noWrap/>
            <w:vAlign w:val="center"/>
            <w:hideMark/>
          </w:tcPr>
          <w:p w:rsidRPr="00782FA6" w:rsidR="00DB248A" w:rsidP="00DB248A" w:rsidRDefault="00DB248A" w14:paraId="4B91D096" w14:textId="77777777">
            <w:pPr>
              <w:spacing w:line="240" w:lineRule="auto"/>
              <w:ind w:firstLine="0"/>
              <w:jc w:val="center"/>
              <w:rPr>
                <w:rFonts w:eastAsia="Aptos" w:cs="Times New Roman"/>
                <w:sz w:val="20"/>
                <w:szCs w:val="20"/>
              </w:rPr>
            </w:pPr>
            <w:r w:rsidRPr="00782FA6">
              <w:rPr>
                <w:rFonts w:eastAsia="Aptos" w:cs="Times New Roman"/>
                <w:sz w:val="20"/>
                <w:szCs w:val="20"/>
              </w:rPr>
              <w:lastRenderedPageBreak/>
              <w:t>1518</w:t>
            </w:r>
          </w:p>
        </w:tc>
        <w:tc>
          <w:tcPr>
            <w:tcW w:w="1036" w:type="dxa"/>
            <w:noWrap/>
            <w:vAlign w:val="center"/>
            <w:hideMark/>
          </w:tcPr>
          <w:p w:rsidRPr="00782FA6" w:rsidR="00DB248A" w:rsidP="00DB248A" w:rsidRDefault="00DB248A" w14:paraId="33FBD5F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AC80430" w14:textId="44A9C57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F4B7B61" w14:textId="778740A5">
            <w:pPr>
              <w:spacing w:line="240" w:lineRule="auto"/>
              <w:ind w:firstLine="0"/>
              <w:rPr>
                <w:rFonts w:eastAsia="Aptos" w:cs="Times New Roman"/>
                <w:sz w:val="20"/>
                <w:szCs w:val="20"/>
              </w:rPr>
            </w:pPr>
            <w:r w:rsidRPr="00782FA6">
              <w:rPr>
                <w:rFonts w:eastAsia="Aptos" w:cs="Times New Roman"/>
                <w:sz w:val="20"/>
                <w:szCs w:val="20"/>
              </w:rPr>
              <w:t>Cloud Computing Concepts, LLC</w:t>
            </w:r>
          </w:p>
        </w:tc>
      </w:tr>
      <w:tr w:rsidRPr="00782FA6" w:rsidR="00DB248A" w:rsidTr="00E52317" w14:paraId="2938999E" w14:textId="77777777">
        <w:trPr>
          <w:trHeight w:val="300"/>
        </w:trPr>
        <w:tc>
          <w:tcPr>
            <w:tcW w:w="1170" w:type="dxa"/>
            <w:noWrap/>
            <w:vAlign w:val="center"/>
            <w:hideMark/>
          </w:tcPr>
          <w:p w:rsidRPr="00782FA6" w:rsidR="00DB248A" w:rsidP="00DB248A" w:rsidRDefault="00DB248A" w14:paraId="735095A8" w14:textId="77777777">
            <w:pPr>
              <w:spacing w:line="240" w:lineRule="auto"/>
              <w:ind w:firstLine="0"/>
              <w:jc w:val="center"/>
              <w:rPr>
                <w:rFonts w:eastAsia="Aptos" w:cs="Times New Roman"/>
                <w:sz w:val="20"/>
                <w:szCs w:val="20"/>
              </w:rPr>
            </w:pPr>
            <w:r w:rsidRPr="00782FA6">
              <w:rPr>
                <w:rFonts w:eastAsia="Aptos" w:cs="Times New Roman"/>
                <w:sz w:val="20"/>
                <w:szCs w:val="20"/>
              </w:rPr>
              <w:t>1519</w:t>
            </w:r>
          </w:p>
        </w:tc>
        <w:tc>
          <w:tcPr>
            <w:tcW w:w="1036" w:type="dxa"/>
            <w:noWrap/>
            <w:vAlign w:val="center"/>
            <w:hideMark/>
          </w:tcPr>
          <w:p w:rsidRPr="00782FA6" w:rsidR="00DB248A" w:rsidP="00DB248A" w:rsidRDefault="00DB248A" w14:paraId="758A46E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3FE9226" w14:textId="314CD59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4CE7237" w14:textId="06555DDD">
            <w:pPr>
              <w:spacing w:line="240" w:lineRule="auto"/>
              <w:ind w:firstLine="0"/>
              <w:rPr>
                <w:rFonts w:eastAsia="Aptos" w:cs="Times New Roman"/>
                <w:sz w:val="20"/>
                <w:szCs w:val="20"/>
              </w:rPr>
            </w:pPr>
            <w:proofErr w:type="spellStart"/>
            <w:r w:rsidRPr="00782FA6">
              <w:rPr>
                <w:rFonts w:eastAsia="Aptos" w:cs="Times New Roman"/>
                <w:sz w:val="20"/>
                <w:szCs w:val="20"/>
              </w:rPr>
              <w:t>ConVergence</w:t>
            </w:r>
            <w:proofErr w:type="spellEnd"/>
            <w:r w:rsidRPr="00782FA6">
              <w:rPr>
                <w:rFonts w:eastAsia="Aptos" w:cs="Times New Roman"/>
                <w:sz w:val="20"/>
                <w:szCs w:val="20"/>
              </w:rPr>
              <w:t xml:space="preserve"> Technologies, Inc.</w:t>
            </w:r>
          </w:p>
        </w:tc>
      </w:tr>
      <w:tr w:rsidRPr="00782FA6" w:rsidR="00DB248A" w:rsidTr="00E52317" w14:paraId="701D4564" w14:textId="77777777">
        <w:trPr>
          <w:trHeight w:val="300"/>
        </w:trPr>
        <w:tc>
          <w:tcPr>
            <w:tcW w:w="1170" w:type="dxa"/>
            <w:noWrap/>
            <w:vAlign w:val="center"/>
            <w:hideMark/>
          </w:tcPr>
          <w:p w:rsidRPr="00782FA6" w:rsidR="00DB248A" w:rsidP="00DB248A" w:rsidRDefault="00DB248A" w14:paraId="7B69FD4A" w14:textId="77777777">
            <w:pPr>
              <w:spacing w:line="240" w:lineRule="auto"/>
              <w:ind w:firstLine="0"/>
              <w:jc w:val="center"/>
              <w:rPr>
                <w:rFonts w:eastAsia="Aptos" w:cs="Times New Roman"/>
                <w:sz w:val="20"/>
                <w:szCs w:val="20"/>
              </w:rPr>
            </w:pPr>
            <w:r w:rsidRPr="00782FA6">
              <w:rPr>
                <w:rFonts w:eastAsia="Aptos" w:cs="Times New Roman"/>
                <w:sz w:val="20"/>
                <w:szCs w:val="20"/>
              </w:rPr>
              <w:t>1520</w:t>
            </w:r>
          </w:p>
        </w:tc>
        <w:tc>
          <w:tcPr>
            <w:tcW w:w="1036" w:type="dxa"/>
            <w:noWrap/>
            <w:vAlign w:val="center"/>
            <w:hideMark/>
          </w:tcPr>
          <w:p w:rsidRPr="00782FA6" w:rsidR="00DB248A" w:rsidP="00DB248A" w:rsidRDefault="00DB248A" w14:paraId="2C26F73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DD9758E" w14:textId="7C2F680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DE7ECFF" w14:textId="28396B63">
            <w:pPr>
              <w:spacing w:line="240" w:lineRule="auto"/>
              <w:ind w:firstLine="0"/>
              <w:rPr>
                <w:rFonts w:eastAsia="Aptos" w:cs="Times New Roman"/>
                <w:sz w:val="20"/>
                <w:szCs w:val="20"/>
              </w:rPr>
            </w:pPr>
            <w:proofErr w:type="spellStart"/>
            <w:r w:rsidRPr="00782FA6">
              <w:rPr>
                <w:rFonts w:eastAsia="Aptos" w:cs="Times New Roman"/>
                <w:sz w:val="20"/>
                <w:szCs w:val="20"/>
              </w:rPr>
              <w:t>VOIPo</w:t>
            </w:r>
            <w:proofErr w:type="spellEnd"/>
            <w:r w:rsidRPr="00782FA6">
              <w:rPr>
                <w:rFonts w:eastAsia="Aptos" w:cs="Times New Roman"/>
                <w:sz w:val="20"/>
                <w:szCs w:val="20"/>
              </w:rPr>
              <w:t xml:space="preserve"> LLC</w:t>
            </w:r>
          </w:p>
        </w:tc>
      </w:tr>
      <w:tr w:rsidRPr="00782FA6" w:rsidR="00DB248A" w:rsidTr="00E52317" w14:paraId="5F514A5F" w14:textId="77777777">
        <w:trPr>
          <w:trHeight w:val="300"/>
        </w:trPr>
        <w:tc>
          <w:tcPr>
            <w:tcW w:w="1170" w:type="dxa"/>
            <w:noWrap/>
            <w:vAlign w:val="center"/>
            <w:hideMark/>
          </w:tcPr>
          <w:p w:rsidRPr="00782FA6" w:rsidR="00DB248A" w:rsidP="00DB248A" w:rsidRDefault="00DB248A" w14:paraId="2DFC11A7" w14:textId="77777777">
            <w:pPr>
              <w:spacing w:line="240" w:lineRule="auto"/>
              <w:ind w:firstLine="0"/>
              <w:jc w:val="center"/>
              <w:rPr>
                <w:rFonts w:eastAsia="Aptos" w:cs="Times New Roman"/>
                <w:sz w:val="20"/>
                <w:szCs w:val="20"/>
              </w:rPr>
            </w:pPr>
            <w:r w:rsidRPr="00782FA6">
              <w:rPr>
                <w:rFonts w:eastAsia="Aptos" w:cs="Times New Roman"/>
                <w:sz w:val="20"/>
                <w:szCs w:val="20"/>
              </w:rPr>
              <w:t>1521</w:t>
            </w:r>
          </w:p>
        </w:tc>
        <w:tc>
          <w:tcPr>
            <w:tcW w:w="1036" w:type="dxa"/>
            <w:noWrap/>
            <w:vAlign w:val="center"/>
            <w:hideMark/>
          </w:tcPr>
          <w:p w:rsidRPr="00782FA6" w:rsidR="00DB248A" w:rsidP="00DB248A" w:rsidRDefault="00DB248A" w14:paraId="3A3E051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B145D76" w14:textId="2E37BAE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8571461" w14:textId="5A7F9217">
            <w:pPr>
              <w:spacing w:line="240" w:lineRule="auto"/>
              <w:ind w:firstLine="0"/>
              <w:rPr>
                <w:rFonts w:eastAsia="Aptos" w:cs="Times New Roman"/>
                <w:sz w:val="20"/>
                <w:szCs w:val="20"/>
              </w:rPr>
            </w:pPr>
            <w:r w:rsidRPr="00782FA6">
              <w:rPr>
                <w:rFonts w:eastAsia="Aptos" w:cs="Times New Roman"/>
                <w:sz w:val="20"/>
                <w:szCs w:val="20"/>
              </w:rPr>
              <w:t>Mitel Cloud Services, Inc.</w:t>
            </w:r>
          </w:p>
        </w:tc>
      </w:tr>
      <w:tr w:rsidRPr="00782FA6" w:rsidR="00DB248A" w:rsidTr="00E52317" w14:paraId="3EB1F778" w14:textId="77777777">
        <w:trPr>
          <w:trHeight w:val="300"/>
        </w:trPr>
        <w:tc>
          <w:tcPr>
            <w:tcW w:w="1170" w:type="dxa"/>
            <w:noWrap/>
            <w:vAlign w:val="center"/>
            <w:hideMark/>
          </w:tcPr>
          <w:p w:rsidRPr="00782FA6" w:rsidR="00DB248A" w:rsidP="00DB248A" w:rsidRDefault="00DB248A" w14:paraId="4C9F12BA" w14:textId="77777777">
            <w:pPr>
              <w:spacing w:line="240" w:lineRule="auto"/>
              <w:ind w:firstLine="0"/>
              <w:jc w:val="center"/>
              <w:rPr>
                <w:rFonts w:eastAsia="Aptos" w:cs="Times New Roman"/>
                <w:sz w:val="20"/>
                <w:szCs w:val="20"/>
              </w:rPr>
            </w:pPr>
            <w:r w:rsidRPr="00782FA6">
              <w:rPr>
                <w:rFonts w:eastAsia="Aptos" w:cs="Times New Roman"/>
                <w:sz w:val="20"/>
                <w:szCs w:val="20"/>
              </w:rPr>
              <w:t>1522</w:t>
            </w:r>
          </w:p>
        </w:tc>
        <w:tc>
          <w:tcPr>
            <w:tcW w:w="1036" w:type="dxa"/>
            <w:noWrap/>
            <w:vAlign w:val="center"/>
            <w:hideMark/>
          </w:tcPr>
          <w:p w:rsidRPr="00782FA6" w:rsidR="00DB248A" w:rsidP="00DB248A" w:rsidRDefault="00DB248A" w14:paraId="0D9E38D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E6B4399" w14:textId="3DEB293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9F7970E" w14:textId="0752614C">
            <w:pPr>
              <w:spacing w:line="240" w:lineRule="auto"/>
              <w:ind w:firstLine="0"/>
              <w:rPr>
                <w:rFonts w:eastAsia="Aptos" w:cs="Times New Roman"/>
                <w:sz w:val="20"/>
                <w:szCs w:val="20"/>
              </w:rPr>
            </w:pPr>
            <w:r w:rsidRPr="00782FA6">
              <w:rPr>
                <w:rFonts w:eastAsia="Aptos" w:cs="Times New Roman"/>
                <w:sz w:val="20"/>
                <w:szCs w:val="20"/>
              </w:rPr>
              <w:t>Fourteen IP, Inc.</w:t>
            </w:r>
          </w:p>
        </w:tc>
      </w:tr>
      <w:tr w:rsidRPr="00782FA6" w:rsidR="00DB248A" w:rsidTr="00E52317" w14:paraId="25B13610" w14:textId="77777777">
        <w:trPr>
          <w:trHeight w:val="300"/>
        </w:trPr>
        <w:tc>
          <w:tcPr>
            <w:tcW w:w="1170" w:type="dxa"/>
            <w:noWrap/>
            <w:vAlign w:val="center"/>
            <w:hideMark/>
          </w:tcPr>
          <w:p w:rsidRPr="00782FA6" w:rsidR="00DB248A" w:rsidP="00DB248A" w:rsidRDefault="00DB248A" w14:paraId="4C6F7F46" w14:textId="77777777">
            <w:pPr>
              <w:spacing w:line="240" w:lineRule="auto"/>
              <w:ind w:firstLine="0"/>
              <w:jc w:val="center"/>
              <w:rPr>
                <w:rFonts w:eastAsia="Aptos" w:cs="Times New Roman"/>
                <w:sz w:val="20"/>
                <w:szCs w:val="20"/>
              </w:rPr>
            </w:pPr>
            <w:r w:rsidRPr="00782FA6">
              <w:rPr>
                <w:rFonts w:eastAsia="Aptos" w:cs="Times New Roman"/>
                <w:sz w:val="20"/>
                <w:szCs w:val="20"/>
              </w:rPr>
              <w:t>1523</w:t>
            </w:r>
          </w:p>
        </w:tc>
        <w:tc>
          <w:tcPr>
            <w:tcW w:w="1036" w:type="dxa"/>
            <w:noWrap/>
            <w:vAlign w:val="center"/>
            <w:hideMark/>
          </w:tcPr>
          <w:p w:rsidRPr="00782FA6" w:rsidR="00DB248A" w:rsidP="00DB248A" w:rsidRDefault="00DB248A" w14:paraId="6C72819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B14D05A" w14:textId="56865E7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FE32E10" w14:textId="2B06FB84">
            <w:pPr>
              <w:spacing w:line="240" w:lineRule="auto"/>
              <w:ind w:firstLine="0"/>
              <w:rPr>
                <w:rFonts w:eastAsia="Aptos" w:cs="Times New Roman"/>
                <w:sz w:val="20"/>
                <w:szCs w:val="20"/>
              </w:rPr>
            </w:pPr>
            <w:r w:rsidRPr="00782FA6">
              <w:rPr>
                <w:rFonts w:eastAsia="Aptos" w:cs="Times New Roman"/>
                <w:sz w:val="20"/>
                <w:szCs w:val="20"/>
              </w:rPr>
              <w:t>Pact</w:t>
            </w:r>
            <w:r w:rsidR="006951D5">
              <w:rPr>
                <w:rFonts w:eastAsia="Aptos" w:cs="Times New Roman"/>
                <w:sz w:val="20"/>
                <w:szCs w:val="20"/>
              </w:rPr>
              <w:noBreakHyphen/>
            </w:r>
            <w:r w:rsidRPr="00782FA6">
              <w:rPr>
                <w:rFonts w:eastAsia="Aptos" w:cs="Times New Roman"/>
                <w:sz w:val="20"/>
                <w:szCs w:val="20"/>
              </w:rPr>
              <w:t>One Solutions, Inc.</w:t>
            </w:r>
          </w:p>
        </w:tc>
      </w:tr>
      <w:tr w:rsidRPr="00782FA6" w:rsidR="00DB248A" w:rsidTr="00E52317" w14:paraId="3A56AFAA" w14:textId="77777777">
        <w:trPr>
          <w:trHeight w:val="300"/>
        </w:trPr>
        <w:tc>
          <w:tcPr>
            <w:tcW w:w="1170" w:type="dxa"/>
            <w:noWrap/>
            <w:vAlign w:val="center"/>
            <w:hideMark/>
          </w:tcPr>
          <w:p w:rsidRPr="00782FA6" w:rsidR="00DB248A" w:rsidP="00DB248A" w:rsidRDefault="00DB248A" w14:paraId="1A73D99C" w14:textId="77777777">
            <w:pPr>
              <w:spacing w:line="240" w:lineRule="auto"/>
              <w:ind w:firstLine="0"/>
              <w:jc w:val="center"/>
              <w:rPr>
                <w:rFonts w:eastAsia="Aptos" w:cs="Times New Roman"/>
                <w:sz w:val="20"/>
                <w:szCs w:val="20"/>
              </w:rPr>
            </w:pPr>
            <w:r w:rsidRPr="00782FA6">
              <w:rPr>
                <w:rFonts w:eastAsia="Aptos" w:cs="Times New Roman"/>
                <w:sz w:val="20"/>
                <w:szCs w:val="20"/>
              </w:rPr>
              <w:t>1524</w:t>
            </w:r>
          </w:p>
        </w:tc>
        <w:tc>
          <w:tcPr>
            <w:tcW w:w="1036" w:type="dxa"/>
            <w:noWrap/>
            <w:vAlign w:val="center"/>
            <w:hideMark/>
          </w:tcPr>
          <w:p w:rsidRPr="00782FA6" w:rsidR="00DB248A" w:rsidP="00DB248A" w:rsidRDefault="00DB248A" w14:paraId="696FE85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CDF6D22" w14:textId="53580EF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53089E7" w14:textId="2889E33D">
            <w:pPr>
              <w:spacing w:line="240" w:lineRule="auto"/>
              <w:ind w:firstLine="0"/>
              <w:rPr>
                <w:rFonts w:eastAsia="Aptos" w:cs="Times New Roman"/>
                <w:sz w:val="20"/>
                <w:szCs w:val="20"/>
              </w:rPr>
            </w:pPr>
            <w:r w:rsidRPr="00782FA6">
              <w:rPr>
                <w:rFonts w:eastAsia="Aptos" w:cs="Times New Roman"/>
                <w:sz w:val="20"/>
                <w:szCs w:val="20"/>
              </w:rPr>
              <w:t>Technology By Design, LLC</w:t>
            </w:r>
          </w:p>
        </w:tc>
      </w:tr>
      <w:tr w:rsidRPr="00782FA6" w:rsidR="00DB248A" w:rsidTr="00E52317" w14:paraId="3F342A5B" w14:textId="77777777">
        <w:trPr>
          <w:trHeight w:val="300"/>
        </w:trPr>
        <w:tc>
          <w:tcPr>
            <w:tcW w:w="1170" w:type="dxa"/>
            <w:noWrap/>
            <w:vAlign w:val="center"/>
            <w:hideMark/>
          </w:tcPr>
          <w:p w:rsidRPr="00782FA6" w:rsidR="00DB248A" w:rsidP="00DB248A" w:rsidRDefault="00DB248A" w14:paraId="2A9DD537" w14:textId="77777777">
            <w:pPr>
              <w:spacing w:line="240" w:lineRule="auto"/>
              <w:ind w:firstLine="0"/>
              <w:jc w:val="center"/>
              <w:rPr>
                <w:rFonts w:eastAsia="Aptos" w:cs="Times New Roman"/>
                <w:sz w:val="20"/>
                <w:szCs w:val="20"/>
              </w:rPr>
            </w:pPr>
            <w:r w:rsidRPr="00782FA6">
              <w:rPr>
                <w:rFonts w:eastAsia="Aptos" w:cs="Times New Roman"/>
                <w:sz w:val="20"/>
                <w:szCs w:val="20"/>
              </w:rPr>
              <w:t>1527</w:t>
            </w:r>
          </w:p>
        </w:tc>
        <w:tc>
          <w:tcPr>
            <w:tcW w:w="1036" w:type="dxa"/>
            <w:noWrap/>
            <w:vAlign w:val="center"/>
            <w:hideMark/>
          </w:tcPr>
          <w:p w:rsidRPr="00782FA6" w:rsidR="00DB248A" w:rsidP="00DB248A" w:rsidRDefault="00DB248A" w14:paraId="04096B4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AC6FB5B" w14:textId="4200B95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864995E" w14:textId="326A8041">
            <w:pPr>
              <w:spacing w:line="240" w:lineRule="auto"/>
              <w:ind w:firstLine="0"/>
              <w:rPr>
                <w:rFonts w:eastAsia="Aptos" w:cs="Times New Roman"/>
                <w:sz w:val="20"/>
                <w:szCs w:val="20"/>
              </w:rPr>
            </w:pPr>
            <w:r w:rsidRPr="00782FA6">
              <w:rPr>
                <w:rFonts w:eastAsia="Aptos" w:cs="Times New Roman"/>
                <w:sz w:val="20"/>
                <w:szCs w:val="20"/>
              </w:rPr>
              <w:t>Conifer Communications, Inc.</w:t>
            </w:r>
          </w:p>
        </w:tc>
      </w:tr>
      <w:tr w:rsidRPr="00782FA6" w:rsidR="00DB248A" w:rsidTr="00E52317" w14:paraId="259740DC" w14:textId="77777777">
        <w:trPr>
          <w:trHeight w:val="300"/>
        </w:trPr>
        <w:tc>
          <w:tcPr>
            <w:tcW w:w="1170" w:type="dxa"/>
            <w:noWrap/>
            <w:vAlign w:val="center"/>
            <w:hideMark/>
          </w:tcPr>
          <w:p w:rsidRPr="00782FA6" w:rsidR="00DB248A" w:rsidP="00DB248A" w:rsidRDefault="00DB248A" w14:paraId="4F49B95A" w14:textId="77777777">
            <w:pPr>
              <w:spacing w:line="240" w:lineRule="auto"/>
              <w:ind w:firstLine="0"/>
              <w:jc w:val="center"/>
              <w:rPr>
                <w:rFonts w:eastAsia="Aptos" w:cs="Times New Roman"/>
                <w:sz w:val="20"/>
                <w:szCs w:val="20"/>
              </w:rPr>
            </w:pPr>
            <w:r w:rsidRPr="00782FA6">
              <w:rPr>
                <w:rFonts w:eastAsia="Aptos" w:cs="Times New Roman"/>
                <w:sz w:val="20"/>
                <w:szCs w:val="20"/>
              </w:rPr>
              <w:t>1528</w:t>
            </w:r>
          </w:p>
        </w:tc>
        <w:tc>
          <w:tcPr>
            <w:tcW w:w="1036" w:type="dxa"/>
            <w:noWrap/>
            <w:vAlign w:val="center"/>
            <w:hideMark/>
          </w:tcPr>
          <w:p w:rsidRPr="00782FA6" w:rsidR="00DB248A" w:rsidP="00DB248A" w:rsidRDefault="00DB248A" w14:paraId="5A5898C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2DD7DF4" w14:textId="2C77A96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3EAA18E" w14:textId="7EA59F4E">
            <w:pPr>
              <w:spacing w:line="240" w:lineRule="auto"/>
              <w:ind w:firstLine="0"/>
              <w:rPr>
                <w:rFonts w:eastAsia="Aptos" w:cs="Times New Roman"/>
                <w:sz w:val="20"/>
                <w:szCs w:val="20"/>
              </w:rPr>
            </w:pPr>
            <w:r w:rsidRPr="00782FA6">
              <w:rPr>
                <w:rFonts w:eastAsia="Aptos" w:cs="Times New Roman"/>
                <w:sz w:val="20"/>
                <w:szCs w:val="20"/>
              </w:rPr>
              <w:t>DVS Technologies, LLC</w:t>
            </w:r>
          </w:p>
        </w:tc>
      </w:tr>
      <w:tr w:rsidRPr="00782FA6" w:rsidR="00DB248A" w:rsidTr="00E52317" w14:paraId="5A401B1D" w14:textId="77777777">
        <w:trPr>
          <w:trHeight w:val="300"/>
        </w:trPr>
        <w:tc>
          <w:tcPr>
            <w:tcW w:w="1170" w:type="dxa"/>
            <w:noWrap/>
            <w:vAlign w:val="center"/>
            <w:hideMark/>
          </w:tcPr>
          <w:p w:rsidRPr="00782FA6" w:rsidR="00DB248A" w:rsidP="00DB248A" w:rsidRDefault="00DB248A" w14:paraId="36A00147" w14:textId="77777777">
            <w:pPr>
              <w:spacing w:line="240" w:lineRule="auto"/>
              <w:ind w:firstLine="0"/>
              <w:jc w:val="center"/>
              <w:rPr>
                <w:rFonts w:eastAsia="Aptos" w:cs="Times New Roman"/>
                <w:sz w:val="20"/>
                <w:szCs w:val="20"/>
              </w:rPr>
            </w:pPr>
            <w:r w:rsidRPr="00782FA6">
              <w:rPr>
                <w:rFonts w:eastAsia="Aptos" w:cs="Times New Roman"/>
                <w:sz w:val="20"/>
                <w:szCs w:val="20"/>
              </w:rPr>
              <w:t>1529</w:t>
            </w:r>
          </w:p>
        </w:tc>
        <w:tc>
          <w:tcPr>
            <w:tcW w:w="1036" w:type="dxa"/>
            <w:noWrap/>
            <w:vAlign w:val="center"/>
            <w:hideMark/>
          </w:tcPr>
          <w:p w:rsidRPr="00782FA6" w:rsidR="00DB248A" w:rsidP="00DB248A" w:rsidRDefault="00DB248A" w14:paraId="335DD3F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A3864C6" w14:textId="2B82B59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1997609" w14:textId="7635D4FA">
            <w:pPr>
              <w:spacing w:line="240" w:lineRule="auto"/>
              <w:ind w:firstLine="0"/>
              <w:rPr>
                <w:rFonts w:eastAsia="Aptos" w:cs="Times New Roman"/>
                <w:sz w:val="20"/>
                <w:szCs w:val="20"/>
              </w:rPr>
            </w:pPr>
            <w:proofErr w:type="spellStart"/>
            <w:r w:rsidRPr="00782FA6">
              <w:rPr>
                <w:rFonts w:eastAsia="Aptos" w:cs="Times New Roman"/>
                <w:sz w:val="20"/>
                <w:szCs w:val="20"/>
              </w:rPr>
              <w:t>TieTechnology</w:t>
            </w:r>
            <w:proofErr w:type="spellEnd"/>
            <w:r w:rsidRPr="00782FA6">
              <w:rPr>
                <w:rFonts w:eastAsia="Aptos" w:cs="Times New Roman"/>
                <w:sz w:val="20"/>
                <w:szCs w:val="20"/>
              </w:rPr>
              <w:t>, LLC</w:t>
            </w:r>
          </w:p>
        </w:tc>
      </w:tr>
      <w:tr w:rsidRPr="00782FA6" w:rsidR="00DB248A" w:rsidTr="00E52317" w14:paraId="01FFCBBD" w14:textId="77777777">
        <w:trPr>
          <w:trHeight w:val="300"/>
        </w:trPr>
        <w:tc>
          <w:tcPr>
            <w:tcW w:w="1170" w:type="dxa"/>
            <w:noWrap/>
            <w:vAlign w:val="center"/>
            <w:hideMark/>
          </w:tcPr>
          <w:p w:rsidRPr="00782FA6" w:rsidR="00DB248A" w:rsidP="00DB248A" w:rsidRDefault="00DB248A" w14:paraId="685D124E" w14:textId="77777777">
            <w:pPr>
              <w:spacing w:line="240" w:lineRule="auto"/>
              <w:ind w:firstLine="0"/>
              <w:jc w:val="center"/>
              <w:rPr>
                <w:rFonts w:eastAsia="Aptos" w:cs="Times New Roman"/>
                <w:sz w:val="20"/>
                <w:szCs w:val="20"/>
              </w:rPr>
            </w:pPr>
            <w:r w:rsidRPr="00782FA6">
              <w:rPr>
                <w:rFonts w:eastAsia="Aptos" w:cs="Times New Roman"/>
                <w:sz w:val="20"/>
                <w:szCs w:val="20"/>
              </w:rPr>
              <w:t>1530</w:t>
            </w:r>
          </w:p>
        </w:tc>
        <w:tc>
          <w:tcPr>
            <w:tcW w:w="1036" w:type="dxa"/>
            <w:noWrap/>
            <w:vAlign w:val="center"/>
            <w:hideMark/>
          </w:tcPr>
          <w:p w:rsidRPr="00782FA6" w:rsidR="00DB248A" w:rsidP="00DB248A" w:rsidRDefault="00DB248A" w14:paraId="5594345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6CF78CE" w14:textId="0644660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1A7FC8A" w14:textId="307EAD6A">
            <w:pPr>
              <w:spacing w:line="240" w:lineRule="auto"/>
              <w:ind w:firstLine="0"/>
              <w:rPr>
                <w:rFonts w:eastAsia="Aptos" w:cs="Times New Roman"/>
                <w:sz w:val="20"/>
                <w:szCs w:val="20"/>
              </w:rPr>
            </w:pPr>
            <w:r w:rsidRPr="00782FA6">
              <w:rPr>
                <w:rFonts w:eastAsia="Aptos" w:cs="Times New Roman"/>
                <w:sz w:val="20"/>
                <w:szCs w:val="20"/>
              </w:rPr>
              <w:t>Intelligent Communications Services</w:t>
            </w:r>
          </w:p>
        </w:tc>
      </w:tr>
      <w:tr w:rsidRPr="00782FA6" w:rsidR="00DB248A" w:rsidTr="00E52317" w14:paraId="50CE9E54" w14:textId="77777777">
        <w:trPr>
          <w:trHeight w:val="300"/>
        </w:trPr>
        <w:tc>
          <w:tcPr>
            <w:tcW w:w="1170" w:type="dxa"/>
            <w:noWrap/>
            <w:vAlign w:val="center"/>
            <w:hideMark/>
          </w:tcPr>
          <w:p w:rsidRPr="00782FA6" w:rsidR="00DB248A" w:rsidP="00DB248A" w:rsidRDefault="00DB248A" w14:paraId="4D37CD87" w14:textId="77777777">
            <w:pPr>
              <w:spacing w:line="240" w:lineRule="auto"/>
              <w:ind w:firstLine="0"/>
              <w:jc w:val="center"/>
              <w:rPr>
                <w:rFonts w:eastAsia="Aptos" w:cs="Times New Roman"/>
                <w:sz w:val="20"/>
                <w:szCs w:val="20"/>
              </w:rPr>
            </w:pPr>
            <w:r w:rsidRPr="00782FA6">
              <w:rPr>
                <w:rFonts w:eastAsia="Aptos" w:cs="Times New Roman"/>
                <w:sz w:val="20"/>
                <w:szCs w:val="20"/>
              </w:rPr>
              <w:t>1531</w:t>
            </w:r>
          </w:p>
        </w:tc>
        <w:tc>
          <w:tcPr>
            <w:tcW w:w="1036" w:type="dxa"/>
            <w:noWrap/>
            <w:vAlign w:val="center"/>
            <w:hideMark/>
          </w:tcPr>
          <w:p w:rsidRPr="00782FA6" w:rsidR="00DB248A" w:rsidP="00DB248A" w:rsidRDefault="00DB248A" w14:paraId="70D492E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BAEEC68" w14:textId="05E652E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614971D" w14:textId="605A1A46">
            <w:pPr>
              <w:spacing w:line="240" w:lineRule="auto"/>
              <w:ind w:firstLine="0"/>
              <w:rPr>
                <w:rFonts w:eastAsia="Aptos" w:cs="Times New Roman"/>
                <w:sz w:val="20"/>
                <w:szCs w:val="20"/>
              </w:rPr>
            </w:pPr>
            <w:proofErr w:type="spellStart"/>
            <w:r w:rsidRPr="00782FA6">
              <w:rPr>
                <w:rFonts w:eastAsia="Aptos" w:cs="Times New Roman"/>
                <w:sz w:val="20"/>
                <w:szCs w:val="20"/>
              </w:rPr>
              <w:t>Encartele</w:t>
            </w:r>
            <w:proofErr w:type="spellEnd"/>
            <w:r w:rsidRPr="00782FA6">
              <w:rPr>
                <w:rFonts w:eastAsia="Aptos" w:cs="Times New Roman"/>
                <w:sz w:val="20"/>
                <w:szCs w:val="20"/>
              </w:rPr>
              <w:t>, Inc.</w:t>
            </w:r>
          </w:p>
        </w:tc>
      </w:tr>
      <w:tr w:rsidRPr="00782FA6" w:rsidR="00DB248A" w:rsidTr="00E52317" w14:paraId="6BDF0433" w14:textId="77777777">
        <w:trPr>
          <w:trHeight w:val="300"/>
        </w:trPr>
        <w:tc>
          <w:tcPr>
            <w:tcW w:w="1170" w:type="dxa"/>
            <w:noWrap/>
            <w:vAlign w:val="center"/>
            <w:hideMark/>
          </w:tcPr>
          <w:p w:rsidRPr="00782FA6" w:rsidR="00DB248A" w:rsidP="00DB248A" w:rsidRDefault="00DB248A" w14:paraId="219CCFFD" w14:textId="77777777">
            <w:pPr>
              <w:spacing w:line="240" w:lineRule="auto"/>
              <w:ind w:firstLine="0"/>
              <w:jc w:val="center"/>
              <w:rPr>
                <w:rFonts w:eastAsia="Aptos" w:cs="Times New Roman"/>
                <w:sz w:val="20"/>
                <w:szCs w:val="20"/>
              </w:rPr>
            </w:pPr>
            <w:r w:rsidRPr="00782FA6">
              <w:rPr>
                <w:rFonts w:eastAsia="Aptos" w:cs="Times New Roman"/>
                <w:sz w:val="20"/>
                <w:szCs w:val="20"/>
              </w:rPr>
              <w:t>1532</w:t>
            </w:r>
          </w:p>
        </w:tc>
        <w:tc>
          <w:tcPr>
            <w:tcW w:w="1036" w:type="dxa"/>
            <w:noWrap/>
            <w:vAlign w:val="center"/>
            <w:hideMark/>
          </w:tcPr>
          <w:p w:rsidRPr="00782FA6" w:rsidR="00DB248A" w:rsidP="00DB248A" w:rsidRDefault="00DB248A" w14:paraId="17E3DDB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72383D9" w14:textId="6B6B0E4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BBDE09F" w14:textId="00B05117">
            <w:pPr>
              <w:spacing w:line="240" w:lineRule="auto"/>
              <w:ind w:firstLine="0"/>
              <w:rPr>
                <w:rFonts w:eastAsia="Aptos" w:cs="Times New Roman"/>
                <w:sz w:val="20"/>
                <w:szCs w:val="20"/>
              </w:rPr>
            </w:pPr>
            <w:r w:rsidRPr="00782FA6">
              <w:rPr>
                <w:rFonts w:eastAsia="Aptos" w:cs="Times New Roman"/>
                <w:sz w:val="20"/>
                <w:szCs w:val="20"/>
              </w:rPr>
              <w:t>Origin Networks, LLC</w:t>
            </w:r>
          </w:p>
        </w:tc>
      </w:tr>
      <w:tr w:rsidRPr="00782FA6" w:rsidR="00DB248A" w:rsidTr="00E52317" w14:paraId="7864B9F5" w14:textId="77777777">
        <w:trPr>
          <w:trHeight w:val="300"/>
        </w:trPr>
        <w:tc>
          <w:tcPr>
            <w:tcW w:w="1170" w:type="dxa"/>
            <w:noWrap/>
            <w:vAlign w:val="center"/>
            <w:hideMark/>
          </w:tcPr>
          <w:p w:rsidRPr="00782FA6" w:rsidR="00DB248A" w:rsidP="00DB248A" w:rsidRDefault="00DB248A" w14:paraId="65B11A14" w14:textId="77777777">
            <w:pPr>
              <w:spacing w:line="240" w:lineRule="auto"/>
              <w:ind w:firstLine="0"/>
              <w:jc w:val="center"/>
              <w:rPr>
                <w:rFonts w:eastAsia="Aptos" w:cs="Times New Roman"/>
                <w:sz w:val="20"/>
                <w:szCs w:val="20"/>
              </w:rPr>
            </w:pPr>
            <w:r w:rsidRPr="00782FA6">
              <w:rPr>
                <w:rFonts w:eastAsia="Aptos" w:cs="Times New Roman"/>
                <w:sz w:val="20"/>
                <w:szCs w:val="20"/>
              </w:rPr>
              <w:t>1533</w:t>
            </w:r>
          </w:p>
        </w:tc>
        <w:tc>
          <w:tcPr>
            <w:tcW w:w="1036" w:type="dxa"/>
            <w:noWrap/>
            <w:vAlign w:val="center"/>
            <w:hideMark/>
          </w:tcPr>
          <w:p w:rsidRPr="00782FA6" w:rsidR="00DB248A" w:rsidP="00DB248A" w:rsidRDefault="00DB248A" w14:paraId="56424D5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312687B" w14:textId="6D53084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89E589A" w14:textId="7885E0EA">
            <w:pPr>
              <w:spacing w:line="240" w:lineRule="auto"/>
              <w:ind w:firstLine="0"/>
              <w:rPr>
                <w:rFonts w:eastAsia="Aptos" w:cs="Times New Roman"/>
                <w:sz w:val="20"/>
                <w:szCs w:val="20"/>
              </w:rPr>
            </w:pPr>
            <w:proofErr w:type="spellStart"/>
            <w:r w:rsidRPr="00782FA6">
              <w:rPr>
                <w:rFonts w:eastAsia="Aptos" w:cs="Times New Roman"/>
                <w:sz w:val="20"/>
                <w:szCs w:val="20"/>
              </w:rPr>
              <w:t>Ringaro</w:t>
            </w:r>
            <w:proofErr w:type="spellEnd"/>
            <w:r w:rsidRPr="00782FA6">
              <w:rPr>
                <w:rFonts w:eastAsia="Aptos" w:cs="Times New Roman"/>
                <w:sz w:val="20"/>
                <w:szCs w:val="20"/>
              </w:rPr>
              <w:t xml:space="preserve"> Telecom, Inc.</w:t>
            </w:r>
          </w:p>
        </w:tc>
      </w:tr>
      <w:tr w:rsidRPr="00782FA6" w:rsidR="00DB248A" w:rsidTr="00E52317" w14:paraId="2B965725" w14:textId="77777777">
        <w:trPr>
          <w:trHeight w:val="300"/>
        </w:trPr>
        <w:tc>
          <w:tcPr>
            <w:tcW w:w="1170" w:type="dxa"/>
            <w:noWrap/>
            <w:vAlign w:val="center"/>
            <w:hideMark/>
          </w:tcPr>
          <w:p w:rsidRPr="00782FA6" w:rsidR="00DB248A" w:rsidP="00DB248A" w:rsidRDefault="00DB248A" w14:paraId="4B3EE7EF" w14:textId="77777777">
            <w:pPr>
              <w:spacing w:line="240" w:lineRule="auto"/>
              <w:ind w:firstLine="0"/>
              <w:jc w:val="center"/>
              <w:rPr>
                <w:rFonts w:eastAsia="Aptos" w:cs="Times New Roman"/>
                <w:sz w:val="20"/>
                <w:szCs w:val="20"/>
              </w:rPr>
            </w:pPr>
            <w:r w:rsidRPr="00782FA6">
              <w:rPr>
                <w:rFonts w:eastAsia="Aptos" w:cs="Times New Roman"/>
                <w:sz w:val="20"/>
                <w:szCs w:val="20"/>
              </w:rPr>
              <w:t>1534</w:t>
            </w:r>
          </w:p>
        </w:tc>
        <w:tc>
          <w:tcPr>
            <w:tcW w:w="1036" w:type="dxa"/>
            <w:noWrap/>
            <w:vAlign w:val="center"/>
            <w:hideMark/>
          </w:tcPr>
          <w:p w:rsidRPr="00782FA6" w:rsidR="00DB248A" w:rsidP="00DB248A" w:rsidRDefault="00DB248A" w14:paraId="4754A67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3276DD0" w14:textId="73D16CF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5824F77" w14:textId="343F1578">
            <w:pPr>
              <w:spacing w:line="240" w:lineRule="auto"/>
              <w:ind w:firstLine="0"/>
              <w:rPr>
                <w:rFonts w:eastAsia="Aptos" w:cs="Times New Roman"/>
                <w:sz w:val="20"/>
                <w:szCs w:val="20"/>
              </w:rPr>
            </w:pPr>
            <w:proofErr w:type="spellStart"/>
            <w:r w:rsidRPr="00782FA6">
              <w:rPr>
                <w:rFonts w:eastAsia="Aptos" w:cs="Times New Roman"/>
                <w:sz w:val="20"/>
                <w:szCs w:val="20"/>
              </w:rPr>
              <w:t>Audian</w:t>
            </w:r>
            <w:proofErr w:type="spellEnd"/>
            <w:r w:rsidRPr="00782FA6">
              <w:rPr>
                <w:rFonts w:eastAsia="Aptos" w:cs="Times New Roman"/>
                <w:sz w:val="20"/>
                <w:szCs w:val="20"/>
              </w:rPr>
              <w:t xml:space="preserve"> Inc.</w:t>
            </w:r>
          </w:p>
        </w:tc>
      </w:tr>
      <w:tr w:rsidRPr="00782FA6" w:rsidR="00DB248A" w:rsidTr="00E52317" w14:paraId="1842ECF1" w14:textId="77777777">
        <w:trPr>
          <w:trHeight w:val="300"/>
        </w:trPr>
        <w:tc>
          <w:tcPr>
            <w:tcW w:w="1170" w:type="dxa"/>
            <w:noWrap/>
            <w:vAlign w:val="center"/>
            <w:hideMark/>
          </w:tcPr>
          <w:p w:rsidRPr="00782FA6" w:rsidR="00DB248A" w:rsidP="00DB248A" w:rsidRDefault="00DB248A" w14:paraId="4199E66E" w14:textId="77777777">
            <w:pPr>
              <w:spacing w:line="240" w:lineRule="auto"/>
              <w:ind w:firstLine="0"/>
              <w:jc w:val="center"/>
              <w:rPr>
                <w:rFonts w:eastAsia="Aptos" w:cs="Times New Roman"/>
                <w:sz w:val="20"/>
                <w:szCs w:val="20"/>
              </w:rPr>
            </w:pPr>
            <w:r w:rsidRPr="00782FA6">
              <w:rPr>
                <w:rFonts w:eastAsia="Aptos" w:cs="Times New Roman"/>
                <w:sz w:val="20"/>
                <w:szCs w:val="20"/>
              </w:rPr>
              <w:t>1536</w:t>
            </w:r>
          </w:p>
        </w:tc>
        <w:tc>
          <w:tcPr>
            <w:tcW w:w="1036" w:type="dxa"/>
            <w:noWrap/>
            <w:vAlign w:val="center"/>
            <w:hideMark/>
          </w:tcPr>
          <w:p w:rsidRPr="00782FA6" w:rsidR="00DB248A" w:rsidP="00DB248A" w:rsidRDefault="00DB248A" w14:paraId="4829E87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06FEBAC" w14:textId="0D2D752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AC73921" w14:textId="4AACC0DE">
            <w:pPr>
              <w:spacing w:line="240" w:lineRule="auto"/>
              <w:ind w:firstLine="0"/>
              <w:rPr>
                <w:rFonts w:eastAsia="Aptos" w:cs="Times New Roman"/>
                <w:sz w:val="20"/>
                <w:szCs w:val="20"/>
              </w:rPr>
            </w:pPr>
            <w:r w:rsidRPr="00782FA6">
              <w:rPr>
                <w:rFonts w:eastAsia="Aptos" w:cs="Times New Roman"/>
                <w:sz w:val="20"/>
                <w:szCs w:val="20"/>
              </w:rPr>
              <w:t>ICIM Corporation</w:t>
            </w:r>
          </w:p>
        </w:tc>
      </w:tr>
      <w:tr w:rsidRPr="00782FA6" w:rsidR="00DB248A" w:rsidTr="00E52317" w14:paraId="0434DF4E" w14:textId="77777777">
        <w:trPr>
          <w:trHeight w:val="300"/>
        </w:trPr>
        <w:tc>
          <w:tcPr>
            <w:tcW w:w="1170" w:type="dxa"/>
            <w:noWrap/>
            <w:vAlign w:val="center"/>
            <w:hideMark/>
          </w:tcPr>
          <w:p w:rsidRPr="00782FA6" w:rsidR="00DB248A" w:rsidP="00DB248A" w:rsidRDefault="00DB248A" w14:paraId="5A8899FD" w14:textId="77777777">
            <w:pPr>
              <w:spacing w:line="240" w:lineRule="auto"/>
              <w:ind w:firstLine="0"/>
              <w:jc w:val="center"/>
              <w:rPr>
                <w:rFonts w:eastAsia="Aptos" w:cs="Times New Roman"/>
                <w:sz w:val="20"/>
                <w:szCs w:val="20"/>
              </w:rPr>
            </w:pPr>
            <w:r w:rsidRPr="00782FA6">
              <w:rPr>
                <w:rFonts w:eastAsia="Aptos" w:cs="Times New Roman"/>
                <w:sz w:val="20"/>
                <w:szCs w:val="20"/>
              </w:rPr>
              <w:t>1537</w:t>
            </w:r>
          </w:p>
        </w:tc>
        <w:tc>
          <w:tcPr>
            <w:tcW w:w="1036" w:type="dxa"/>
            <w:noWrap/>
            <w:vAlign w:val="center"/>
            <w:hideMark/>
          </w:tcPr>
          <w:p w:rsidRPr="00782FA6" w:rsidR="00DB248A" w:rsidP="00DB248A" w:rsidRDefault="00DB248A" w14:paraId="458860D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59852C6" w14:textId="64FA831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BF80175" w14:textId="40B11C52">
            <w:pPr>
              <w:spacing w:line="240" w:lineRule="auto"/>
              <w:ind w:firstLine="0"/>
              <w:rPr>
                <w:rFonts w:eastAsia="Aptos" w:cs="Times New Roman"/>
                <w:sz w:val="20"/>
                <w:szCs w:val="20"/>
              </w:rPr>
            </w:pPr>
            <w:proofErr w:type="spellStart"/>
            <w:r w:rsidRPr="00782FA6">
              <w:rPr>
                <w:rFonts w:eastAsia="Aptos" w:cs="Times New Roman"/>
                <w:sz w:val="20"/>
                <w:szCs w:val="20"/>
              </w:rPr>
              <w:t>Tekify</w:t>
            </w:r>
            <w:proofErr w:type="spellEnd"/>
            <w:r w:rsidRPr="00782FA6">
              <w:rPr>
                <w:rFonts w:eastAsia="Aptos" w:cs="Times New Roman"/>
                <w:sz w:val="20"/>
                <w:szCs w:val="20"/>
              </w:rPr>
              <w:t>, LLC</w:t>
            </w:r>
          </w:p>
        </w:tc>
      </w:tr>
      <w:tr w:rsidRPr="00782FA6" w:rsidR="00DB248A" w:rsidTr="00E52317" w14:paraId="4CC3CE74" w14:textId="77777777">
        <w:trPr>
          <w:trHeight w:val="300"/>
        </w:trPr>
        <w:tc>
          <w:tcPr>
            <w:tcW w:w="1170" w:type="dxa"/>
            <w:noWrap/>
            <w:vAlign w:val="center"/>
            <w:hideMark/>
          </w:tcPr>
          <w:p w:rsidRPr="00782FA6" w:rsidR="00DB248A" w:rsidP="00DB248A" w:rsidRDefault="00DB248A" w14:paraId="7B6758A6" w14:textId="77777777">
            <w:pPr>
              <w:spacing w:line="240" w:lineRule="auto"/>
              <w:ind w:firstLine="0"/>
              <w:jc w:val="center"/>
              <w:rPr>
                <w:rFonts w:eastAsia="Aptos" w:cs="Times New Roman"/>
                <w:sz w:val="20"/>
                <w:szCs w:val="20"/>
              </w:rPr>
            </w:pPr>
            <w:r w:rsidRPr="00782FA6">
              <w:rPr>
                <w:rFonts w:eastAsia="Aptos" w:cs="Times New Roman"/>
                <w:sz w:val="20"/>
                <w:szCs w:val="20"/>
              </w:rPr>
              <w:t>1538</w:t>
            </w:r>
          </w:p>
        </w:tc>
        <w:tc>
          <w:tcPr>
            <w:tcW w:w="1036" w:type="dxa"/>
            <w:noWrap/>
            <w:vAlign w:val="center"/>
            <w:hideMark/>
          </w:tcPr>
          <w:p w:rsidRPr="00782FA6" w:rsidR="00DB248A" w:rsidP="00DB248A" w:rsidRDefault="00DB248A" w14:paraId="46C0C3A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2E14EB1" w14:textId="4F4059E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C1FA8EC" w14:textId="1FAC5FBB">
            <w:pPr>
              <w:spacing w:line="240" w:lineRule="auto"/>
              <w:ind w:firstLine="0"/>
              <w:rPr>
                <w:rFonts w:eastAsia="Aptos" w:cs="Times New Roman"/>
                <w:sz w:val="20"/>
                <w:szCs w:val="20"/>
              </w:rPr>
            </w:pPr>
            <w:r w:rsidRPr="00782FA6">
              <w:rPr>
                <w:rFonts w:eastAsia="Aptos" w:cs="Times New Roman"/>
                <w:sz w:val="20"/>
                <w:szCs w:val="20"/>
              </w:rPr>
              <w:t>WWT, Inc.</w:t>
            </w:r>
          </w:p>
        </w:tc>
      </w:tr>
      <w:tr w:rsidRPr="00782FA6" w:rsidR="00DB248A" w:rsidTr="00E52317" w14:paraId="6ACF0CF7" w14:textId="77777777">
        <w:trPr>
          <w:trHeight w:val="300"/>
        </w:trPr>
        <w:tc>
          <w:tcPr>
            <w:tcW w:w="1170" w:type="dxa"/>
            <w:noWrap/>
            <w:vAlign w:val="center"/>
            <w:hideMark/>
          </w:tcPr>
          <w:p w:rsidRPr="00782FA6" w:rsidR="00DB248A" w:rsidP="00DB248A" w:rsidRDefault="00DB248A" w14:paraId="0ED40CBD" w14:textId="77777777">
            <w:pPr>
              <w:spacing w:line="240" w:lineRule="auto"/>
              <w:ind w:firstLine="0"/>
              <w:jc w:val="center"/>
              <w:rPr>
                <w:rFonts w:eastAsia="Aptos" w:cs="Times New Roman"/>
                <w:sz w:val="20"/>
                <w:szCs w:val="20"/>
              </w:rPr>
            </w:pPr>
            <w:r w:rsidRPr="00782FA6">
              <w:rPr>
                <w:rFonts w:eastAsia="Aptos" w:cs="Times New Roman"/>
                <w:sz w:val="20"/>
                <w:szCs w:val="20"/>
              </w:rPr>
              <w:t>1539</w:t>
            </w:r>
          </w:p>
        </w:tc>
        <w:tc>
          <w:tcPr>
            <w:tcW w:w="1036" w:type="dxa"/>
            <w:noWrap/>
            <w:vAlign w:val="center"/>
            <w:hideMark/>
          </w:tcPr>
          <w:p w:rsidRPr="00782FA6" w:rsidR="00DB248A" w:rsidP="00DB248A" w:rsidRDefault="00DB248A" w14:paraId="77F964E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CBA6DA3" w14:textId="42B8DB5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5A1059A" w14:textId="0894BA44">
            <w:pPr>
              <w:spacing w:line="240" w:lineRule="auto"/>
              <w:ind w:firstLine="0"/>
              <w:rPr>
                <w:rFonts w:eastAsia="Aptos" w:cs="Times New Roman"/>
                <w:sz w:val="20"/>
                <w:szCs w:val="20"/>
              </w:rPr>
            </w:pPr>
            <w:r w:rsidRPr="00782FA6">
              <w:rPr>
                <w:rFonts w:eastAsia="Aptos" w:cs="Times New Roman"/>
                <w:sz w:val="20"/>
                <w:szCs w:val="20"/>
              </w:rPr>
              <w:t>Consolidated Smart Broadband Systems, LLC</w:t>
            </w:r>
          </w:p>
        </w:tc>
      </w:tr>
      <w:tr w:rsidRPr="00782FA6" w:rsidR="00DB248A" w:rsidTr="00E52317" w14:paraId="5A129622" w14:textId="77777777">
        <w:trPr>
          <w:trHeight w:val="300"/>
        </w:trPr>
        <w:tc>
          <w:tcPr>
            <w:tcW w:w="1170" w:type="dxa"/>
            <w:noWrap/>
            <w:vAlign w:val="center"/>
            <w:hideMark/>
          </w:tcPr>
          <w:p w:rsidRPr="00782FA6" w:rsidR="00DB248A" w:rsidP="00DB248A" w:rsidRDefault="00DB248A" w14:paraId="24313EE4" w14:textId="77777777">
            <w:pPr>
              <w:spacing w:line="240" w:lineRule="auto"/>
              <w:ind w:firstLine="0"/>
              <w:jc w:val="center"/>
              <w:rPr>
                <w:rFonts w:eastAsia="Aptos" w:cs="Times New Roman"/>
                <w:sz w:val="20"/>
                <w:szCs w:val="20"/>
              </w:rPr>
            </w:pPr>
            <w:r w:rsidRPr="00782FA6">
              <w:rPr>
                <w:rFonts w:eastAsia="Aptos" w:cs="Times New Roman"/>
                <w:sz w:val="20"/>
                <w:szCs w:val="20"/>
              </w:rPr>
              <w:t>1542</w:t>
            </w:r>
          </w:p>
        </w:tc>
        <w:tc>
          <w:tcPr>
            <w:tcW w:w="1036" w:type="dxa"/>
            <w:noWrap/>
            <w:vAlign w:val="center"/>
            <w:hideMark/>
          </w:tcPr>
          <w:p w:rsidRPr="00782FA6" w:rsidR="00DB248A" w:rsidP="00DB248A" w:rsidRDefault="00DB248A" w14:paraId="10467EA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4722575" w14:textId="22D2D63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B76A87B" w14:textId="270CE321">
            <w:pPr>
              <w:spacing w:line="240" w:lineRule="auto"/>
              <w:ind w:firstLine="0"/>
              <w:rPr>
                <w:rFonts w:eastAsia="Aptos" w:cs="Times New Roman"/>
                <w:sz w:val="20"/>
                <w:szCs w:val="20"/>
              </w:rPr>
            </w:pPr>
            <w:proofErr w:type="spellStart"/>
            <w:r w:rsidRPr="00782FA6">
              <w:rPr>
                <w:rFonts w:eastAsia="Aptos" w:cs="Times New Roman"/>
                <w:sz w:val="20"/>
                <w:szCs w:val="20"/>
              </w:rPr>
              <w:t>Onvoy</w:t>
            </w:r>
            <w:proofErr w:type="spellEnd"/>
            <w:r w:rsidRPr="00782FA6">
              <w:rPr>
                <w:rFonts w:eastAsia="Aptos" w:cs="Times New Roman"/>
                <w:sz w:val="20"/>
                <w:szCs w:val="20"/>
              </w:rPr>
              <w:t>, LLC</w:t>
            </w:r>
          </w:p>
        </w:tc>
      </w:tr>
      <w:tr w:rsidRPr="00782FA6" w:rsidR="00DB248A" w:rsidTr="00E52317" w14:paraId="4F94CE32" w14:textId="77777777">
        <w:trPr>
          <w:trHeight w:val="300"/>
        </w:trPr>
        <w:tc>
          <w:tcPr>
            <w:tcW w:w="1170" w:type="dxa"/>
            <w:noWrap/>
            <w:vAlign w:val="center"/>
            <w:hideMark/>
          </w:tcPr>
          <w:p w:rsidRPr="00782FA6" w:rsidR="00DB248A" w:rsidP="00DB248A" w:rsidRDefault="00DB248A" w14:paraId="1616822E" w14:textId="77777777">
            <w:pPr>
              <w:spacing w:line="240" w:lineRule="auto"/>
              <w:ind w:firstLine="0"/>
              <w:jc w:val="center"/>
              <w:rPr>
                <w:rFonts w:eastAsia="Aptos" w:cs="Times New Roman"/>
                <w:sz w:val="20"/>
                <w:szCs w:val="20"/>
              </w:rPr>
            </w:pPr>
            <w:r w:rsidRPr="00782FA6">
              <w:rPr>
                <w:rFonts w:eastAsia="Aptos" w:cs="Times New Roman"/>
                <w:sz w:val="20"/>
                <w:szCs w:val="20"/>
              </w:rPr>
              <w:t>1544</w:t>
            </w:r>
          </w:p>
        </w:tc>
        <w:tc>
          <w:tcPr>
            <w:tcW w:w="1036" w:type="dxa"/>
            <w:noWrap/>
            <w:vAlign w:val="center"/>
            <w:hideMark/>
          </w:tcPr>
          <w:p w:rsidRPr="00782FA6" w:rsidR="00DB248A" w:rsidP="00DB248A" w:rsidRDefault="00DB248A" w14:paraId="788CD16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33B6431" w14:textId="1DAD513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D4B8E67" w14:textId="1A13C363">
            <w:pPr>
              <w:spacing w:line="240" w:lineRule="auto"/>
              <w:ind w:firstLine="0"/>
              <w:rPr>
                <w:rFonts w:eastAsia="Aptos" w:cs="Times New Roman"/>
                <w:sz w:val="20"/>
                <w:szCs w:val="20"/>
              </w:rPr>
            </w:pPr>
            <w:r w:rsidRPr="00782FA6">
              <w:rPr>
                <w:rFonts w:eastAsia="Aptos" w:cs="Times New Roman"/>
                <w:sz w:val="20"/>
                <w:szCs w:val="20"/>
              </w:rPr>
              <w:t>Integrity Networks of CA LLC</w:t>
            </w:r>
          </w:p>
        </w:tc>
      </w:tr>
      <w:tr w:rsidRPr="00782FA6" w:rsidR="00DB248A" w:rsidTr="00E52317" w14:paraId="1020D2A7" w14:textId="77777777">
        <w:trPr>
          <w:trHeight w:val="300"/>
        </w:trPr>
        <w:tc>
          <w:tcPr>
            <w:tcW w:w="1170" w:type="dxa"/>
            <w:noWrap/>
            <w:vAlign w:val="center"/>
            <w:hideMark/>
          </w:tcPr>
          <w:p w:rsidRPr="00782FA6" w:rsidR="00DB248A" w:rsidP="00DB248A" w:rsidRDefault="00DB248A" w14:paraId="1AB72E61" w14:textId="77777777">
            <w:pPr>
              <w:spacing w:line="240" w:lineRule="auto"/>
              <w:ind w:firstLine="0"/>
              <w:jc w:val="center"/>
              <w:rPr>
                <w:rFonts w:eastAsia="Aptos" w:cs="Times New Roman"/>
                <w:sz w:val="20"/>
                <w:szCs w:val="20"/>
              </w:rPr>
            </w:pPr>
            <w:r w:rsidRPr="00782FA6">
              <w:rPr>
                <w:rFonts w:eastAsia="Aptos" w:cs="Times New Roman"/>
                <w:sz w:val="20"/>
                <w:szCs w:val="20"/>
              </w:rPr>
              <w:t>1545</w:t>
            </w:r>
          </w:p>
        </w:tc>
        <w:tc>
          <w:tcPr>
            <w:tcW w:w="1036" w:type="dxa"/>
            <w:noWrap/>
            <w:vAlign w:val="center"/>
            <w:hideMark/>
          </w:tcPr>
          <w:p w:rsidRPr="00782FA6" w:rsidR="00DB248A" w:rsidP="00DB248A" w:rsidRDefault="00DB248A" w14:paraId="007B0D6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8B66121" w14:textId="24C7A70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BBD7A1E" w14:textId="187F5A42">
            <w:pPr>
              <w:spacing w:line="240" w:lineRule="auto"/>
              <w:ind w:firstLine="0"/>
              <w:rPr>
                <w:rFonts w:eastAsia="Aptos" w:cs="Times New Roman"/>
                <w:sz w:val="20"/>
                <w:szCs w:val="20"/>
              </w:rPr>
            </w:pPr>
            <w:r w:rsidRPr="00782FA6">
              <w:rPr>
                <w:rFonts w:eastAsia="Aptos" w:cs="Times New Roman"/>
                <w:sz w:val="20"/>
                <w:szCs w:val="20"/>
              </w:rPr>
              <w:t>BA Telecom, Inc.</w:t>
            </w:r>
          </w:p>
        </w:tc>
      </w:tr>
      <w:tr w:rsidRPr="00782FA6" w:rsidR="00DB248A" w:rsidTr="00E52317" w14:paraId="33F4E2DB" w14:textId="77777777">
        <w:trPr>
          <w:trHeight w:val="300"/>
        </w:trPr>
        <w:tc>
          <w:tcPr>
            <w:tcW w:w="1170" w:type="dxa"/>
            <w:noWrap/>
            <w:vAlign w:val="center"/>
            <w:hideMark/>
          </w:tcPr>
          <w:p w:rsidRPr="00782FA6" w:rsidR="00DB248A" w:rsidP="00DB248A" w:rsidRDefault="00DB248A" w14:paraId="563E0544" w14:textId="77777777">
            <w:pPr>
              <w:spacing w:line="240" w:lineRule="auto"/>
              <w:ind w:firstLine="0"/>
              <w:jc w:val="center"/>
              <w:rPr>
                <w:rFonts w:eastAsia="Aptos" w:cs="Times New Roman"/>
                <w:sz w:val="20"/>
                <w:szCs w:val="20"/>
              </w:rPr>
            </w:pPr>
            <w:r w:rsidRPr="00782FA6">
              <w:rPr>
                <w:rFonts w:eastAsia="Aptos" w:cs="Times New Roman"/>
                <w:sz w:val="20"/>
                <w:szCs w:val="20"/>
              </w:rPr>
              <w:t>1546</w:t>
            </w:r>
          </w:p>
        </w:tc>
        <w:tc>
          <w:tcPr>
            <w:tcW w:w="1036" w:type="dxa"/>
            <w:noWrap/>
            <w:vAlign w:val="center"/>
            <w:hideMark/>
          </w:tcPr>
          <w:p w:rsidRPr="00782FA6" w:rsidR="00DB248A" w:rsidP="00DB248A" w:rsidRDefault="00DB248A" w14:paraId="245CEF2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5180AB3" w14:textId="70142D9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C505349" w14:textId="37B926F3">
            <w:pPr>
              <w:spacing w:line="240" w:lineRule="auto"/>
              <w:ind w:firstLine="0"/>
              <w:rPr>
                <w:rFonts w:eastAsia="Aptos" w:cs="Times New Roman"/>
                <w:sz w:val="20"/>
                <w:szCs w:val="20"/>
              </w:rPr>
            </w:pPr>
            <w:r w:rsidRPr="00782FA6">
              <w:rPr>
                <w:rFonts w:eastAsia="Aptos" w:cs="Times New Roman"/>
                <w:sz w:val="20"/>
                <w:szCs w:val="20"/>
              </w:rPr>
              <w:t>Telephone Diagnostic Services, Inc.</w:t>
            </w:r>
          </w:p>
        </w:tc>
      </w:tr>
      <w:tr w:rsidRPr="00782FA6" w:rsidR="00DB248A" w:rsidTr="00E52317" w14:paraId="77E00C40" w14:textId="77777777">
        <w:trPr>
          <w:trHeight w:val="300"/>
        </w:trPr>
        <w:tc>
          <w:tcPr>
            <w:tcW w:w="1170" w:type="dxa"/>
            <w:noWrap/>
            <w:vAlign w:val="center"/>
            <w:hideMark/>
          </w:tcPr>
          <w:p w:rsidRPr="00782FA6" w:rsidR="00DB248A" w:rsidP="00DB248A" w:rsidRDefault="00DB248A" w14:paraId="54AFC240" w14:textId="77777777">
            <w:pPr>
              <w:spacing w:line="240" w:lineRule="auto"/>
              <w:ind w:firstLine="0"/>
              <w:jc w:val="center"/>
              <w:rPr>
                <w:rFonts w:eastAsia="Aptos" w:cs="Times New Roman"/>
                <w:sz w:val="20"/>
                <w:szCs w:val="20"/>
              </w:rPr>
            </w:pPr>
            <w:r w:rsidRPr="00782FA6">
              <w:rPr>
                <w:rFonts w:eastAsia="Aptos" w:cs="Times New Roman"/>
                <w:sz w:val="20"/>
                <w:szCs w:val="20"/>
              </w:rPr>
              <w:t>1547</w:t>
            </w:r>
          </w:p>
        </w:tc>
        <w:tc>
          <w:tcPr>
            <w:tcW w:w="1036" w:type="dxa"/>
            <w:noWrap/>
            <w:vAlign w:val="center"/>
            <w:hideMark/>
          </w:tcPr>
          <w:p w:rsidRPr="00782FA6" w:rsidR="00DB248A" w:rsidP="00DB248A" w:rsidRDefault="00DB248A" w14:paraId="75BBF12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041F940" w14:textId="219070B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61F788D" w14:textId="165F4760">
            <w:pPr>
              <w:spacing w:line="240" w:lineRule="auto"/>
              <w:ind w:firstLine="0"/>
              <w:rPr>
                <w:rFonts w:eastAsia="Aptos" w:cs="Times New Roman"/>
                <w:sz w:val="20"/>
                <w:szCs w:val="20"/>
              </w:rPr>
            </w:pPr>
            <w:r w:rsidRPr="00782FA6">
              <w:rPr>
                <w:rFonts w:eastAsia="Aptos" w:cs="Times New Roman"/>
                <w:sz w:val="20"/>
                <w:szCs w:val="20"/>
              </w:rPr>
              <w:t>Headland Communications</w:t>
            </w:r>
          </w:p>
        </w:tc>
      </w:tr>
      <w:tr w:rsidRPr="00782FA6" w:rsidR="00DB248A" w:rsidTr="00E52317" w14:paraId="0D219B92" w14:textId="77777777">
        <w:trPr>
          <w:trHeight w:val="300"/>
        </w:trPr>
        <w:tc>
          <w:tcPr>
            <w:tcW w:w="1170" w:type="dxa"/>
            <w:noWrap/>
            <w:vAlign w:val="center"/>
            <w:hideMark/>
          </w:tcPr>
          <w:p w:rsidRPr="00782FA6" w:rsidR="00DB248A" w:rsidP="00DB248A" w:rsidRDefault="00DB248A" w14:paraId="6942F8EB" w14:textId="77777777">
            <w:pPr>
              <w:spacing w:line="240" w:lineRule="auto"/>
              <w:ind w:firstLine="0"/>
              <w:jc w:val="center"/>
              <w:rPr>
                <w:rFonts w:eastAsia="Aptos" w:cs="Times New Roman"/>
                <w:sz w:val="20"/>
                <w:szCs w:val="20"/>
              </w:rPr>
            </w:pPr>
            <w:r w:rsidRPr="00782FA6">
              <w:rPr>
                <w:rFonts w:eastAsia="Aptos" w:cs="Times New Roman"/>
                <w:sz w:val="20"/>
                <w:szCs w:val="20"/>
              </w:rPr>
              <w:t>1548</w:t>
            </w:r>
          </w:p>
        </w:tc>
        <w:tc>
          <w:tcPr>
            <w:tcW w:w="1036" w:type="dxa"/>
            <w:noWrap/>
            <w:vAlign w:val="center"/>
            <w:hideMark/>
          </w:tcPr>
          <w:p w:rsidRPr="00782FA6" w:rsidR="00DB248A" w:rsidP="00DB248A" w:rsidRDefault="00DB248A" w14:paraId="4954515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AD1E1A8" w14:textId="7AAD593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2C288F8" w14:textId="5E04021C">
            <w:pPr>
              <w:spacing w:line="240" w:lineRule="auto"/>
              <w:ind w:firstLine="0"/>
              <w:rPr>
                <w:rFonts w:eastAsia="Aptos" w:cs="Times New Roman"/>
                <w:sz w:val="20"/>
                <w:szCs w:val="20"/>
              </w:rPr>
            </w:pPr>
            <w:r w:rsidRPr="00782FA6">
              <w:rPr>
                <w:rFonts w:eastAsia="Aptos" w:cs="Times New Roman"/>
                <w:sz w:val="20"/>
                <w:szCs w:val="20"/>
              </w:rPr>
              <w:t>Frontier Communications of America Inc.</w:t>
            </w:r>
          </w:p>
        </w:tc>
      </w:tr>
      <w:tr w:rsidRPr="00782FA6" w:rsidR="00DB248A" w:rsidTr="00E52317" w14:paraId="413F1242" w14:textId="77777777">
        <w:trPr>
          <w:trHeight w:val="300"/>
        </w:trPr>
        <w:tc>
          <w:tcPr>
            <w:tcW w:w="1170" w:type="dxa"/>
            <w:noWrap/>
            <w:vAlign w:val="center"/>
            <w:hideMark/>
          </w:tcPr>
          <w:p w:rsidRPr="00782FA6" w:rsidR="00DB248A" w:rsidP="00DB248A" w:rsidRDefault="00DB248A" w14:paraId="5D59D9EC" w14:textId="77777777">
            <w:pPr>
              <w:spacing w:line="240" w:lineRule="auto"/>
              <w:ind w:firstLine="0"/>
              <w:jc w:val="center"/>
              <w:rPr>
                <w:rFonts w:eastAsia="Aptos" w:cs="Times New Roman"/>
                <w:sz w:val="20"/>
                <w:szCs w:val="20"/>
              </w:rPr>
            </w:pPr>
            <w:r w:rsidRPr="00782FA6">
              <w:rPr>
                <w:rFonts w:eastAsia="Aptos" w:cs="Times New Roman"/>
                <w:sz w:val="20"/>
                <w:szCs w:val="20"/>
              </w:rPr>
              <w:t>1550</w:t>
            </w:r>
          </w:p>
        </w:tc>
        <w:tc>
          <w:tcPr>
            <w:tcW w:w="1036" w:type="dxa"/>
            <w:noWrap/>
            <w:vAlign w:val="center"/>
            <w:hideMark/>
          </w:tcPr>
          <w:p w:rsidRPr="00782FA6" w:rsidR="00DB248A" w:rsidP="00DB248A" w:rsidRDefault="00DB248A" w14:paraId="5B0A212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274DDE2" w14:textId="4C81A73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EA7B183" w14:textId="40CAE30A">
            <w:pPr>
              <w:spacing w:line="240" w:lineRule="auto"/>
              <w:ind w:firstLine="0"/>
              <w:rPr>
                <w:rFonts w:eastAsia="Aptos" w:cs="Times New Roman"/>
                <w:sz w:val="20"/>
                <w:szCs w:val="20"/>
              </w:rPr>
            </w:pPr>
            <w:proofErr w:type="spellStart"/>
            <w:r w:rsidRPr="00782FA6">
              <w:rPr>
                <w:rFonts w:eastAsia="Aptos" w:cs="Times New Roman"/>
                <w:sz w:val="20"/>
                <w:szCs w:val="20"/>
              </w:rPr>
              <w:t>Vicomptel</w:t>
            </w:r>
            <w:proofErr w:type="spellEnd"/>
            <w:r w:rsidRPr="00782FA6">
              <w:rPr>
                <w:rFonts w:eastAsia="Aptos" w:cs="Times New Roman"/>
                <w:sz w:val="20"/>
                <w:szCs w:val="20"/>
              </w:rPr>
              <w:t xml:space="preserve"> USA Inc.</w:t>
            </w:r>
          </w:p>
        </w:tc>
      </w:tr>
      <w:tr w:rsidRPr="00782FA6" w:rsidR="00DB248A" w:rsidTr="00E52317" w14:paraId="613758F9" w14:textId="77777777">
        <w:trPr>
          <w:trHeight w:val="300"/>
        </w:trPr>
        <w:tc>
          <w:tcPr>
            <w:tcW w:w="1170" w:type="dxa"/>
            <w:noWrap/>
            <w:vAlign w:val="center"/>
            <w:hideMark/>
          </w:tcPr>
          <w:p w:rsidRPr="00782FA6" w:rsidR="00DB248A" w:rsidP="00DB248A" w:rsidRDefault="00DB248A" w14:paraId="2BAC4C3D" w14:textId="77777777">
            <w:pPr>
              <w:spacing w:line="240" w:lineRule="auto"/>
              <w:ind w:firstLine="0"/>
              <w:jc w:val="center"/>
              <w:rPr>
                <w:rFonts w:eastAsia="Aptos" w:cs="Times New Roman"/>
                <w:sz w:val="20"/>
                <w:szCs w:val="20"/>
              </w:rPr>
            </w:pPr>
            <w:r w:rsidRPr="00782FA6">
              <w:rPr>
                <w:rFonts w:eastAsia="Aptos" w:cs="Times New Roman"/>
                <w:sz w:val="20"/>
                <w:szCs w:val="20"/>
              </w:rPr>
              <w:t>1551</w:t>
            </w:r>
          </w:p>
        </w:tc>
        <w:tc>
          <w:tcPr>
            <w:tcW w:w="1036" w:type="dxa"/>
            <w:noWrap/>
            <w:vAlign w:val="center"/>
            <w:hideMark/>
          </w:tcPr>
          <w:p w:rsidRPr="00782FA6" w:rsidR="00DB248A" w:rsidP="00DB248A" w:rsidRDefault="00DB248A" w14:paraId="0BF586F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3F89B4E" w14:textId="18315E0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547A485" w14:textId="18710C7B">
            <w:pPr>
              <w:spacing w:line="240" w:lineRule="auto"/>
              <w:ind w:firstLine="0"/>
              <w:rPr>
                <w:rFonts w:eastAsia="Aptos" w:cs="Times New Roman"/>
                <w:sz w:val="20"/>
                <w:szCs w:val="20"/>
              </w:rPr>
            </w:pPr>
            <w:proofErr w:type="spellStart"/>
            <w:r w:rsidRPr="00782FA6">
              <w:rPr>
                <w:rFonts w:eastAsia="Aptos" w:cs="Times New Roman"/>
                <w:sz w:val="20"/>
                <w:szCs w:val="20"/>
              </w:rPr>
              <w:t>MitoTec</w:t>
            </w:r>
            <w:proofErr w:type="spellEnd"/>
            <w:r w:rsidRPr="00782FA6">
              <w:rPr>
                <w:rFonts w:eastAsia="Aptos" w:cs="Times New Roman"/>
                <w:sz w:val="20"/>
                <w:szCs w:val="20"/>
              </w:rPr>
              <w:t>, LLC</w:t>
            </w:r>
          </w:p>
        </w:tc>
      </w:tr>
      <w:tr w:rsidRPr="00782FA6" w:rsidR="00DB248A" w:rsidTr="00E52317" w14:paraId="709B2546" w14:textId="77777777">
        <w:trPr>
          <w:trHeight w:val="300"/>
        </w:trPr>
        <w:tc>
          <w:tcPr>
            <w:tcW w:w="1170" w:type="dxa"/>
            <w:noWrap/>
            <w:vAlign w:val="center"/>
            <w:hideMark/>
          </w:tcPr>
          <w:p w:rsidRPr="00782FA6" w:rsidR="00DB248A" w:rsidP="00DB248A" w:rsidRDefault="00DB248A" w14:paraId="235D24C5" w14:textId="77777777">
            <w:pPr>
              <w:spacing w:line="240" w:lineRule="auto"/>
              <w:ind w:firstLine="0"/>
              <w:jc w:val="center"/>
              <w:rPr>
                <w:rFonts w:eastAsia="Aptos" w:cs="Times New Roman"/>
                <w:sz w:val="20"/>
                <w:szCs w:val="20"/>
              </w:rPr>
            </w:pPr>
            <w:r w:rsidRPr="00782FA6">
              <w:rPr>
                <w:rFonts w:eastAsia="Aptos" w:cs="Times New Roman"/>
                <w:sz w:val="20"/>
                <w:szCs w:val="20"/>
              </w:rPr>
              <w:t>1555</w:t>
            </w:r>
          </w:p>
        </w:tc>
        <w:tc>
          <w:tcPr>
            <w:tcW w:w="1036" w:type="dxa"/>
            <w:noWrap/>
            <w:vAlign w:val="center"/>
            <w:hideMark/>
          </w:tcPr>
          <w:p w:rsidRPr="00782FA6" w:rsidR="00DB248A" w:rsidP="00DB248A" w:rsidRDefault="00DB248A" w14:paraId="47586B0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7A9C789" w14:textId="2A17AD0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60E3CF1" w14:textId="336AEA42">
            <w:pPr>
              <w:spacing w:line="240" w:lineRule="auto"/>
              <w:ind w:firstLine="0"/>
              <w:rPr>
                <w:rFonts w:eastAsia="Aptos" w:cs="Times New Roman"/>
                <w:sz w:val="20"/>
                <w:szCs w:val="20"/>
              </w:rPr>
            </w:pPr>
            <w:proofErr w:type="spellStart"/>
            <w:r w:rsidRPr="00782FA6">
              <w:rPr>
                <w:rFonts w:eastAsia="Aptos" w:cs="Times New Roman"/>
                <w:sz w:val="20"/>
                <w:szCs w:val="20"/>
              </w:rPr>
              <w:t>Varietel</w:t>
            </w:r>
            <w:proofErr w:type="spellEnd"/>
            <w:r w:rsidRPr="00782FA6">
              <w:rPr>
                <w:rFonts w:eastAsia="Aptos" w:cs="Times New Roman"/>
                <w:sz w:val="20"/>
                <w:szCs w:val="20"/>
              </w:rPr>
              <w:t xml:space="preserve"> Communications, LLC</w:t>
            </w:r>
          </w:p>
        </w:tc>
      </w:tr>
      <w:tr w:rsidRPr="00782FA6" w:rsidR="00DB248A" w:rsidTr="00E52317" w14:paraId="368DEA53" w14:textId="77777777">
        <w:trPr>
          <w:trHeight w:val="300"/>
        </w:trPr>
        <w:tc>
          <w:tcPr>
            <w:tcW w:w="1170" w:type="dxa"/>
            <w:noWrap/>
            <w:vAlign w:val="center"/>
            <w:hideMark/>
          </w:tcPr>
          <w:p w:rsidRPr="00782FA6" w:rsidR="00DB248A" w:rsidP="00DB248A" w:rsidRDefault="00DB248A" w14:paraId="0AF1E6C5" w14:textId="77777777">
            <w:pPr>
              <w:spacing w:line="240" w:lineRule="auto"/>
              <w:ind w:firstLine="0"/>
              <w:jc w:val="center"/>
              <w:rPr>
                <w:rFonts w:eastAsia="Aptos" w:cs="Times New Roman"/>
                <w:sz w:val="20"/>
                <w:szCs w:val="20"/>
              </w:rPr>
            </w:pPr>
            <w:r w:rsidRPr="00782FA6">
              <w:rPr>
                <w:rFonts w:eastAsia="Aptos" w:cs="Times New Roman"/>
                <w:sz w:val="20"/>
                <w:szCs w:val="20"/>
              </w:rPr>
              <w:t>1556</w:t>
            </w:r>
          </w:p>
        </w:tc>
        <w:tc>
          <w:tcPr>
            <w:tcW w:w="1036" w:type="dxa"/>
            <w:noWrap/>
            <w:vAlign w:val="center"/>
            <w:hideMark/>
          </w:tcPr>
          <w:p w:rsidRPr="00782FA6" w:rsidR="00DB248A" w:rsidP="00DB248A" w:rsidRDefault="00DB248A" w14:paraId="7D2EBC4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CFD0FB5" w14:textId="2FD4845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4F8D54B" w14:textId="37589947">
            <w:pPr>
              <w:spacing w:line="240" w:lineRule="auto"/>
              <w:ind w:firstLine="0"/>
              <w:rPr>
                <w:rFonts w:eastAsia="Aptos" w:cs="Times New Roman"/>
                <w:sz w:val="20"/>
                <w:szCs w:val="20"/>
              </w:rPr>
            </w:pPr>
            <w:proofErr w:type="spellStart"/>
            <w:r w:rsidRPr="00782FA6">
              <w:rPr>
                <w:rFonts w:eastAsia="Aptos" w:cs="Times New Roman"/>
                <w:sz w:val="20"/>
                <w:szCs w:val="20"/>
              </w:rPr>
              <w:t>PayG</w:t>
            </w:r>
            <w:proofErr w:type="spellEnd"/>
            <w:r w:rsidRPr="00782FA6">
              <w:rPr>
                <w:rFonts w:eastAsia="Aptos" w:cs="Times New Roman"/>
                <w:sz w:val="20"/>
                <w:szCs w:val="20"/>
              </w:rPr>
              <w:t>, LLC</w:t>
            </w:r>
          </w:p>
        </w:tc>
      </w:tr>
      <w:tr w:rsidRPr="00782FA6" w:rsidR="00DB248A" w:rsidTr="00E52317" w14:paraId="4E6E6A43" w14:textId="77777777">
        <w:trPr>
          <w:trHeight w:val="300"/>
        </w:trPr>
        <w:tc>
          <w:tcPr>
            <w:tcW w:w="1170" w:type="dxa"/>
            <w:noWrap/>
            <w:vAlign w:val="center"/>
            <w:hideMark/>
          </w:tcPr>
          <w:p w:rsidRPr="00782FA6" w:rsidR="00DB248A" w:rsidP="00DB248A" w:rsidRDefault="00DB248A" w14:paraId="7D634C10" w14:textId="77777777">
            <w:pPr>
              <w:spacing w:line="240" w:lineRule="auto"/>
              <w:ind w:firstLine="0"/>
              <w:jc w:val="center"/>
              <w:rPr>
                <w:rFonts w:eastAsia="Aptos" w:cs="Times New Roman"/>
                <w:sz w:val="20"/>
                <w:szCs w:val="20"/>
              </w:rPr>
            </w:pPr>
            <w:r w:rsidRPr="00782FA6">
              <w:rPr>
                <w:rFonts w:eastAsia="Aptos" w:cs="Times New Roman"/>
                <w:sz w:val="20"/>
                <w:szCs w:val="20"/>
              </w:rPr>
              <w:t>1557</w:t>
            </w:r>
          </w:p>
        </w:tc>
        <w:tc>
          <w:tcPr>
            <w:tcW w:w="1036" w:type="dxa"/>
            <w:noWrap/>
            <w:vAlign w:val="center"/>
            <w:hideMark/>
          </w:tcPr>
          <w:p w:rsidRPr="00782FA6" w:rsidR="00DB248A" w:rsidP="00DB248A" w:rsidRDefault="00DB248A" w14:paraId="656A00D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36DA655" w14:textId="371489C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EAE2745" w14:textId="73508790">
            <w:pPr>
              <w:spacing w:line="240" w:lineRule="auto"/>
              <w:ind w:firstLine="0"/>
              <w:rPr>
                <w:rFonts w:eastAsia="Aptos" w:cs="Times New Roman"/>
                <w:sz w:val="20"/>
                <w:szCs w:val="20"/>
              </w:rPr>
            </w:pPr>
            <w:r w:rsidRPr="00782FA6">
              <w:rPr>
                <w:rFonts w:eastAsia="Aptos" w:cs="Times New Roman"/>
                <w:sz w:val="20"/>
                <w:szCs w:val="20"/>
              </w:rPr>
              <w:t>Digital Comm Inc.</w:t>
            </w:r>
          </w:p>
        </w:tc>
      </w:tr>
      <w:tr w:rsidRPr="00782FA6" w:rsidR="00DB248A" w:rsidTr="00E52317" w14:paraId="5AA6C742" w14:textId="77777777">
        <w:trPr>
          <w:trHeight w:val="300"/>
        </w:trPr>
        <w:tc>
          <w:tcPr>
            <w:tcW w:w="1170" w:type="dxa"/>
            <w:noWrap/>
            <w:vAlign w:val="center"/>
            <w:hideMark/>
          </w:tcPr>
          <w:p w:rsidRPr="00782FA6" w:rsidR="00DB248A" w:rsidP="00DB248A" w:rsidRDefault="00DB248A" w14:paraId="7CEF6B92" w14:textId="77777777">
            <w:pPr>
              <w:spacing w:line="240" w:lineRule="auto"/>
              <w:ind w:firstLine="0"/>
              <w:jc w:val="center"/>
              <w:rPr>
                <w:rFonts w:eastAsia="Aptos" w:cs="Times New Roman"/>
                <w:sz w:val="20"/>
                <w:szCs w:val="20"/>
              </w:rPr>
            </w:pPr>
            <w:r w:rsidRPr="00782FA6">
              <w:rPr>
                <w:rFonts w:eastAsia="Aptos" w:cs="Times New Roman"/>
                <w:sz w:val="20"/>
                <w:szCs w:val="20"/>
              </w:rPr>
              <w:t>1559</w:t>
            </w:r>
          </w:p>
        </w:tc>
        <w:tc>
          <w:tcPr>
            <w:tcW w:w="1036" w:type="dxa"/>
            <w:noWrap/>
            <w:vAlign w:val="center"/>
            <w:hideMark/>
          </w:tcPr>
          <w:p w:rsidRPr="00782FA6" w:rsidR="00DB248A" w:rsidP="00DB248A" w:rsidRDefault="00DB248A" w14:paraId="07FEBB1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034A362" w14:textId="7F6D529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25B8545" w14:textId="5092F101">
            <w:pPr>
              <w:spacing w:line="240" w:lineRule="auto"/>
              <w:ind w:firstLine="0"/>
              <w:rPr>
                <w:rFonts w:eastAsia="Aptos" w:cs="Times New Roman"/>
                <w:sz w:val="20"/>
                <w:szCs w:val="20"/>
              </w:rPr>
            </w:pPr>
            <w:r w:rsidRPr="00782FA6">
              <w:rPr>
                <w:rFonts w:eastAsia="Aptos" w:cs="Times New Roman"/>
                <w:sz w:val="20"/>
                <w:szCs w:val="20"/>
              </w:rPr>
              <w:t>Windstream Communications, LLC</w:t>
            </w:r>
          </w:p>
        </w:tc>
      </w:tr>
      <w:tr w:rsidRPr="00782FA6" w:rsidR="00DB248A" w:rsidTr="00E52317" w14:paraId="224B99CC" w14:textId="77777777">
        <w:trPr>
          <w:trHeight w:val="300"/>
        </w:trPr>
        <w:tc>
          <w:tcPr>
            <w:tcW w:w="1170" w:type="dxa"/>
            <w:noWrap/>
            <w:vAlign w:val="center"/>
            <w:hideMark/>
          </w:tcPr>
          <w:p w:rsidRPr="00782FA6" w:rsidR="00DB248A" w:rsidP="00DB248A" w:rsidRDefault="00DB248A" w14:paraId="4B371C99" w14:textId="77777777">
            <w:pPr>
              <w:spacing w:line="240" w:lineRule="auto"/>
              <w:ind w:firstLine="0"/>
              <w:jc w:val="center"/>
              <w:rPr>
                <w:rFonts w:eastAsia="Aptos" w:cs="Times New Roman"/>
                <w:sz w:val="20"/>
                <w:szCs w:val="20"/>
              </w:rPr>
            </w:pPr>
            <w:r w:rsidRPr="00782FA6">
              <w:rPr>
                <w:rFonts w:eastAsia="Aptos" w:cs="Times New Roman"/>
                <w:sz w:val="20"/>
                <w:szCs w:val="20"/>
              </w:rPr>
              <w:t>1560</w:t>
            </w:r>
          </w:p>
        </w:tc>
        <w:tc>
          <w:tcPr>
            <w:tcW w:w="1036" w:type="dxa"/>
            <w:noWrap/>
            <w:vAlign w:val="center"/>
            <w:hideMark/>
          </w:tcPr>
          <w:p w:rsidRPr="00782FA6" w:rsidR="00DB248A" w:rsidP="00DB248A" w:rsidRDefault="00DB248A" w14:paraId="1C50E97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A8D3E56" w14:textId="1935E54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718F91B" w14:textId="6E6CAF48">
            <w:pPr>
              <w:spacing w:line="240" w:lineRule="auto"/>
              <w:ind w:firstLine="0"/>
              <w:rPr>
                <w:rFonts w:eastAsia="Aptos" w:cs="Times New Roman"/>
                <w:sz w:val="20"/>
                <w:szCs w:val="20"/>
              </w:rPr>
            </w:pPr>
            <w:proofErr w:type="spellStart"/>
            <w:r w:rsidRPr="00782FA6">
              <w:rPr>
                <w:rFonts w:eastAsia="Aptos" w:cs="Times New Roman"/>
                <w:sz w:val="20"/>
                <w:szCs w:val="20"/>
              </w:rPr>
              <w:t>Teliax</w:t>
            </w:r>
            <w:proofErr w:type="spellEnd"/>
            <w:r w:rsidRPr="00782FA6">
              <w:rPr>
                <w:rFonts w:eastAsia="Aptos" w:cs="Times New Roman"/>
                <w:sz w:val="20"/>
                <w:szCs w:val="20"/>
              </w:rPr>
              <w:t>, Inc.</w:t>
            </w:r>
          </w:p>
        </w:tc>
      </w:tr>
      <w:tr w:rsidRPr="00782FA6" w:rsidR="00DB248A" w:rsidTr="00E52317" w14:paraId="2F596851" w14:textId="77777777">
        <w:trPr>
          <w:trHeight w:val="300"/>
        </w:trPr>
        <w:tc>
          <w:tcPr>
            <w:tcW w:w="1170" w:type="dxa"/>
            <w:noWrap/>
            <w:vAlign w:val="center"/>
            <w:hideMark/>
          </w:tcPr>
          <w:p w:rsidRPr="00782FA6" w:rsidR="00DB248A" w:rsidP="00DB248A" w:rsidRDefault="00DB248A" w14:paraId="4957DD6F" w14:textId="77777777">
            <w:pPr>
              <w:spacing w:line="240" w:lineRule="auto"/>
              <w:ind w:firstLine="0"/>
              <w:jc w:val="center"/>
              <w:rPr>
                <w:rFonts w:eastAsia="Aptos" w:cs="Times New Roman"/>
                <w:sz w:val="20"/>
                <w:szCs w:val="20"/>
              </w:rPr>
            </w:pPr>
            <w:r w:rsidRPr="00782FA6">
              <w:rPr>
                <w:rFonts w:eastAsia="Aptos" w:cs="Times New Roman"/>
                <w:sz w:val="20"/>
                <w:szCs w:val="20"/>
              </w:rPr>
              <w:t>1561</w:t>
            </w:r>
          </w:p>
        </w:tc>
        <w:tc>
          <w:tcPr>
            <w:tcW w:w="1036" w:type="dxa"/>
            <w:noWrap/>
            <w:vAlign w:val="center"/>
            <w:hideMark/>
          </w:tcPr>
          <w:p w:rsidRPr="00782FA6" w:rsidR="00DB248A" w:rsidP="00DB248A" w:rsidRDefault="00DB248A" w14:paraId="4AD6B94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A87673E" w14:textId="4F7AA85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A8DA27E" w14:textId="779D59B5">
            <w:pPr>
              <w:spacing w:line="240" w:lineRule="auto"/>
              <w:ind w:firstLine="0"/>
              <w:rPr>
                <w:rFonts w:eastAsia="Aptos" w:cs="Times New Roman"/>
                <w:sz w:val="20"/>
                <w:szCs w:val="20"/>
              </w:rPr>
            </w:pPr>
            <w:r w:rsidRPr="00782FA6">
              <w:rPr>
                <w:rFonts w:eastAsia="Aptos" w:cs="Times New Roman"/>
                <w:sz w:val="20"/>
                <w:szCs w:val="20"/>
              </w:rPr>
              <w:t>ALE USA Inc.</w:t>
            </w:r>
          </w:p>
        </w:tc>
      </w:tr>
      <w:tr w:rsidRPr="00782FA6" w:rsidR="00DB248A" w:rsidTr="00E52317" w14:paraId="183608DA" w14:textId="77777777">
        <w:trPr>
          <w:trHeight w:val="300"/>
        </w:trPr>
        <w:tc>
          <w:tcPr>
            <w:tcW w:w="1170" w:type="dxa"/>
            <w:noWrap/>
            <w:vAlign w:val="center"/>
            <w:hideMark/>
          </w:tcPr>
          <w:p w:rsidRPr="00782FA6" w:rsidR="00DB248A" w:rsidP="00DB248A" w:rsidRDefault="00DB248A" w14:paraId="1403C6C4" w14:textId="77777777">
            <w:pPr>
              <w:spacing w:line="240" w:lineRule="auto"/>
              <w:ind w:firstLine="0"/>
              <w:jc w:val="center"/>
              <w:rPr>
                <w:rFonts w:eastAsia="Aptos" w:cs="Times New Roman"/>
                <w:sz w:val="20"/>
                <w:szCs w:val="20"/>
              </w:rPr>
            </w:pPr>
            <w:r w:rsidRPr="00782FA6">
              <w:rPr>
                <w:rFonts w:eastAsia="Aptos" w:cs="Times New Roman"/>
                <w:sz w:val="20"/>
                <w:szCs w:val="20"/>
              </w:rPr>
              <w:t>1563</w:t>
            </w:r>
          </w:p>
        </w:tc>
        <w:tc>
          <w:tcPr>
            <w:tcW w:w="1036" w:type="dxa"/>
            <w:noWrap/>
            <w:vAlign w:val="center"/>
            <w:hideMark/>
          </w:tcPr>
          <w:p w:rsidRPr="00782FA6" w:rsidR="00DB248A" w:rsidP="00DB248A" w:rsidRDefault="00DB248A" w14:paraId="6FED10C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2FD903F" w14:textId="3D14016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4A9E913" w14:textId="6790A457">
            <w:pPr>
              <w:spacing w:line="240" w:lineRule="auto"/>
              <w:ind w:firstLine="0"/>
              <w:rPr>
                <w:rFonts w:eastAsia="Aptos" w:cs="Times New Roman"/>
                <w:sz w:val="20"/>
                <w:szCs w:val="20"/>
              </w:rPr>
            </w:pPr>
            <w:proofErr w:type="spellStart"/>
            <w:r w:rsidRPr="00782FA6">
              <w:rPr>
                <w:rFonts w:eastAsia="Aptos" w:cs="Times New Roman"/>
                <w:sz w:val="20"/>
                <w:szCs w:val="20"/>
              </w:rPr>
              <w:t>nexMatrix</w:t>
            </w:r>
            <w:proofErr w:type="spellEnd"/>
            <w:r w:rsidRPr="00782FA6">
              <w:rPr>
                <w:rFonts w:eastAsia="Aptos" w:cs="Times New Roman"/>
                <w:sz w:val="20"/>
                <w:szCs w:val="20"/>
              </w:rPr>
              <w:t xml:space="preserve"> Telecom, Inc.</w:t>
            </w:r>
          </w:p>
        </w:tc>
      </w:tr>
      <w:tr w:rsidRPr="00782FA6" w:rsidR="00DB248A" w:rsidTr="00E52317" w14:paraId="5BF2AFA6" w14:textId="77777777">
        <w:trPr>
          <w:trHeight w:val="300"/>
        </w:trPr>
        <w:tc>
          <w:tcPr>
            <w:tcW w:w="1170" w:type="dxa"/>
            <w:noWrap/>
            <w:vAlign w:val="center"/>
            <w:hideMark/>
          </w:tcPr>
          <w:p w:rsidRPr="00782FA6" w:rsidR="00DB248A" w:rsidP="00DB248A" w:rsidRDefault="00DB248A" w14:paraId="6BFE4911" w14:textId="77777777">
            <w:pPr>
              <w:spacing w:line="240" w:lineRule="auto"/>
              <w:ind w:firstLine="0"/>
              <w:jc w:val="center"/>
              <w:rPr>
                <w:rFonts w:eastAsia="Aptos" w:cs="Times New Roman"/>
                <w:sz w:val="20"/>
                <w:szCs w:val="20"/>
              </w:rPr>
            </w:pPr>
            <w:r w:rsidRPr="00782FA6">
              <w:rPr>
                <w:rFonts w:eastAsia="Aptos" w:cs="Times New Roman"/>
                <w:sz w:val="20"/>
                <w:szCs w:val="20"/>
              </w:rPr>
              <w:t>1564</w:t>
            </w:r>
          </w:p>
        </w:tc>
        <w:tc>
          <w:tcPr>
            <w:tcW w:w="1036" w:type="dxa"/>
            <w:noWrap/>
            <w:vAlign w:val="center"/>
            <w:hideMark/>
          </w:tcPr>
          <w:p w:rsidRPr="00782FA6" w:rsidR="00DB248A" w:rsidP="00DB248A" w:rsidRDefault="00DB248A" w14:paraId="1546020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D1F6930" w14:textId="0BC8086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9C84293" w14:textId="44939747">
            <w:pPr>
              <w:spacing w:line="240" w:lineRule="auto"/>
              <w:ind w:firstLine="0"/>
              <w:rPr>
                <w:rFonts w:eastAsia="Aptos" w:cs="Times New Roman"/>
                <w:sz w:val="20"/>
                <w:szCs w:val="20"/>
              </w:rPr>
            </w:pPr>
            <w:r w:rsidRPr="00782FA6">
              <w:rPr>
                <w:rFonts w:eastAsia="Aptos" w:cs="Times New Roman"/>
                <w:sz w:val="20"/>
                <w:szCs w:val="20"/>
              </w:rPr>
              <w:t>Grupo NGN, Inc.</w:t>
            </w:r>
          </w:p>
        </w:tc>
      </w:tr>
      <w:tr w:rsidRPr="00782FA6" w:rsidR="00DB248A" w:rsidTr="00E52317" w14:paraId="2883499D" w14:textId="77777777">
        <w:trPr>
          <w:trHeight w:val="300"/>
        </w:trPr>
        <w:tc>
          <w:tcPr>
            <w:tcW w:w="1170" w:type="dxa"/>
            <w:noWrap/>
            <w:vAlign w:val="center"/>
            <w:hideMark/>
          </w:tcPr>
          <w:p w:rsidRPr="00782FA6" w:rsidR="00DB248A" w:rsidP="00DB248A" w:rsidRDefault="00DB248A" w14:paraId="084962BA" w14:textId="77777777">
            <w:pPr>
              <w:spacing w:line="240" w:lineRule="auto"/>
              <w:ind w:firstLine="0"/>
              <w:jc w:val="center"/>
              <w:rPr>
                <w:rFonts w:eastAsia="Aptos" w:cs="Times New Roman"/>
                <w:sz w:val="20"/>
                <w:szCs w:val="20"/>
              </w:rPr>
            </w:pPr>
            <w:r w:rsidRPr="00782FA6">
              <w:rPr>
                <w:rFonts w:eastAsia="Aptos" w:cs="Times New Roman"/>
                <w:sz w:val="20"/>
                <w:szCs w:val="20"/>
              </w:rPr>
              <w:t>1565</w:t>
            </w:r>
          </w:p>
        </w:tc>
        <w:tc>
          <w:tcPr>
            <w:tcW w:w="1036" w:type="dxa"/>
            <w:noWrap/>
            <w:vAlign w:val="center"/>
            <w:hideMark/>
          </w:tcPr>
          <w:p w:rsidRPr="00782FA6" w:rsidR="00DB248A" w:rsidP="00DB248A" w:rsidRDefault="00DB248A" w14:paraId="025D30D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58827FC" w14:textId="2FC1D43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C28906F" w14:textId="691353F1">
            <w:pPr>
              <w:spacing w:line="240" w:lineRule="auto"/>
              <w:ind w:firstLine="0"/>
              <w:rPr>
                <w:rFonts w:eastAsia="Aptos" w:cs="Times New Roman"/>
                <w:sz w:val="20"/>
                <w:szCs w:val="20"/>
              </w:rPr>
            </w:pPr>
            <w:proofErr w:type="spellStart"/>
            <w:r w:rsidRPr="00782FA6">
              <w:rPr>
                <w:rFonts w:eastAsia="Aptos" w:cs="Times New Roman"/>
                <w:sz w:val="20"/>
                <w:szCs w:val="20"/>
              </w:rPr>
              <w:t>Exiant</w:t>
            </w:r>
            <w:proofErr w:type="spellEnd"/>
            <w:r w:rsidRPr="00782FA6">
              <w:rPr>
                <w:rFonts w:eastAsia="Aptos" w:cs="Times New Roman"/>
                <w:sz w:val="20"/>
                <w:szCs w:val="20"/>
              </w:rPr>
              <w:t xml:space="preserve"> Communications LLC</w:t>
            </w:r>
          </w:p>
        </w:tc>
      </w:tr>
      <w:tr w:rsidRPr="00782FA6" w:rsidR="00DB248A" w:rsidTr="00E52317" w14:paraId="6CC44376" w14:textId="77777777">
        <w:trPr>
          <w:trHeight w:val="300"/>
        </w:trPr>
        <w:tc>
          <w:tcPr>
            <w:tcW w:w="1170" w:type="dxa"/>
            <w:noWrap/>
            <w:vAlign w:val="center"/>
            <w:hideMark/>
          </w:tcPr>
          <w:p w:rsidRPr="00782FA6" w:rsidR="00DB248A" w:rsidP="00DB248A" w:rsidRDefault="00DB248A" w14:paraId="4FABC9C7" w14:textId="77777777">
            <w:pPr>
              <w:spacing w:line="240" w:lineRule="auto"/>
              <w:ind w:firstLine="0"/>
              <w:jc w:val="center"/>
              <w:rPr>
                <w:rFonts w:eastAsia="Aptos" w:cs="Times New Roman"/>
                <w:sz w:val="20"/>
                <w:szCs w:val="20"/>
              </w:rPr>
            </w:pPr>
            <w:r w:rsidRPr="00782FA6">
              <w:rPr>
                <w:rFonts w:eastAsia="Aptos" w:cs="Times New Roman"/>
                <w:sz w:val="20"/>
                <w:szCs w:val="20"/>
              </w:rPr>
              <w:t>1567</w:t>
            </w:r>
          </w:p>
        </w:tc>
        <w:tc>
          <w:tcPr>
            <w:tcW w:w="1036" w:type="dxa"/>
            <w:noWrap/>
            <w:vAlign w:val="center"/>
            <w:hideMark/>
          </w:tcPr>
          <w:p w:rsidRPr="00782FA6" w:rsidR="00DB248A" w:rsidP="00DB248A" w:rsidRDefault="00DB248A" w14:paraId="0C68A48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FF52F66" w14:textId="3B54029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57D4CC1" w14:textId="7372A372">
            <w:pPr>
              <w:spacing w:line="240" w:lineRule="auto"/>
              <w:ind w:firstLine="0"/>
              <w:rPr>
                <w:rFonts w:eastAsia="Aptos" w:cs="Times New Roman"/>
                <w:sz w:val="20"/>
                <w:szCs w:val="20"/>
              </w:rPr>
            </w:pPr>
            <w:r w:rsidRPr="00782FA6">
              <w:rPr>
                <w:rFonts w:eastAsia="Aptos" w:cs="Times New Roman"/>
                <w:sz w:val="20"/>
                <w:szCs w:val="20"/>
              </w:rPr>
              <w:t>Transcom Telecommunications</w:t>
            </w:r>
          </w:p>
        </w:tc>
      </w:tr>
      <w:tr w:rsidRPr="00782FA6" w:rsidR="00DB248A" w:rsidTr="00E52317" w14:paraId="21795D5C" w14:textId="77777777">
        <w:trPr>
          <w:trHeight w:val="300"/>
        </w:trPr>
        <w:tc>
          <w:tcPr>
            <w:tcW w:w="1170" w:type="dxa"/>
            <w:noWrap/>
            <w:vAlign w:val="center"/>
            <w:hideMark/>
          </w:tcPr>
          <w:p w:rsidRPr="00782FA6" w:rsidR="00DB248A" w:rsidP="00DB248A" w:rsidRDefault="00DB248A" w14:paraId="405D0133" w14:textId="77777777">
            <w:pPr>
              <w:spacing w:line="240" w:lineRule="auto"/>
              <w:ind w:firstLine="0"/>
              <w:jc w:val="center"/>
              <w:rPr>
                <w:rFonts w:eastAsia="Aptos" w:cs="Times New Roman"/>
                <w:sz w:val="20"/>
                <w:szCs w:val="20"/>
              </w:rPr>
            </w:pPr>
            <w:r w:rsidRPr="00782FA6">
              <w:rPr>
                <w:rFonts w:eastAsia="Aptos" w:cs="Times New Roman"/>
                <w:sz w:val="20"/>
                <w:szCs w:val="20"/>
              </w:rPr>
              <w:t>1568</w:t>
            </w:r>
          </w:p>
        </w:tc>
        <w:tc>
          <w:tcPr>
            <w:tcW w:w="1036" w:type="dxa"/>
            <w:noWrap/>
            <w:vAlign w:val="center"/>
            <w:hideMark/>
          </w:tcPr>
          <w:p w:rsidRPr="00782FA6" w:rsidR="00DB248A" w:rsidP="00DB248A" w:rsidRDefault="00DB248A" w14:paraId="4B03DAC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79DE971" w14:textId="74F841D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DEC77DA" w14:textId="4C280D95">
            <w:pPr>
              <w:spacing w:line="240" w:lineRule="auto"/>
              <w:ind w:firstLine="0"/>
              <w:rPr>
                <w:rFonts w:eastAsia="Aptos" w:cs="Times New Roman"/>
                <w:sz w:val="20"/>
                <w:szCs w:val="20"/>
              </w:rPr>
            </w:pPr>
            <w:r w:rsidRPr="00782FA6">
              <w:rPr>
                <w:rFonts w:eastAsia="Aptos" w:cs="Times New Roman"/>
                <w:sz w:val="20"/>
                <w:szCs w:val="20"/>
              </w:rPr>
              <w:t>Jive Technology Inc</w:t>
            </w:r>
          </w:p>
        </w:tc>
      </w:tr>
      <w:tr w:rsidRPr="00782FA6" w:rsidR="00DB248A" w:rsidTr="00E52317" w14:paraId="4DB76344" w14:textId="77777777">
        <w:trPr>
          <w:trHeight w:val="300"/>
        </w:trPr>
        <w:tc>
          <w:tcPr>
            <w:tcW w:w="1170" w:type="dxa"/>
            <w:noWrap/>
            <w:vAlign w:val="center"/>
            <w:hideMark/>
          </w:tcPr>
          <w:p w:rsidRPr="00782FA6" w:rsidR="00DB248A" w:rsidP="00DB248A" w:rsidRDefault="00DB248A" w14:paraId="47FF65AB" w14:textId="77777777">
            <w:pPr>
              <w:spacing w:line="240" w:lineRule="auto"/>
              <w:ind w:firstLine="0"/>
              <w:jc w:val="center"/>
              <w:rPr>
                <w:rFonts w:eastAsia="Aptos" w:cs="Times New Roman"/>
                <w:sz w:val="20"/>
                <w:szCs w:val="20"/>
              </w:rPr>
            </w:pPr>
            <w:r w:rsidRPr="00782FA6">
              <w:rPr>
                <w:rFonts w:eastAsia="Aptos" w:cs="Times New Roman"/>
                <w:sz w:val="20"/>
                <w:szCs w:val="20"/>
              </w:rPr>
              <w:t>1569</w:t>
            </w:r>
          </w:p>
        </w:tc>
        <w:tc>
          <w:tcPr>
            <w:tcW w:w="1036" w:type="dxa"/>
            <w:noWrap/>
            <w:vAlign w:val="center"/>
            <w:hideMark/>
          </w:tcPr>
          <w:p w:rsidRPr="00782FA6" w:rsidR="00DB248A" w:rsidP="00DB248A" w:rsidRDefault="00DB248A" w14:paraId="2BEC236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66FA3FB" w14:textId="5812BE0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D169E1A" w14:textId="40116580">
            <w:pPr>
              <w:spacing w:line="240" w:lineRule="auto"/>
              <w:ind w:firstLine="0"/>
              <w:rPr>
                <w:rFonts w:eastAsia="Aptos" w:cs="Times New Roman"/>
                <w:sz w:val="20"/>
                <w:szCs w:val="20"/>
              </w:rPr>
            </w:pPr>
            <w:r w:rsidRPr="00782FA6">
              <w:rPr>
                <w:rFonts w:eastAsia="Aptos" w:cs="Times New Roman"/>
                <w:sz w:val="20"/>
                <w:szCs w:val="20"/>
              </w:rPr>
              <w:t>Convergence Solutions, Inc</w:t>
            </w:r>
          </w:p>
        </w:tc>
      </w:tr>
      <w:tr w:rsidRPr="00782FA6" w:rsidR="00DB248A" w:rsidTr="00E52317" w14:paraId="72164E30" w14:textId="77777777">
        <w:trPr>
          <w:trHeight w:val="300"/>
        </w:trPr>
        <w:tc>
          <w:tcPr>
            <w:tcW w:w="1170" w:type="dxa"/>
            <w:noWrap/>
            <w:vAlign w:val="center"/>
            <w:hideMark/>
          </w:tcPr>
          <w:p w:rsidRPr="00782FA6" w:rsidR="00DB248A" w:rsidP="00DB248A" w:rsidRDefault="00DB248A" w14:paraId="0F67FD33" w14:textId="77777777">
            <w:pPr>
              <w:spacing w:line="240" w:lineRule="auto"/>
              <w:ind w:firstLine="0"/>
              <w:jc w:val="center"/>
              <w:rPr>
                <w:rFonts w:eastAsia="Aptos" w:cs="Times New Roman"/>
                <w:sz w:val="20"/>
                <w:szCs w:val="20"/>
              </w:rPr>
            </w:pPr>
            <w:r w:rsidRPr="00782FA6">
              <w:rPr>
                <w:rFonts w:eastAsia="Aptos" w:cs="Times New Roman"/>
                <w:sz w:val="20"/>
                <w:szCs w:val="20"/>
              </w:rPr>
              <w:t>1571</w:t>
            </w:r>
          </w:p>
        </w:tc>
        <w:tc>
          <w:tcPr>
            <w:tcW w:w="1036" w:type="dxa"/>
            <w:noWrap/>
            <w:vAlign w:val="center"/>
            <w:hideMark/>
          </w:tcPr>
          <w:p w:rsidRPr="00782FA6" w:rsidR="00DB248A" w:rsidP="00DB248A" w:rsidRDefault="00DB248A" w14:paraId="23694AA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5E76A6C" w14:textId="61462A4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962645B" w14:textId="33F2D523">
            <w:pPr>
              <w:spacing w:line="240" w:lineRule="auto"/>
              <w:ind w:firstLine="0"/>
              <w:rPr>
                <w:rFonts w:eastAsia="Aptos" w:cs="Times New Roman"/>
                <w:sz w:val="20"/>
                <w:szCs w:val="20"/>
              </w:rPr>
            </w:pPr>
            <w:r w:rsidRPr="00782FA6">
              <w:rPr>
                <w:rFonts w:eastAsia="Aptos" w:cs="Times New Roman"/>
                <w:sz w:val="20"/>
                <w:szCs w:val="20"/>
              </w:rPr>
              <w:t>Momentum Telecom, Inc</w:t>
            </w:r>
          </w:p>
        </w:tc>
      </w:tr>
      <w:tr w:rsidRPr="00782FA6" w:rsidR="00DB248A" w:rsidTr="00E52317" w14:paraId="570F8131" w14:textId="77777777">
        <w:trPr>
          <w:trHeight w:val="300"/>
        </w:trPr>
        <w:tc>
          <w:tcPr>
            <w:tcW w:w="1170" w:type="dxa"/>
            <w:noWrap/>
            <w:vAlign w:val="center"/>
            <w:hideMark/>
          </w:tcPr>
          <w:p w:rsidRPr="00782FA6" w:rsidR="00DB248A" w:rsidP="00DB248A" w:rsidRDefault="00DB248A" w14:paraId="5CC275BB" w14:textId="77777777">
            <w:pPr>
              <w:spacing w:line="240" w:lineRule="auto"/>
              <w:ind w:firstLine="0"/>
              <w:jc w:val="center"/>
              <w:rPr>
                <w:rFonts w:eastAsia="Aptos" w:cs="Times New Roman"/>
                <w:sz w:val="20"/>
                <w:szCs w:val="20"/>
              </w:rPr>
            </w:pPr>
            <w:r w:rsidRPr="00782FA6">
              <w:rPr>
                <w:rFonts w:eastAsia="Aptos" w:cs="Times New Roman"/>
                <w:sz w:val="20"/>
                <w:szCs w:val="20"/>
              </w:rPr>
              <w:lastRenderedPageBreak/>
              <w:t>1572</w:t>
            </w:r>
          </w:p>
        </w:tc>
        <w:tc>
          <w:tcPr>
            <w:tcW w:w="1036" w:type="dxa"/>
            <w:noWrap/>
            <w:vAlign w:val="center"/>
            <w:hideMark/>
          </w:tcPr>
          <w:p w:rsidRPr="00782FA6" w:rsidR="00DB248A" w:rsidP="00DB248A" w:rsidRDefault="00DB248A" w14:paraId="2B2B6F2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0B34574" w14:textId="0AD4A15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C5444C6" w14:textId="19EA6862">
            <w:pPr>
              <w:spacing w:line="240" w:lineRule="auto"/>
              <w:ind w:firstLine="0"/>
              <w:rPr>
                <w:rFonts w:eastAsia="Aptos" w:cs="Times New Roman"/>
                <w:sz w:val="20"/>
                <w:szCs w:val="20"/>
              </w:rPr>
            </w:pPr>
            <w:proofErr w:type="spellStart"/>
            <w:r w:rsidRPr="00782FA6">
              <w:rPr>
                <w:rFonts w:eastAsia="Aptos" w:cs="Times New Roman"/>
                <w:sz w:val="20"/>
                <w:szCs w:val="20"/>
              </w:rPr>
              <w:t>Corcom</w:t>
            </w:r>
            <w:proofErr w:type="spellEnd"/>
            <w:r w:rsidRPr="00782FA6">
              <w:rPr>
                <w:rFonts w:eastAsia="Aptos" w:cs="Times New Roman"/>
                <w:sz w:val="20"/>
                <w:szCs w:val="20"/>
              </w:rPr>
              <w:t xml:space="preserve"> Communications, Inc</w:t>
            </w:r>
          </w:p>
        </w:tc>
      </w:tr>
      <w:tr w:rsidRPr="00782FA6" w:rsidR="00DB248A" w:rsidTr="00E52317" w14:paraId="26849666" w14:textId="77777777">
        <w:trPr>
          <w:trHeight w:val="300"/>
        </w:trPr>
        <w:tc>
          <w:tcPr>
            <w:tcW w:w="1170" w:type="dxa"/>
            <w:noWrap/>
            <w:vAlign w:val="center"/>
            <w:hideMark/>
          </w:tcPr>
          <w:p w:rsidRPr="00782FA6" w:rsidR="00DB248A" w:rsidP="00DB248A" w:rsidRDefault="00DB248A" w14:paraId="08DC225A" w14:textId="77777777">
            <w:pPr>
              <w:spacing w:line="240" w:lineRule="auto"/>
              <w:ind w:firstLine="0"/>
              <w:jc w:val="center"/>
              <w:rPr>
                <w:rFonts w:eastAsia="Aptos" w:cs="Times New Roman"/>
                <w:sz w:val="20"/>
                <w:szCs w:val="20"/>
              </w:rPr>
            </w:pPr>
            <w:r w:rsidRPr="00782FA6">
              <w:rPr>
                <w:rFonts w:eastAsia="Aptos" w:cs="Times New Roman"/>
                <w:sz w:val="20"/>
                <w:szCs w:val="20"/>
              </w:rPr>
              <w:t>1574</w:t>
            </w:r>
          </w:p>
        </w:tc>
        <w:tc>
          <w:tcPr>
            <w:tcW w:w="1036" w:type="dxa"/>
            <w:noWrap/>
            <w:vAlign w:val="center"/>
            <w:hideMark/>
          </w:tcPr>
          <w:p w:rsidRPr="00782FA6" w:rsidR="00DB248A" w:rsidP="00DB248A" w:rsidRDefault="00DB248A" w14:paraId="001E793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20CBD18" w14:textId="5DF1243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C1DE8E3" w14:textId="087C426B">
            <w:pPr>
              <w:spacing w:line="240" w:lineRule="auto"/>
              <w:ind w:firstLine="0"/>
              <w:rPr>
                <w:rFonts w:eastAsia="Aptos" w:cs="Times New Roman"/>
                <w:sz w:val="20"/>
                <w:szCs w:val="20"/>
              </w:rPr>
            </w:pPr>
            <w:r w:rsidRPr="00782FA6">
              <w:rPr>
                <w:rFonts w:eastAsia="Aptos" w:cs="Times New Roman"/>
                <w:sz w:val="20"/>
                <w:szCs w:val="20"/>
              </w:rPr>
              <w:t>Yardi Kube, Inc.</w:t>
            </w:r>
          </w:p>
        </w:tc>
      </w:tr>
      <w:tr w:rsidRPr="00782FA6" w:rsidR="00DB248A" w:rsidTr="00E52317" w14:paraId="14DED8BC" w14:textId="77777777">
        <w:trPr>
          <w:trHeight w:val="300"/>
        </w:trPr>
        <w:tc>
          <w:tcPr>
            <w:tcW w:w="1170" w:type="dxa"/>
            <w:noWrap/>
            <w:vAlign w:val="center"/>
            <w:hideMark/>
          </w:tcPr>
          <w:p w:rsidRPr="00782FA6" w:rsidR="00DB248A" w:rsidP="00DB248A" w:rsidRDefault="00DB248A" w14:paraId="478A89E4" w14:textId="77777777">
            <w:pPr>
              <w:spacing w:line="240" w:lineRule="auto"/>
              <w:ind w:firstLine="0"/>
              <w:jc w:val="center"/>
              <w:rPr>
                <w:rFonts w:eastAsia="Aptos" w:cs="Times New Roman"/>
                <w:sz w:val="20"/>
                <w:szCs w:val="20"/>
              </w:rPr>
            </w:pPr>
            <w:r w:rsidRPr="00782FA6">
              <w:rPr>
                <w:rFonts w:eastAsia="Aptos" w:cs="Times New Roman"/>
                <w:sz w:val="20"/>
                <w:szCs w:val="20"/>
              </w:rPr>
              <w:t>1575</w:t>
            </w:r>
          </w:p>
        </w:tc>
        <w:tc>
          <w:tcPr>
            <w:tcW w:w="1036" w:type="dxa"/>
            <w:noWrap/>
            <w:vAlign w:val="center"/>
            <w:hideMark/>
          </w:tcPr>
          <w:p w:rsidRPr="00782FA6" w:rsidR="00DB248A" w:rsidP="00DB248A" w:rsidRDefault="00DB248A" w14:paraId="28D8CA9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297A7EB" w14:textId="24129BD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FDFF53E" w14:textId="5DBEFA5D">
            <w:pPr>
              <w:spacing w:line="240" w:lineRule="auto"/>
              <w:ind w:firstLine="0"/>
              <w:rPr>
                <w:rFonts w:eastAsia="Aptos" w:cs="Times New Roman"/>
                <w:sz w:val="20"/>
                <w:szCs w:val="20"/>
              </w:rPr>
            </w:pPr>
            <w:r w:rsidRPr="00782FA6">
              <w:rPr>
                <w:rFonts w:eastAsia="Aptos" w:cs="Times New Roman"/>
                <w:sz w:val="20"/>
                <w:szCs w:val="20"/>
              </w:rPr>
              <w:t>Fusion, LLC</w:t>
            </w:r>
          </w:p>
        </w:tc>
      </w:tr>
      <w:tr w:rsidRPr="00782FA6" w:rsidR="00DB248A" w:rsidTr="00E52317" w14:paraId="35EB7F33" w14:textId="77777777">
        <w:trPr>
          <w:trHeight w:val="300"/>
        </w:trPr>
        <w:tc>
          <w:tcPr>
            <w:tcW w:w="1170" w:type="dxa"/>
            <w:noWrap/>
            <w:vAlign w:val="center"/>
            <w:hideMark/>
          </w:tcPr>
          <w:p w:rsidRPr="00782FA6" w:rsidR="00DB248A" w:rsidP="00DB248A" w:rsidRDefault="00DB248A" w14:paraId="442D5F31" w14:textId="77777777">
            <w:pPr>
              <w:spacing w:line="240" w:lineRule="auto"/>
              <w:ind w:firstLine="0"/>
              <w:jc w:val="center"/>
              <w:rPr>
                <w:rFonts w:eastAsia="Aptos" w:cs="Times New Roman"/>
                <w:sz w:val="20"/>
                <w:szCs w:val="20"/>
              </w:rPr>
            </w:pPr>
            <w:r w:rsidRPr="00782FA6">
              <w:rPr>
                <w:rFonts w:eastAsia="Aptos" w:cs="Times New Roman"/>
                <w:sz w:val="20"/>
                <w:szCs w:val="20"/>
              </w:rPr>
              <w:t>1576</w:t>
            </w:r>
          </w:p>
        </w:tc>
        <w:tc>
          <w:tcPr>
            <w:tcW w:w="1036" w:type="dxa"/>
            <w:noWrap/>
            <w:vAlign w:val="center"/>
            <w:hideMark/>
          </w:tcPr>
          <w:p w:rsidRPr="00782FA6" w:rsidR="00DB248A" w:rsidP="00DB248A" w:rsidRDefault="00DB248A" w14:paraId="1BA9ABC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E3EB392" w14:textId="57CEC9E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7309882" w14:textId="0F118597">
            <w:pPr>
              <w:spacing w:line="240" w:lineRule="auto"/>
              <w:ind w:firstLine="0"/>
              <w:rPr>
                <w:rFonts w:eastAsia="Aptos" w:cs="Times New Roman"/>
                <w:sz w:val="20"/>
                <w:szCs w:val="20"/>
              </w:rPr>
            </w:pPr>
            <w:r w:rsidRPr="00782FA6">
              <w:rPr>
                <w:rFonts w:eastAsia="Aptos" w:cs="Times New Roman"/>
                <w:sz w:val="20"/>
                <w:szCs w:val="20"/>
              </w:rPr>
              <w:t>Digital West Networks, Inc</w:t>
            </w:r>
          </w:p>
        </w:tc>
      </w:tr>
      <w:tr w:rsidRPr="00782FA6" w:rsidR="00DB248A" w:rsidTr="00E52317" w14:paraId="2D94933A" w14:textId="77777777">
        <w:trPr>
          <w:trHeight w:val="300"/>
        </w:trPr>
        <w:tc>
          <w:tcPr>
            <w:tcW w:w="1170" w:type="dxa"/>
            <w:noWrap/>
            <w:vAlign w:val="center"/>
            <w:hideMark/>
          </w:tcPr>
          <w:p w:rsidRPr="00782FA6" w:rsidR="00DB248A" w:rsidP="00DB248A" w:rsidRDefault="00DB248A" w14:paraId="267B899E" w14:textId="77777777">
            <w:pPr>
              <w:spacing w:line="240" w:lineRule="auto"/>
              <w:ind w:firstLine="0"/>
              <w:jc w:val="center"/>
              <w:rPr>
                <w:rFonts w:eastAsia="Aptos" w:cs="Times New Roman"/>
                <w:sz w:val="20"/>
                <w:szCs w:val="20"/>
              </w:rPr>
            </w:pPr>
            <w:r w:rsidRPr="00782FA6">
              <w:rPr>
                <w:rFonts w:eastAsia="Aptos" w:cs="Times New Roman"/>
                <w:sz w:val="20"/>
                <w:szCs w:val="20"/>
              </w:rPr>
              <w:t>1577</w:t>
            </w:r>
          </w:p>
        </w:tc>
        <w:tc>
          <w:tcPr>
            <w:tcW w:w="1036" w:type="dxa"/>
            <w:noWrap/>
            <w:vAlign w:val="center"/>
            <w:hideMark/>
          </w:tcPr>
          <w:p w:rsidRPr="00782FA6" w:rsidR="00DB248A" w:rsidP="00DB248A" w:rsidRDefault="00DB248A" w14:paraId="6C5B2DD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4342D23" w14:textId="1FC0ABD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0F98658" w14:textId="367BBDFC">
            <w:pPr>
              <w:spacing w:line="240" w:lineRule="auto"/>
              <w:ind w:firstLine="0"/>
              <w:rPr>
                <w:rFonts w:eastAsia="Aptos" w:cs="Times New Roman"/>
                <w:sz w:val="20"/>
                <w:szCs w:val="20"/>
              </w:rPr>
            </w:pPr>
            <w:proofErr w:type="spellStart"/>
            <w:r w:rsidRPr="00782FA6">
              <w:rPr>
                <w:rFonts w:eastAsia="Aptos" w:cs="Times New Roman"/>
                <w:sz w:val="20"/>
                <w:szCs w:val="20"/>
              </w:rPr>
              <w:t>Fortessa</w:t>
            </w:r>
            <w:proofErr w:type="spellEnd"/>
            <w:r w:rsidRPr="00782FA6">
              <w:rPr>
                <w:rFonts w:eastAsia="Aptos" w:cs="Times New Roman"/>
                <w:sz w:val="20"/>
                <w:szCs w:val="20"/>
              </w:rPr>
              <w:t xml:space="preserve"> Hosting</w:t>
            </w:r>
          </w:p>
        </w:tc>
      </w:tr>
      <w:tr w:rsidRPr="00782FA6" w:rsidR="00DB248A" w:rsidTr="00E52317" w14:paraId="35B7E626" w14:textId="77777777">
        <w:trPr>
          <w:trHeight w:val="300"/>
        </w:trPr>
        <w:tc>
          <w:tcPr>
            <w:tcW w:w="1170" w:type="dxa"/>
            <w:noWrap/>
            <w:vAlign w:val="center"/>
            <w:hideMark/>
          </w:tcPr>
          <w:p w:rsidRPr="00782FA6" w:rsidR="00DB248A" w:rsidP="00DB248A" w:rsidRDefault="00DB248A" w14:paraId="37E0E58C" w14:textId="77777777">
            <w:pPr>
              <w:spacing w:line="240" w:lineRule="auto"/>
              <w:ind w:firstLine="0"/>
              <w:jc w:val="center"/>
              <w:rPr>
                <w:rFonts w:eastAsia="Aptos" w:cs="Times New Roman"/>
                <w:sz w:val="20"/>
                <w:szCs w:val="20"/>
              </w:rPr>
            </w:pPr>
            <w:r w:rsidRPr="00782FA6">
              <w:rPr>
                <w:rFonts w:eastAsia="Aptos" w:cs="Times New Roman"/>
                <w:sz w:val="20"/>
                <w:szCs w:val="20"/>
              </w:rPr>
              <w:t>1579</w:t>
            </w:r>
          </w:p>
        </w:tc>
        <w:tc>
          <w:tcPr>
            <w:tcW w:w="1036" w:type="dxa"/>
            <w:noWrap/>
            <w:vAlign w:val="center"/>
            <w:hideMark/>
          </w:tcPr>
          <w:p w:rsidRPr="00782FA6" w:rsidR="00DB248A" w:rsidP="00DB248A" w:rsidRDefault="00DB248A" w14:paraId="49D2FEA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3028273" w14:textId="10A6A67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E8041DB" w14:textId="20B46139">
            <w:pPr>
              <w:spacing w:line="240" w:lineRule="auto"/>
              <w:ind w:firstLine="0"/>
              <w:rPr>
                <w:rFonts w:eastAsia="Aptos" w:cs="Times New Roman"/>
                <w:sz w:val="20"/>
                <w:szCs w:val="20"/>
              </w:rPr>
            </w:pPr>
            <w:proofErr w:type="spellStart"/>
            <w:r w:rsidRPr="00782FA6">
              <w:rPr>
                <w:rFonts w:eastAsia="Aptos" w:cs="Times New Roman"/>
                <w:sz w:val="20"/>
                <w:szCs w:val="20"/>
              </w:rPr>
              <w:t>Gabbit</w:t>
            </w:r>
            <w:proofErr w:type="spellEnd"/>
            <w:r w:rsidRPr="00782FA6">
              <w:rPr>
                <w:rFonts w:eastAsia="Aptos" w:cs="Times New Roman"/>
                <w:sz w:val="20"/>
                <w:szCs w:val="20"/>
              </w:rPr>
              <w:t>, LLC</w:t>
            </w:r>
          </w:p>
        </w:tc>
      </w:tr>
      <w:tr w:rsidRPr="00782FA6" w:rsidR="00DB248A" w:rsidTr="00E52317" w14:paraId="6858EB9F" w14:textId="77777777">
        <w:trPr>
          <w:trHeight w:val="300"/>
        </w:trPr>
        <w:tc>
          <w:tcPr>
            <w:tcW w:w="1170" w:type="dxa"/>
            <w:noWrap/>
            <w:vAlign w:val="center"/>
            <w:hideMark/>
          </w:tcPr>
          <w:p w:rsidRPr="00782FA6" w:rsidR="00DB248A" w:rsidP="00DB248A" w:rsidRDefault="00DB248A" w14:paraId="6B051E83" w14:textId="77777777">
            <w:pPr>
              <w:spacing w:line="240" w:lineRule="auto"/>
              <w:ind w:firstLine="0"/>
              <w:jc w:val="center"/>
              <w:rPr>
                <w:rFonts w:eastAsia="Aptos" w:cs="Times New Roman"/>
                <w:sz w:val="20"/>
                <w:szCs w:val="20"/>
              </w:rPr>
            </w:pPr>
            <w:r w:rsidRPr="00782FA6">
              <w:rPr>
                <w:rFonts w:eastAsia="Aptos" w:cs="Times New Roman"/>
                <w:sz w:val="20"/>
                <w:szCs w:val="20"/>
              </w:rPr>
              <w:t>1580</w:t>
            </w:r>
          </w:p>
        </w:tc>
        <w:tc>
          <w:tcPr>
            <w:tcW w:w="1036" w:type="dxa"/>
            <w:noWrap/>
            <w:vAlign w:val="center"/>
            <w:hideMark/>
          </w:tcPr>
          <w:p w:rsidRPr="00782FA6" w:rsidR="00DB248A" w:rsidP="00DB248A" w:rsidRDefault="00DB248A" w14:paraId="3E70783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378172B" w14:textId="6287EB3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BC06364" w14:textId="52535F33">
            <w:pPr>
              <w:spacing w:line="240" w:lineRule="auto"/>
              <w:ind w:firstLine="0"/>
              <w:rPr>
                <w:rFonts w:eastAsia="Aptos" w:cs="Times New Roman"/>
                <w:sz w:val="20"/>
                <w:szCs w:val="20"/>
              </w:rPr>
            </w:pPr>
            <w:r w:rsidRPr="00782FA6">
              <w:rPr>
                <w:rFonts w:eastAsia="Aptos" w:cs="Times New Roman"/>
                <w:sz w:val="20"/>
                <w:szCs w:val="20"/>
              </w:rPr>
              <w:t>Alternate Network Technologies Inc.</w:t>
            </w:r>
          </w:p>
        </w:tc>
      </w:tr>
      <w:tr w:rsidRPr="00782FA6" w:rsidR="00DB248A" w:rsidTr="00E52317" w14:paraId="677B8324" w14:textId="77777777">
        <w:trPr>
          <w:trHeight w:val="300"/>
        </w:trPr>
        <w:tc>
          <w:tcPr>
            <w:tcW w:w="1170" w:type="dxa"/>
            <w:noWrap/>
            <w:vAlign w:val="center"/>
            <w:hideMark/>
          </w:tcPr>
          <w:p w:rsidRPr="00782FA6" w:rsidR="00DB248A" w:rsidP="00DB248A" w:rsidRDefault="00DB248A" w14:paraId="36540E8D" w14:textId="77777777">
            <w:pPr>
              <w:spacing w:line="240" w:lineRule="auto"/>
              <w:ind w:firstLine="0"/>
              <w:jc w:val="center"/>
              <w:rPr>
                <w:rFonts w:eastAsia="Aptos" w:cs="Times New Roman"/>
                <w:sz w:val="20"/>
                <w:szCs w:val="20"/>
              </w:rPr>
            </w:pPr>
            <w:r w:rsidRPr="00782FA6">
              <w:rPr>
                <w:rFonts w:eastAsia="Aptos" w:cs="Times New Roman"/>
                <w:sz w:val="20"/>
                <w:szCs w:val="20"/>
              </w:rPr>
              <w:t>1581</w:t>
            </w:r>
          </w:p>
        </w:tc>
        <w:tc>
          <w:tcPr>
            <w:tcW w:w="1036" w:type="dxa"/>
            <w:noWrap/>
            <w:vAlign w:val="center"/>
            <w:hideMark/>
          </w:tcPr>
          <w:p w:rsidRPr="00782FA6" w:rsidR="00DB248A" w:rsidP="00DB248A" w:rsidRDefault="00DB248A" w14:paraId="51BEFE4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D3C63DD" w14:textId="11C2EEB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72CE4F2" w14:textId="111DBF31">
            <w:pPr>
              <w:spacing w:line="240" w:lineRule="auto"/>
              <w:ind w:firstLine="0"/>
              <w:rPr>
                <w:rFonts w:eastAsia="Aptos" w:cs="Times New Roman"/>
                <w:sz w:val="20"/>
                <w:szCs w:val="20"/>
              </w:rPr>
            </w:pPr>
            <w:proofErr w:type="spellStart"/>
            <w:r w:rsidRPr="00782FA6">
              <w:rPr>
                <w:rFonts w:eastAsia="Aptos" w:cs="Times New Roman"/>
                <w:sz w:val="20"/>
                <w:szCs w:val="20"/>
              </w:rPr>
              <w:t>WiLine</w:t>
            </w:r>
            <w:proofErr w:type="spellEnd"/>
            <w:r w:rsidRPr="00782FA6">
              <w:rPr>
                <w:rFonts w:eastAsia="Aptos" w:cs="Times New Roman"/>
                <w:sz w:val="20"/>
                <w:szCs w:val="20"/>
              </w:rPr>
              <w:t xml:space="preserve"> Networks, Inc</w:t>
            </w:r>
          </w:p>
        </w:tc>
      </w:tr>
      <w:tr w:rsidRPr="00782FA6" w:rsidR="00DB248A" w:rsidTr="00E52317" w14:paraId="300D63E6" w14:textId="77777777">
        <w:trPr>
          <w:trHeight w:val="300"/>
        </w:trPr>
        <w:tc>
          <w:tcPr>
            <w:tcW w:w="1170" w:type="dxa"/>
            <w:noWrap/>
            <w:vAlign w:val="center"/>
            <w:hideMark/>
          </w:tcPr>
          <w:p w:rsidRPr="00782FA6" w:rsidR="00DB248A" w:rsidP="00DB248A" w:rsidRDefault="00DB248A" w14:paraId="0862F5B1" w14:textId="77777777">
            <w:pPr>
              <w:spacing w:line="240" w:lineRule="auto"/>
              <w:ind w:firstLine="0"/>
              <w:jc w:val="center"/>
              <w:rPr>
                <w:rFonts w:eastAsia="Aptos" w:cs="Times New Roman"/>
                <w:sz w:val="20"/>
                <w:szCs w:val="20"/>
              </w:rPr>
            </w:pPr>
            <w:r w:rsidRPr="00782FA6">
              <w:rPr>
                <w:rFonts w:eastAsia="Aptos" w:cs="Times New Roman"/>
                <w:sz w:val="20"/>
                <w:szCs w:val="20"/>
              </w:rPr>
              <w:t>1582</w:t>
            </w:r>
          </w:p>
        </w:tc>
        <w:tc>
          <w:tcPr>
            <w:tcW w:w="1036" w:type="dxa"/>
            <w:noWrap/>
            <w:vAlign w:val="center"/>
            <w:hideMark/>
          </w:tcPr>
          <w:p w:rsidRPr="00782FA6" w:rsidR="00DB248A" w:rsidP="00DB248A" w:rsidRDefault="00DB248A" w14:paraId="5778333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16F0ED1" w14:textId="662E2A6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9516307" w14:textId="50CFDD71">
            <w:pPr>
              <w:spacing w:line="240" w:lineRule="auto"/>
              <w:ind w:firstLine="0"/>
              <w:rPr>
                <w:rFonts w:eastAsia="Aptos" w:cs="Times New Roman"/>
                <w:sz w:val="20"/>
                <w:szCs w:val="20"/>
              </w:rPr>
            </w:pPr>
            <w:proofErr w:type="spellStart"/>
            <w:r w:rsidRPr="00782FA6">
              <w:rPr>
                <w:rFonts w:eastAsia="Aptos" w:cs="Times New Roman"/>
                <w:sz w:val="20"/>
                <w:szCs w:val="20"/>
              </w:rPr>
              <w:t>Telzio</w:t>
            </w:r>
            <w:proofErr w:type="spellEnd"/>
            <w:r w:rsidRPr="00782FA6">
              <w:rPr>
                <w:rFonts w:eastAsia="Aptos" w:cs="Times New Roman"/>
                <w:sz w:val="20"/>
                <w:szCs w:val="20"/>
              </w:rPr>
              <w:t>, Inc</w:t>
            </w:r>
          </w:p>
        </w:tc>
      </w:tr>
      <w:tr w:rsidRPr="00782FA6" w:rsidR="00DB248A" w:rsidTr="00E52317" w14:paraId="15F5F6C9" w14:textId="77777777">
        <w:trPr>
          <w:trHeight w:val="300"/>
        </w:trPr>
        <w:tc>
          <w:tcPr>
            <w:tcW w:w="1170" w:type="dxa"/>
            <w:noWrap/>
            <w:vAlign w:val="center"/>
            <w:hideMark/>
          </w:tcPr>
          <w:p w:rsidRPr="00782FA6" w:rsidR="00DB248A" w:rsidP="00DB248A" w:rsidRDefault="00DB248A" w14:paraId="0CBE34C4" w14:textId="77777777">
            <w:pPr>
              <w:spacing w:line="240" w:lineRule="auto"/>
              <w:ind w:firstLine="0"/>
              <w:jc w:val="center"/>
              <w:rPr>
                <w:rFonts w:eastAsia="Aptos" w:cs="Times New Roman"/>
                <w:sz w:val="20"/>
                <w:szCs w:val="20"/>
              </w:rPr>
            </w:pPr>
            <w:r w:rsidRPr="00782FA6">
              <w:rPr>
                <w:rFonts w:eastAsia="Aptos" w:cs="Times New Roman"/>
                <w:sz w:val="20"/>
                <w:szCs w:val="20"/>
              </w:rPr>
              <w:t>1584</w:t>
            </w:r>
          </w:p>
        </w:tc>
        <w:tc>
          <w:tcPr>
            <w:tcW w:w="1036" w:type="dxa"/>
            <w:noWrap/>
            <w:vAlign w:val="center"/>
            <w:hideMark/>
          </w:tcPr>
          <w:p w:rsidRPr="00782FA6" w:rsidR="00DB248A" w:rsidP="00DB248A" w:rsidRDefault="00DB248A" w14:paraId="77FAFE3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A13F75F" w14:textId="651C98A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2F895D1" w14:textId="2C984ECE">
            <w:pPr>
              <w:spacing w:line="240" w:lineRule="auto"/>
              <w:ind w:firstLine="0"/>
              <w:rPr>
                <w:rFonts w:eastAsia="Aptos" w:cs="Times New Roman"/>
                <w:sz w:val="20"/>
                <w:szCs w:val="20"/>
              </w:rPr>
            </w:pPr>
            <w:r w:rsidRPr="00782FA6">
              <w:rPr>
                <w:rFonts w:eastAsia="Aptos" w:cs="Times New Roman"/>
                <w:sz w:val="20"/>
                <w:szCs w:val="20"/>
              </w:rPr>
              <w:t>Advanced Telecom Solutions, LLC</w:t>
            </w:r>
          </w:p>
        </w:tc>
      </w:tr>
      <w:tr w:rsidRPr="00782FA6" w:rsidR="00DB248A" w:rsidTr="00E52317" w14:paraId="7EB8528B" w14:textId="77777777">
        <w:trPr>
          <w:trHeight w:val="300"/>
        </w:trPr>
        <w:tc>
          <w:tcPr>
            <w:tcW w:w="1170" w:type="dxa"/>
            <w:noWrap/>
            <w:vAlign w:val="center"/>
            <w:hideMark/>
          </w:tcPr>
          <w:p w:rsidRPr="00782FA6" w:rsidR="00DB248A" w:rsidP="00DB248A" w:rsidRDefault="00DB248A" w14:paraId="18093BBD" w14:textId="77777777">
            <w:pPr>
              <w:spacing w:line="240" w:lineRule="auto"/>
              <w:ind w:firstLine="0"/>
              <w:jc w:val="center"/>
              <w:rPr>
                <w:rFonts w:eastAsia="Aptos" w:cs="Times New Roman"/>
                <w:sz w:val="20"/>
                <w:szCs w:val="20"/>
              </w:rPr>
            </w:pPr>
            <w:r w:rsidRPr="00782FA6">
              <w:rPr>
                <w:rFonts w:eastAsia="Aptos" w:cs="Times New Roman"/>
                <w:sz w:val="20"/>
                <w:szCs w:val="20"/>
              </w:rPr>
              <w:t>1585</w:t>
            </w:r>
          </w:p>
        </w:tc>
        <w:tc>
          <w:tcPr>
            <w:tcW w:w="1036" w:type="dxa"/>
            <w:noWrap/>
            <w:vAlign w:val="center"/>
            <w:hideMark/>
          </w:tcPr>
          <w:p w:rsidRPr="00782FA6" w:rsidR="00DB248A" w:rsidP="00DB248A" w:rsidRDefault="00DB248A" w14:paraId="3545766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AF227B6" w14:textId="7992812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4DC6F30" w14:textId="1B05DCBE">
            <w:pPr>
              <w:spacing w:line="240" w:lineRule="auto"/>
              <w:ind w:firstLine="0"/>
              <w:rPr>
                <w:rFonts w:eastAsia="Aptos" w:cs="Times New Roman"/>
                <w:sz w:val="20"/>
                <w:szCs w:val="20"/>
              </w:rPr>
            </w:pPr>
            <w:proofErr w:type="spellStart"/>
            <w:r w:rsidRPr="00782FA6">
              <w:rPr>
                <w:rFonts w:eastAsia="Aptos" w:cs="Times New Roman"/>
                <w:sz w:val="20"/>
                <w:szCs w:val="20"/>
              </w:rPr>
              <w:t>Cloudli</w:t>
            </w:r>
            <w:proofErr w:type="spellEnd"/>
            <w:r w:rsidRPr="00782FA6">
              <w:rPr>
                <w:rFonts w:eastAsia="Aptos" w:cs="Times New Roman"/>
                <w:sz w:val="20"/>
                <w:szCs w:val="20"/>
              </w:rPr>
              <w:t xml:space="preserve"> Communications Inc.</w:t>
            </w:r>
          </w:p>
        </w:tc>
      </w:tr>
      <w:tr w:rsidRPr="00782FA6" w:rsidR="00DB248A" w:rsidTr="00E52317" w14:paraId="0BF1BAAD" w14:textId="77777777">
        <w:trPr>
          <w:trHeight w:val="300"/>
        </w:trPr>
        <w:tc>
          <w:tcPr>
            <w:tcW w:w="1170" w:type="dxa"/>
            <w:noWrap/>
            <w:vAlign w:val="center"/>
            <w:hideMark/>
          </w:tcPr>
          <w:p w:rsidRPr="00782FA6" w:rsidR="00DB248A" w:rsidP="00DB248A" w:rsidRDefault="00DB248A" w14:paraId="00438BD2" w14:textId="77777777">
            <w:pPr>
              <w:spacing w:line="240" w:lineRule="auto"/>
              <w:ind w:firstLine="0"/>
              <w:jc w:val="center"/>
              <w:rPr>
                <w:rFonts w:eastAsia="Aptos" w:cs="Times New Roman"/>
                <w:sz w:val="20"/>
                <w:szCs w:val="20"/>
              </w:rPr>
            </w:pPr>
            <w:r w:rsidRPr="00782FA6">
              <w:rPr>
                <w:rFonts w:eastAsia="Aptos" w:cs="Times New Roman"/>
                <w:sz w:val="20"/>
                <w:szCs w:val="20"/>
              </w:rPr>
              <w:t>1586</w:t>
            </w:r>
          </w:p>
        </w:tc>
        <w:tc>
          <w:tcPr>
            <w:tcW w:w="1036" w:type="dxa"/>
            <w:noWrap/>
            <w:vAlign w:val="center"/>
            <w:hideMark/>
          </w:tcPr>
          <w:p w:rsidRPr="00782FA6" w:rsidR="00DB248A" w:rsidP="00DB248A" w:rsidRDefault="00DB248A" w14:paraId="3A57AB5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356412E" w14:textId="250C47B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055F1D7" w14:textId="46EA3DEB">
            <w:pPr>
              <w:spacing w:line="240" w:lineRule="auto"/>
              <w:ind w:firstLine="0"/>
              <w:rPr>
                <w:rFonts w:eastAsia="Aptos" w:cs="Times New Roman"/>
                <w:sz w:val="20"/>
                <w:szCs w:val="20"/>
              </w:rPr>
            </w:pPr>
            <w:r w:rsidRPr="00782FA6">
              <w:rPr>
                <w:rFonts w:eastAsia="Aptos" w:cs="Times New Roman"/>
                <w:sz w:val="20"/>
                <w:szCs w:val="20"/>
              </w:rPr>
              <w:t>Global Telecom Exchange, LLC</w:t>
            </w:r>
          </w:p>
        </w:tc>
      </w:tr>
      <w:tr w:rsidRPr="00782FA6" w:rsidR="00DB248A" w:rsidTr="00E52317" w14:paraId="01578277" w14:textId="77777777">
        <w:trPr>
          <w:trHeight w:val="300"/>
        </w:trPr>
        <w:tc>
          <w:tcPr>
            <w:tcW w:w="1170" w:type="dxa"/>
            <w:noWrap/>
            <w:vAlign w:val="center"/>
            <w:hideMark/>
          </w:tcPr>
          <w:p w:rsidRPr="00782FA6" w:rsidR="00DB248A" w:rsidP="00DB248A" w:rsidRDefault="00DB248A" w14:paraId="53933AA4" w14:textId="77777777">
            <w:pPr>
              <w:spacing w:line="240" w:lineRule="auto"/>
              <w:ind w:firstLine="0"/>
              <w:jc w:val="center"/>
              <w:rPr>
                <w:rFonts w:eastAsia="Aptos" w:cs="Times New Roman"/>
                <w:sz w:val="20"/>
                <w:szCs w:val="20"/>
              </w:rPr>
            </w:pPr>
            <w:r w:rsidRPr="00782FA6">
              <w:rPr>
                <w:rFonts w:eastAsia="Aptos" w:cs="Times New Roman"/>
                <w:sz w:val="20"/>
                <w:szCs w:val="20"/>
              </w:rPr>
              <w:t>1587</w:t>
            </w:r>
          </w:p>
        </w:tc>
        <w:tc>
          <w:tcPr>
            <w:tcW w:w="1036" w:type="dxa"/>
            <w:noWrap/>
            <w:vAlign w:val="center"/>
            <w:hideMark/>
          </w:tcPr>
          <w:p w:rsidRPr="00782FA6" w:rsidR="00DB248A" w:rsidP="00DB248A" w:rsidRDefault="00DB248A" w14:paraId="523D7D7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960971B" w14:textId="2213BCD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C0340E8" w14:textId="3F0F4F43">
            <w:pPr>
              <w:spacing w:line="240" w:lineRule="auto"/>
              <w:ind w:firstLine="0"/>
              <w:rPr>
                <w:rFonts w:eastAsia="Aptos" w:cs="Times New Roman"/>
                <w:sz w:val="20"/>
                <w:szCs w:val="20"/>
              </w:rPr>
            </w:pPr>
            <w:r w:rsidRPr="00782FA6">
              <w:rPr>
                <w:rFonts w:eastAsia="Aptos" w:cs="Times New Roman"/>
                <w:sz w:val="20"/>
                <w:szCs w:val="20"/>
              </w:rPr>
              <w:t>Astound Broadband, LLC</w:t>
            </w:r>
          </w:p>
        </w:tc>
      </w:tr>
      <w:tr w:rsidRPr="00782FA6" w:rsidR="00DB248A" w:rsidTr="00E52317" w14:paraId="5B639B9F" w14:textId="77777777">
        <w:trPr>
          <w:trHeight w:val="300"/>
        </w:trPr>
        <w:tc>
          <w:tcPr>
            <w:tcW w:w="1170" w:type="dxa"/>
            <w:noWrap/>
            <w:vAlign w:val="center"/>
            <w:hideMark/>
          </w:tcPr>
          <w:p w:rsidRPr="00782FA6" w:rsidR="00DB248A" w:rsidP="00DB248A" w:rsidRDefault="00DB248A" w14:paraId="1534B380" w14:textId="77777777">
            <w:pPr>
              <w:spacing w:line="240" w:lineRule="auto"/>
              <w:ind w:firstLine="0"/>
              <w:jc w:val="center"/>
              <w:rPr>
                <w:rFonts w:eastAsia="Aptos" w:cs="Times New Roman"/>
                <w:sz w:val="20"/>
                <w:szCs w:val="20"/>
              </w:rPr>
            </w:pPr>
            <w:r w:rsidRPr="00782FA6">
              <w:rPr>
                <w:rFonts w:eastAsia="Aptos" w:cs="Times New Roman"/>
                <w:sz w:val="20"/>
                <w:szCs w:val="20"/>
              </w:rPr>
              <w:t>1588</w:t>
            </w:r>
          </w:p>
        </w:tc>
        <w:tc>
          <w:tcPr>
            <w:tcW w:w="1036" w:type="dxa"/>
            <w:noWrap/>
            <w:vAlign w:val="center"/>
            <w:hideMark/>
          </w:tcPr>
          <w:p w:rsidRPr="00782FA6" w:rsidR="00DB248A" w:rsidP="00DB248A" w:rsidRDefault="00DB248A" w14:paraId="21D6E5A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553CC1B" w14:textId="4AA75F4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C3621AF" w14:textId="1991B184">
            <w:pPr>
              <w:spacing w:line="240" w:lineRule="auto"/>
              <w:ind w:firstLine="0"/>
              <w:rPr>
                <w:rFonts w:eastAsia="Aptos" w:cs="Times New Roman"/>
                <w:sz w:val="20"/>
                <w:szCs w:val="20"/>
              </w:rPr>
            </w:pPr>
            <w:r w:rsidRPr="00782FA6">
              <w:rPr>
                <w:rFonts w:eastAsia="Aptos" w:cs="Times New Roman"/>
                <w:sz w:val="20"/>
                <w:szCs w:val="20"/>
              </w:rPr>
              <w:t>COEO Solutions, LLC</w:t>
            </w:r>
          </w:p>
        </w:tc>
      </w:tr>
      <w:tr w:rsidRPr="00782FA6" w:rsidR="00DB248A" w:rsidTr="00E52317" w14:paraId="305DCC8B" w14:textId="77777777">
        <w:trPr>
          <w:trHeight w:val="300"/>
        </w:trPr>
        <w:tc>
          <w:tcPr>
            <w:tcW w:w="1170" w:type="dxa"/>
            <w:noWrap/>
            <w:vAlign w:val="center"/>
            <w:hideMark/>
          </w:tcPr>
          <w:p w:rsidRPr="00782FA6" w:rsidR="00DB248A" w:rsidP="00DB248A" w:rsidRDefault="00DB248A" w14:paraId="175614A8" w14:textId="77777777">
            <w:pPr>
              <w:spacing w:line="240" w:lineRule="auto"/>
              <w:ind w:firstLine="0"/>
              <w:jc w:val="center"/>
              <w:rPr>
                <w:rFonts w:eastAsia="Aptos" w:cs="Times New Roman"/>
                <w:sz w:val="20"/>
                <w:szCs w:val="20"/>
              </w:rPr>
            </w:pPr>
            <w:r w:rsidRPr="00782FA6">
              <w:rPr>
                <w:rFonts w:eastAsia="Aptos" w:cs="Times New Roman"/>
                <w:sz w:val="20"/>
                <w:szCs w:val="20"/>
              </w:rPr>
              <w:t>1590</w:t>
            </w:r>
          </w:p>
        </w:tc>
        <w:tc>
          <w:tcPr>
            <w:tcW w:w="1036" w:type="dxa"/>
            <w:noWrap/>
            <w:vAlign w:val="center"/>
            <w:hideMark/>
          </w:tcPr>
          <w:p w:rsidRPr="00782FA6" w:rsidR="00DB248A" w:rsidP="00DB248A" w:rsidRDefault="00DB248A" w14:paraId="5C63281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B2265E3" w14:textId="77FD06C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3065AB0" w14:textId="7AC9CF4B">
            <w:pPr>
              <w:spacing w:line="240" w:lineRule="auto"/>
              <w:ind w:firstLine="0"/>
              <w:rPr>
                <w:rFonts w:eastAsia="Aptos" w:cs="Times New Roman"/>
                <w:sz w:val="20"/>
                <w:szCs w:val="20"/>
              </w:rPr>
            </w:pPr>
            <w:r w:rsidRPr="00782FA6">
              <w:rPr>
                <w:rFonts w:eastAsia="Aptos" w:cs="Times New Roman"/>
                <w:sz w:val="20"/>
                <w:szCs w:val="20"/>
              </w:rPr>
              <w:t xml:space="preserve">Atlanta </w:t>
            </w:r>
            <w:proofErr w:type="spellStart"/>
            <w:r w:rsidRPr="00782FA6">
              <w:rPr>
                <w:rFonts w:eastAsia="Aptos" w:cs="Times New Roman"/>
                <w:sz w:val="20"/>
                <w:szCs w:val="20"/>
              </w:rPr>
              <w:t>DataCom</w:t>
            </w:r>
            <w:proofErr w:type="spellEnd"/>
            <w:r w:rsidRPr="00782FA6">
              <w:rPr>
                <w:rFonts w:eastAsia="Aptos" w:cs="Times New Roman"/>
                <w:sz w:val="20"/>
                <w:szCs w:val="20"/>
              </w:rPr>
              <w:t>, Inc</w:t>
            </w:r>
          </w:p>
        </w:tc>
      </w:tr>
      <w:tr w:rsidRPr="00782FA6" w:rsidR="00DB248A" w:rsidTr="00E52317" w14:paraId="51C55A73" w14:textId="77777777">
        <w:trPr>
          <w:trHeight w:val="300"/>
        </w:trPr>
        <w:tc>
          <w:tcPr>
            <w:tcW w:w="1170" w:type="dxa"/>
            <w:noWrap/>
            <w:vAlign w:val="center"/>
            <w:hideMark/>
          </w:tcPr>
          <w:p w:rsidRPr="00782FA6" w:rsidR="00DB248A" w:rsidP="00DB248A" w:rsidRDefault="00DB248A" w14:paraId="197CC4DE" w14:textId="77777777">
            <w:pPr>
              <w:spacing w:line="240" w:lineRule="auto"/>
              <w:ind w:firstLine="0"/>
              <w:jc w:val="center"/>
              <w:rPr>
                <w:rFonts w:eastAsia="Aptos" w:cs="Times New Roman"/>
                <w:sz w:val="20"/>
                <w:szCs w:val="20"/>
              </w:rPr>
            </w:pPr>
            <w:r w:rsidRPr="00782FA6">
              <w:rPr>
                <w:rFonts w:eastAsia="Aptos" w:cs="Times New Roman"/>
                <w:sz w:val="20"/>
                <w:szCs w:val="20"/>
              </w:rPr>
              <w:t>1592</w:t>
            </w:r>
          </w:p>
        </w:tc>
        <w:tc>
          <w:tcPr>
            <w:tcW w:w="1036" w:type="dxa"/>
            <w:noWrap/>
            <w:vAlign w:val="center"/>
            <w:hideMark/>
          </w:tcPr>
          <w:p w:rsidRPr="00782FA6" w:rsidR="00DB248A" w:rsidP="00DB248A" w:rsidRDefault="00DB248A" w14:paraId="6299405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8EE2B54" w14:textId="3AD3441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C46B661" w14:textId="61AB6FD5">
            <w:pPr>
              <w:spacing w:line="240" w:lineRule="auto"/>
              <w:ind w:firstLine="0"/>
              <w:rPr>
                <w:rFonts w:eastAsia="Aptos" w:cs="Times New Roman"/>
                <w:sz w:val="20"/>
                <w:szCs w:val="20"/>
              </w:rPr>
            </w:pPr>
            <w:r w:rsidRPr="00782FA6">
              <w:rPr>
                <w:rFonts w:eastAsia="Aptos" w:cs="Times New Roman"/>
                <w:sz w:val="20"/>
                <w:szCs w:val="20"/>
              </w:rPr>
              <w:t>Forerunner Technologies, Inc.</w:t>
            </w:r>
          </w:p>
        </w:tc>
      </w:tr>
      <w:tr w:rsidRPr="00782FA6" w:rsidR="00DB248A" w:rsidTr="00E52317" w14:paraId="7A0D7766" w14:textId="77777777">
        <w:trPr>
          <w:trHeight w:val="300"/>
        </w:trPr>
        <w:tc>
          <w:tcPr>
            <w:tcW w:w="1170" w:type="dxa"/>
            <w:noWrap/>
            <w:vAlign w:val="center"/>
            <w:hideMark/>
          </w:tcPr>
          <w:p w:rsidRPr="00782FA6" w:rsidR="00DB248A" w:rsidP="00DB248A" w:rsidRDefault="00DB248A" w14:paraId="1B2BDF5F" w14:textId="77777777">
            <w:pPr>
              <w:spacing w:line="240" w:lineRule="auto"/>
              <w:ind w:firstLine="0"/>
              <w:jc w:val="center"/>
              <w:rPr>
                <w:rFonts w:eastAsia="Aptos" w:cs="Times New Roman"/>
                <w:sz w:val="20"/>
                <w:szCs w:val="20"/>
              </w:rPr>
            </w:pPr>
            <w:r w:rsidRPr="00782FA6">
              <w:rPr>
                <w:rFonts w:eastAsia="Aptos" w:cs="Times New Roman"/>
                <w:sz w:val="20"/>
                <w:szCs w:val="20"/>
              </w:rPr>
              <w:t>1594</w:t>
            </w:r>
          </w:p>
        </w:tc>
        <w:tc>
          <w:tcPr>
            <w:tcW w:w="1036" w:type="dxa"/>
            <w:noWrap/>
            <w:vAlign w:val="center"/>
            <w:hideMark/>
          </w:tcPr>
          <w:p w:rsidRPr="00782FA6" w:rsidR="00DB248A" w:rsidP="00DB248A" w:rsidRDefault="00DB248A" w14:paraId="7D25011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29262F7" w14:textId="4156649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FA70D46" w14:textId="3400ED0A">
            <w:pPr>
              <w:spacing w:line="240" w:lineRule="auto"/>
              <w:ind w:firstLine="0"/>
              <w:rPr>
                <w:rFonts w:eastAsia="Aptos" w:cs="Times New Roman"/>
                <w:sz w:val="20"/>
                <w:szCs w:val="20"/>
              </w:rPr>
            </w:pPr>
            <w:r w:rsidRPr="00782FA6">
              <w:rPr>
                <w:rFonts w:eastAsia="Aptos" w:cs="Times New Roman"/>
                <w:sz w:val="20"/>
                <w:szCs w:val="20"/>
              </w:rPr>
              <w:t>Asset Black, LLC</w:t>
            </w:r>
          </w:p>
        </w:tc>
      </w:tr>
      <w:tr w:rsidRPr="00782FA6" w:rsidR="00DB248A" w:rsidTr="00E52317" w14:paraId="6264948F" w14:textId="77777777">
        <w:trPr>
          <w:trHeight w:val="300"/>
        </w:trPr>
        <w:tc>
          <w:tcPr>
            <w:tcW w:w="1170" w:type="dxa"/>
            <w:noWrap/>
            <w:vAlign w:val="center"/>
            <w:hideMark/>
          </w:tcPr>
          <w:p w:rsidRPr="00782FA6" w:rsidR="00DB248A" w:rsidP="00DB248A" w:rsidRDefault="00DB248A" w14:paraId="71AA780A" w14:textId="77777777">
            <w:pPr>
              <w:spacing w:line="240" w:lineRule="auto"/>
              <w:ind w:firstLine="0"/>
              <w:jc w:val="center"/>
              <w:rPr>
                <w:rFonts w:eastAsia="Aptos" w:cs="Times New Roman"/>
                <w:sz w:val="20"/>
                <w:szCs w:val="20"/>
              </w:rPr>
            </w:pPr>
            <w:r w:rsidRPr="00782FA6">
              <w:rPr>
                <w:rFonts w:eastAsia="Aptos" w:cs="Times New Roman"/>
                <w:sz w:val="20"/>
                <w:szCs w:val="20"/>
              </w:rPr>
              <w:t>1595</w:t>
            </w:r>
          </w:p>
        </w:tc>
        <w:tc>
          <w:tcPr>
            <w:tcW w:w="1036" w:type="dxa"/>
            <w:noWrap/>
            <w:vAlign w:val="center"/>
            <w:hideMark/>
          </w:tcPr>
          <w:p w:rsidRPr="00782FA6" w:rsidR="00DB248A" w:rsidP="00DB248A" w:rsidRDefault="00DB248A" w14:paraId="33CC1EB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3AB2383" w14:textId="64018E3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8C3B297" w14:textId="64EB5866">
            <w:pPr>
              <w:spacing w:line="240" w:lineRule="auto"/>
              <w:ind w:firstLine="0"/>
              <w:rPr>
                <w:rFonts w:eastAsia="Aptos" w:cs="Times New Roman"/>
                <w:sz w:val="20"/>
                <w:szCs w:val="20"/>
              </w:rPr>
            </w:pPr>
            <w:proofErr w:type="spellStart"/>
            <w:r w:rsidRPr="00782FA6">
              <w:rPr>
                <w:rFonts w:eastAsia="Aptos" w:cs="Times New Roman"/>
                <w:sz w:val="20"/>
                <w:szCs w:val="20"/>
              </w:rPr>
              <w:t>Kornerstones</w:t>
            </w:r>
            <w:proofErr w:type="spellEnd"/>
            <w:r w:rsidRPr="00782FA6">
              <w:rPr>
                <w:rFonts w:eastAsia="Aptos" w:cs="Times New Roman"/>
                <w:sz w:val="20"/>
                <w:szCs w:val="20"/>
              </w:rPr>
              <w:t>, Inc</w:t>
            </w:r>
          </w:p>
        </w:tc>
      </w:tr>
      <w:tr w:rsidRPr="00782FA6" w:rsidR="00DB248A" w:rsidTr="00E52317" w14:paraId="1F9F668B" w14:textId="77777777">
        <w:trPr>
          <w:trHeight w:val="300"/>
        </w:trPr>
        <w:tc>
          <w:tcPr>
            <w:tcW w:w="1170" w:type="dxa"/>
            <w:noWrap/>
            <w:vAlign w:val="center"/>
            <w:hideMark/>
          </w:tcPr>
          <w:p w:rsidRPr="00782FA6" w:rsidR="00DB248A" w:rsidP="00DB248A" w:rsidRDefault="00DB248A" w14:paraId="47A410E2" w14:textId="77777777">
            <w:pPr>
              <w:spacing w:line="240" w:lineRule="auto"/>
              <w:ind w:firstLine="0"/>
              <w:jc w:val="center"/>
              <w:rPr>
                <w:rFonts w:eastAsia="Aptos" w:cs="Times New Roman"/>
                <w:sz w:val="20"/>
                <w:szCs w:val="20"/>
              </w:rPr>
            </w:pPr>
            <w:r w:rsidRPr="00782FA6">
              <w:rPr>
                <w:rFonts w:eastAsia="Aptos" w:cs="Times New Roman"/>
                <w:sz w:val="20"/>
                <w:szCs w:val="20"/>
              </w:rPr>
              <w:t>1596</w:t>
            </w:r>
          </w:p>
        </w:tc>
        <w:tc>
          <w:tcPr>
            <w:tcW w:w="1036" w:type="dxa"/>
            <w:noWrap/>
            <w:vAlign w:val="center"/>
            <w:hideMark/>
          </w:tcPr>
          <w:p w:rsidRPr="00782FA6" w:rsidR="00DB248A" w:rsidP="00DB248A" w:rsidRDefault="00DB248A" w14:paraId="7C288D4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D844D1A" w14:textId="3405982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AC0110B" w14:textId="477E25FE">
            <w:pPr>
              <w:spacing w:line="240" w:lineRule="auto"/>
              <w:ind w:firstLine="0"/>
              <w:rPr>
                <w:rFonts w:eastAsia="Aptos" w:cs="Times New Roman"/>
                <w:sz w:val="20"/>
                <w:szCs w:val="20"/>
              </w:rPr>
            </w:pPr>
            <w:proofErr w:type="spellStart"/>
            <w:r w:rsidRPr="00782FA6">
              <w:rPr>
                <w:rFonts w:eastAsia="Aptos" w:cs="Times New Roman"/>
                <w:sz w:val="20"/>
                <w:szCs w:val="20"/>
              </w:rPr>
              <w:t>ipSBS</w:t>
            </w:r>
            <w:proofErr w:type="spellEnd"/>
            <w:r w:rsidRPr="00782FA6">
              <w:rPr>
                <w:rFonts w:eastAsia="Aptos" w:cs="Times New Roman"/>
                <w:sz w:val="20"/>
                <w:szCs w:val="20"/>
              </w:rPr>
              <w:t xml:space="preserve"> Managed Services, LLC</w:t>
            </w:r>
          </w:p>
        </w:tc>
      </w:tr>
      <w:tr w:rsidRPr="00782FA6" w:rsidR="00DB248A" w:rsidTr="00E52317" w14:paraId="37FF64EB" w14:textId="77777777">
        <w:trPr>
          <w:trHeight w:val="300"/>
        </w:trPr>
        <w:tc>
          <w:tcPr>
            <w:tcW w:w="1170" w:type="dxa"/>
            <w:noWrap/>
            <w:vAlign w:val="center"/>
            <w:hideMark/>
          </w:tcPr>
          <w:p w:rsidRPr="00782FA6" w:rsidR="00DB248A" w:rsidP="00DB248A" w:rsidRDefault="00DB248A" w14:paraId="412DA9AE" w14:textId="77777777">
            <w:pPr>
              <w:spacing w:line="240" w:lineRule="auto"/>
              <w:ind w:firstLine="0"/>
              <w:jc w:val="center"/>
              <w:rPr>
                <w:rFonts w:eastAsia="Aptos" w:cs="Times New Roman"/>
                <w:sz w:val="20"/>
                <w:szCs w:val="20"/>
              </w:rPr>
            </w:pPr>
            <w:r w:rsidRPr="00782FA6">
              <w:rPr>
                <w:rFonts w:eastAsia="Aptos" w:cs="Times New Roman"/>
                <w:sz w:val="20"/>
                <w:szCs w:val="20"/>
              </w:rPr>
              <w:t>1597</w:t>
            </w:r>
          </w:p>
        </w:tc>
        <w:tc>
          <w:tcPr>
            <w:tcW w:w="1036" w:type="dxa"/>
            <w:noWrap/>
            <w:vAlign w:val="center"/>
            <w:hideMark/>
          </w:tcPr>
          <w:p w:rsidRPr="00782FA6" w:rsidR="00DB248A" w:rsidP="00DB248A" w:rsidRDefault="00DB248A" w14:paraId="0FD3411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8382616" w14:textId="1B5B63D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675EBA0" w14:textId="678EB164">
            <w:pPr>
              <w:spacing w:line="240" w:lineRule="auto"/>
              <w:ind w:firstLine="0"/>
              <w:rPr>
                <w:rFonts w:eastAsia="Aptos" w:cs="Times New Roman"/>
                <w:sz w:val="20"/>
                <w:szCs w:val="20"/>
              </w:rPr>
            </w:pPr>
            <w:r w:rsidRPr="00782FA6">
              <w:rPr>
                <w:rFonts w:eastAsia="Aptos" w:cs="Times New Roman"/>
                <w:sz w:val="20"/>
                <w:szCs w:val="20"/>
              </w:rPr>
              <w:t>IGEM Communications LLC</w:t>
            </w:r>
          </w:p>
        </w:tc>
      </w:tr>
      <w:tr w:rsidRPr="00782FA6" w:rsidR="00DB248A" w:rsidTr="00E52317" w14:paraId="5895B5C8" w14:textId="77777777">
        <w:trPr>
          <w:trHeight w:val="300"/>
        </w:trPr>
        <w:tc>
          <w:tcPr>
            <w:tcW w:w="1170" w:type="dxa"/>
            <w:noWrap/>
            <w:vAlign w:val="center"/>
            <w:hideMark/>
          </w:tcPr>
          <w:p w:rsidRPr="00782FA6" w:rsidR="00DB248A" w:rsidP="00DB248A" w:rsidRDefault="00DB248A" w14:paraId="5BCF662F" w14:textId="77777777">
            <w:pPr>
              <w:spacing w:line="240" w:lineRule="auto"/>
              <w:ind w:firstLine="0"/>
              <w:jc w:val="center"/>
              <w:rPr>
                <w:rFonts w:eastAsia="Aptos" w:cs="Times New Roman"/>
                <w:sz w:val="20"/>
                <w:szCs w:val="20"/>
              </w:rPr>
            </w:pPr>
            <w:r w:rsidRPr="00782FA6">
              <w:rPr>
                <w:rFonts w:eastAsia="Aptos" w:cs="Times New Roman"/>
                <w:sz w:val="20"/>
                <w:szCs w:val="20"/>
              </w:rPr>
              <w:t>1598</w:t>
            </w:r>
          </w:p>
        </w:tc>
        <w:tc>
          <w:tcPr>
            <w:tcW w:w="1036" w:type="dxa"/>
            <w:noWrap/>
            <w:vAlign w:val="center"/>
            <w:hideMark/>
          </w:tcPr>
          <w:p w:rsidRPr="00782FA6" w:rsidR="00DB248A" w:rsidP="00DB248A" w:rsidRDefault="00DB248A" w14:paraId="3E8FF89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CAE0A5E" w14:textId="59DC9A7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44142DA" w14:textId="4D1A1540">
            <w:pPr>
              <w:spacing w:line="240" w:lineRule="auto"/>
              <w:ind w:firstLine="0"/>
              <w:rPr>
                <w:rFonts w:eastAsia="Aptos" w:cs="Times New Roman"/>
                <w:sz w:val="20"/>
                <w:szCs w:val="20"/>
              </w:rPr>
            </w:pPr>
            <w:proofErr w:type="spellStart"/>
            <w:r w:rsidRPr="00782FA6">
              <w:rPr>
                <w:rFonts w:eastAsia="Aptos" w:cs="Times New Roman"/>
                <w:sz w:val="20"/>
                <w:szCs w:val="20"/>
              </w:rPr>
              <w:t>Simwood</w:t>
            </w:r>
            <w:proofErr w:type="spellEnd"/>
            <w:r w:rsidRPr="00782FA6">
              <w:rPr>
                <w:rFonts w:eastAsia="Aptos" w:cs="Times New Roman"/>
                <w:sz w:val="20"/>
                <w:szCs w:val="20"/>
              </w:rPr>
              <w:t>, Inc.</w:t>
            </w:r>
          </w:p>
        </w:tc>
      </w:tr>
      <w:tr w:rsidRPr="00782FA6" w:rsidR="00DB248A" w:rsidTr="00E52317" w14:paraId="7A27DD9A" w14:textId="77777777">
        <w:trPr>
          <w:trHeight w:val="300"/>
        </w:trPr>
        <w:tc>
          <w:tcPr>
            <w:tcW w:w="1170" w:type="dxa"/>
            <w:noWrap/>
            <w:vAlign w:val="center"/>
            <w:hideMark/>
          </w:tcPr>
          <w:p w:rsidRPr="00782FA6" w:rsidR="00DB248A" w:rsidP="00DB248A" w:rsidRDefault="00DB248A" w14:paraId="026B8C88" w14:textId="77777777">
            <w:pPr>
              <w:spacing w:line="240" w:lineRule="auto"/>
              <w:ind w:firstLine="0"/>
              <w:jc w:val="center"/>
              <w:rPr>
                <w:rFonts w:eastAsia="Aptos" w:cs="Times New Roman"/>
                <w:sz w:val="20"/>
                <w:szCs w:val="20"/>
              </w:rPr>
            </w:pPr>
            <w:r w:rsidRPr="00782FA6">
              <w:rPr>
                <w:rFonts w:eastAsia="Aptos" w:cs="Times New Roman"/>
                <w:sz w:val="20"/>
                <w:szCs w:val="20"/>
              </w:rPr>
              <w:t>1599</w:t>
            </w:r>
          </w:p>
        </w:tc>
        <w:tc>
          <w:tcPr>
            <w:tcW w:w="1036" w:type="dxa"/>
            <w:noWrap/>
            <w:vAlign w:val="center"/>
            <w:hideMark/>
          </w:tcPr>
          <w:p w:rsidRPr="00782FA6" w:rsidR="00DB248A" w:rsidP="00DB248A" w:rsidRDefault="00DB248A" w14:paraId="72FAECD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1B02145" w14:textId="4013D32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F5CA6C3" w14:textId="3BD0BB59">
            <w:pPr>
              <w:spacing w:line="240" w:lineRule="auto"/>
              <w:ind w:firstLine="0"/>
              <w:rPr>
                <w:rFonts w:eastAsia="Aptos" w:cs="Times New Roman"/>
                <w:sz w:val="20"/>
                <w:szCs w:val="20"/>
              </w:rPr>
            </w:pPr>
            <w:r w:rsidRPr="00782FA6">
              <w:rPr>
                <w:rFonts w:eastAsia="Aptos" w:cs="Times New Roman"/>
                <w:sz w:val="20"/>
                <w:szCs w:val="20"/>
              </w:rPr>
              <w:t>Smart City Networks, Limited Partnership</w:t>
            </w:r>
          </w:p>
        </w:tc>
      </w:tr>
      <w:tr w:rsidRPr="00782FA6" w:rsidR="00DB248A" w:rsidTr="00E52317" w14:paraId="575650EE" w14:textId="77777777">
        <w:trPr>
          <w:trHeight w:val="300"/>
        </w:trPr>
        <w:tc>
          <w:tcPr>
            <w:tcW w:w="1170" w:type="dxa"/>
            <w:noWrap/>
            <w:vAlign w:val="center"/>
            <w:hideMark/>
          </w:tcPr>
          <w:p w:rsidRPr="00782FA6" w:rsidR="00DB248A" w:rsidP="00DB248A" w:rsidRDefault="00DB248A" w14:paraId="666D4FBC" w14:textId="77777777">
            <w:pPr>
              <w:spacing w:line="240" w:lineRule="auto"/>
              <w:ind w:firstLine="0"/>
              <w:jc w:val="center"/>
              <w:rPr>
                <w:rFonts w:eastAsia="Aptos" w:cs="Times New Roman"/>
                <w:sz w:val="20"/>
                <w:szCs w:val="20"/>
              </w:rPr>
            </w:pPr>
            <w:r w:rsidRPr="00782FA6">
              <w:rPr>
                <w:rFonts w:eastAsia="Aptos" w:cs="Times New Roman"/>
                <w:sz w:val="20"/>
                <w:szCs w:val="20"/>
              </w:rPr>
              <w:t>1602</w:t>
            </w:r>
          </w:p>
        </w:tc>
        <w:tc>
          <w:tcPr>
            <w:tcW w:w="1036" w:type="dxa"/>
            <w:noWrap/>
            <w:vAlign w:val="center"/>
            <w:hideMark/>
          </w:tcPr>
          <w:p w:rsidRPr="00782FA6" w:rsidR="00DB248A" w:rsidP="00DB248A" w:rsidRDefault="00DB248A" w14:paraId="0A98C3A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DA8175C" w14:textId="3EB7257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195B349" w14:textId="6CF92908">
            <w:pPr>
              <w:spacing w:line="240" w:lineRule="auto"/>
              <w:ind w:firstLine="0"/>
              <w:rPr>
                <w:rFonts w:eastAsia="Aptos" w:cs="Times New Roman"/>
                <w:sz w:val="20"/>
                <w:szCs w:val="20"/>
              </w:rPr>
            </w:pPr>
            <w:r w:rsidRPr="00782FA6">
              <w:rPr>
                <w:rFonts w:eastAsia="Aptos" w:cs="Times New Roman"/>
                <w:sz w:val="20"/>
                <w:szCs w:val="20"/>
              </w:rPr>
              <w:t>TTM communications, Inc.</w:t>
            </w:r>
          </w:p>
        </w:tc>
      </w:tr>
      <w:tr w:rsidRPr="00782FA6" w:rsidR="00DB248A" w:rsidTr="00E52317" w14:paraId="0EE0200E" w14:textId="77777777">
        <w:trPr>
          <w:trHeight w:val="300"/>
        </w:trPr>
        <w:tc>
          <w:tcPr>
            <w:tcW w:w="1170" w:type="dxa"/>
            <w:noWrap/>
            <w:vAlign w:val="center"/>
            <w:hideMark/>
          </w:tcPr>
          <w:p w:rsidRPr="00782FA6" w:rsidR="00DB248A" w:rsidP="00DB248A" w:rsidRDefault="00DB248A" w14:paraId="256BA550" w14:textId="77777777">
            <w:pPr>
              <w:spacing w:line="240" w:lineRule="auto"/>
              <w:ind w:firstLine="0"/>
              <w:jc w:val="center"/>
              <w:rPr>
                <w:rFonts w:eastAsia="Aptos" w:cs="Times New Roman"/>
                <w:sz w:val="20"/>
                <w:szCs w:val="20"/>
              </w:rPr>
            </w:pPr>
            <w:r w:rsidRPr="00782FA6">
              <w:rPr>
                <w:rFonts w:eastAsia="Aptos" w:cs="Times New Roman"/>
                <w:sz w:val="20"/>
                <w:szCs w:val="20"/>
              </w:rPr>
              <w:t>1603</w:t>
            </w:r>
          </w:p>
        </w:tc>
        <w:tc>
          <w:tcPr>
            <w:tcW w:w="1036" w:type="dxa"/>
            <w:noWrap/>
            <w:vAlign w:val="center"/>
            <w:hideMark/>
          </w:tcPr>
          <w:p w:rsidRPr="00782FA6" w:rsidR="00DB248A" w:rsidP="00DB248A" w:rsidRDefault="00DB248A" w14:paraId="2DB1A24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2C2E3D4" w14:textId="77259CE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2ABBB84" w14:textId="2494FD37">
            <w:pPr>
              <w:spacing w:line="240" w:lineRule="auto"/>
              <w:ind w:firstLine="0"/>
              <w:rPr>
                <w:rFonts w:eastAsia="Aptos" w:cs="Times New Roman"/>
                <w:sz w:val="20"/>
                <w:szCs w:val="20"/>
              </w:rPr>
            </w:pPr>
            <w:r w:rsidRPr="00782FA6">
              <w:rPr>
                <w:rFonts w:eastAsia="Aptos" w:cs="Times New Roman"/>
                <w:sz w:val="20"/>
                <w:szCs w:val="20"/>
              </w:rPr>
              <w:t>Konica Minolta Business Solutions U.S.A, Inc.</w:t>
            </w:r>
          </w:p>
        </w:tc>
      </w:tr>
      <w:tr w:rsidRPr="00782FA6" w:rsidR="00DB248A" w:rsidTr="00E52317" w14:paraId="4EC60480" w14:textId="77777777">
        <w:trPr>
          <w:trHeight w:val="300"/>
        </w:trPr>
        <w:tc>
          <w:tcPr>
            <w:tcW w:w="1170" w:type="dxa"/>
            <w:noWrap/>
            <w:vAlign w:val="center"/>
            <w:hideMark/>
          </w:tcPr>
          <w:p w:rsidRPr="00782FA6" w:rsidR="00DB248A" w:rsidP="00DB248A" w:rsidRDefault="00DB248A" w14:paraId="473A76D4" w14:textId="77777777">
            <w:pPr>
              <w:spacing w:line="240" w:lineRule="auto"/>
              <w:ind w:firstLine="0"/>
              <w:jc w:val="center"/>
              <w:rPr>
                <w:rFonts w:eastAsia="Aptos" w:cs="Times New Roman"/>
                <w:sz w:val="20"/>
                <w:szCs w:val="20"/>
              </w:rPr>
            </w:pPr>
            <w:r w:rsidRPr="00782FA6">
              <w:rPr>
                <w:rFonts w:eastAsia="Aptos" w:cs="Times New Roman"/>
                <w:sz w:val="20"/>
                <w:szCs w:val="20"/>
              </w:rPr>
              <w:t>1604</w:t>
            </w:r>
          </w:p>
        </w:tc>
        <w:tc>
          <w:tcPr>
            <w:tcW w:w="1036" w:type="dxa"/>
            <w:noWrap/>
            <w:vAlign w:val="center"/>
            <w:hideMark/>
          </w:tcPr>
          <w:p w:rsidRPr="00782FA6" w:rsidR="00DB248A" w:rsidP="00DB248A" w:rsidRDefault="00DB248A" w14:paraId="28ED704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AC72812" w14:textId="56FD61B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7F8C4F5" w14:textId="09AADC03">
            <w:pPr>
              <w:spacing w:line="240" w:lineRule="auto"/>
              <w:ind w:firstLine="0"/>
              <w:rPr>
                <w:rFonts w:eastAsia="Aptos" w:cs="Times New Roman"/>
                <w:sz w:val="20"/>
                <w:szCs w:val="20"/>
              </w:rPr>
            </w:pPr>
            <w:r w:rsidRPr="00782FA6">
              <w:rPr>
                <w:rFonts w:eastAsia="Aptos" w:cs="Times New Roman"/>
                <w:sz w:val="20"/>
                <w:szCs w:val="20"/>
              </w:rPr>
              <w:t>HD Carrier LLC</w:t>
            </w:r>
          </w:p>
        </w:tc>
      </w:tr>
      <w:tr w:rsidRPr="00782FA6" w:rsidR="00DB248A" w:rsidTr="00E52317" w14:paraId="08E4F8C8" w14:textId="77777777">
        <w:trPr>
          <w:trHeight w:val="300"/>
        </w:trPr>
        <w:tc>
          <w:tcPr>
            <w:tcW w:w="1170" w:type="dxa"/>
            <w:noWrap/>
            <w:vAlign w:val="center"/>
            <w:hideMark/>
          </w:tcPr>
          <w:p w:rsidRPr="00782FA6" w:rsidR="00DB248A" w:rsidP="00DB248A" w:rsidRDefault="00DB248A" w14:paraId="1DA77779" w14:textId="77777777">
            <w:pPr>
              <w:spacing w:line="240" w:lineRule="auto"/>
              <w:ind w:firstLine="0"/>
              <w:jc w:val="center"/>
              <w:rPr>
                <w:rFonts w:eastAsia="Aptos" w:cs="Times New Roman"/>
                <w:sz w:val="20"/>
                <w:szCs w:val="20"/>
              </w:rPr>
            </w:pPr>
            <w:r w:rsidRPr="00782FA6">
              <w:rPr>
                <w:rFonts w:eastAsia="Aptos" w:cs="Times New Roman"/>
                <w:sz w:val="20"/>
                <w:szCs w:val="20"/>
              </w:rPr>
              <w:t>1605</w:t>
            </w:r>
          </w:p>
        </w:tc>
        <w:tc>
          <w:tcPr>
            <w:tcW w:w="1036" w:type="dxa"/>
            <w:noWrap/>
            <w:vAlign w:val="center"/>
            <w:hideMark/>
          </w:tcPr>
          <w:p w:rsidRPr="00782FA6" w:rsidR="00DB248A" w:rsidP="00DB248A" w:rsidRDefault="00DB248A" w14:paraId="3C9F0FA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86900C8" w14:textId="50E933A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D29854A" w14:textId="4559283A">
            <w:pPr>
              <w:spacing w:line="240" w:lineRule="auto"/>
              <w:ind w:firstLine="0"/>
              <w:rPr>
                <w:rFonts w:eastAsia="Aptos" w:cs="Times New Roman"/>
                <w:sz w:val="20"/>
                <w:szCs w:val="20"/>
              </w:rPr>
            </w:pPr>
            <w:proofErr w:type="spellStart"/>
            <w:r w:rsidRPr="00782FA6">
              <w:rPr>
                <w:rFonts w:eastAsia="Aptos" w:cs="Times New Roman"/>
                <w:sz w:val="20"/>
                <w:szCs w:val="20"/>
              </w:rPr>
              <w:t>Ednetics</w:t>
            </w:r>
            <w:proofErr w:type="spellEnd"/>
            <w:r w:rsidRPr="00782FA6">
              <w:rPr>
                <w:rFonts w:eastAsia="Aptos" w:cs="Times New Roman"/>
                <w:sz w:val="20"/>
                <w:szCs w:val="20"/>
              </w:rPr>
              <w:t>, Inc.</w:t>
            </w:r>
          </w:p>
        </w:tc>
      </w:tr>
      <w:tr w:rsidRPr="00782FA6" w:rsidR="00DB248A" w:rsidTr="00E52317" w14:paraId="3F8D4B7B" w14:textId="77777777">
        <w:trPr>
          <w:trHeight w:val="300"/>
        </w:trPr>
        <w:tc>
          <w:tcPr>
            <w:tcW w:w="1170" w:type="dxa"/>
            <w:noWrap/>
            <w:vAlign w:val="center"/>
            <w:hideMark/>
          </w:tcPr>
          <w:p w:rsidRPr="00782FA6" w:rsidR="00DB248A" w:rsidP="00DB248A" w:rsidRDefault="00DB248A" w14:paraId="5328D271" w14:textId="77777777">
            <w:pPr>
              <w:spacing w:line="240" w:lineRule="auto"/>
              <w:ind w:firstLine="0"/>
              <w:jc w:val="center"/>
              <w:rPr>
                <w:rFonts w:eastAsia="Aptos" w:cs="Times New Roman"/>
                <w:sz w:val="20"/>
                <w:szCs w:val="20"/>
              </w:rPr>
            </w:pPr>
            <w:r w:rsidRPr="00782FA6">
              <w:rPr>
                <w:rFonts w:eastAsia="Aptos" w:cs="Times New Roman"/>
                <w:sz w:val="20"/>
                <w:szCs w:val="20"/>
              </w:rPr>
              <w:t>1606</w:t>
            </w:r>
          </w:p>
        </w:tc>
        <w:tc>
          <w:tcPr>
            <w:tcW w:w="1036" w:type="dxa"/>
            <w:noWrap/>
            <w:vAlign w:val="center"/>
            <w:hideMark/>
          </w:tcPr>
          <w:p w:rsidRPr="00782FA6" w:rsidR="00DB248A" w:rsidP="00DB248A" w:rsidRDefault="00DB248A" w14:paraId="601E255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D915146" w14:textId="5BBF346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F8AA6AF" w14:textId="3F4FA59D">
            <w:pPr>
              <w:spacing w:line="240" w:lineRule="auto"/>
              <w:ind w:firstLine="0"/>
              <w:rPr>
                <w:rFonts w:eastAsia="Aptos" w:cs="Times New Roman"/>
                <w:sz w:val="20"/>
                <w:szCs w:val="20"/>
              </w:rPr>
            </w:pPr>
            <w:r w:rsidRPr="00782FA6">
              <w:rPr>
                <w:rFonts w:eastAsia="Aptos" w:cs="Times New Roman"/>
                <w:sz w:val="20"/>
                <w:szCs w:val="20"/>
              </w:rPr>
              <w:t>TCE Company, Inc.</w:t>
            </w:r>
          </w:p>
        </w:tc>
      </w:tr>
      <w:tr w:rsidRPr="00782FA6" w:rsidR="00DB248A" w:rsidTr="00E52317" w14:paraId="7EAEAAC8" w14:textId="77777777">
        <w:trPr>
          <w:trHeight w:val="300"/>
        </w:trPr>
        <w:tc>
          <w:tcPr>
            <w:tcW w:w="1170" w:type="dxa"/>
            <w:noWrap/>
            <w:vAlign w:val="center"/>
            <w:hideMark/>
          </w:tcPr>
          <w:p w:rsidRPr="00782FA6" w:rsidR="00DB248A" w:rsidP="00DB248A" w:rsidRDefault="00DB248A" w14:paraId="2A9596F6" w14:textId="77777777">
            <w:pPr>
              <w:spacing w:line="240" w:lineRule="auto"/>
              <w:ind w:firstLine="0"/>
              <w:jc w:val="center"/>
              <w:rPr>
                <w:rFonts w:eastAsia="Aptos" w:cs="Times New Roman"/>
                <w:sz w:val="20"/>
                <w:szCs w:val="20"/>
              </w:rPr>
            </w:pPr>
            <w:r w:rsidRPr="00782FA6">
              <w:rPr>
                <w:rFonts w:eastAsia="Aptos" w:cs="Times New Roman"/>
                <w:sz w:val="20"/>
                <w:szCs w:val="20"/>
              </w:rPr>
              <w:t>1607</w:t>
            </w:r>
          </w:p>
        </w:tc>
        <w:tc>
          <w:tcPr>
            <w:tcW w:w="1036" w:type="dxa"/>
            <w:noWrap/>
            <w:vAlign w:val="center"/>
            <w:hideMark/>
          </w:tcPr>
          <w:p w:rsidRPr="00782FA6" w:rsidR="00DB248A" w:rsidP="00DB248A" w:rsidRDefault="00DB248A" w14:paraId="47CD16B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A4CE6C6" w14:textId="13F95AF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1ED1890" w14:textId="7AE7D114">
            <w:pPr>
              <w:spacing w:line="240" w:lineRule="auto"/>
              <w:ind w:firstLine="0"/>
              <w:rPr>
                <w:rFonts w:eastAsia="Aptos" w:cs="Times New Roman"/>
                <w:sz w:val="20"/>
                <w:szCs w:val="20"/>
              </w:rPr>
            </w:pPr>
            <w:r w:rsidRPr="00782FA6">
              <w:rPr>
                <w:rFonts w:eastAsia="Aptos" w:cs="Times New Roman"/>
                <w:sz w:val="20"/>
                <w:szCs w:val="20"/>
              </w:rPr>
              <w:t>VB Cloud Communications LLC</w:t>
            </w:r>
          </w:p>
        </w:tc>
      </w:tr>
      <w:tr w:rsidRPr="00782FA6" w:rsidR="00DB248A" w:rsidTr="00E52317" w14:paraId="47C5C272" w14:textId="77777777">
        <w:trPr>
          <w:trHeight w:val="300"/>
        </w:trPr>
        <w:tc>
          <w:tcPr>
            <w:tcW w:w="1170" w:type="dxa"/>
            <w:noWrap/>
            <w:vAlign w:val="center"/>
            <w:hideMark/>
          </w:tcPr>
          <w:p w:rsidRPr="00782FA6" w:rsidR="00DB248A" w:rsidP="00DB248A" w:rsidRDefault="00DB248A" w14:paraId="0DDAC427" w14:textId="77777777">
            <w:pPr>
              <w:spacing w:line="240" w:lineRule="auto"/>
              <w:ind w:firstLine="0"/>
              <w:jc w:val="center"/>
              <w:rPr>
                <w:rFonts w:eastAsia="Aptos" w:cs="Times New Roman"/>
                <w:sz w:val="20"/>
                <w:szCs w:val="20"/>
              </w:rPr>
            </w:pPr>
            <w:r w:rsidRPr="00782FA6">
              <w:rPr>
                <w:rFonts w:eastAsia="Aptos" w:cs="Times New Roman"/>
                <w:sz w:val="20"/>
                <w:szCs w:val="20"/>
              </w:rPr>
              <w:t>1608</w:t>
            </w:r>
          </w:p>
        </w:tc>
        <w:tc>
          <w:tcPr>
            <w:tcW w:w="1036" w:type="dxa"/>
            <w:noWrap/>
            <w:vAlign w:val="center"/>
            <w:hideMark/>
          </w:tcPr>
          <w:p w:rsidRPr="00782FA6" w:rsidR="00DB248A" w:rsidP="00DB248A" w:rsidRDefault="00DB248A" w14:paraId="1CA3CBA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F723F45" w14:textId="6A62AD8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2C7D9EC" w14:textId="633E132B">
            <w:pPr>
              <w:spacing w:line="240" w:lineRule="auto"/>
              <w:ind w:firstLine="0"/>
              <w:rPr>
                <w:rFonts w:eastAsia="Aptos" w:cs="Times New Roman"/>
                <w:sz w:val="20"/>
                <w:szCs w:val="20"/>
              </w:rPr>
            </w:pPr>
            <w:r w:rsidRPr="00782FA6">
              <w:rPr>
                <w:rFonts w:eastAsia="Aptos" w:cs="Times New Roman"/>
                <w:sz w:val="20"/>
                <w:szCs w:val="20"/>
              </w:rPr>
              <w:t>Innovative Telephone and Data Solutions, LLC</w:t>
            </w:r>
          </w:p>
        </w:tc>
      </w:tr>
      <w:tr w:rsidRPr="00782FA6" w:rsidR="00DB248A" w:rsidTr="00E52317" w14:paraId="47C625A5" w14:textId="77777777">
        <w:trPr>
          <w:trHeight w:val="300"/>
        </w:trPr>
        <w:tc>
          <w:tcPr>
            <w:tcW w:w="1170" w:type="dxa"/>
            <w:noWrap/>
            <w:vAlign w:val="center"/>
            <w:hideMark/>
          </w:tcPr>
          <w:p w:rsidRPr="00782FA6" w:rsidR="00DB248A" w:rsidP="00DB248A" w:rsidRDefault="00DB248A" w14:paraId="08C15DCB" w14:textId="77777777">
            <w:pPr>
              <w:spacing w:line="240" w:lineRule="auto"/>
              <w:ind w:firstLine="0"/>
              <w:jc w:val="center"/>
              <w:rPr>
                <w:rFonts w:eastAsia="Aptos" w:cs="Times New Roman"/>
                <w:sz w:val="20"/>
                <w:szCs w:val="20"/>
              </w:rPr>
            </w:pPr>
            <w:r w:rsidRPr="00782FA6">
              <w:rPr>
                <w:rFonts w:eastAsia="Aptos" w:cs="Times New Roman"/>
                <w:sz w:val="20"/>
                <w:szCs w:val="20"/>
              </w:rPr>
              <w:t>1609</w:t>
            </w:r>
          </w:p>
        </w:tc>
        <w:tc>
          <w:tcPr>
            <w:tcW w:w="1036" w:type="dxa"/>
            <w:noWrap/>
            <w:vAlign w:val="center"/>
            <w:hideMark/>
          </w:tcPr>
          <w:p w:rsidRPr="00782FA6" w:rsidR="00DB248A" w:rsidP="00DB248A" w:rsidRDefault="00DB248A" w14:paraId="7D37E81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2D204D4" w14:textId="45FB62E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4CEE4A3" w14:textId="3CF2346D">
            <w:pPr>
              <w:spacing w:line="240" w:lineRule="auto"/>
              <w:ind w:firstLine="0"/>
              <w:rPr>
                <w:rFonts w:eastAsia="Aptos" w:cs="Times New Roman"/>
                <w:sz w:val="20"/>
                <w:szCs w:val="20"/>
              </w:rPr>
            </w:pPr>
            <w:proofErr w:type="spellStart"/>
            <w:r w:rsidRPr="00782FA6">
              <w:rPr>
                <w:rFonts w:eastAsia="Aptos" w:cs="Times New Roman"/>
                <w:sz w:val="20"/>
                <w:szCs w:val="20"/>
              </w:rPr>
              <w:t>BlueCloud</w:t>
            </w:r>
            <w:proofErr w:type="spellEnd"/>
            <w:r w:rsidRPr="00782FA6">
              <w:rPr>
                <w:rFonts w:eastAsia="Aptos" w:cs="Times New Roman"/>
                <w:sz w:val="20"/>
                <w:szCs w:val="20"/>
              </w:rPr>
              <w:t xml:space="preserve"> Communications LLC</w:t>
            </w:r>
          </w:p>
        </w:tc>
      </w:tr>
      <w:tr w:rsidRPr="00782FA6" w:rsidR="00DB248A" w:rsidTr="00E52317" w14:paraId="057CB9CC" w14:textId="77777777">
        <w:trPr>
          <w:trHeight w:val="300"/>
        </w:trPr>
        <w:tc>
          <w:tcPr>
            <w:tcW w:w="1170" w:type="dxa"/>
            <w:noWrap/>
            <w:vAlign w:val="center"/>
            <w:hideMark/>
          </w:tcPr>
          <w:p w:rsidRPr="00782FA6" w:rsidR="00DB248A" w:rsidP="00DB248A" w:rsidRDefault="00DB248A" w14:paraId="179F07B5" w14:textId="77777777">
            <w:pPr>
              <w:spacing w:line="240" w:lineRule="auto"/>
              <w:ind w:firstLine="0"/>
              <w:jc w:val="center"/>
              <w:rPr>
                <w:rFonts w:eastAsia="Aptos" w:cs="Times New Roman"/>
                <w:sz w:val="20"/>
                <w:szCs w:val="20"/>
              </w:rPr>
            </w:pPr>
            <w:r w:rsidRPr="00782FA6">
              <w:rPr>
                <w:rFonts w:eastAsia="Aptos" w:cs="Times New Roman"/>
                <w:sz w:val="20"/>
                <w:szCs w:val="20"/>
              </w:rPr>
              <w:t>1610</w:t>
            </w:r>
          </w:p>
        </w:tc>
        <w:tc>
          <w:tcPr>
            <w:tcW w:w="1036" w:type="dxa"/>
            <w:noWrap/>
            <w:vAlign w:val="center"/>
            <w:hideMark/>
          </w:tcPr>
          <w:p w:rsidRPr="00782FA6" w:rsidR="00DB248A" w:rsidP="00DB248A" w:rsidRDefault="00DB248A" w14:paraId="4AF7704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60CD723" w14:textId="573DFF5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19B8FF1" w14:textId="3E0FFA94">
            <w:pPr>
              <w:spacing w:line="240" w:lineRule="auto"/>
              <w:ind w:firstLine="0"/>
              <w:rPr>
                <w:rFonts w:eastAsia="Aptos" w:cs="Times New Roman"/>
                <w:sz w:val="20"/>
                <w:szCs w:val="20"/>
              </w:rPr>
            </w:pPr>
            <w:r w:rsidRPr="00782FA6">
              <w:rPr>
                <w:rFonts w:eastAsia="Aptos" w:cs="Times New Roman"/>
                <w:sz w:val="20"/>
                <w:szCs w:val="20"/>
              </w:rPr>
              <w:t>One Ring Networks Inc</w:t>
            </w:r>
          </w:p>
        </w:tc>
      </w:tr>
      <w:tr w:rsidRPr="00782FA6" w:rsidR="00DB248A" w:rsidTr="00E52317" w14:paraId="71E9BC83" w14:textId="77777777">
        <w:trPr>
          <w:trHeight w:val="300"/>
        </w:trPr>
        <w:tc>
          <w:tcPr>
            <w:tcW w:w="1170" w:type="dxa"/>
            <w:noWrap/>
            <w:vAlign w:val="center"/>
            <w:hideMark/>
          </w:tcPr>
          <w:p w:rsidRPr="00782FA6" w:rsidR="00DB248A" w:rsidP="00DB248A" w:rsidRDefault="00DB248A" w14:paraId="1CF08215" w14:textId="77777777">
            <w:pPr>
              <w:spacing w:line="240" w:lineRule="auto"/>
              <w:ind w:firstLine="0"/>
              <w:jc w:val="center"/>
              <w:rPr>
                <w:rFonts w:eastAsia="Aptos" w:cs="Times New Roman"/>
                <w:sz w:val="20"/>
                <w:szCs w:val="20"/>
              </w:rPr>
            </w:pPr>
            <w:r w:rsidRPr="00782FA6">
              <w:rPr>
                <w:rFonts w:eastAsia="Aptos" w:cs="Times New Roman"/>
                <w:sz w:val="20"/>
                <w:szCs w:val="20"/>
              </w:rPr>
              <w:t>1611</w:t>
            </w:r>
          </w:p>
        </w:tc>
        <w:tc>
          <w:tcPr>
            <w:tcW w:w="1036" w:type="dxa"/>
            <w:noWrap/>
            <w:vAlign w:val="center"/>
            <w:hideMark/>
          </w:tcPr>
          <w:p w:rsidRPr="00782FA6" w:rsidR="00DB248A" w:rsidP="00DB248A" w:rsidRDefault="00DB248A" w14:paraId="51BB113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D24302F" w14:textId="2EF99EC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090E7B8" w14:textId="35A60540">
            <w:pPr>
              <w:spacing w:line="240" w:lineRule="auto"/>
              <w:ind w:firstLine="0"/>
              <w:rPr>
                <w:rFonts w:eastAsia="Aptos" w:cs="Times New Roman"/>
                <w:sz w:val="20"/>
                <w:szCs w:val="20"/>
              </w:rPr>
            </w:pPr>
            <w:r w:rsidRPr="00782FA6">
              <w:rPr>
                <w:rFonts w:eastAsia="Aptos" w:cs="Times New Roman"/>
                <w:sz w:val="20"/>
                <w:szCs w:val="20"/>
              </w:rPr>
              <w:t>Maven IT, Inc.</w:t>
            </w:r>
          </w:p>
        </w:tc>
      </w:tr>
      <w:tr w:rsidRPr="00782FA6" w:rsidR="00DB248A" w:rsidTr="00E52317" w14:paraId="4D25E820" w14:textId="77777777">
        <w:trPr>
          <w:trHeight w:val="300"/>
        </w:trPr>
        <w:tc>
          <w:tcPr>
            <w:tcW w:w="1170" w:type="dxa"/>
            <w:noWrap/>
            <w:vAlign w:val="center"/>
            <w:hideMark/>
          </w:tcPr>
          <w:p w:rsidRPr="00782FA6" w:rsidR="00DB248A" w:rsidP="00DB248A" w:rsidRDefault="00DB248A" w14:paraId="2EF1F057" w14:textId="77777777">
            <w:pPr>
              <w:spacing w:line="240" w:lineRule="auto"/>
              <w:ind w:firstLine="0"/>
              <w:jc w:val="center"/>
              <w:rPr>
                <w:rFonts w:eastAsia="Aptos" w:cs="Times New Roman"/>
                <w:sz w:val="20"/>
                <w:szCs w:val="20"/>
              </w:rPr>
            </w:pPr>
            <w:r w:rsidRPr="00782FA6">
              <w:rPr>
                <w:rFonts w:eastAsia="Aptos" w:cs="Times New Roman"/>
                <w:sz w:val="20"/>
                <w:szCs w:val="20"/>
              </w:rPr>
              <w:t>1612</w:t>
            </w:r>
          </w:p>
        </w:tc>
        <w:tc>
          <w:tcPr>
            <w:tcW w:w="1036" w:type="dxa"/>
            <w:noWrap/>
            <w:vAlign w:val="center"/>
            <w:hideMark/>
          </w:tcPr>
          <w:p w:rsidRPr="00782FA6" w:rsidR="00DB248A" w:rsidP="00DB248A" w:rsidRDefault="00DB248A" w14:paraId="129E121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A839010" w14:textId="3A224E1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529106A" w14:textId="30593CF0">
            <w:pPr>
              <w:spacing w:line="240" w:lineRule="auto"/>
              <w:ind w:firstLine="0"/>
              <w:rPr>
                <w:rFonts w:eastAsia="Aptos" w:cs="Times New Roman"/>
                <w:sz w:val="20"/>
                <w:szCs w:val="20"/>
              </w:rPr>
            </w:pPr>
            <w:r w:rsidRPr="00782FA6">
              <w:rPr>
                <w:rFonts w:eastAsia="Aptos" w:cs="Times New Roman"/>
                <w:sz w:val="20"/>
                <w:szCs w:val="20"/>
              </w:rPr>
              <w:t>Virtual Technologies Group, Inc.</w:t>
            </w:r>
          </w:p>
        </w:tc>
      </w:tr>
      <w:tr w:rsidRPr="00782FA6" w:rsidR="00DB248A" w:rsidTr="00E52317" w14:paraId="5402387C" w14:textId="77777777">
        <w:trPr>
          <w:trHeight w:val="300"/>
        </w:trPr>
        <w:tc>
          <w:tcPr>
            <w:tcW w:w="1170" w:type="dxa"/>
            <w:noWrap/>
            <w:vAlign w:val="center"/>
            <w:hideMark/>
          </w:tcPr>
          <w:p w:rsidRPr="00782FA6" w:rsidR="00DB248A" w:rsidP="00DB248A" w:rsidRDefault="00DB248A" w14:paraId="4246F93A" w14:textId="77777777">
            <w:pPr>
              <w:spacing w:line="240" w:lineRule="auto"/>
              <w:ind w:firstLine="0"/>
              <w:jc w:val="center"/>
              <w:rPr>
                <w:rFonts w:eastAsia="Aptos" w:cs="Times New Roman"/>
                <w:sz w:val="20"/>
                <w:szCs w:val="20"/>
              </w:rPr>
            </w:pPr>
            <w:r w:rsidRPr="00782FA6">
              <w:rPr>
                <w:rFonts w:eastAsia="Aptos" w:cs="Times New Roman"/>
                <w:sz w:val="20"/>
                <w:szCs w:val="20"/>
              </w:rPr>
              <w:t>1613</w:t>
            </w:r>
          </w:p>
        </w:tc>
        <w:tc>
          <w:tcPr>
            <w:tcW w:w="1036" w:type="dxa"/>
            <w:noWrap/>
            <w:vAlign w:val="center"/>
            <w:hideMark/>
          </w:tcPr>
          <w:p w:rsidRPr="00782FA6" w:rsidR="00DB248A" w:rsidP="00DB248A" w:rsidRDefault="00DB248A" w14:paraId="37D40B9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7BC7348" w14:textId="1F58A39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CCDCB24" w14:textId="543A9D96">
            <w:pPr>
              <w:spacing w:line="240" w:lineRule="auto"/>
              <w:ind w:firstLine="0"/>
              <w:rPr>
                <w:rFonts w:eastAsia="Aptos" w:cs="Times New Roman"/>
                <w:sz w:val="20"/>
                <w:szCs w:val="20"/>
              </w:rPr>
            </w:pPr>
            <w:proofErr w:type="spellStart"/>
            <w:r w:rsidRPr="00782FA6">
              <w:rPr>
                <w:rFonts w:eastAsia="Aptos" w:cs="Times New Roman"/>
                <w:sz w:val="20"/>
                <w:szCs w:val="20"/>
              </w:rPr>
              <w:t>SimpliFone</w:t>
            </w:r>
            <w:proofErr w:type="spellEnd"/>
            <w:r w:rsidRPr="00782FA6">
              <w:rPr>
                <w:rFonts w:eastAsia="Aptos" w:cs="Times New Roman"/>
                <w:sz w:val="20"/>
                <w:szCs w:val="20"/>
              </w:rPr>
              <w:t>, Inc.</w:t>
            </w:r>
          </w:p>
        </w:tc>
      </w:tr>
      <w:tr w:rsidRPr="00782FA6" w:rsidR="00DB248A" w:rsidTr="00E52317" w14:paraId="6897E0CE" w14:textId="77777777">
        <w:trPr>
          <w:trHeight w:val="300"/>
        </w:trPr>
        <w:tc>
          <w:tcPr>
            <w:tcW w:w="1170" w:type="dxa"/>
            <w:noWrap/>
            <w:vAlign w:val="center"/>
            <w:hideMark/>
          </w:tcPr>
          <w:p w:rsidRPr="00782FA6" w:rsidR="00DB248A" w:rsidP="00DB248A" w:rsidRDefault="00DB248A" w14:paraId="743DC11D" w14:textId="77777777">
            <w:pPr>
              <w:spacing w:line="240" w:lineRule="auto"/>
              <w:ind w:firstLine="0"/>
              <w:jc w:val="center"/>
              <w:rPr>
                <w:rFonts w:eastAsia="Aptos" w:cs="Times New Roman"/>
                <w:sz w:val="20"/>
                <w:szCs w:val="20"/>
              </w:rPr>
            </w:pPr>
            <w:r w:rsidRPr="00782FA6">
              <w:rPr>
                <w:rFonts w:eastAsia="Aptos" w:cs="Times New Roman"/>
                <w:sz w:val="20"/>
                <w:szCs w:val="20"/>
              </w:rPr>
              <w:t>1614</w:t>
            </w:r>
          </w:p>
        </w:tc>
        <w:tc>
          <w:tcPr>
            <w:tcW w:w="1036" w:type="dxa"/>
            <w:noWrap/>
            <w:vAlign w:val="center"/>
            <w:hideMark/>
          </w:tcPr>
          <w:p w:rsidRPr="00782FA6" w:rsidR="00DB248A" w:rsidP="00DB248A" w:rsidRDefault="00DB248A" w14:paraId="00266E1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BA3C793" w14:textId="10CC33E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D5A7299" w14:textId="439F91A9">
            <w:pPr>
              <w:spacing w:line="240" w:lineRule="auto"/>
              <w:ind w:firstLine="0"/>
              <w:rPr>
                <w:rFonts w:eastAsia="Aptos" w:cs="Times New Roman"/>
                <w:sz w:val="20"/>
                <w:szCs w:val="20"/>
              </w:rPr>
            </w:pPr>
            <w:proofErr w:type="spellStart"/>
            <w:r w:rsidRPr="00782FA6">
              <w:rPr>
                <w:rFonts w:eastAsia="Aptos" w:cs="Times New Roman"/>
                <w:sz w:val="20"/>
                <w:szCs w:val="20"/>
              </w:rPr>
              <w:t>Essensys</w:t>
            </w:r>
            <w:proofErr w:type="spellEnd"/>
            <w:r w:rsidRPr="00782FA6">
              <w:rPr>
                <w:rFonts w:eastAsia="Aptos" w:cs="Times New Roman"/>
                <w:sz w:val="20"/>
                <w:szCs w:val="20"/>
              </w:rPr>
              <w:t>, Inc.</w:t>
            </w:r>
          </w:p>
        </w:tc>
      </w:tr>
      <w:tr w:rsidRPr="00782FA6" w:rsidR="00DB248A" w:rsidTr="00E52317" w14:paraId="3DA3A377" w14:textId="77777777">
        <w:trPr>
          <w:trHeight w:val="300"/>
        </w:trPr>
        <w:tc>
          <w:tcPr>
            <w:tcW w:w="1170" w:type="dxa"/>
            <w:noWrap/>
            <w:vAlign w:val="center"/>
            <w:hideMark/>
          </w:tcPr>
          <w:p w:rsidRPr="00782FA6" w:rsidR="00DB248A" w:rsidP="00DB248A" w:rsidRDefault="00DB248A" w14:paraId="25983AC5" w14:textId="77777777">
            <w:pPr>
              <w:spacing w:line="240" w:lineRule="auto"/>
              <w:ind w:firstLine="0"/>
              <w:jc w:val="center"/>
              <w:rPr>
                <w:rFonts w:eastAsia="Aptos" w:cs="Times New Roman"/>
                <w:sz w:val="20"/>
                <w:szCs w:val="20"/>
              </w:rPr>
            </w:pPr>
            <w:r w:rsidRPr="00782FA6">
              <w:rPr>
                <w:rFonts w:eastAsia="Aptos" w:cs="Times New Roman"/>
                <w:sz w:val="20"/>
                <w:szCs w:val="20"/>
              </w:rPr>
              <w:t>1615</w:t>
            </w:r>
          </w:p>
        </w:tc>
        <w:tc>
          <w:tcPr>
            <w:tcW w:w="1036" w:type="dxa"/>
            <w:noWrap/>
            <w:vAlign w:val="center"/>
            <w:hideMark/>
          </w:tcPr>
          <w:p w:rsidRPr="00782FA6" w:rsidR="00DB248A" w:rsidP="00DB248A" w:rsidRDefault="00DB248A" w14:paraId="5C135BA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DE03334" w14:textId="56E1697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DB0D9F5" w14:textId="352C41AC">
            <w:pPr>
              <w:spacing w:line="240" w:lineRule="auto"/>
              <w:ind w:firstLine="0"/>
              <w:rPr>
                <w:rFonts w:eastAsia="Aptos" w:cs="Times New Roman"/>
                <w:sz w:val="20"/>
                <w:szCs w:val="20"/>
              </w:rPr>
            </w:pPr>
            <w:proofErr w:type="spellStart"/>
            <w:r w:rsidRPr="00782FA6">
              <w:rPr>
                <w:rFonts w:eastAsia="Aptos" w:cs="Times New Roman"/>
                <w:sz w:val="20"/>
                <w:szCs w:val="20"/>
              </w:rPr>
              <w:t>ComDirect</w:t>
            </w:r>
            <w:proofErr w:type="spellEnd"/>
            <w:r w:rsidRPr="00782FA6">
              <w:rPr>
                <w:rFonts w:eastAsia="Aptos" w:cs="Times New Roman"/>
                <w:sz w:val="20"/>
                <w:szCs w:val="20"/>
              </w:rPr>
              <w:t>, Inc.</w:t>
            </w:r>
          </w:p>
        </w:tc>
      </w:tr>
      <w:tr w:rsidRPr="00782FA6" w:rsidR="00DB248A" w:rsidTr="00E52317" w14:paraId="36B3E586" w14:textId="77777777">
        <w:trPr>
          <w:trHeight w:val="300"/>
        </w:trPr>
        <w:tc>
          <w:tcPr>
            <w:tcW w:w="1170" w:type="dxa"/>
            <w:noWrap/>
            <w:vAlign w:val="center"/>
            <w:hideMark/>
          </w:tcPr>
          <w:p w:rsidRPr="00782FA6" w:rsidR="00DB248A" w:rsidP="00DB248A" w:rsidRDefault="00DB248A" w14:paraId="49C2F175" w14:textId="77777777">
            <w:pPr>
              <w:spacing w:line="240" w:lineRule="auto"/>
              <w:ind w:firstLine="0"/>
              <w:jc w:val="center"/>
              <w:rPr>
                <w:rFonts w:eastAsia="Aptos" w:cs="Times New Roman"/>
                <w:sz w:val="20"/>
                <w:szCs w:val="20"/>
              </w:rPr>
            </w:pPr>
            <w:r w:rsidRPr="00782FA6">
              <w:rPr>
                <w:rFonts w:eastAsia="Aptos" w:cs="Times New Roman"/>
                <w:sz w:val="20"/>
                <w:szCs w:val="20"/>
              </w:rPr>
              <w:t>1616</w:t>
            </w:r>
          </w:p>
        </w:tc>
        <w:tc>
          <w:tcPr>
            <w:tcW w:w="1036" w:type="dxa"/>
            <w:noWrap/>
            <w:vAlign w:val="center"/>
            <w:hideMark/>
          </w:tcPr>
          <w:p w:rsidRPr="00782FA6" w:rsidR="00DB248A" w:rsidP="00DB248A" w:rsidRDefault="00DB248A" w14:paraId="56B5FE8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0F622E0" w14:textId="607AA19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EF35A64" w14:textId="1D195C49">
            <w:pPr>
              <w:spacing w:line="240" w:lineRule="auto"/>
              <w:ind w:firstLine="0"/>
              <w:rPr>
                <w:rFonts w:eastAsia="Aptos" w:cs="Times New Roman"/>
                <w:sz w:val="20"/>
                <w:szCs w:val="20"/>
              </w:rPr>
            </w:pPr>
            <w:r w:rsidRPr="00782FA6">
              <w:rPr>
                <w:rFonts w:eastAsia="Aptos" w:cs="Times New Roman"/>
                <w:sz w:val="20"/>
                <w:szCs w:val="20"/>
              </w:rPr>
              <w:t>Hamilton Long Distance Company</w:t>
            </w:r>
          </w:p>
        </w:tc>
      </w:tr>
      <w:tr w:rsidRPr="00782FA6" w:rsidR="00DB248A" w:rsidTr="00E52317" w14:paraId="347F5255" w14:textId="77777777">
        <w:trPr>
          <w:trHeight w:val="300"/>
        </w:trPr>
        <w:tc>
          <w:tcPr>
            <w:tcW w:w="1170" w:type="dxa"/>
            <w:noWrap/>
            <w:vAlign w:val="center"/>
            <w:hideMark/>
          </w:tcPr>
          <w:p w:rsidRPr="00782FA6" w:rsidR="00DB248A" w:rsidP="00DB248A" w:rsidRDefault="00DB248A" w14:paraId="2E79175A" w14:textId="77777777">
            <w:pPr>
              <w:spacing w:line="240" w:lineRule="auto"/>
              <w:ind w:firstLine="0"/>
              <w:jc w:val="center"/>
              <w:rPr>
                <w:rFonts w:eastAsia="Aptos" w:cs="Times New Roman"/>
                <w:sz w:val="20"/>
                <w:szCs w:val="20"/>
              </w:rPr>
            </w:pPr>
            <w:r w:rsidRPr="00782FA6">
              <w:rPr>
                <w:rFonts w:eastAsia="Aptos" w:cs="Times New Roman"/>
                <w:sz w:val="20"/>
                <w:szCs w:val="20"/>
              </w:rPr>
              <w:t>1618</w:t>
            </w:r>
          </w:p>
        </w:tc>
        <w:tc>
          <w:tcPr>
            <w:tcW w:w="1036" w:type="dxa"/>
            <w:noWrap/>
            <w:vAlign w:val="center"/>
            <w:hideMark/>
          </w:tcPr>
          <w:p w:rsidRPr="00782FA6" w:rsidR="00DB248A" w:rsidP="00DB248A" w:rsidRDefault="00DB248A" w14:paraId="7681B11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8679BB0" w14:textId="025D54A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8736737" w14:textId="2DA4DAB8">
            <w:pPr>
              <w:spacing w:line="240" w:lineRule="auto"/>
              <w:ind w:firstLine="0"/>
              <w:rPr>
                <w:rFonts w:eastAsia="Aptos" w:cs="Times New Roman"/>
                <w:sz w:val="20"/>
                <w:szCs w:val="20"/>
              </w:rPr>
            </w:pPr>
            <w:r w:rsidRPr="00782FA6">
              <w:rPr>
                <w:rFonts w:eastAsia="Aptos" w:cs="Times New Roman"/>
                <w:sz w:val="20"/>
                <w:szCs w:val="20"/>
              </w:rPr>
              <w:t>2600Hz, Inc.</w:t>
            </w:r>
          </w:p>
        </w:tc>
      </w:tr>
      <w:tr w:rsidRPr="00782FA6" w:rsidR="00DB248A" w:rsidTr="00E52317" w14:paraId="007E10FF" w14:textId="77777777">
        <w:trPr>
          <w:trHeight w:val="300"/>
        </w:trPr>
        <w:tc>
          <w:tcPr>
            <w:tcW w:w="1170" w:type="dxa"/>
            <w:noWrap/>
            <w:vAlign w:val="center"/>
            <w:hideMark/>
          </w:tcPr>
          <w:p w:rsidRPr="00782FA6" w:rsidR="00DB248A" w:rsidP="00DB248A" w:rsidRDefault="00DB248A" w14:paraId="13865B67" w14:textId="77777777">
            <w:pPr>
              <w:spacing w:line="240" w:lineRule="auto"/>
              <w:ind w:firstLine="0"/>
              <w:jc w:val="center"/>
              <w:rPr>
                <w:rFonts w:eastAsia="Aptos" w:cs="Times New Roman"/>
                <w:sz w:val="20"/>
                <w:szCs w:val="20"/>
              </w:rPr>
            </w:pPr>
            <w:r w:rsidRPr="00782FA6">
              <w:rPr>
                <w:rFonts w:eastAsia="Aptos" w:cs="Times New Roman"/>
                <w:sz w:val="20"/>
                <w:szCs w:val="20"/>
              </w:rPr>
              <w:t>1619</w:t>
            </w:r>
          </w:p>
        </w:tc>
        <w:tc>
          <w:tcPr>
            <w:tcW w:w="1036" w:type="dxa"/>
            <w:noWrap/>
            <w:vAlign w:val="center"/>
            <w:hideMark/>
          </w:tcPr>
          <w:p w:rsidRPr="00782FA6" w:rsidR="00DB248A" w:rsidP="00DB248A" w:rsidRDefault="00DB248A" w14:paraId="246D2DB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3E7CBA7" w14:textId="00013F5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B7EF71C" w14:textId="29CC766C">
            <w:pPr>
              <w:spacing w:line="240" w:lineRule="auto"/>
              <w:ind w:firstLine="0"/>
              <w:rPr>
                <w:rFonts w:eastAsia="Aptos" w:cs="Times New Roman"/>
                <w:sz w:val="20"/>
                <w:szCs w:val="20"/>
              </w:rPr>
            </w:pPr>
            <w:r w:rsidRPr="00782FA6">
              <w:rPr>
                <w:rFonts w:eastAsia="Aptos" w:cs="Times New Roman"/>
                <w:sz w:val="20"/>
                <w:szCs w:val="20"/>
              </w:rPr>
              <w:t>Vodafone US Inc.</w:t>
            </w:r>
          </w:p>
        </w:tc>
      </w:tr>
      <w:tr w:rsidRPr="00782FA6" w:rsidR="00DB248A" w:rsidTr="00E52317" w14:paraId="661A9471" w14:textId="77777777">
        <w:trPr>
          <w:trHeight w:val="300"/>
        </w:trPr>
        <w:tc>
          <w:tcPr>
            <w:tcW w:w="1170" w:type="dxa"/>
            <w:noWrap/>
            <w:vAlign w:val="center"/>
            <w:hideMark/>
          </w:tcPr>
          <w:p w:rsidRPr="00782FA6" w:rsidR="00DB248A" w:rsidP="00DB248A" w:rsidRDefault="00DB248A" w14:paraId="7F5EAF52" w14:textId="77777777">
            <w:pPr>
              <w:spacing w:line="240" w:lineRule="auto"/>
              <w:ind w:firstLine="0"/>
              <w:jc w:val="center"/>
              <w:rPr>
                <w:rFonts w:eastAsia="Aptos" w:cs="Times New Roman"/>
                <w:sz w:val="20"/>
                <w:szCs w:val="20"/>
              </w:rPr>
            </w:pPr>
            <w:r w:rsidRPr="00782FA6">
              <w:rPr>
                <w:rFonts w:eastAsia="Aptos" w:cs="Times New Roman"/>
                <w:sz w:val="20"/>
                <w:szCs w:val="20"/>
              </w:rPr>
              <w:t>1620</w:t>
            </w:r>
          </w:p>
        </w:tc>
        <w:tc>
          <w:tcPr>
            <w:tcW w:w="1036" w:type="dxa"/>
            <w:noWrap/>
            <w:vAlign w:val="center"/>
            <w:hideMark/>
          </w:tcPr>
          <w:p w:rsidRPr="00782FA6" w:rsidR="00DB248A" w:rsidP="00DB248A" w:rsidRDefault="00DB248A" w14:paraId="6E78CED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A039DCF" w14:textId="5DEAE88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BA391EE" w14:textId="0E7C84E9">
            <w:pPr>
              <w:spacing w:line="240" w:lineRule="auto"/>
              <w:ind w:firstLine="0"/>
              <w:rPr>
                <w:rFonts w:eastAsia="Aptos" w:cs="Times New Roman"/>
                <w:sz w:val="20"/>
                <w:szCs w:val="20"/>
              </w:rPr>
            </w:pPr>
            <w:proofErr w:type="spellStart"/>
            <w:r w:rsidRPr="00782FA6">
              <w:rPr>
                <w:rFonts w:eastAsia="Aptos" w:cs="Times New Roman"/>
                <w:sz w:val="20"/>
                <w:szCs w:val="20"/>
              </w:rPr>
              <w:t>QxC</w:t>
            </w:r>
            <w:proofErr w:type="spellEnd"/>
            <w:r w:rsidRPr="00782FA6">
              <w:rPr>
                <w:rFonts w:eastAsia="Aptos" w:cs="Times New Roman"/>
                <w:sz w:val="20"/>
                <w:szCs w:val="20"/>
              </w:rPr>
              <w:t xml:space="preserve"> Communications, Inc</w:t>
            </w:r>
          </w:p>
        </w:tc>
      </w:tr>
      <w:tr w:rsidRPr="00782FA6" w:rsidR="00DB248A" w:rsidTr="00E52317" w14:paraId="687839DD" w14:textId="77777777">
        <w:trPr>
          <w:trHeight w:val="300"/>
        </w:trPr>
        <w:tc>
          <w:tcPr>
            <w:tcW w:w="1170" w:type="dxa"/>
            <w:noWrap/>
            <w:vAlign w:val="center"/>
            <w:hideMark/>
          </w:tcPr>
          <w:p w:rsidRPr="00782FA6" w:rsidR="00DB248A" w:rsidP="00DB248A" w:rsidRDefault="00DB248A" w14:paraId="24BD8DDE" w14:textId="77777777">
            <w:pPr>
              <w:spacing w:line="240" w:lineRule="auto"/>
              <w:ind w:firstLine="0"/>
              <w:jc w:val="center"/>
              <w:rPr>
                <w:rFonts w:eastAsia="Aptos" w:cs="Times New Roman"/>
                <w:sz w:val="20"/>
                <w:szCs w:val="20"/>
              </w:rPr>
            </w:pPr>
            <w:r w:rsidRPr="00782FA6">
              <w:rPr>
                <w:rFonts w:eastAsia="Aptos" w:cs="Times New Roman"/>
                <w:sz w:val="20"/>
                <w:szCs w:val="20"/>
              </w:rPr>
              <w:lastRenderedPageBreak/>
              <w:t>1621</w:t>
            </w:r>
          </w:p>
        </w:tc>
        <w:tc>
          <w:tcPr>
            <w:tcW w:w="1036" w:type="dxa"/>
            <w:noWrap/>
            <w:vAlign w:val="center"/>
            <w:hideMark/>
          </w:tcPr>
          <w:p w:rsidRPr="00782FA6" w:rsidR="00DB248A" w:rsidP="00DB248A" w:rsidRDefault="00DB248A" w14:paraId="16F836D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88CB127" w14:textId="7BAD33D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B5BE078" w14:textId="57C9ECC2">
            <w:pPr>
              <w:spacing w:line="240" w:lineRule="auto"/>
              <w:ind w:firstLine="0"/>
              <w:rPr>
                <w:rFonts w:eastAsia="Aptos" w:cs="Times New Roman"/>
                <w:sz w:val="20"/>
                <w:szCs w:val="20"/>
              </w:rPr>
            </w:pPr>
            <w:r w:rsidRPr="00782FA6">
              <w:rPr>
                <w:rFonts w:eastAsia="Aptos" w:cs="Times New Roman"/>
                <w:sz w:val="20"/>
                <w:szCs w:val="20"/>
              </w:rPr>
              <w:t>Penny Family Corporation</w:t>
            </w:r>
          </w:p>
        </w:tc>
      </w:tr>
      <w:tr w:rsidRPr="00782FA6" w:rsidR="00DB248A" w:rsidTr="00E52317" w14:paraId="0D4F3D95" w14:textId="77777777">
        <w:trPr>
          <w:trHeight w:val="300"/>
        </w:trPr>
        <w:tc>
          <w:tcPr>
            <w:tcW w:w="1170" w:type="dxa"/>
            <w:noWrap/>
            <w:vAlign w:val="center"/>
            <w:hideMark/>
          </w:tcPr>
          <w:p w:rsidRPr="00782FA6" w:rsidR="00DB248A" w:rsidP="00DB248A" w:rsidRDefault="00DB248A" w14:paraId="6750CC84" w14:textId="77777777">
            <w:pPr>
              <w:spacing w:line="240" w:lineRule="auto"/>
              <w:ind w:firstLine="0"/>
              <w:jc w:val="center"/>
              <w:rPr>
                <w:rFonts w:eastAsia="Aptos" w:cs="Times New Roman"/>
                <w:sz w:val="20"/>
                <w:szCs w:val="20"/>
              </w:rPr>
            </w:pPr>
            <w:r w:rsidRPr="00782FA6">
              <w:rPr>
                <w:rFonts w:eastAsia="Aptos" w:cs="Times New Roman"/>
                <w:sz w:val="20"/>
                <w:szCs w:val="20"/>
              </w:rPr>
              <w:t>1622</w:t>
            </w:r>
          </w:p>
        </w:tc>
        <w:tc>
          <w:tcPr>
            <w:tcW w:w="1036" w:type="dxa"/>
            <w:noWrap/>
            <w:vAlign w:val="center"/>
            <w:hideMark/>
          </w:tcPr>
          <w:p w:rsidRPr="00782FA6" w:rsidR="00DB248A" w:rsidP="00DB248A" w:rsidRDefault="00DB248A" w14:paraId="21C2E01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26C5092" w14:textId="5D1A7A2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C1C6B30" w14:textId="48752DD6">
            <w:pPr>
              <w:spacing w:line="240" w:lineRule="auto"/>
              <w:ind w:firstLine="0"/>
              <w:rPr>
                <w:rFonts w:eastAsia="Aptos" w:cs="Times New Roman"/>
                <w:sz w:val="20"/>
                <w:szCs w:val="20"/>
              </w:rPr>
            </w:pPr>
            <w:r w:rsidRPr="00782FA6">
              <w:rPr>
                <w:rFonts w:eastAsia="Aptos" w:cs="Times New Roman"/>
                <w:sz w:val="20"/>
                <w:szCs w:val="20"/>
              </w:rPr>
              <w:t xml:space="preserve">Precision West </w:t>
            </w:r>
            <w:proofErr w:type="spellStart"/>
            <w:r w:rsidRPr="00782FA6">
              <w:rPr>
                <w:rFonts w:eastAsia="Aptos" w:cs="Times New Roman"/>
                <w:sz w:val="20"/>
                <w:szCs w:val="20"/>
              </w:rPr>
              <w:t>Telecomunications</w:t>
            </w:r>
            <w:proofErr w:type="spellEnd"/>
            <w:r w:rsidRPr="00782FA6">
              <w:rPr>
                <w:rFonts w:eastAsia="Aptos" w:cs="Times New Roman"/>
                <w:sz w:val="20"/>
                <w:szCs w:val="20"/>
              </w:rPr>
              <w:t>, Inc.</w:t>
            </w:r>
          </w:p>
        </w:tc>
      </w:tr>
      <w:tr w:rsidRPr="00782FA6" w:rsidR="00DB248A" w:rsidTr="00E52317" w14:paraId="3D9FD421" w14:textId="77777777">
        <w:trPr>
          <w:trHeight w:val="300"/>
        </w:trPr>
        <w:tc>
          <w:tcPr>
            <w:tcW w:w="1170" w:type="dxa"/>
            <w:noWrap/>
            <w:vAlign w:val="center"/>
            <w:hideMark/>
          </w:tcPr>
          <w:p w:rsidRPr="00782FA6" w:rsidR="00DB248A" w:rsidP="00DB248A" w:rsidRDefault="00DB248A" w14:paraId="33FA30E8" w14:textId="77777777">
            <w:pPr>
              <w:spacing w:line="240" w:lineRule="auto"/>
              <w:ind w:firstLine="0"/>
              <w:jc w:val="center"/>
              <w:rPr>
                <w:rFonts w:eastAsia="Aptos" w:cs="Times New Roman"/>
                <w:sz w:val="20"/>
                <w:szCs w:val="20"/>
              </w:rPr>
            </w:pPr>
            <w:r w:rsidRPr="00782FA6">
              <w:rPr>
                <w:rFonts w:eastAsia="Aptos" w:cs="Times New Roman"/>
                <w:sz w:val="20"/>
                <w:szCs w:val="20"/>
              </w:rPr>
              <w:t>1623</w:t>
            </w:r>
          </w:p>
        </w:tc>
        <w:tc>
          <w:tcPr>
            <w:tcW w:w="1036" w:type="dxa"/>
            <w:noWrap/>
            <w:vAlign w:val="center"/>
            <w:hideMark/>
          </w:tcPr>
          <w:p w:rsidRPr="00782FA6" w:rsidR="00DB248A" w:rsidP="00DB248A" w:rsidRDefault="00DB248A" w14:paraId="2032FB7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BA5955D" w14:textId="5F905B6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EE5CD22" w14:textId="205BC51C">
            <w:pPr>
              <w:spacing w:line="240" w:lineRule="auto"/>
              <w:ind w:firstLine="0"/>
              <w:rPr>
                <w:rFonts w:eastAsia="Aptos" w:cs="Times New Roman"/>
                <w:sz w:val="20"/>
                <w:szCs w:val="20"/>
              </w:rPr>
            </w:pPr>
            <w:r w:rsidRPr="00782FA6">
              <w:rPr>
                <w:rFonts w:eastAsia="Aptos" w:cs="Times New Roman"/>
                <w:sz w:val="20"/>
                <w:szCs w:val="20"/>
              </w:rPr>
              <w:t>Junction Cloud Connections, Inc.</w:t>
            </w:r>
          </w:p>
        </w:tc>
      </w:tr>
      <w:tr w:rsidRPr="00782FA6" w:rsidR="00DB248A" w:rsidTr="00E52317" w14:paraId="7271F005" w14:textId="77777777">
        <w:trPr>
          <w:trHeight w:val="300"/>
        </w:trPr>
        <w:tc>
          <w:tcPr>
            <w:tcW w:w="1170" w:type="dxa"/>
            <w:noWrap/>
            <w:vAlign w:val="center"/>
            <w:hideMark/>
          </w:tcPr>
          <w:p w:rsidRPr="00782FA6" w:rsidR="00DB248A" w:rsidP="00DB248A" w:rsidRDefault="00DB248A" w14:paraId="3799B800" w14:textId="77777777">
            <w:pPr>
              <w:spacing w:line="240" w:lineRule="auto"/>
              <w:ind w:firstLine="0"/>
              <w:jc w:val="center"/>
              <w:rPr>
                <w:rFonts w:eastAsia="Aptos" w:cs="Times New Roman"/>
                <w:sz w:val="20"/>
                <w:szCs w:val="20"/>
              </w:rPr>
            </w:pPr>
            <w:r w:rsidRPr="00782FA6">
              <w:rPr>
                <w:rFonts w:eastAsia="Aptos" w:cs="Times New Roman"/>
                <w:sz w:val="20"/>
                <w:szCs w:val="20"/>
              </w:rPr>
              <w:t>1624</w:t>
            </w:r>
          </w:p>
        </w:tc>
        <w:tc>
          <w:tcPr>
            <w:tcW w:w="1036" w:type="dxa"/>
            <w:noWrap/>
            <w:vAlign w:val="center"/>
            <w:hideMark/>
          </w:tcPr>
          <w:p w:rsidRPr="00782FA6" w:rsidR="00DB248A" w:rsidP="00DB248A" w:rsidRDefault="00DB248A" w14:paraId="1F34B2D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3F6DA61" w14:textId="1C768F5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3BCB519" w14:textId="1A601AF5">
            <w:pPr>
              <w:spacing w:line="240" w:lineRule="auto"/>
              <w:ind w:firstLine="0"/>
              <w:rPr>
                <w:rFonts w:eastAsia="Aptos" w:cs="Times New Roman"/>
                <w:sz w:val="20"/>
                <w:szCs w:val="20"/>
              </w:rPr>
            </w:pPr>
            <w:r w:rsidRPr="00782FA6">
              <w:rPr>
                <w:rFonts w:eastAsia="Aptos" w:cs="Times New Roman"/>
                <w:sz w:val="20"/>
                <w:szCs w:val="20"/>
              </w:rPr>
              <w:t>Vision Voice and Data Systems, LLC</w:t>
            </w:r>
          </w:p>
        </w:tc>
      </w:tr>
      <w:tr w:rsidRPr="00782FA6" w:rsidR="00DB248A" w:rsidTr="00E52317" w14:paraId="7CAB79AE" w14:textId="77777777">
        <w:trPr>
          <w:trHeight w:val="300"/>
        </w:trPr>
        <w:tc>
          <w:tcPr>
            <w:tcW w:w="1170" w:type="dxa"/>
            <w:noWrap/>
            <w:vAlign w:val="center"/>
            <w:hideMark/>
          </w:tcPr>
          <w:p w:rsidRPr="00782FA6" w:rsidR="00DB248A" w:rsidP="00DB248A" w:rsidRDefault="00DB248A" w14:paraId="1811E2D6" w14:textId="77777777">
            <w:pPr>
              <w:spacing w:line="240" w:lineRule="auto"/>
              <w:ind w:firstLine="0"/>
              <w:jc w:val="center"/>
              <w:rPr>
                <w:rFonts w:eastAsia="Aptos" w:cs="Times New Roman"/>
                <w:sz w:val="20"/>
                <w:szCs w:val="20"/>
              </w:rPr>
            </w:pPr>
            <w:r w:rsidRPr="00782FA6">
              <w:rPr>
                <w:rFonts w:eastAsia="Aptos" w:cs="Times New Roman"/>
                <w:sz w:val="20"/>
                <w:szCs w:val="20"/>
              </w:rPr>
              <w:t>1625</w:t>
            </w:r>
          </w:p>
        </w:tc>
        <w:tc>
          <w:tcPr>
            <w:tcW w:w="1036" w:type="dxa"/>
            <w:noWrap/>
            <w:vAlign w:val="center"/>
            <w:hideMark/>
          </w:tcPr>
          <w:p w:rsidRPr="00782FA6" w:rsidR="00DB248A" w:rsidP="00DB248A" w:rsidRDefault="00DB248A" w14:paraId="0137D85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A7FE3A8" w14:textId="7DD5498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672C4EA" w14:textId="6024AFFA">
            <w:pPr>
              <w:spacing w:line="240" w:lineRule="auto"/>
              <w:ind w:firstLine="0"/>
              <w:rPr>
                <w:rFonts w:eastAsia="Aptos" w:cs="Times New Roman"/>
                <w:sz w:val="20"/>
                <w:szCs w:val="20"/>
              </w:rPr>
            </w:pPr>
            <w:r w:rsidRPr="00782FA6">
              <w:rPr>
                <w:rFonts w:eastAsia="Aptos" w:cs="Times New Roman"/>
                <w:sz w:val="20"/>
                <w:szCs w:val="20"/>
              </w:rPr>
              <w:t>BT Voice, LLC</w:t>
            </w:r>
          </w:p>
        </w:tc>
      </w:tr>
      <w:tr w:rsidRPr="00782FA6" w:rsidR="00DB248A" w:rsidTr="00E52317" w14:paraId="433B34D8" w14:textId="77777777">
        <w:trPr>
          <w:trHeight w:val="300"/>
        </w:trPr>
        <w:tc>
          <w:tcPr>
            <w:tcW w:w="1170" w:type="dxa"/>
            <w:noWrap/>
            <w:vAlign w:val="center"/>
            <w:hideMark/>
          </w:tcPr>
          <w:p w:rsidRPr="00782FA6" w:rsidR="00DB248A" w:rsidP="00DB248A" w:rsidRDefault="00DB248A" w14:paraId="5967F9BA" w14:textId="77777777">
            <w:pPr>
              <w:spacing w:line="240" w:lineRule="auto"/>
              <w:ind w:firstLine="0"/>
              <w:jc w:val="center"/>
              <w:rPr>
                <w:rFonts w:eastAsia="Aptos" w:cs="Times New Roman"/>
                <w:sz w:val="20"/>
                <w:szCs w:val="20"/>
              </w:rPr>
            </w:pPr>
            <w:r w:rsidRPr="00782FA6">
              <w:rPr>
                <w:rFonts w:eastAsia="Aptos" w:cs="Times New Roman"/>
                <w:sz w:val="20"/>
                <w:szCs w:val="20"/>
              </w:rPr>
              <w:t>1626</w:t>
            </w:r>
          </w:p>
        </w:tc>
        <w:tc>
          <w:tcPr>
            <w:tcW w:w="1036" w:type="dxa"/>
            <w:noWrap/>
            <w:vAlign w:val="center"/>
            <w:hideMark/>
          </w:tcPr>
          <w:p w:rsidRPr="00782FA6" w:rsidR="00DB248A" w:rsidP="00DB248A" w:rsidRDefault="00DB248A" w14:paraId="04E4359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76911B8" w14:textId="0694FEF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1E93767" w14:textId="174D9C12">
            <w:pPr>
              <w:spacing w:line="240" w:lineRule="auto"/>
              <w:ind w:firstLine="0"/>
              <w:rPr>
                <w:rFonts w:eastAsia="Aptos" w:cs="Times New Roman"/>
                <w:sz w:val="20"/>
                <w:szCs w:val="20"/>
              </w:rPr>
            </w:pPr>
            <w:r w:rsidRPr="00782FA6">
              <w:rPr>
                <w:rFonts w:eastAsia="Aptos" w:cs="Times New Roman"/>
                <w:sz w:val="20"/>
                <w:szCs w:val="20"/>
              </w:rPr>
              <w:t>Unified Office, Inc.</w:t>
            </w:r>
          </w:p>
        </w:tc>
      </w:tr>
      <w:tr w:rsidRPr="00782FA6" w:rsidR="00DB248A" w:rsidTr="00E52317" w14:paraId="46E15F7E" w14:textId="77777777">
        <w:trPr>
          <w:trHeight w:val="300"/>
        </w:trPr>
        <w:tc>
          <w:tcPr>
            <w:tcW w:w="1170" w:type="dxa"/>
            <w:noWrap/>
            <w:vAlign w:val="center"/>
            <w:hideMark/>
          </w:tcPr>
          <w:p w:rsidRPr="00782FA6" w:rsidR="00DB248A" w:rsidP="00DB248A" w:rsidRDefault="00DB248A" w14:paraId="51671F3B" w14:textId="77777777">
            <w:pPr>
              <w:spacing w:line="240" w:lineRule="auto"/>
              <w:ind w:firstLine="0"/>
              <w:jc w:val="center"/>
              <w:rPr>
                <w:rFonts w:eastAsia="Aptos" w:cs="Times New Roman"/>
                <w:sz w:val="20"/>
                <w:szCs w:val="20"/>
              </w:rPr>
            </w:pPr>
            <w:r w:rsidRPr="00782FA6">
              <w:rPr>
                <w:rFonts w:eastAsia="Aptos" w:cs="Times New Roman"/>
                <w:sz w:val="20"/>
                <w:szCs w:val="20"/>
              </w:rPr>
              <w:t>1627</w:t>
            </w:r>
          </w:p>
        </w:tc>
        <w:tc>
          <w:tcPr>
            <w:tcW w:w="1036" w:type="dxa"/>
            <w:noWrap/>
            <w:vAlign w:val="center"/>
            <w:hideMark/>
          </w:tcPr>
          <w:p w:rsidRPr="00782FA6" w:rsidR="00DB248A" w:rsidP="00DB248A" w:rsidRDefault="00DB248A" w14:paraId="7C25EF5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582FE74" w14:textId="740726D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65B3BA3" w14:textId="34D975A5">
            <w:pPr>
              <w:spacing w:line="240" w:lineRule="auto"/>
              <w:ind w:firstLine="0"/>
              <w:rPr>
                <w:rFonts w:eastAsia="Aptos" w:cs="Times New Roman"/>
                <w:sz w:val="20"/>
                <w:szCs w:val="20"/>
              </w:rPr>
            </w:pPr>
            <w:proofErr w:type="spellStart"/>
            <w:r w:rsidRPr="00782FA6">
              <w:rPr>
                <w:rFonts w:eastAsia="Aptos" w:cs="Times New Roman"/>
                <w:sz w:val="20"/>
                <w:szCs w:val="20"/>
              </w:rPr>
              <w:t>ClearFuze</w:t>
            </w:r>
            <w:proofErr w:type="spellEnd"/>
            <w:r w:rsidRPr="00782FA6">
              <w:rPr>
                <w:rFonts w:eastAsia="Aptos" w:cs="Times New Roman"/>
                <w:sz w:val="20"/>
                <w:szCs w:val="20"/>
              </w:rPr>
              <w:t xml:space="preserve"> Networks, Inc.</w:t>
            </w:r>
          </w:p>
        </w:tc>
      </w:tr>
      <w:tr w:rsidRPr="00782FA6" w:rsidR="00DB248A" w:rsidTr="00E52317" w14:paraId="4765FB24" w14:textId="77777777">
        <w:trPr>
          <w:trHeight w:val="300"/>
        </w:trPr>
        <w:tc>
          <w:tcPr>
            <w:tcW w:w="1170" w:type="dxa"/>
            <w:noWrap/>
            <w:vAlign w:val="center"/>
            <w:hideMark/>
          </w:tcPr>
          <w:p w:rsidRPr="00782FA6" w:rsidR="00DB248A" w:rsidP="00DB248A" w:rsidRDefault="00DB248A" w14:paraId="4F1941FC" w14:textId="77777777">
            <w:pPr>
              <w:spacing w:line="240" w:lineRule="auto"/>
              <w:ind w:firstLine="0"/>
              <w:jc w:val="center"/>
              <w:rPr>
                <w:rFonts w:eastAsia="Aptos" w:cs="Times New Roman"/>
                <w:sz w:val="20"/>
                <w:szCs w:val="20"/>
              </w:rPr>
            </w:pPr>
            <w:r w:rsidRPr="00782FA6">
              <w:rPr>
                <w:rFonts w:eastAsia="Aptos" w:cs="Times New Roman"/>
                <w:sz w:val="20"/>
                <w:szCs w:val="20"/>
              </w:rPr>
              <w:t>1628</w:t>
            </w:r>
          </w:p>
        </w:tc>
        <w:tc>
          <w:tcPr>
            <w:tcW w:w="1036" w:type="dxa"/>
            <w:noWrap/>
            <w:vAlign w:val="center"/>
            <w:hideMark/>
          </w:tcPr>
          <w:p w:rsidRPr="00782FA6" w:rsidR="00DB248A" w:rsidP="00DB248A" w:rsidRDefault="00DB248A" w14:paraId="170538E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B58427E" w14:textId="457BCC5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E643C39" w14:textId="5D6874DE">
            <w:pPr>
              <w:spacing w:line="240" w:lineRule="auto"/>
              <w:ind w:firstLine="0"/>
              <w:rPr>
                <w:rFonts w:eastAsia="Aptos" w:cs="Times New Roman"/>
                <w:sz w:val="20"/>
                <w:szCs w:val="20"/>
              </w:rPr>
            </w:pPr>
            <w:r w:rsidRPr="00782FA6">
              <w:rPr>
                <w:rFonts w:eastAsia="Aptos" w:cs="Times New Roman"/>
                <w:sz w:val="20"/>
                <w:szCs w:val="20"/>
              </w:rPr>
              <w:t>U.S. South Communications, Inc</w:t>
            </w:r>
          </w:p>
        </w:tc>
      </w:tr>
      <w:tr w:rsidRPr="00782FA6" w:rsidR="00DB248A" w:rsidTr="00E52317" w14:paraId="23F94252" w14:textId="77777777">
        <w:trPr>
          <w:trHeight w:val="300"/>
        </w:trPr>
        <w:tc>
          <w:tcPr>
            <w:tcW w:w="1170" w:type="dxa"/>
            <w:noWrap/>
            <w:vAlign w:val="center"/>
            <w:hideMark/>
          </w:tcPr>
          <w:p w:rsidRPr="00782FA6" w:rsidR="00DB248A" w:rsidP="00DB248A" w:rsidRDefault="00DB248A" w14:paraId="2E607C88" w14:textId="77777777">
            <w:pPr>
              <w:spacing w:line="240" w:lineRule="auto"/>
              <w:ind w:firstLine="0"/>
              <w:jc w:val="center"/>
              <w:rPr>
                <w:rFonts w:eastAsia="Aptos" w:cs="Times New Roman"/>
                <w:sz w:val="20"/>
                <w:szCs w:val="20"/>
              </w:rPr>
            </w:pPr>
            <w:r w:rsidRPr="00782FA6">
              <w:rPr>
                <w:rFonts w:eastAsia="Aptos" w:cs="Times New Roman"/>
                <w:sz w:val="20"/>
                <w:szCs w:val="20"/>
              </w:rPr>
              <w:t>1629</w:t>
            </w:r>
          </w:p>
        </w:tc>
        <w:tc>
          <w:tcPr>
            <w:tcW w:w="1036" w:type="dxa"/>
            <w:noWrap/>
            <w:vAlign w:val="center"/>
            <w:hideMark/>
          </w:tcPr>
          <w:p w:rsidRPr="00782FA6" w:rsidR="00DB248A" w:rsidP="00DB248A" w:rsidRDefault="00DB248A" w14:paraId="469628D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37A0A04" w14:textId="7833AE7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9A90212" w14:textId="53FB8715">
            <w:pPr>
              <w:spacing w:line="240" w:lineRule="auto"/>
              <w:ind w:firstLine="0"/>
              <w:rPr>
                <w:rFonts w:eastAsia="Aptos" w:cs="Times New Roman"/>
                <w:sz w:val="20"/>
                <w:szCs w:val="20"/>
              </w:rPr>
            </w:pPr>
            <w:r w:rsidRPr="00782FA6">
              <w:rPr>
                <w:rFonts w:eastAsia="Aptos" w:cs="Times New Roman"/>
                <w:sz w:val="20"/>
                <w:szCs w:val="20"/>
              </w:rPr>
              <w:t>WIRED Telcom, LLC</w:t>
            </w:r>
          </w:p>
        </w:tc>
      </w:tr>
      <w:tr w:rsidRPr="00782FA6" w:rsidR="00DB248A" w:rsidTr="00E52317" w14:paraId="20E0282F" w14:textId="77777777">
        <w:trPr>
          <w:trHeight w:val="300"/>
        </w:trPr>
        <w:tc>
          <w:tcPr>
            <w:tcW w:w="1170" w:type="dxa"/>
            <w:noWrap/>
            <w:vAlign w:val="center"/>
            <w:hideMark/>
          </w:tcPr>
          <w:p w:rsidRPr="00782FA6" w:rsidR="00DB248A" w:rsidP="00DB248A" w:rsidRDefault="00DB248A" w14:paraId="2C721251" w14:textId="77777777">
            <w:pPr>
              <w:spacing w:line="240" w:lineRule="auto"/>
              <w:ind w:firstLine="0"/>
              <w:jc w:val="center"/>
              <w:rPr>
                <w:rFonts w:eastAsia="Aptos" w:cs="Times New Roman"/>
                <w:sz w:val="20"/>
                <w:szCs w:val="20"/>
              </w:rPr>
            </w:pPr>
            <w:r w:rsidRPr="00782FA6">
              <w:rPr>
                <w:rFonts w:eastAsia="Aptos" w:cs="Times New Roman"/>
                <w:sz w:val="20"/>
                <w:szCs w:val="20"/>
              </w:rPr>
              <w:t>1630</w:t>
            </w:r>
          </w:p>
        </w:tc>
        <w:tc>
          <w:tcPr>
            <w:tcW w:w="1036" w:type="dxa"/>
            <w:noWrap/>
            <w:vAlign w:val="center"/>
            <w:hideMark/>
          </w:tcPr>
          <w:p w:rsidRPr="00782FA6" w:rsidR="00DB248A" w:rsidP="00DB248A" w:rsidRDefault="00DB248A" w14:paraId="2F356EB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C42E1C0" w14:textId="5FE7B67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FE437CC" w14:textId="2BDF300B">
            <w:pPr>
              <w:spacing w:line="240" w:lineRule="auto"/>
              <w:ind w:firstLine="0"/>
              <w:rPr>
                <w:rFonts w:eastAsia="Aptos" w:cs="Times New Roman"/>
                <w:sz w:val="20"/>
                <w:szCs w:val="20"/>
              </w:rPr>
            </w:pPr>
            <w:r w:rsidRPr="00782FA6">
              <w:rPr>
                <w:rFonts w:eastAsia="Aptos" w:cs="Times New Roman"/>
                <w:sz w:val="20"/>
                <w:szCs w:val="20"/>
              </w:rPr>
              <w:t>Computer Technology Solutions, Inc.</w:t>
            </w:r>
          </w:p>
        </w:tc>
      </w:tr>
      <w:tr w:rsidRPr="00782FA6" w:rsidR="00DB248A" w:rsidTr="00E52317" w14:paraId="3B9347B7" w14:textId="77777777">
        <w:trPr>
          <w:trHeight w:val="300"/>
        </w:trPr>
        <w:tc>
          <w:tcPr>
            <w:tcW w:w="1170" w:type="dxa"/>
            <w:noWrap/>
            <w:vAlign w:val="center"/>
            <w:hideMark/>
          </w:tcPr>
          <w:p w:rsidRPr="00782FA6" w:rsidR="00DB248A" w:rsidP="00DB248A" w:rsidRDefault="00DB248A" w14:paraId="527265A5" w14:textId="77777777">
            <w:pPr>
              <w:spacing w:line="240" w:lineRule="auto"/>
              <w:ind w:firstLine="0"/>
              <w:jc w:val="center"/>
              <w:rPr>
                <w:rFonts w:eastAsia="Aptos" w:cs="Times New Roman"/>
                <w:sz w:val="20"/>
                <w:szCs w:val="20"/>
              </w:rPr>
            </w:pPr>
            <w:r w:rsidRPr="00782FA6">
              <w:rPr>
                <w:rFonts w:eastAsia="Aptos" w:cs="Times New Roman"/>
                <w:sz w:val="20"/>
                <w:szCs w:val="20"/>
              </w:rPr>
              <w:t>1631</w:t>
            </w:r>
          </w:p>
        </w:tc>
        <w:tc>
          <w:tcPr>
            <w:tcW w:w="1036" w:type="dxa"/>
            <w:noWrap/>
            <w:vAlign w:val="center"/>
            <w:hideMark/>
          </w:tcPr>
          <w:p w:rsidRPr="00782FA6" w:rsidR="00DB248A" w:rsidP="00DB248A" w:rsidRDefault="00DB248A" w14:paraId="09B24B3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4681674" w14:textId="1864591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7FCB335" w14:textId="1CDB4EBB">
            <w:pPr>
              <w:spacing w:line="240" w:lineRule="auto"/>
              <w:ind w:firstLine="0"/>
              <w:rPr>
                <w:rFonts w:eastAsia="Aptos" w:cs="Times New Roman"/>
                <w:sz w:val="20"/>
                <w:szCs w:val="20"/>
              </w:rPr>
            </w:pPr>
            <w:r w:rsidRPr="00782FA6">
              <w:rPr>
                <w:rFonts w:eastAsia="Aptos" w:cs="Times New Roman"/>
                <w:sz w:val="20"/>
                <w:szCs w:val="20"/>
              </w:rPr>
              <w:t>Magic Apple Technology, LLC</w:t>
            </w:r>
          </w:p>
        </w:tc>
      </w:tr>
      <w:tr w:rsidRPr="00782FA6" w:rsidR="00DB248A" w:rsidTr="00E52317" w14:paraId="3EB7EC32" w14:textId="77777777">
        <w:trPr>
          <w:trHeight w:val="300"/>
        </w:trPr>
        <w:tc>
          <w:tcPr>
            <w:tcW w:w="1170" w:type="dxa"/>
            <w:noWrap/>
            <w:vAlign w:val="center"/>
            <w:hideMark/>
          </w:tcPr>
          <w:p w:rsidRPr="00782FA6" w:rsidR="00DB248A" w:rsidP="00DB248A" w:rsidRDefault="00DB248A" w14:paraId="1C32FC31" w14:textId="77777777">
            <w:pPr>
              <w:spacing w:line="240" w:lineRule="auto"/>
              <w:ind w:firstLine="0"/>
              <w:jc w:val="center"/>
              <w:rPr>
                <w:rFonts w:eastAsia="Aptos" w:cs="Times New Roman"/>
                <w:sz w:val="20"/>
                <w:szCs w:val="20"/>
              </w:rPr>
            </w:pPr>
            <w:r w:rsidRPr="00782FA6">
              <w:rPr>
                <w:rFonts w:eastAsia="Aptos" w:cs="Times New Roman"/>
                <w:sz w:val="20"/>
                <w:szCs w:val="20"/>
              </w:rPr>
              <w:t>1632</w:t>
            </w:r>
          </w:p>
        </w:tc>
        <w:tc>
          <w:tcPr>
            <w:tcW w:w="1036" w:type="dxa"/>
            <w:noWrap/>
            <w:vAlign w:val="center"/>
            <w:hideMark/>
          </w:tcPr>
          <w:p w:rsidRPr="00782FA6" w:rsidR="00DB248A" w:rsidP="00DB248A" w:rsidRDefault="00DB248A" w14:paraId="6B01ACE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91B0D0A" w14:textId="5A03B43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A540B17" w14:textId="483234A9">
            <w:pPr>
              <w:spacing w:line="240" w:lineRule="auto"/>
              <w:ind w:firstLine="0"/>
              <w:rPr>
                <w:rFonts w:eastAsia="Aptos" w:cs="Times New Roman"/>
                <w:sz w:val="20"/>
                <w:szCs w:val="20"/>
              </w:rPr>
            </w:pPr>
            <w:proofErr w:type="spellStart"/>
            <w:r w:rsidRPr="00782FA6">
              <w:rPr>
                <w:rFonts w:eastAsia="Aptos" w:cs="Times New Roman"/>
                <w:sz w:val="20"/>
                <w:szCs w:val="20"/>
              </w:rPr>
              <w:t>VoIPX</w:t>
            </w:r>
            <w:proofErr w:type="spellEnd"/>
            <w:r w:rsidRPr="00782FA6">
              <w:rPr>
                <w:rFonts w:eastAsia="Aptos" w:cs="Times New Roman"/>
                <w:sz w:val="20"/>
                <w:szCs w:val="20"/>
              </w:rPr>
              <w:t xml:space="preserve"> International, Inc.</w:t>
            </w:r>
          </w:p>
        </w:tc>
      </w:tr>
      <w:tr w:rsidRPr="00782FA6" w:rsidR="00DB248A" w:rsidTr="00E52317" w14:paraId="2F5F1C88" w14:textId="77777777">
        <w:trPr>
          <w:trHeight w:val="300"/>
        </w:trPr>
        <w:tc>
          <w:tcPr>
            <w:tcW w:w="1170" w:type="dxa"/>
            <w:noWrap/>
            <w:vAlign w:val="center"/>
            <w:hideMark/>
          </w:tcPr>
          <w:p w:rsidRPr="00782FA6" w:rsidR="00DB248A" w:rsidP="00DB248A" w:rsidRDefault="00DB248A" w14:paraId="30ECFDE7" w14:textId="77777777">
            <w:pPr>
              <w:spacing w:line="240" w:lineRule="auto"/>
              <w:ind w:firstLine="0"/>
              <w:jc w:val="center"/>
              <w:rPr>
                <w:rFonts w:eastAsia="Aptos" w:cs="Times New Roman"/>
                <w:sz w:val="20"/>
                <w:szCs w:val="20"/>
              </w:rPr>
            </w:pPr>
            <w:r w:rsidRPr="00782FA6">
              <w:rPr>
                <w:rFonts w:eastAsia="Aptos" w:cs="Times New Roman"/>
                <w:sz w:val="20"/>
                <w:szCs w:val="20"/>
              </w:rPr>
              <w:t>1633</w:t>
            </w:r>
          </w:p>
        </w:tc>
        <w:tc>
          <w:tcPr>
            <w:tcW w:w="1036" w:type="dxa"/>
            <w:noWrap/>
            <w:vAlign w:val="center"/>
            <w:hideMark/>
          </w:tcPr>
          <w:p w:rsidRPr="00782FA6" w:rsidR="00DB248A" w:rsidP="00DB248A" w:rsidRDefault="00DB248A" w14:paraId="0ED5423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02B371C" w14:textId="79FDB9B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658F8EA" w14:textId="2DD003B6">
            <w:pPr>
              <w:spacing w:line="240" w:lineRule="auto"/>
              <w:ind w:firstLine="0"/>
              <w:rPr>
                <w:rFonts w:eastAsia="Aptos" w:cs="Times New Roman"/>
                <w:sz w:val="20"/>
                <w:szCs w:val="20"/>
              </w:rPr>
            </w:pPr>
            <w:r w:rsidRPr="00782FA6">
              <w:rPr>
                <w:rFonts w:eastAsia="Aptos" w:cs="Times New Roman"/>
                <w:sz w:val="20"/>
                <w:szCs w:val="20"/>
              </w:rPr>
              <w:t>Broadband Voice, LLC</w:t>
            </w:r>
          </w:p>
        </w:tc>
      </w:tr>
      <w:tr w:rsidRPr="00782FA6" w:rsidR="00DB248A" w:rsidTr="00E52317" w14:paraId="27A6961B" w14:textId="77777777">
        <w:trPr>
          <w:trHeight w:val="300"/>
        </w:trPr>
        <w:tc>
          <w:tcPr>
            <w:tcW w:w="1170" w:type="dxa"/>
            <w:noWrap/>
            <w:vAlign w:val="center"/>
            <w:hideMark/>
          </w:tcPr>
          <w:p w:rsidRPr="00782FA6" w:rsidR="00DB248A" w:rsidP="00DB248A" w:rsidRDefault="00DB248A" w14:paraId="6ED65EC7" w14:textId="77777777">
            <w:pPr>
              <w:spacing w:line="240" w:lineRule="auto"/>
              <w:ind w:firstLine="0"/>
              <w:jc w:val="center"/>
              <w:rPr>
                <w:rFonts w:eastAsia="Aptos" w:cs="Times New Roman"/>
                <w:sz w:val="20"/>
                <w:szCs w:val="20"/>
              </w:rPr>
            </w:pPr>
            <w:r w:rsidRPr="00782FA6">
              <w:rPr>
                <w:rFonts w:eastAsia="Aptos" w:cs="Times New Roman"/>
                <w:sz w:val="20"/>
                <w:szCs w:val="20"/>
              </w:rPr>
              <w:t>1634</w:t>
            </w:r>
          </w:p>
        </w:tc>
        <w:tc>
          <w:tcPr>
            <w:tcW w:w="1036" w:type="dxa"/>
            <w:noWrap/>
            <w:vAlign w:val="center"/>
            <w:hideMark/>
          </w:tcPr>
          <w:p w:rsidRPr="00782FA6" w:rsidR="00DB248A" w:rsidP="00DB248A" w:rsidRDefault="00DB248A" w14:paraId="30FEDC2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5AD6805" w14:textId="1AAC3CA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C5162C5" w14:textId="34EDE66B">
            <w:pPr>
              <w:spacing w:line="240" w:lineRule="auto"/>
              <w:ind w:firstLine="0"/>
              <w:rPr>
                <w:rFonts w:eastAsia="Aptos" w:cs="Times New Roman"/>
                <w:sz w:val="20"/>
                <w:szCs w:val="20"/>
              </w:rPr>
            </w:pPr>
            <w:proofErr w:type="spellStart"/>
            <w:r w:rsidRPr="00782FA6">
              <w:rPr>
                <w:rFonts w:eastAsia="Aptos" w:cs="Times New Roman"/>
                <w:sz w:val="20"/>
                <w:szCs w:val="20"/>
              </w:rPr>
              <w:t>ThinQ</w:t>
            </w:r>
            <w:proofErr w:type="spellEnd"/>
            <w:r w:rsidRPr="00782FA6">
              <w:rPr>
                <w:rFonts w:eastAsia="Aptos" w:cs="Times New Roman"/>
                <w:sz w:val="20"/>
                <w:szCs w:val="20"/>
              </w:rPr>
              <w:t xml:space="preserve"> Technologies, Inc.</w:t>
            </w:r>
          </w:p>
        </w:tc>
      </w:tr>
      <w:tr w:rsidRPr="00782FA6" w:rsidR="00DB248A" w:rsidTr="00E52317" w14:paraId="7FD08E1E" w14:textId="77777777">
        <w:trPr>
          <w:trHeight w:val="300"/>
        </w:trPr>
        <w:tc>
          <w:tcPr>
            <w:tcW w:w="1170" w:type="dxa"/>
            <w:noWrap/>
            <w:vAlign w:val="center"/>
            <w:hideMark/>
          </w:tcPr>
          <w:p w:rsidRPr="00782FA6" w:rsidR="00DB248A" w:rsidP="00DB248A" w:rsidRDefault="00DB248A" w14:paraId="3CD95350" w14:textId="77777777">
            <w:pPr>
              <w:spacing w:line="240" w:lineRule="auto"/>
              <w:ind w:firstLine="0"/>
              <w:jc w:val="center"/>
              <w:rPr>
                <w:rFonts w:eastAsia="Aptos" w:cs="Times New Roman"/>
                <w:sz w:val="20"/>
                <w:szCs w:val="20"/>
              </w:rPr>
            </w:pPr>
            <w:r w:rsidRPr="00782FA6">
              <w:rPr>
                <w:rFonts w:eastAsia="Aptos" w:cs="Times New Roman"/>
                <w:sz w:val="20"/>
                <w:szCs w:val="20"/>
              </w:rPr>
              <w:t>1635</w:t>
            </w:r>
          </w:p>
        </w:tc>
        <w:tc>
          <w:tcPr>
            <w:tcW w:w="1036" w:type="dxa"/>
            <w:noWrap/>
            <w:vAlign w:val="center"/>
            <w:hideMark/>
          </w:tcPr>
          <w:p w:rsidRPr="00782FA6" w:rsidR="00DB248A" w:rsidP="00DB248A" w:rsidRDefault="00DB248A" w14:paraId="785E052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51A6E75" w14:textId="1FCAB82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9F92C0C" w14:textId="087C56CB">
            <w:pPr>
              <w:spacing w:line="240" w:lineRule="auto"/>
              <w:ind w:firstLine="0"/>
              <w:rPr>
                <w:rFonts w:eastAsia="Aptos" w:cs="Times New Roman"/>
                <w:sz w:val="20"/>
                <w:szCs w:val="20"/>
              </w:rPr>
            </w:pPr>
            <w:proofErr w:type="spellStart"/>
            <w:r w:rsidRPr="00782FA6">
              <w:rPr>
                <w:rFonts w:eastAsia="Aptos" w:cs="Times New Roman"/>
                <w:sz w:val="20"/>
                <w:szCs w:val="20"/>
              </w:rPr>
              <w:t>VoIPLy</w:t>
            </w:r>
            <w:proofErr w:type="spellEnd"/>
            <w:r w:rsidRPr="00782FA6">
              <w:rPr>
                <w:rFonts w:eastAsia="Aptos" w:cs="Times New Roman"/>
                <w:sz w:val="20"/>
                <w:szCs w:val="20"/>
              </w:rPr>
              <w:t>, LLC</w:t>
            </w:r>
          </w:p>
        </w:tc>
      </w:tr>
      <w:tr w:rsidRPr="00782FA6" w:rsidR="00DB248A" w:rsidTr="00E52317" w14:paraId="10A93DC4" w14:textId="77777777">
        <w:trPr>
          <w:trHeight w:val="300"/>
        </w:trPr>
        <w:tc>
          <w:tcPr>
            <w:tcW w:w="1170" w:type="dxa"/>
            <w:noWrap/>
            <w:vAlign w:val="center"/>
            <w:hideMark/>
          </w:tcPr>
          <w:p w:rsidRPr="00782FA6" w:rsidR="00DB248A" w:rsidP="00DB248A" w:rsidRDefault="00DB248A" w14:paraId="7EE911CD" w14:textId="77777777">
            <w:pPr>
              <w:spacing w:line="240" w:lineRule="auto"/>
              <w:ind w:firstLine="0"/>
              <w:jc w:val="center"/>
              <w:rPr>
                <w:rFonts w:eastAsia="Aptos" w:cs="Times New Roman"/>
                <w:sz w:val="20"/>
                <w:szCs w:val="20"/>
              </w:rPr>
            </w:pPr>
            <w:r w:rsidRPr="00782FA6">
              <w:rPr>
                <w:rFonts w:eastAsia="Aptos" w:cs="Times New Roman"/>
                <w:sz w:val="20"/>
                <w:szCs w:val="20"/>
              </w:rPr>
              <w:t>1636</w:t>
            </w:r>
          </w:p>
        </w:tc>
        <w:tc>
          <w:tcPr>
            <w:tcW w:w="1036" w:type="dxa"/>
            <w:noWrap/>
            <w:vAlign w:val="center"/>
            <w:hideMark/>
          </w:tcPr>
          <w:p w:rsidRPr="00782FA6" w:rsidR="00DB248A" w:rsidP="00DB248A" w:rsidRDefault="00DB248A" w14:paraId="4E5CDDE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C24F67B" w14:textId="273684F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BB8FD0B" w14:textId="020C47A3">
            <w:pPr>
              <w:spacing w:line="240" w:lineRule="auto"/>
              <w:ind w:firstLine="0"/>
              <w:rPr>
                <w:rFonts w:eastAsia="Aptos" w:cs="Times New Roman"/>
                <w:sz w:val="20"/>
                <w:szCs w:val="20"/>
              </w:rPr>
            </w:pPr>
            <w:r w:rsidRPr="00782FA6">
              <w:rPr>
                <w:rFonts w:eastAsia="Aptos" w:cs="Times New Roman"/>
                <w:sz w:val="20"/>
                <w:szCs w:val="20"/>
              </w:rPr>
              <w:t>Noble Systems Communications LLC</w:t>
            </w:r>
          </w:p>
        </w:tc>
      </w:tr>
      <w:tr w:rsidRPr="00782FA6" w:rsidR="00DB248A" w:rsidTr="00E52317" w14:paraId="6F7859A1" w14:textId="77777777">
        <w:trPr>
          <w:trHeight w:val="300"/>
        </w:trPr>
        <w:tc>
          <w:tcPr>
            <w:tcW w:w="1170" w:type="dxa"/>
            <w:noWrap/>
            <w:vAlign w:val="center"/>
            <w:hideMark/>
          </w:tcPr>
          <w:p w:rsidRPr="00782FA6" w:rsidR="00DB248A" w:rsidP="00DB248A" w:rsidRDefault="00DB248A" w14:paraId="47B34B44" w14:textId="77777777">
            <w:pPr>
              <w:spacing w:line="240" w:lineRule="auto"/>
              <w:ind w:firstLine="0"/>
              <w:jc w:val="center"/>
              <w:rPr>
                <w:rFonts w:eastAsia="Aptos" w:cs="Times New Roman"/>
                <w:sz w:val="20"/>
                <w:szCs w:val="20"/>
              </w:rPr>
            </w:pPr>
            <w:r w:rsidRPr="00782FA6">
              <w:rPr>
                <w:rFonts w:eastAsia="Aptos" w:cs="Times New Roman"/>
                <w:sz w:val="20"/>
                <w:szCs w:val="20"/>
              </w:rPr>
              <w:t>1637</w:t>
            </w:r>
          </w:p>
        </w:tc>
        <w:tc>
          <w:tcPr>
            <w:tcW w:w="1036" w:type="dxa"/>
            <w:noWrap/>
            <w:vAlign w:val="center"/>
            <w:hideMark/>
          </w:tcPr>
          <w:p w:rsidRPr="00782FA6" w:rsidR="00DB248A" w:rsidP="00DB248A" w:rsidRDefault="00DB248A" w14:paraId="445B38F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67DEF1C" w14:textId="688BFCF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AA5E7BF" w14:textId="023D12DB">
            <w:pPr>
              <w:spacing w:line="240" w:lineRule="auto"/>
              <w:ind w:firstLine="0"/>
              <w:rPr>
                <w:rFonts w:eastAsia="Aptos" w:cs="Times New Roman"/>
                <w:sz w:val="20"/>
                <w:szCs w:val="20"/>
              </w:rPr>
            </w:pPr>
            <w:r w:rsidRPr="00782FA6">
              <w:rPr>
                <w:rFonts w:eastAsia="Aptos" w:cs="Times New Roman"/>
                <w:sz w:val="20"/>
                <w:szCs w:val="20"/>
              </w:rPr>
              <w:t>Ring</w:t>
            </w:r>
            <w:r w:rsidR="006951D5">
              <w:rPr>
                <w:rFonts w:eastAsia="Aptos" w:cs="Times New Roman"/>
                <w:sz w:val="20"/>
                <w:szCs w:val="20"/>
              </w:rPr>
              <w:noBreakHyphen/>
            </w:r>
            <w:r w:rsidRPr="00782FA6">
              <w:rPr>
                <w:rFonts w:eastAsia="Aptos" w:cs="Times New Roman"/>
                <w:sz w:val="20"/>
                <w:szCs w:val="20"/>
              </w:rPr>
              <w:t>U, LLC</w:t>
            </w:r>
          </w:p>
        </w:tc>
      </w:tr>
      <w:tr w:rsidRPr="00782FA6" w:rsidR="00DB248A" w:rsidTr="00E52317" w14:paraId="4704B710" w14:textId="77777777">
        <w:trPr>
          <w:trHeight w:val="300"/>
        </w:trPr>
        <w:tc>
          <w:tcPr>
            <w:tcW w:w="1170" w:type="dxa"/>
            <w:noWrap/>
            <w:vAlign w:val="center"/>
            <w:hideMark/>
          </w:tcPr>
          <w:p w:rsidRPr="00782FA6" w:rsidR="00DB248A" w:rsidP="00DB248A" w:rsidRDefault="00DB248A" w14:paraId="77135C5D" w14:textId="77777777">
            <w:pPr>
              <w:spacing w:line="240" w:lineRule="auto"/>
              <w:ind w:firstLine="0"/>
              <w:jc w:val="center"/>
              <w:rPr>
                <w:rFonts w:eastAsia="Aptos" w:cs="Times New Roman"/>
                <w:sz w:val="20"/>
                <w:szCs w:val="20"/>
              </w:rPr>
            </w:pPr>
            <w:r w:rsidRPr="00782FA6">
              <w:rPr>
                <w:rFonts w:eastAsia="Aptos" w:cs="Times New Roman"/>
                <w:sz w:val="20"/>
                <w:szCs w:val="20"/>
              </w:rPr>
              <w:t>1638</w:t>
            </w:r>
          </w:p>
        </w:tc>
        <w:tc>
          <w:tcPr>
            <w:tcW w:w="1036" w:type="dxa"/>
            <w:noWrap/>
            <w:vAlign w:val="center"/>
            <w:hideMark/>
          </w:tcPr>
          <w:p w:rsidRPr="00782FA6" w:rsidR="00DB248A" w:rsidP="00DB248A" w:rsidRDefault="00DB248A" w14:paraId="3CCB44C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4D712C5" w14:textId="0279D79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D19B2BF" w14:textId="784AB38D">
            <w:pPr>
              <w:spacing w:line="240" w:lineRule="auto"/>
              <w:ind w:firstLine="0"/>
              <w:rPr>
                <w:rFonts w:eastAsia="Aptos" w:cs="Times New Roman"/>
                <w:sz w:val="20"/>
                <w:szCs w:val="20"/>
              </w:rPr>
            </w:pPr>
            <w:r w:rsidRPr="00782FA6">
              <w:rPr>
                <w:rFonts w:eastAsia="Aptos" w:cs="Times New Roman"/>
                <w:sz w:val="20"/>
                <w:szCs w:val="20"/>
              </w:rPr>
              <w:t>No More PBX, LLC</w:t>
            </w:r>
          </w:p>
        </w:tc>
      </w:tr>
      <w:tr w:rsidRPr="00782FA6" w:rsidR="00DB248A" w:rsidTr="00E52317" w14:paraId="67899B11" w14:textId="77777777">
        <w:trPr>
          <w:trHeight w:val="300"/>
        </w:trPr>
        <w:tc>
          <w:tcPr>
            <w:tcW w:w="1170" w:type="dxa"/>
            <w:noWrap/>
            <w:vAlign w:val="center"/>
            <w:hideMark/>
          </w:tcPr>
          <w:p w:rsidRPr="00782FA6" w:rsidR="00DB248A" w:rsidP="00DB248A" w:rsidRDefault="00DB248A" w14:paraId="1AEFBC9A" w14:textId="77777777">
            <w:pPr>
              <w:spacing w:line="240" w:lineRule="auto"/>
              <w:ind w:firstLine="0"/>
              <w:jc w:val="center"/>
              <w:rPr>
                <w:rFonts w:eastAsia="Aptos" w:cs="Times New Roman"/>
                <w:sz w:val="20"/>
                <w:szCs w:val="20"/>
              </w:rPr>
            </w:pPr>
            <w:r w:rsidRPr="00782FA6">
              <w:rPr>
                <w:rFonts w:eastAsia="Aptos" w:cs="Times New Roman"/>
                <w:sz w:val="20"/>
                <w:szCs w:val="20"/>
              </w:rPr>
              <w:t>1639</w:t>
            </w:r>
          </w:p>
        </w:tc>
        <w:tc>
          <w:tcPr>
            <w:tcW w:w="1036" w:type="dxa"/>
            <w:noWrap/>
            <w:vAlign w:val="center"/>
            <w:hideMark/>
          </w:tcPr>
          <w:p w:rsidRPr="00782FA6" w:rsidR="00DB248A" w:rsidP="00DB248A" w:rsidRDefault="00DB248A" w14:paraId="7A2326F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876F8CC" w14:textId="7BBBFE6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19B2627" w14:textId="29F7F4CC">
            <w:pPr>
              <w:spacing w:line="240" w:lineRule="auto"/>
              <w:ind w:firstLine="0"/>
              <w:rPr>
                <w:rFonts w:eastAsia="Aptos" w:cs="Times New Roman"/>
                <w:sz w:val="20"/>
                <w:szCs w:val="20"/>
              </w:rPr>
            </w:pPr>
            <w:proofErr w:type="spellStart"/>
            <w:r w:rsidRPr="00782FA6">
              <w:rPr>
                <w:rFonts w:eastAsia="Aptos" w:cs="Times New Roman"/>
                <w:sz w:val="20"/>
                <w:szCs w:val="20"/>
              </w:rPr>
              <w:t>NumberBarn</w:t>
            </w:r>
            <w:proofErr w:type="spellEnd"/>
            <w:r w:rsidRPr="00782FA6">
              <w:rPr>
                <w:rFonts w:eastAsia="Aptos" w:cs="Times New Roman"/>
                <w:sz w:val="20"/>
                <w:szCs w:val="20"/>
              </w:rPr>
              <w:t>, LLC</w:t>
            </w:r>
          </w:p>
        </w:tc>
      </w:tr>
      <w:tr w:rsidRPr="00782FA6" w:rsidR="00DB248A" w:rsidTr="00E52317" w14:paraId="0C4C819E" w14:textId="77777777">
        <w:trPr>
          <w:trHeight w:val="300"/>
        </w:trPr>
        <w:tc>
          <w:tcPr>
            <w:tcW w:w="1170" w:type="dxa"/>
            <w:noWrap/>
            <w:vAlign w:val="center"/>
            <w:hideMark/>
          </w:tcPr>
          <w:p w:rsidRPr="00782FA6" w:rsidR="00DB248A" w:rsidP="00DB248A" w:rsidRDefault="00DB248A" w14:paraId="250EC6C6" w14:textId="77777777">
            <w:pPr>
              <w:spacing w:line="240" w:lineRule="auto"/>
              <w:ind w:firstLine="0"/>
              <w:jc w:val="center"/>
              <w:rPr>
                <w:rFonts w:eastAsia="Aptos" w:cs="Times New Roman"/>
                <w:sz w:val="20"/>
                <w:szCs w:val="20"/>
              </w:rPr>
            </w:pPr>
            <w:r w:rsidRPr="00782FA6">
              <w:rPr>
                <w:rFonts w:eastAsia="Aptos" w:cs="Times New Roman"/>
                <w:sz w:val="20"/>
                <w:szCs w:val="20"/>
              </w:rPr>
              <w:t>1640</w:t>
            </w:r>
          </w:p>
        </w:tc>
        <w:tc>
          <w:tcPr>
            <w:tcW w:w="1036" w:type="dxa"/>
            <w:noWrap/>
            <w:vAlign w:val="center"/>
            <w:hideMark/>
          </w:tcPr>
          <w:p w:rsidRPr="00782FA6" w:rsidR="00DB248A" w:rsidP="00DB248A" w:rsidRDefault="00DB248A" w14:paraId="42EC6D7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C65A975" w14:textId="2432571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330A91B" w14:textId="773376E8">
            <w:pPr>
              <w:spacing w:line="240" w:lineRule="auto"/>
              <w:ind w:firstLine="0"/>
              <w:rPr>
                <w:rFonts w:eastAsia="Aptos" w:cs="Times New Roman"/>
                <w:sz w:val="20"/>
                <w:szCs w:val="20"/>
              </w:rPr>
            </w:pPr>
            <w:r w:rsidRPr="00782FA6">
              <w:rPr>
                <w:rFonts w:eastAsia="Aptos" w:cs="Times New Roman"/>
                <w:sz w:val="20"/>
                <w:szCs w:val="20"/>
              </w:rPr>
              <w:t>Fulton Communications, Inc</w:t>
            </w:r>
          </w:p>
        </w:tc>
      </w:tr>
      <w:tr w:rsidRPr="00782FA6" w:rsidR="00DB248A" w:rsidTr="00E52317" w14:paraId="5897A401" w14:textId="77777777">
        <w:trPr>
          <w:trHeight w:val="300"/>
        </w:trPr>
        <w:tc>
          <w:tcPr>
            <w:tcW w:w="1170" w:type="dxa"/>
            <w:noWrap/>
            <w:vAlign w:val="center"/>
            <w:hideMark/>
          </w:tcPr>
          <w:p w:rsidRPr="00782FA6" w:rsidR="00DB248A" w:rsidP="00DB248A" w:rsidRDefault="00DB248A" w14:paraId="6E15327C" w14:textId="77777777">
            <w:pPr>
              <w:spacing w:line="240" w:lineRule="auto"/>
              <w:ind w:firstLine="0"/>
              <w:jc w:val="center"/>
              <w:rPr>
                <w:rFonts w:eastAsia="Aptos" w:cs="Times New Roman"/>
                <w:sz w:val="20"/>
                <w:szCs w:val="20"/>
              </w:rPr>
            </w:pPr>
            <w:r w:rsidRPr="00782FA6">
              <w:rPr>
                <w:rFonts w:eastAsia="Aptos" w:cs="Times New Roman"/>
                <w:sz w:val="20"/>
                <w:szCs w:val="20"/>
              </w:rPr>
              <w:t>1641</w:t>
            </w:r>
          </w:p>
        </w:tc>
        <w:tc>
          <w:tcPr>
            <w:tcW w:w="1036" w:type="dxa"/>
            <w:noWrap/>
            <w:vAlign w:val="center"/>
            <w:hideMark/>
          </w:tcPr>
          <w:p w:rsidRPr="00782FA6" w:rsidR="00DB248A" w:rsidP="00DB248A" w:rsidRDefault="00DB248A" w14:paraId="3E3E9FB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0AF2410" w14:textId="079FADC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381A286" w14:textId="332294B1">
            <w:pPr>
              <w:spacing w:line="240" w:lineRule="auto"/>
              <w:ind w:firstLine="0"/>
              <w:rPr>
                <w:rFonts w:eastAsia="Aptos" w:cs="Times New Roman"/>
                <w:sz w:val="20"/>
                <w:szCs w:val="20"/>
              </w:rPr>
            </w:pPr>
            <w:r w:rsidRPr="00782FA6">
              <w:rPr>
                <w:rFonts w:eastAsia="Aptos" w:cs="Times New Roman"/>
                <w:sz w:val="20"/>
                <w:szCs w:val="20"/>
              </w:rPr>
              <w:t>Mango Voice, LLC</w:t>
            </w:r>
          </w:p>
        </w:tc>
      </w:tr>
      <w:tr w:rsidRPr="00782FA6" w:rsidR="00DB248A" w:rsidTr="00E52317" w14:paraId="122FB574" w14:textId="77777777">
        <w:trPr>
          <w:trHeight w:val="300"/>
        </w:trPr>
        <w:tc>
          <w:tcPr>
            <w:tcW w:w="1170" w:type="dxa"/>
            <w:noWrap/>
            <w:vAlign w:val="center"/>
            <w:hideMark/>
          </w:tcPr>
          <w:p w:rsidRPr="00782FA6" w:rsidR="00DB248A" w:rsidP="00DB248A" w:rsidRDefault="00DB248A" w14:paraId="4C7BAA61" w14:textId="77777777">
            <w:pPr>
              <w:spacing w:line="240" w:lineRule="auto"/>
              <w:ind w:firstLine="0"/>
              <w:jc w:val="center"/>
              <w:rPr>
                <w:rFonts w:eastAsia="Aptos" w:cs="Times New Roman"/>
                <w:sz w:val="20"/>
                <w:szCs w:val="20"/>
              </w:rPr>
            </w:pPr>
            <w:r w:rsidRPr="00782FA6">
              <w:rPr>
                <w:rFonts w:eastAsia="Aptos" w:cs="Times New Roman"/>
                <w:sz w:val="20"/>
                <w:szCs w:val="20"/>
              </w:rPr>
              <w:t>1642</w:t>
            </w:r>
          </w:p>
        </w:tc>
        <w:tc>
          <w:tcPr>
            <w:tcW w:w="1036" w:type="dxa"/>
            <w:noWrap/>
            <w:vAlign w:val="center"/>
            <w:hideMark/>
          </w:tcPr>
          <w:p w:rsidRPr="00782FA6" w:rsidR="00DB248A" w:rsidP="00DB248A" w:rsidRDefault="00DB248A" w14:paraId="3F443A4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99C1740" w14:textId="3A9DC6C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77CBD57" w14:textId="6A076AE1">
            <w:pPr>
              <w:spacing w:line="240" w:lineRule="auto"/>
              <w:ind w:firstLine="0"/>
              <w:rPr>
                <w:rFonts w:eastAsia="Aptos" w:cs="Times New Roman"/>
                <w:sz w:val="20"/>
                <w:szCs w:val="20"/>
              </w:rPr>
            </w:pPr>
            <w:r w:rsidRPr="00782FA6">
              <w:rPr>
                <w:rFonts w:eastAsia="Aptos" w:cs="Times New Roman"/>
                <w:sz w:val="20"/>
                <w:szCs w:val="20"/>
              </w:rPr>
              <w:t>GTT Americas, LLC</w:t>
            </w:r>
          </w:p>
        </w:tc>
      </w:tr>
      <w:tr w:rsidRPr="00782FA6" w:rsidR="00DB248A" w:rsidTr="00E52317" w14:paraId="237ED07C" w14:textId="77777777">
        <w:trPr>
          <w:trHeight w:val="300"/>
        </w:trPr>
        <w:tc>
          <w:tcPr>
            <w:tcW w:w="1170" w:type="dxa"/>
            <w:noWrap/>
            <w:vAlign w:val="center"/>
            <w:hideMark/>
          </w:tcPr>
          <w:p w:rsidRPr="00782FA6" w:rsidR="00DB248A" w:rsidP="00DB248A" w:rsidRDefault="00DB248A" w14:paraId="4B50EF31" w14:textId="77777777">
            <w:pPr>
              <w:spacing w:line="240" w:lineRule="auto"/>
              <w:ind w:firstLine="0"/>
              <w:jc w:val="center"/>
              <w:rPr>
                <w:rFonts w:eastAsia="Aptos" w:cs="Times New Roman"/>
                <w:sz w:val="20"/>
                <w:szCs w:val="20"/>
              </w:rPr>
            </w:pPr>
            <w:r w:rsidRPr="00782FA6">
              <w:rPr>
                <w:rFonts w:eastAsia="Aptos" w:cs="Times New Roman"/>
                <w:sz w:val="20"/>
                <w:szCs w:val="20"/>
              </w:rPr>
              <w:t>1643</w:t>
            </w:r>
          </w:p>
        </w:tc>
        <w:tc>
          <w:tcPr>
            <w:tcW w:w="1036" w:type="dxa"/>
            <w:noWrap/>
            <w:vAlign w:val="center"/>
            <w:hideMark/>
          </w:tcPr>
          <w:p w:rsidRPr="00782FA6" w:rsidR="00DB248A" w:rsidP="00DB248A" w:rsidRDefault="00DB248A" w14:paraId="7AF512A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6BA74B8" w14:textId="37CACE7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6D96111" w14:textId="3434C01A">
            <w:pPr>
              <w:spacing w:line="240" w:lineRule="auto"/>
              <w:ind w:firstLine="0"/>
              <w:rPr>
                <w:rFonts w:eastAsia="Aptos" w:cs="Times New Roman"/>
                <w:sz w:val="20"/>
                <w:szCs w:val="20"/>
              </w:rPr>
            </w:pPr>
            <w:proofErr w:type="spellStart"/>
            <w:r w:rsidRPr="00782FA6">
              <w:rPr>
                <w:rFonts w:eastAsia="Aptos" w:cs="Times New Roman"/>
                <w:sz w:val="20"/>
                <w:szCs w:val="20"/>
              </w:rPr>
              <w:t>Tadiran</w:t>
            </w:r>
            <w:proofErr w:type="spellEnd"/>
            <w:r w:rsidRPr="00782FA6">
              <w:rPr>
                <w:rFonts w:eastAsia="Aptos" w:cs="Times New Roman"/>
                <w:sz w:val="20"/>
                <w:szCs w:val="20"/>
              </w:rPr>
              <w:t xml:space="preserve"> Telecom, Inc.</w:t>
            </w:r>
          </w:p>
        </w:tc>
      </w:tr>
      <w:tr w:rsidRPr="00782FA6" w:rsidR="00DB248A" w:rsidTr="00E52317" w14:paraId="16C8C80D" w14:textId="77777777">
        <w:trPr>
          <w:trHeight w:val="300"/>
        </w:trPr>
        <w:tc>
          <w:tcPr>
            <w:tcW w:w="1170" w:type="dxa"/>
            <w:noWrap/>
            <w:vAlign w:val="center"/>
            <w:hideMark/>
          </w:tcPr>
          <w:p w:rsidRPr="00782FA6" w:rsidR="00DB248A" w:rsidP="00DB248A" w:rsidRDefault="00DB248A" w14:paraId="5310E08A" w14:textId="77777777">
            <w:pPr>
              <w:spacing w:line="240" w:lineRule="auto"/>
              <w:ind w:firstLine="0"/>
              <w:jc w:val="center"/>
              <w:rPr>
                <w:rFonts w:eastAsia="Aptos" w:cs="Times New Roman"/>
                <w:sz w:val="20"/>
                <w:szCs w:val="20"/>
              </w:rPr>
            </w:pPr>
            <w:r w:rsidRPr="00782FA6">
              <w:rPr>
                <w:rFonts w:eastAsia="Aptos" w:cs="Times New Roman"/>
                <w:sz w:val="20"/>
                <w:szCs w:val="20"/>
              </w:rPr>
              <w:t>1644</w:t>
            </w:r>
          </w:p>
        </w:tc>
        <w:tc>
          <w:tcPr>
            <w:tcW w:w="1036" w:type="dxa"/>
            <w:noWrap/>
            <w:vAlign w:val="center"/>
            <w:hideMark/>
          </w:tcPr>
          <w:p w:rsidRPr="00782FA6" w:rsidR="00DB248A" w:rsidP="00DB248A" w:rsidRDefault="00DB248A" w14:paraId="4982F08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5EA0F9B" w14:textId="1D75064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F51BE63" w14:textId="1A1C976E">
            <w:pPr>
              <w:spacing w:line="240" w:lineRule="auto"/>
              <w:ind w:firstLine="0"/>
              <w:rPr>
                <w:rFonts w:eastAsia="Aptos" w:cs="Times New Roman"/>
                <w:sz w:val="20"/>
                <w:szCs w:val="20"/>
              </w:rPr>
            </w:pPr>
            <w:proofErr w:type="spellStart"/>
            <w:r w:rsidRPr="00782FA6">
              <w:rPr>
                <w:rFonts w:eastAsia="Aptos" w:cs="Times New Roman"/>
                <w:sz w:val="20"/>
                <w:szCs w:val="20"/>
              </w:rPr>
              <w:t>ServiceTitan</w:t>
            </w:r>
            <w:proofErr w:type="spellEnd"/>
            <w:r w:rsidRPr="00782FA6">
              <w:rPr>
                <w:rFonts w:eastAsia="Aptos" w:cs="Times New Roman"/>
                <w:sz w:val="20"/>
                <w:szCs w:val="20"/>
              </w:rPr>
              <w:t>, Inc.</w:t>
            </w:r>
          </w:p>
        </w:tc>
      </w:tr>
      <w:tr w:rsidRPr="00782FA6" w:rsidR="00DB248A" w:rsidTr="00E52317" w14:paraId="51C84172" w14:textId="77777777">
        <w:trPr>
          <w:trHeight w:val="300"/>
        </w:trPr>
        <w:tc>
          <w:tcPr>
            <w:tcW w:w="1170" w:type="dxa"/>
            <w:noWrap/>
            <w:vAlign w:val="center"/>
            <w:hideMark/>
          </w:tcPr>
          <w:p w:rsidRPr="00782FA6" w:rsidR="00DB248A" w:rsidP="00DB248A" w:rsidRDefault="00DB248A" w14:paraId="2FAF5DDC" w14:textId="77777777">
            <w:pPr>
              <w:spacing w:line="240" w:lineRule="auto"/>
              <w:ind w:firstLine="0"/>
              <w:jc w:val="center"/>
              <w:rPr>
                <w:rFonts w:eastAsia="Aptos" w:cs="Times New Roman"/>
                <w:sz w:val="20"/>
                <w:szCs w:val="20"/>
              </w:rPr>
            </w:pPr>
            <w:r w:rsidRPr="00782FA6">
              <w:rPr>
                <w:rFonts w:eastAsia="Aptos" w:cs="Times New Roman"/>
                <w:sz w:val="20"/>
                <w:szCs w:val="20"/>
              </w:rPr>
              <w:t>1646</w:t>
            </w:r>
          </w:p>
        </w:tc>
        <w:tc>
          <w:tcPr>
            <w:tcW w:w="1036" w:type="dxa"/>
            <w:noWrap/>
            <w:vAlign w:val="center"/>
            <w:hideMark/>
          </w:tcPr>
          <w:p w:rsidRPr="00782FA6" w:rsidR="00DB248A" w:rsidP="00DB248A" w:rsidRDefault="00DB248A" w14:paraId="75B0912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6D5F944" w14:textId="1B10C24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1BE0D12" w14:textId="0F659370">
            <w:pPr>
              <w:spacing w:line="240" w:lineRule="auto"/>
              <w:ind w:firstLine="0"/>
              <w:rPr>
                <w:rFonts w:eastAsia="Aptos" w:cs="Times New Roman"/>
                <w:sz w:val="20"/>
                <w:szCs w:val="20"/>
              </w:rPr>
            </w:pPr>
            <w:proofErr w:type="spellStart"/>
            <w:r w:rsidRPr="00782FA6">
              <w:rPr>
                <w:rFonts w:eastAsia="Aptos" w:cs="Times New Roman"/>
                <w:sz w:val="20"/>
                <w:szCs w:val="20"/>
              </w:rPr>
              <w:t>Phoneware</w:t>
            </w:r>
            <w:proofErr w:type="spellEnd"/>
            <w:r w:rsidRPr="00782FA6">
              <w:rPr>
                <w:rFonts w:eastAsia="Aptos" w:cs="Times New Roman"/>
                <w:sz w:val="20"/>
                <w:szCs w:val="20"/>
              </w:rPr>
              <w:t>, Inc.</w:t>
            </w:r>
          </w:p>
        </w:tc>
      </w:tr>
      <w:tr w:rsidRPr="00782FA6" w:rsidR="00DB248A" w:rsidTr="00E52317" w14:paraId="015BFC69" w14:textId="77777777">
        <w:trPr>
          <w:trHeight w:val="300"/>
        </w:trPr>
        <w:tc>
          <w:tcPr>
            <w:tcW w:w="1170" w:type="dxa"/>
            <w:noWrap/>
            <w:vAlign w:val="center"/>
            <w:hideMark/>
          </w:tcPr>
          <w:p w:rsidRPr="00782FA6" w:rsidR="00DB248A" w:rsidP="00DB248A" w:rsidRDefault="00DB248A" w14:paraId="0A839BEB" w14:textId="77777777">
            <w:pPr>
              <w:spacing w:line="240" w:lineRule="auto"/>
              <w:ind w:firstLine="0"/>
              <w:jc w:val="center"/>
              <w:rPr>
                <w:rFonts w:eastAsia="Aptos" w:cs="Times New Roman"/>
                <w:sz w:val="20"/>
                <w:szCs w:val="20"/>
              </w:rPr>
            </w:pPr>
            <w:r w:rsidRPr="00782FA6">
              <w:rPr>
                <w:rFonts w:eastAsia="Aptos" w:cs="Times New Roman"/>
                <w:sz w:val="20"/>
                <w:szCs w:val="20"/>
              </w:rPr>
              <w:t>1648</w:t>
            </w:r>
          </w:p>
        </w:tc>
        <w:tc>
          <w:tcPr>
            <w:tcW w:w="1036" w:type="dxa"/>
            <w:noWrap/>
            <w:vAlign w:val="center"/>
            <w:hideMark/>
          </w:tcPr>
          <w:p w:rsidRPr="00782FA6" w:rsidR="00DB248A" w:rsidP="00DB248A" w:rsidRDefault="00DB248A" w14:paraId="7601304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DF3F099" w14:textId="2DB177B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6A51C0F" w14:textId="19C88DC8">
            <w:pPr>
              <w:spacing w:line="240" w:lineRule="auto"/>
              <w:ind w:firstLine="0"/>
              <w:rPr>
                <w:rFonts w:eastAsia="Aptos" w:cs="Times New Roman"/>
                <w:sz w:val="20"/>
                <w:szCs w:val="20"/>
              </w:rPr>
            </w:pPr>
            <w:r w:rsidRPr="00782FA6">
              <w:rPr>
                <w:rFonts w:eastAsia="Aptos" w:cs="Times New Roman"/>
                <w:sz w:val="20"/>
                <w:szCs w:val="20"/>
              </w:rPr>
              <w:t>Fonality, Inc.</w:t>
            </w:r>
          </w:p>
        </w:tc>
      </w:tr>
      <w:tr w:rsidRPr="00782FA6" w:rsidR="00DB248A" w:rsidTr="00E52317" w14:paraId="748E39AC" w14:textId="77777777">
        <w:trPr>
          <w:trHeight w:val="300"/>
        </w:trPr>
        <w:tc>
          <w:tcPr>
            <w:tcW w:w="1170" w:type="dxa"/>
            <w:noWrap/>
            <w:vAlign w:val="center"/>
            <w:hideMark/>
          </w:tcPr>
          <w:p w:rsidRPr="00782FA6" w:rsidR="00DB248A" w:rsidP="00DB248A" w:rsidRDefault="00DB248A" w14:paraId="40EF0B48" w14:textId="77777777">
            <w:pPr>
              <w:spacing w:line="240" w:lineRule="auto"/>
              <w:ind w:firstLine="0"/>
              <w:jc w:val="center"/>
              <w:rPr>
                <w:rFonts w:eastAsia="Aptos" w:cs="Times New Roman"/>
                <w:sz w:val="20"/>
                <w:szCs w:val="20"/>
              </w:rPr>
            </w:pPr>
            <w:r w:rsidRPr="00782FA6">
              <w:rPr>
                <w:rFonts w:eastAsia="Aptos" w:cs="Times New Roman"/>
                <w:sz w:val="20"/>
                <w:szCs w:val="20"/>
              </w:rPr>
              <w:t>1649</w:t>
            </w:r>
          </w:p>
        </w:tc>
        <w:tc>
          <w:tcPr>
            <w:tcW w:w="1036" w:type="dxa"/>
            <w:noWrap/>
            <w:vAlign w:val="center"/>
            <w:hideMark/>
          </w:tcPr>
          <w:p w:rsidRPr="00782FA6" w:rsidR="00DB248A" w:rsidP="00DB248A" w:rsidRDefault="00DB248A" w14:paraId="2D90996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0F0D7D8" w14:textId="7814D35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F59FE54" w14:textId="5261E73C">
            <w:pPr>
              <w:spacing w:line="240" w:lineRule="auto"/>
              <w:ind w:firstLine="0"/>
              <w:rPr>
                <w:rFonts w:eastAsia="Aptos" w:cs="Times New Roman"/>
                <w:sz w:val="20"/>
                <w:szCs w:val="20"/>
              </w:rPr>
            </w:pPr>
            <w:proofErr w:type="spellStart"/>
            <w:r w:rsidRPr="00782FA6">
              <w:rPr>
                <w:rFonts w:eastAsia="Aptos" w:cs="Times New Roman"/>
                <w:sz w:val="20"/>
                <w:szCs w:val="20"/>
              </w:rPr>
              <w:t>Aquablue</w:t>
            </w:r>
            <w:proofErr w:type="spellEnd"/>
            <w:r w:rsidRPr="00782FA6">
              <w:rPr>
                <w:rFonts w:eastAsia="Aptos" w:cs="Times New Roman"/>
                <w:sz w:val="20"/>
                <w:szCs w:val="20"/>
              </w:rPr>
              <w:t xml:space="preserve"> Corp.</w:t>
            </w:r>
          </w:p>
        </w:tc>
      </w:tr>
      <w:tr w:rsidRPr="00782FA6" w:rsidR="00DB248A" w:rsidTr="00E52317" w14:paraId="4367BDBF" w14:textId="77777777">
        <w:trPr>
          <w:trHeight w:val="300"/>
        </w:trPr>
        <w:tc>
          <w:tcPr>
            <w:tcW w:w="1170" w:type="dxa"/>
            <w:noWrap/>
            <w:vAlign w:val="center"/>
            <w:hideMark/>
          </w:tcPr>
          <w:p w:rsidRPr="00782FA6" w:rsidR="00DB248A" w:rsidP="00DB248A" w:rsidRDefault="00DB248A" w14:paraId="0F476284" w14:textId="77777777">
            <w:pPr>
              <w:spacing w:line="240" w:lineRule="auto"/>
              <w:ind w:firstLine="0"/>
              <w:jc w:val="center"/>
              <w:rPr>
                <w:rFonts w:eastAsia="Aptos" w:cs="Times New Roman"/>
                <w:sz w:val="20"/>
                <w:szCs w:val="20"/>
              </w:rPr>
            </w:pPr>
            <w:r w:rsidRPr="00782FA6">
              <w:rPr>
                <w:rFonts w:eastAsia="Aptos" w:cs="Times New Roman"/>
                <w:sz w:val="20"/>
                <w:szCs w:val="20"/>
              </w:rPr>
              <w:t>1650</w:t>
            </w:r>
          </w:p>
        </w:tc>
        <w:tc>
          <w:tcPr>
            <w:tcW w:w="1036" w:type="dxa"/>
            <w:noWrap/>
            <w:vAlign w:val="center"/>
            <w:hideMark/>
          </w:tcPr>
          <w:p w:rsidRPr="00782FA6" w:rsidR="00DB248A" w:rsidP="00DB248A" w:rsidRDefault="00DB248A" w14:paraId="409B0C2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103C4EA" w14:textId="68A169B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72D7EAC" w14:textId="0295344B">
            <w:pPr>
              <w:spacing w:line="240" w:lineRule="auto"/>
              <w:ind w:firstLine="0"/>
              <w:rPr>
                <w:rFonts w:eastAsia="Aptos" w:cs="Times New Roman"/>
                <w:sz w:val="20"/>
                <w:szCs w:val="20"/>
              </w:rPr>
            </w:pPr>
            <w:proofErr w:type="spellStart"/>
            <w:r w:rsidRPr="00782FA6">
              <w:rPr>
                <w:rFonts w:eastAsia="Aptos" w:cs="Times New Roman"/>
                <w:sz w:val="20"/>
                <w:szCs w:val="20"/>
              </w:rPr>
              <w:t>FluentStream</w:t>
            </w:r>
            <w:proofErr w:type="spellEnd"/>
            <w:r w:rsidRPr="00782FA6">
              <w:rPr>
                <w:rFonts w:eastAsia="Aptos" w:cs="Times New Roman"/>
                <w:sz w:val="20"/>
                <w:szCs w:val="20"/>
              </w:rPr>
              <w:t xml:space="preserve"> Technologies, LLC</w:t>
            </w:r>
          </w:p>
        </w:tc>
      </w:tr>
      <w:tr w:rsidRPr="00782FA6" w:rsidR="00DB248A" w:rsidTr="00E52317" w14:paraId="3F064581" w14:textId="77777777">
        <w:trPr>
          <w:trHeight w:val="300"/>
        </w:trPr>
        <w:tc>
          <w:tcPr>
            <w:tcW w:w="1170" w:type="dxa"/>
            <w:noWrap/>
            <w:vAlign w:val="center"/>
            <w:hideMark/>
          </w:tcPr>
          <w:p w:rsidRPr="00782FA6" w:rsidR="00DB248A" w:rsidP="00DB248A" w:rsidRDefault="00DB248A" w14:paraId="7DE72B83" w14:textId="77777777">
            <w:pPr>
              <w:spacing w:line="240" w:lineRule="auto"/>
              <w:ind w:firstLine="0"/>
              <w:jc w:val="center"/>
              <w:rPr>
                <w:rFonts w:eastAsia="Aptos" w:cs="Times New Roman"/>
                <w:sz w:val="20"/>
                <w:szCs w:val="20"/>
              </w:rPr>
            </w:pPr>
            <w:r w:rsidRPr="00782FA6">
              <w:rPr>
                <w:rFonts w:eastAsia="Aptos" w:cs="Times New Roman"/>
                <w:sz w:val="20"/>
                <w:szCs w:val="20"/>
              </w:rPr>
              <w:t>1652</w:t>
            </w:r>
          </w:p>
        </w:tc>
        <w:tc>
          <w:tcPr>
            <w:tcW w:w="1036" w:type="dxa"/>
            <w:noWrap/>
            <w:vAlign w:val="center"/>
            <w:hideMark/>
          </w:tcPr>
          <w:p w:rsidRPr="00782FA6" w:rsidR="00DB248A" w:rsidP="00DB248A" w:rsidRDefault="00DB248A" w14:paraId="287D4CB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4E0F734" w14:textId="20809F5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9F48901" w14:textId="78A60A2A">
            <w:pPr>
              <w:spacing w:line="240" w:lineRule="auto"/>
              <w:ind w:firstLine="0"/>
              <w:rPr>
                <w:rFonts w:eastAsia="Aptos" w:cs="Times New Roman"/>
                <w:sz w:val="20"/>
                <w:szCs w:val="20"/>
              </w:rPr>
            </w:pPr>
            <w:r w:rsidRPr="00782FA6">
              <w:rPr>
                <w:rFonts w:eastAsia="Aptos" w:cs="Times New Roman"/>
                <w:sz w:val="20"/>
                <w:szCs w:val="20"/>
              </w:rPr>
              <w:t>King Tech Repair LLC</w:t>
            </w:r>
          </w:p>
        </w:tc>
      </w:tr>
      <w:tr w:rsidRPr="00782FA6" w:rsidR="00DB248A" w:rsidTr="00E52317" w14:paraId="1940106F" w14:textId="77777777">
        <w:trPr>
          <w:trHeight w:val="300"/>
        </w:trPr>
        <w:tc>
          <w:tcPr>
            <w:tcW w:w="1170" w:type="dxa"/>
            <w:noWrap/>
            <w:vAlign w:val="center"/>
            <w:hideMark/>
          </w:tcPr>
          <w:p w:rsidRPr="00782FA6" w:rsidR="00DB248A" w:rsidP="00DB248A" w:rsidRDefault="00DB248A" w14:paraId="6EA541CC" w14:textId="77777777">
            <w:pPr>
              <w:spacing w:line="240" w:lineRule="auto"/>
              <w:ind w:firstLine="0"/>
              <w:jc w:val="center"/>
              <w:rPr>
                <w:rFonts w:eastAsia="Aptos" w:cs="Times New Roman"/>
                <w:sz w:val="20"/>
                <w:szCs w:val="20"/>
              </w:rPr>
            </w:pPr>
            <w:r w:rsidRPr="00782FA6">
              <w:rPr>
                <w:rFonts w:eastAsia="Aptos" w:cs="Times New Roman"/>
                <w:sz w:val="20"/>
                <w:szCs w:val="20"/>
              </w:rPr>
              <w:t>1653</w:t>
            </w:r>
          </w:p>
        </w:tc>
        <w:tc>
          <w:tcPr>
            <w:tcW w:w="1036" w:type="dxa"/>
            <w:noWrap/>
            <w:vAlign w:val="center"/>
            <w:hideMark/>
          </w:tcPr>
          <w:p w:rsidRPr="00782FA6" w:rsidR="00DB248A" w:rsidP="00DB248A" w:rsidRDefault="00DB248A" w14:paraId="54DA2A7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28DC22E" w14:textId="02BD90D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09B0A4A" w14:textId="157848CE">
            <w:pPr>
              <w:spacing w:line="240" w:lineRule="auto"/>
              <w:ind w:firstLine="0"/>
              <w:rPr>
                <w:rFonts w:eastAsia="Aptos" w:cs="Times New Roman"/>
                <w:sz w:val="20"/>
                <w:szCs w:val="20"/>
              </w:rPr>
            </w:pPr>
            <w:r w:rsidRPr="00782FA6">
              <w:rPr>
                <w:rFonts w:eastAsia="Aptos" w:cs="Times New Roman"/>
                <w:sz w:val="20"/>
                <w:szCs w:val="20"/>
              </w:rPr>
              <w:t>Velocity Communications, Inc.</w:t>
            </w:r>
          </w:p>
        </w:tc>
      </w:tr>
      <w:tr w:rsidRPr="00782FA6" w:rsidR="00DB248A" w:rsidTr="00E52317" w14:paraId="6037A246" w14:textId="77777777">
        <w:trPr>
          <w:trHeight w:val="300"/>
        </w:trPr>
        <w:tc>
          <w:tcPr>
            <w:tcW w:w="1170" w:type="dxa"/>
            <w:noWrap/>
            <w:vAlign w:val="center"/>
            <w:hideMark/>
          </w:tcPr>
          <w:p w:rsidRPr="00782FA6" w:rsidR="00DB248A" w:rsidP="00DB248A" w:rsidRDefault="00DB248A" w14:paraId="49C333E3" w14:textId="77777777">
            <w:pPr>
              <w:spacing w:line="240" w:lineRule="auto"/>
              <w:ind w:firstLine="0"/>
              <w:jc w:val="center"/>
              <w:rPr>
                <w:rFonts w:eastAsia="Aptos" w:cs="Times New Roman"/>
                <w:sz w:val="20"/>
                <w:szCs w:val="20"/>
              </w:rPr>
            </w:pPr>
            <w:r w:rsidRPr="00782FA6">
              <w:rPr>
                <w:rFonts w:eastAsia="Aptos" w:cs="Times New Roman"/>
                <w:sz w:val="20"/>
                <w:szCs w:val="20"/>
              </w:rPr>
              <w:t>1654</w:t>
            </w:r>
          </w:p>
        </w:tc>
        <w:tc>
          <w:tcPr>
            <w:tcW w:w="1036" w:type="dxa"/>
            <w:noWrap/>
            <w:vAlign w:val="center"/>
            <w:hideMark/>
          </w:tcPr>
          <w:p w:rsidRPr="00782FA6" w:rsidR="00DB248A" w:rsidP="00DB248A" w:rsidRDefault="00DB248A" w14:paraId="60AA62D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63A5436" w14:textId="5BA603A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39E5748" w14:textId="535F3327">
            <w:pPr>
              <w:spacing w:line="240" w:lineRule="auto"/>
              <w:ind w:firstLine="0"/>
              <w:rPr>
                <w:rFonts w:eastAsia="Aptos" w:cs="Times New Roman"/>
                <w:sz w:val="20"/>
                <w:szCs w:val="20"/>
              </w:rPr>
            </w:pPr>
            <w:proofErr w:type="spellStart"/>
            <w:r w:rsidRPr="00782FA6">
              <w:rPr>
                <w:rFonts w:eastAsia="Aptos" w:cs="Times New Roman"/>
                <w:sz w:val="20"/>
                <w:szCs w:val="20"/>
              </w:rPr>
              <w:t>Plivo</w:t>
            </w:r>
            <w:proofErr w:type="spellEnd"/>
            <w:r w:rsidRPr="00782FA6">
              <w:rPr>
                <w:rFonts w:eastAsia="Aptos" w:cs="Times New Roman"/>
                <w:sz w:val="20"/>
                <w:szCs w:val="20"/>
              </w:rPr>
              <w:t xml:space="preserve"> Inc.</w:t>
            </w:r>
          </w:p>
        </w:tc>
      </w:tr>
      <w:tr w:rsidRPr="00782FA6" w:rsidR="00DB248A" w:rsidTr="00E52317" w14:paraId="167628C9" w14:textId="77777777">
        <w:trPr>
          <w:trHeight w:val="300"/>
        </w:trPr>
        <w:tc>
          <w:tcPr>
            <w:tcW w:w="1170" w:type="dxa"/>
            <w:noWrap/>
            <w:vAlign w:val="center"/>
            <w:hideMark/>
          </w:tcPr>
          <w:p w:rsidRPr="00782FA6" w:rsidR="00DB248A" w:rsidP="00DB248A" w:rsidRDefault="00DB248A" w14:paraId="5159462C" w14:textId="77777777">
            <w:pPr>
              <w:spacing w:line="240" w:lineRule="auto"/>
              <w:ind w:firstLine="0"/>
              <w:jc w:val="center"/>
              <w:rPr>
                <w:rFonts w:eastAsia="Aptos" w:cs="Times New Roman"/>
                <w:sz w:val="20"/>
                <w:szCs w:val="20"/>
              </w:rPr>
            </w:pPr>
            <w:r w:rsidRPr="00782FA6">
              <w:rPr>
                <w:rFonts w:eastAsia="Aptos" w:cs="Times New Roman"/>
                <w:sz w:val="20"/>
                <w:szCs w:val="20"/>
              </w:rPr>
              <w:t>1656</w:t>
            </w:r>
          </w:p>
        </w:tc>
        <w:tc>
          <w:tcPr>
            <w:tcW w:w="1036" w:type="dxa"/>
            <w:noWrap/>
            <w:vAlign w:val="center"/>
            <w:hideMark/>
          </w:tcPr>
          <w:p w:rsidRPr="00782FA6" w:rsidR="00DB248A" w:rsidP="00DB248A" w:rsidRDefault="00DB248A" w14:paraId="68E5F1A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5F7EFC2" w14:textId="66CF70D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874948B" w14:textId="06BD4475">
            <w:pPr>
              <w:spacing w:line="240" w:lineRule="auto"/>
              <w:ind w:firstLine="0"/>
              <w:rPr>
                <w:rFonts w:eastAsia="Aptos" w:cs="Times New Roman"/>
                <w:sz w:val="20"/>
                <w:szCs w:val="20"/>
              </w:rPr>
            </w:pPr>
            <w:r w:rsidRPr="00782FA6">
              <w:rPr>
                <w:rFonts w:eastAsia="Aptos" w:cs="Times New Roman"/>
                <w:sz w:val="20"/>
                <w:szCs w:val="20"/>
              </w:rPr>
              <w:t>Rockynet.com, Inc</w:t>
            </w:r>
          </w:p>
        </w:tc>
      </w:tr>
      <w:tr w:rsidRPr="00782FA6" w:rsidR="00DB248A" w:rsidTr="00E52317" w14:paraId="426620D7" w14:textId="77777777">
        <w:trPr>
          <w:trHeight w:val="300"/>
        </w:trPr>
        <w:tc>
          <w:tcPr>
            <w:tcW w:w="1170" w:type="dxa"/>
            <w:noWrap/>
            <w:vAlign w:val="center"/>
            <w:hideMark/>
          </w:tcPr>
          <w:p w:rsidRPr="00782FA6" w:rsidR="00DB248A" w:rsidP="00DB248A" w:rsidRDefault="00DB248A" w14:paraId="4E075314" w14:textId="77777777">
            <w:pPr>
              <w:spacing w:line="240" w:lineRule="auto"/>
              <w:ind w:firstLine="0"/>
              <w:jc w:val="center"/>
              <w:rPr>
                <w:rFonts w:eastAsia="Aptos" w:cs="Times New Roman"/>
                <w:sz w:val="20"/>
                <w:szCs w:val="20"/>
              </w:rPr>
            </w:pPr>
            <w:r w:rsidRPr="00782FA6">
              <w:rPr>
                <w:rFonts w:eastAsia="Aptos" w:cs="Times New Roman"/>
                <w:sz w:val="20"/>
                <w:szCs w:val="20"/>
              </w:rPr>
              <w:t>1657</w:t>
            </w:r>
          </w:p>
        </w:tc>
        <w:tc>
          <w:tcPr>
            <w:tcW w:w="1036" w:type="dxa"/>
            <w:noWrap/>
            <w:vAlign w:val="center"/>
            <w:hideMark/>
          </w:tcPr>
          <w:p w:rsidRPr="00782FA6" w:rsidR="00DB248A" w:rsidP="00DB248A" w:rsidRDefault="00DB248A" w14:paraId="0A0AF89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A1E0A46" w14:textId="22618DF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1F06A69" w14:textId="33B5A23F">
            <w:pPr>
              <w:spacing w:line="240" w:lineRule="auto"/>
              <w:ind w:firstLine="0"/>
              <w:rPr>
                <w:rFonts w:eastAsia="Aptos" w:cs="Times New Roman"/>
                <w:sz w:val="20"/>
                <w:szCs w:val="20"/>
              </w:rPr>
            </w:pPr>
            <w:r w:rsidRPr="00782FA6">
              <w:rPr>
                <w:rFonts w:eastAsia="Aptos" w:cs="Times New Roman"/>
                <w:sz w:val="20"/>
                <w:szCs w:val="20"/>
              </w:rPr>
              <w:t>Lingo Telecom, LLC</w:t>
            </w:r>
          </w:p>
        </w:tc>
      </w:tr>
      <w:tr w:rsidRPr="00782FA6" w:rsidR="00DB248A" w:rsidTr="00E52317" w14:paraId="7939324B" w14:textId="77777777">
        <w:trPr>
          <w:trHeight w:val="300"/>
        </w:trPr>
        <w:tc>
          <w:tcPr>
            <w:tcW w:w="1170" w:type="dxa"/>
            <w:noWrap/>
            <w:vAlign w:val="center"/>
            <w:hideMark/>
          </w:tcPr>
          <w:p w:rsidRPr="00782FA6" w:rsidR="00DB248A" w:rsidP="00DB248A" w:rsidRDefault="00DB248A" w14:paraId="6306BF5B" w14:textId="77777777">
            <w:pPr>
              <w:spacing w:line="240" w:lineRule="auto"/>
              <w:ind w:firstLine="0"/>
              <w:jc w:val="center"/>
              <w:rPr>
                <w:rFonts w:eastAsia="Aptos" w:cs="Times New Roman"/>
                <w:sz w:val="20"/>
                <w:szCs w:val="20"/>
              </w:rPr>
            </w:pPr>
            <w:r w:rsidRPr="00782FA6">
              <w:rPr>
                <w:rFonts w:eastAsia="Aptos" w:cs="Times New Roman"/>
                <w:sz w:val="20"/>
                <w:szCs w:val="20"/>
              </w:rPr>
              <w:t>1658</w:t>
            </w:r>
          </w:p>
        </w:tc>
        <w:tc>
          <w:tcPr>
            <w:tcW w:w="1036" w:type="dxa"/>
            <w:noWrap/>
            <w:vAlign w:val="center"/>
            <w:hideMark/>
          </w:tcPr>
          <w:p w:rsidRPr="00782FA6" w:rsidR="00DB248A" w:rsidP="00DB248A" w:rsidRDefault="00DB248A" w14:paraId="14E7EB7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24AB182" w14:textId="21DFD31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03FF850" w14:textId="4D7D12E5">
            <w:pPr>
              <w:spacing w:line="240" w:lineRule="auto"/>
              <w:ind w:firstLine="0"/>
              <w:rPr>
                <w:rFonts w:eastAsia="Aptos" w:cs="Times New Roman"/>
                <w:sz w:val="20"/>
                <w:szCs w:val="20"/>
              </w:rPr>
            </w:pPr>
            <w:proofErr w:type="spellStart"/>
            <w:r w:rsidRPr="00782FA6">
              <w:rPr>
                <w:rFonts w:eastAsia="Aptos" w:cs="Times New Roman"/>
                <w:sz w:val="20"/>
                <w:szCs w:val="20"/>
              </w:rPr>
              <w:t>NetCarrier</w:t>
            </w:r>
            <w:proofErr w:type="spellEnd"/>
            <w:r w:rsidRPr="00782FA6">
              <w:rPr>
                <w:rFonts w:eastAsia="Aptos" w:cs="Times New Roman"/>
                <w:sz w:val="20"/>
                <w:szCs w:val="20"/>
              </w:rPr>
              <w:t xml:space="preserve"> Telecom, Inc.</w:t>
            </w:r>
          </w:p>
        </w:tc>
      </w:tr>
      <w:tr w:rsidRPr="00782FA6" w:rsidR="00DB248A" w:rsidTr="00E52317" w14:paraId="78B8FD1D" w14:textId="77777777">
        <w:trPr>
          <w:trHeight w:val="300"/>
        </w:trPr>
        <w:tc>
          <w:tcPr>
            <w:tcW w:w="1170" w:type="dxa"/>
            <w:noWrap/>
            <w:vAlign w:val="center"/>
            <w:hideMark/>
          </w:tcPr>
          <w:p w:rsidRPr="00782FA6" w:rsidR="00DB248A" w:rsidP="00DB248A" w:rsidRDefault="00DB248A" w14:paraId="224B6487" w14:textId="77777777">
            <w:pPr>
              <w:spacing w:line="240" w:lineRule="auto"/>
              <w:ind w:firstLine="0"/>
              <w:jc w:val="center"/>
              <w:rPr>
                <w:rFonts w:eastAsia="Aptos" w:cs="Times New Roman"/>
                <w:sz w:val="20"/>
                <w:szCs w:val="20"/>
              </w:rPr>
            </w:pPr>
            <w:r w:rsidRPr="00782FA6">
              <w:rPr>
                <w:rFonts w:eastAsia="Aptos" w:cs="Times New Roman"/>
                <w:sz w:val="20"/>
                <w:szCs w:val="20"/>
              </w:rPr>
              <w:t>1659</w:t>
            </w:r>
          </w:p>
        </w:tc>
        <w:tc>
          <w:tcPr>
            <w:tcW w:w="1036" w:type="dxa"/>
            <w:noWrap/>
            <w:vAlign w:val="center"/>
            <w:hideMark/>
          </w:tcPr>
          <w:p w:rsidRPr="00782FA6" w:rsidR="00DB248A" w:rsidP="00DB248A" w:rsidRDefault="00DB248A" w14:paraId="415C5D7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42E274C" w14:textId="0FC88F4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F7B8B6F" w14:textId="1688ABA9">
            <w:pPr>
              <w:spacing w:line="240" w:lineRule="auto"/>
              <w:ind w:firstLine="0"/>
              <w:rPr>
                <w:rFonts w:eastAsia="Aptos" w:cs="Times New Roman"/>
                <w:sz w:val="20"/>
                <w:szCs w:val="20"/>
              </w:rPr>
            </w:pPr>
            <w:proofErr w:type="spellStart"/>
            <w:r w:rsidRPr="00782FA6">
              <w:rPr>
                <w:rFonts w:eastAsia="Aptos" w:cs="Times New Roman"/>
                <w:sz w:val="20"/>
                <w:szCs w:val="20"/>
              </w:rPr>
              <w:t>Nuso</w:t>
            </w:r>
            <w:proofErr w:type="spellEnd"/>
            <w:r w:rsidRPr="00782FA6">
              <w:rPr>
                <w:rFonts w:eastAsia="Aptos" w:cs="Times New Roman"/>
                <w:sz w:val="20"/>
                <w:szCs w:val="20"/>
              </w:rPr>
              <w:t>, LLC</w:t>
            </w:r>
          </w:p>
        </w:tc>
      </w:tr>
      <w:tr w:rsidRPr="00782FA6" w:rsidR="00DB248A" w:rsidTr="00E52317" w14:paraId="0159FB8B" w14:textId="77777777">
        <w:trPr>
          <w:trHeight w:val="300"/>
        </w:trPr>
        <w:tc>
          <w:tcPr>
            <w:tcW w:w="1170" w:type="dxa"/>
            <w:noWrap/>
            <w:vAlign w:val="center"/>
            <w:hideMark/>
          </w:tcPr>
          <w:p w:rsidRPr="00782FA6" w:rsidR="00DB248A" w:rsidP="00DB248A" w:rsidRDefault="00DB248A" w14:paraId="6BD34C73" w14:textId="77777777">
            <w:pPr>
              <w:spacing w:line="240" w:lineRule="auto"/>
              <w:ind w:firstLine="0"/>
              <w:jc w:val="center"/>
              <w:rPr>
                <w:rFonts w:eastAsia="Aptos" w:cs="Times New Roman"/>
                <w:sz w:val="20"/>
                <w:szCs w:val="20"/>
              </w:rPr>
            </w:pPr>
            <w:r w:rsidRPr="00782FA6">
              <w:rPr>
                <w:rFonts w:eastAsia="Aptos" w:cs="Times New Roman"/>
                <w:sz w:val="20"/>
                <w:szCs w:val="20"/>
              </w:rPr>
              <w:t>1660</w:t>
            </w:r>
          </w:p>
        </w:tc>
        <w:tc>
          <w:tcPr>
            <w:tcW w:w="1036" w:type="dxa"/>
            <w:noWrap/>
            <w:vAlign w:val="center"/>
            <w:hideMark/>
          </w:tcPr>
          <w:p w:rsidRPr="00782FA6" w:rsidR="00DB248A" w:rsidP="00DB248A" w:rsidRDefault="00DB248A" w14:paraId="2428CEF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BA0C7E4" w14:textId="74C54A6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C999973" w14:textId="49A64B3A">
            <w:pPr>
              <w:spacing w:line="240" w:lineRule="auto"/>
              <w:ind w:firstLine="0"/>
              <w:rPr>
                <w:rFonts w:eastAsia="Aptos" w:cs="Times New Roman"/>
                <w:sz w:val="20"/>
                <w:szCs w:val="20"/>
              </w:rPr>
            </w:pPr>
            <w:r w:rsidRPr="00782FA6">
              <w:rPr>
                <w:rFonts w:eastAsia="Aptos" w:cs="Times New Roman"/>
                <w:sz w:val="20"/>
                <w:szCs w:val="20"/>
              </w:rPr>
              <w:t>Vision CTS, LLC</w:t>
            </w:r>
          </w:p>
        </w:tc>
      </w:tr>
      <w:tr w:rsidRPr="00782FA6" w:rsidR="00DB248A" w:rsidTr="00E52317" w14:paraId="602174D3" w14:textId="77777777">
        <w:trPr>
          <w:trHeight w:val="300"/>
        </w:trPr>
        <w:tc>
          <w:tcPr>
            <w:tcW w:w="1170" w:type="dxa"/>
            <w:noWrap/>
            <w:vAlign w:val="center"/>
            <w:hideMark/>
          </w:tcPr>
          <w:p w:rsidRPr="00782FA6" w:rsidR="00DB248A" w:rsidP="00DB248A" w:rsidRDefault="00DB248A" w14:paraId="7413B6F8" w14:textId="77777777">
            <w:pPr>
              <w:spacing w:line="240" w:lineRule="auto"/>
              <w:ind w:firstLine="0"/>
              <w:jc w:val="center"/>
              <w:rPr>
                <w:rFonts w:eastAsia="Aptos" w:cs="Times New Roman"/>
                <w:sz w:val="20"/>
                <w:szCs w:val="20"/>
              </w:rPr>
            </w:pPr>
            <w:r w:rsidRPr="00782FA6">
              <w:rPr>
                <w:rFonts w:eastAsia="Aptos" w:cs="Times New Roman"/>
                <w:sz w:val="20"/>
                <w:szCs w:val="20"/>
              </w:rPr>
              <w:t>1661</w:t>
            </w:r>
          </w:p>
        </w:tc>
        <w:tc>
          <w:tcPr>
            <w:tcW w:w="1036" w:type="dxa"/>
            <w:noWrap/>
            <w:vAlign w:val="center"/>
            <w:hideMark/>
          </w:tcPr>
          <w:p w:rsidRPr="00782FA6" w:rsidR="00DB248A" w:rsidP="00DB248A" w:rsidRDefault="00DB248A" w14:paraId="335F402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C8DEEC5" w14:textId="5F0E21C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82C16EA" w14:textId="322124CF">
            <w:pPr>
              <w:spacing w:line="240" w:lineRule="auto"/>
              <w:ind w:firstLine="0"/>
              <w:rPr>
                <w:rFonts w:eastAsia="Aptos" w:cs="Times New Roman"/>
                <w:sz w:val="20"/>
                <w:szCs w:val="20"/>
              </w:rPr>
            </w:pPr>
            <w:proofErr w:type="spellStart"/>
            <w:r w:rsidRPr="00782FA6">
              <w:rPr>
                <w:rFonts w:eastAsia="Aptos" w:cs="Times New Roman"/>
                <w:sz w:val="20"/>
                <w:szCs w:val="20"/>
              </w:rPr>
              <w:t>Allbridge</w:t>
            </w:r>
            <w:proofErr w:type="spellEnd"/>
            <w:r w:rsidRPr="00782FA6">
              <w:rPr>
                <w:rFonts w:eastAsia="Aptos" w:cs="Times New Roman"/>
                <w:sz w:val="20"/>
                <w:szCs w:val="20"/>
              </w:rPr>
              <w:t>, LLC</w:t>
            </w:r>
          </w:p>
        </w:tc>
      </w:tr>
      <w:tr w:rsidRPr="00782FA6" w:rsidR="00DB248A" w:rsidTr="00E52317" w14:paraId="013541EA" w14:textId="77777777">
        <w:trPr>
          <w:trHeight w:val="300"/>
        </w:trPr>
        <w:tc>
          <w:tcPr>
            <w:tcW w:w="1170" w:type="dxa"/>
            <w:noWrap/>
            <w:vAlign w:val="center"/>
            <w:hideMark/>
          </w:tcPr>
          <w:p w:rsidRPr="00782FA6" w:rsidR="00DB248A" w:rsidP="00DB248A" w:rsidRDefault="00DB248A" w14:paraId="7E8BA541" w14:textId="77777777">
            <w:pPr>
              <w:spacing w:line="240" w:lineRule="auto"/>
              <w:ind w:firstLine="0"/>
              <w:jc w:val="center"/>
              <w:rPr>
                <w:rFonts w:eastAsia="Aptos" w:cs="Times New Roman"/>
                <w:sz w:val="20"/>
                <w:szCs w:val="20"/>
              </w:rPr>
            </w:pPr>
            <w:r w:rsidRPr="00782FA6">
              <w:rPr>
                <w:rFonts w:eastAsia="Aptos" w:cs="Times New Roman"/>
                <w:sz w:val="20"/>
                <w:szCs w:val="20"/>
              </w:rPr>
              <w:t>1662</w:t>
            </w:r>
          </w:p>
        </w:tc>
        <w:tc>
          <w:tcPr>
            <w:tcW w:w="1036" w:type="dxa"/>
            <w:noWrap/>
            <w:vAlign w:val="center"/>
            <w:hideMark/>
          </w:tcPr>
          <w:p w:rsidRPr="00782FA6" w:rsidR="00DB248A" w:rsidP="00DB248A" w:rsidRDefault="00DB248A" w14:paraId="4E4FB05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67F2DF6" w14:textId="088ABC0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22BD716" w14:textId="2C0DBFAE">
            <w:pPr>
              <w:spacing w:line="240" w:lineRule="auto"/>
              <w:ind w:firstLine="0"/>
              <w:rPr>
                <w:rFonts w:eastAsia="Aptos" w:cs="Times New Roman"/>
                <w:sz w:val="20"/>
                <w:szCs w:val="20"/>
              </w:rPr>
            </w:pPr>
            <w:r w:rsidRPr="00782FA6">
              <w:rPr>
                <w:rFonts w:eastAsia="Aptos" w:cs="Times New Roman"/>
                <w:sz w:val="20"/>
                <w:szCs w:val="20"/>
              </w:rPr>
              <w:t>Lingo Telecom of the West, LLC</w:t>
            </w:r>
          </w:p>
        </w:tc>
      </w:tr>
      <w:tr w:rsidRPr="00782FA6" w:rsidR="00DB248A" w:rsidTr="00E52317" w14:paraId="01216163" w14:textId="77777777">
        <w:trPr>
          <w:trHeight w:val="300"/>
        </w:trPr>
        <w:tc>
          <w:tcPr>
            <w:tcW w:w="1170" w:type="dxa"/>
            <w:noWrap/>
            <w:vAlign w:val="center"/>
            <w:hideMark/>
          </w:tcPr>
          <w:p w:rsidRPr="00782FA6" w:rsidR="00DB248A" w:rsidP="00DB248A" w:rsidRDefault="00DB248A" w14:paraId="732E59FD" w14:textId="77777777">
            <w:pPr>
              <w:spacing w:line="240" w:lineRule="auto"/>
              <w:ind w:firstLine="0"/>
              <w:jc w:val="center"/>
              <w:rPr>
                <w:rFonts w:eastAsia="Aptos" w:cs="Times New Roman"/>
                <w:sz w:val="20"/>
                <w:szCs w:val="20"/>
              </w:rPr>
            </w:pPr>
            <w:r w:rsidRPr="00782FA6">
              <w:rPr>
                <w:rFonts w:eastAsia="Aptos" w:cs="Times New Roman"/>
                <w:sz w:val="20"/>
                <w:szCs w:val="20"/>
              </w:rPr>
              <w:t>1663</w:t>
            </w:r>
          </w:p>
        </w:tc>
        <w:tc>
          <w:tcPr>
            <w:tcW w:w="1036" w:type="dxa"/>
            <w:noWrap/>
            <w:vAlign w:val="center"/>
            <w:hideMark/>
          </w:tcPr>
          <w:p w:rsidRPr="00782FA6" w:rsidR="00DB248A" w:rsidP="00DB248A" w:rsidRDefault="00DB248A" w14:paraId="543F30A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970CBD5" w14:textId="0A559D8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73A51B5" w14:textId="7812EF3C">
            <w:pPr>
              <w:spacing w:line="240" w:lineRule="auto"/>
              <w:ind w:firstLine="0"/>
              <w:rPr>
                <w:rFonts w:eastAsia="Aptos" w:cs="Times New Roman"/>
                <w:sz w:val="20"/>
                <w:szCs w:val="20"/>
              </w:rPr>
            </w:pPr>
            <w:r w:rsidRPr="00782FA6">
              <w:rPr>
                <w:rFonts w:eastAsia="Aptos" w:cs="Times New Roman"/>
                <w:sz w:val="20"/>
                <w:szCs w:val="20"/>
              </w:rPr>
              <w:t>DCT Telecom Group, Inc.</w:t>
            </w:r>
          </w:p>
        </w:tc>
      </w:tr>
      <w:tr w:rsidRPr="00782FA6" w:rsidR="00DB248A" w:rsidTr="00E52317" w14:paraId="166924C0" w14:textId="77777777">
        <w:trPr>
          <w:trHeight w:val="300"/>
        </w:trPr>
        <w:tc>
          <w:tcPr>
            <w:tcW w:w="1170" w:type="dxa"/>
            <w:noWrap/>
            <w:vAlign w:val="center"/>
            <w:hideMark/>
          </w:tcPr>
          <w:p w:rsidRPr="00782FA6" w:rsidR="00DB248A" w:rsidP="00DB248A" w:rsidRDefault="00DB248A" w14:paraId="78A1CCBB" w14:textId="77777777">
            <w:pPr>
              <w:spacing w:line="240" w:lineRule="auto"/>
              <w:ind w:firstLine="0"/>
              <w:jc w:val="center"/>
              <w:rPr>
                <w:rFonts w:eastAsia="Aptos" w:cs="Times New Roman"/>
                <w:sz w:val="20"/>
                <w:szCs w:val="20"/>
              </w:rPr>
            </w:pPr>
            <w:r w:rsidRPr="00782FA6">
              <w:rPr>
                <w:rFonts w:eastAsia="Aptos" w:cs="Times New Roman"/>
                <w:sz w:val="20"/>
                <w:szCs w:val="20"/>
              </w:rPr>
              <w:t>1664</w:t>
            </w:r>
          </w:p>
        </w:tc>
        <w:tc>
          <w:tcPr>
            <w:tcW w:w="1036" w:type="dxa"/>
            <w:noWrap/>
            <w:vAlign w:val="center"/>
            <w:hideMark/>
          </w:tcPr>
          <w:p w:rsidRPr="00782FA6" w:rsidR="00DB248A" w:rsidP="00DB248A" w:rsidRDefault="00DB248A" w14:paraId="723823D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FC0DB29" w14:textId="4EB1D94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EC492F3" w14:textId="474867BF">
            <w:pPr>
              <w:spacing w:line="240" w:lineRule="auto"/>
              <w:ind w:firstLine="0"/>
              <w:rPr>
                <w:rFonts w:eastAsia="Aptos" w:cs="Times New Roman"/>
                <w:sz w:val="20"/>
                <w:szCs w:val="20"/>
              </w:rPr>
            </w:pPr>
            <w:r w:rsidRPr="00782FA6">
              <w:rPr>
                <w:rFonts w:eastAsia="Aptos" w:cs="Times New Roman"/>
                <w:sz w:val="20"/>
                <w:szCs w:val="20"/>
              </w:rPr>
              <w:t>iTalk Global Communications, Inc.</w:t>
            </w:r>
          </w:p>
        </w:tc>
      </w:tr>
      <w:tr w:rsidRPr="00782FA6" w:rsidR="00DB248A" w:rsidTr="00E52317" w14:paraId="431B1744" w14:textId="77777777">
        <w:trPr>
          <w:trHeight w:val="300"/>
        </w:trPr>
        <w:tc>
          <w:tcPr>
            <w:tcW w:w="1170" w:type="dxa"/>
            <w:noWrap/>
            <w:vAlign w:val="center"/>
            <w:hideMark/>
          </w:tcPr>
          <w:p w:rsidRPr="00782FA6" w:rsidR="00DB248A" w:rsidP="00DB248A" w:rsidRDefault="00DB248A" w14:paraId="5AB38F2C" w14:textId="77777777">
            <w:pPr>
              <w:spacing w:line="240" w:lineRule="auto"/>
              <w:ind w:firstLine="0"/>
              <w:jc w:val="center"/>
              <w:rPr>
                <w:rFonts w:eastAsia="Aptos" w:cs="Times New Roman"/>
                <w:sz w:val="20"/>
                <w:szCs w:val="20"/>
              </w:rPr>
            </w:pPr>
            <w:r w:rsidRPr="00782FA6">
              <w:rPr>
                <w:rFonts w:eastAsia="Aptos" w:cs="Times New Roman"/>
                <w:sz w:val="20"/>
                <w:szCs w:val="20"/>
              </w:rPr>
              <w:lastRenderedPageBreak/>
              <w:t>1665</w:t>
            </w:r>
          </w:p>
        </w:tc>
        <w:tc>
          <w:tcPr>
            <w:tcW w:w="1036" w:type="dxa"/>
            <w:noWrap/>
            <w:vAlign w:val="center"/>
            <w:hideMark/>
          </w:tcPr>
          <w:p w:rsidRPr="00782FA6" w:rsidR="00DB248A" w:rsidP="00DB248A" w:rsidRDefault="00DB248A" w14:paraId="3588786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6C483A5" w14:textId="18B90BD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F7F0292" w14:textId="64A48663">
            <w:pPr>
              <w:spacing w:line="240" w:lineRule="auto"/>
              <w:ind w:firstLine="0"/>
              <w:rPr>
                <w:rFonts w:eastAsia="Aptos" w:cs="Times New Roman"/>
                <w:sz w:val="20"/>
                <w:szCs w:val="20"/>
              </w:rPr>
            </w:pPr>
            <w:proofErr w:type="spellStart"/>
            <w:r w:rsidRPr="00782FA6">
              <w:rPr>
                <w:rFonts w:eastAsia="Aptos" w:cs="Times New Roman"/>
                <w:sz w:val="20"/>
                <w:szCs w:val="20"/>
              </w:rPr>
              <w:t>Dutale</w:t>
            </w:r>
            <w:proofErr w:type="spellEnd"/>
            <w:r w:rsidRPr="00782FA6">
              <w:rPr>
                <w:rFonts w:eastAsia="Aptos" w:cs="Times New Roman"/>
                <w:sz w:val="20"/>
                <w:szCs w:val="20"/>
              </w:rPr>
              <w:t>, Inc.</w:t>
            </w:r>
          </w:p>
        </w:tc>
      </w:tr>
      <w:tr w:rsidRPr="00782FA6" w:rsidR="00DB248A" w:rsidTr="00E52317" w14:paraId="5AFFF641" w14:textId="77777777">
        <w:trPr>
          <w:trHeight w:val="300"/>
        </w:trPr>
        <w:tc>
          <w:tcPr>
            <w:tcW w:w="1170" w:type="dxa"/>
            <w:noWrap/>
            <w:vAlign w:val="center"/>
            <w:hideMark/>
          </w:tcPr>
          <w:p w:rsidRPr="00782FA6" w:rsidR="00DB248A" w:rsidP="00DB248A" w:rsidRDefault="00DB248A" w14:paraId="015876EE" w14:textId="77777777">
            <w:pPr>
              <w:spacing w:line="240" w:lineRule="auto"/>
              <w:ind w:firstLine="0"/>
              <w:jc w:val="center"/>
              <w:rPr>
                <w:rFonts w:eastAsia="Aptos" w:cs="Times New Roman"/>
                <w:sz w:val="20"/>
                <w:szCs w:val="20"/>
              </w:rPr>
            </w:pPr>
            <w:r w:rsidRPr="00782FA6">
              <w:rPr>
                <w:rFonts w:eastAsia="Aptos" w:cs="Times New Roman"/>
                <w:sz w:val="20"/>
                <w:szCs w:val="20"/>
              </w:rPr>
              <w:t>1666</w:t>
            </w:r>
          </w:p>
        </w:tc>
        <w:tc>
          <w:tcPr>
            <w:tcW w:w="1036" w:type="dxa"/>
            <w:noWrap/>
            <w:vAlign w:val="center"/>
            <w:hideMark/>
          </w:tcPr>
          <w:p w:rsidRPr="00782FA6" w:rsidR="00DB248A" w:rsidP="00DB248A" w:rsidRDefault="00DB248A" w14:paraId="39D7392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ADC2C67" w14:textId="5D862CE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0B8DCA6" w14:textId="0BFB1834">
            <w:pPr>
              <w:spacing w:line="240" w:lineRule="auto"/>
              <w:ind w:firstLine="0"/>
              <w:rPr>
                <w:rFonts w:eastAsia="Aptos" w:cs="Times New Roman"/>
                <w:sz w:val="20"/>
                <w:szCs w:val="20"/>
              </w:rPr>
            </w:pPr>
            <w:r w:rsidRPr="00782FA6">
              <w:rPr>
                <w:rFonts w:eastAsia="Aptos" w:cs="Times New Roman"/>
                <w:sz w:val="20"/>
                <w:szCs w:val="20"/>
              </w:rPr>
              <w:t>HEHE Enterprises, LLC</w:t>
            </w:r>
          </w:p>
        </w:tc>
      </w:tr>
      <w:tr w:rsidRPr="00782FA6" w:rsidR="00DB248A" w:rsidTr="00E52317" w14:paraId="6F692A1D" w14:textId="77777777">
        <w:trPr>
          <w:trHeight w:val="300"/>
        </w:trPr>
        <w:tc>
          <w:tcPr>
            <w:tcW w:w="1170" w:type="dxa"/>
            <w:noWrap/>
            <w:vAlign w:val="center"/>
            <w:hideMark/>
          </w:tcPr>
          <w:p w:rsidRPr="00782FA6" w:rsidR="00DB248A" w:rsidP="00DB248A" w:rsidRDefault="00DB248A" w14:paraId="2896F5AE" w14:textId="77777777">
            <w:pPr>
              <w:spacing w:line="240" w:lineRule="auto"/>
              <w:ind w:firstLine="0"/>
              <w:jc w:val="center"/>
              <w:rPr>
                <w:rFonts w:eastAsia="Aptos" w:cs="Times New Roman"/>
                <w:sz w:val="20"/>
                <w:szCs w:val="20"/>
              </w:rPr>
            </w:pPr>
            <w:r w:rsidRPr="00782FA6">
              <w:rPr>
                <w:rFonts w:eastAsia="Aptos" w:cs="Times New Roman"/>
                <w:sz w:val="20"/>
                <w:szCs w:val="20"/>
              </w:rPr>
              <w:t>1668</w:t>
            </w:r>
          </w:p>
        </w:tc>
        <w:tc>
          <w:tcPr>
            <w:tcW w:w="1036" w:type="dxa"/>
            <w:noWrap/>
            <w:vAlign w:val="center"/>
            <w:hideMark/>
          </w:tcPr>
          <w:p w:rsidRPr="00782FA6" w:rsidR="00DB248A" w:rsidP="00DB248A" w:rsidRDefault="00DB248A" w14:paraId="425BD46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C6B9F39" w14:textId="6DDA4E5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7F1269F" w14:textId="2BA03706">
            <w:pPr>
              <w:spacing w:line="240" w:lineRule="auto"/>
              <w:ind w:firstLine="0"/>
              <w:rPr>
                <w:rFonts w:eastAsia="Aptos" w:cs="Times New Roman"/>
                <w:sz w:val="20"/>
                <w:szCs w:val="20"/>
              </w:rPr>
            </w:pPr>
            <w:r w:rsidRPr="00782FA6">
              <w:rPr>
                <w:rFonts w:eastAsia="Aptos" w:cs="Times New Roman"/>
                <w:sz w:val="20"/>
                <w:szCs w:val="20"/>
              </w:rPr>
              <w:t>Telecom Evolutions, LLC</w:t>
            </w:r>
          </w:p>
        </w:tc>
      </w:tr>
      <w:tr w:rsidRPr="00782FA6" w:rsidR="00DB248A" w:rsidTr="00E52317" w14:paraId="77FD10B8" w14:textId="77777777">
        <w:trPr>
          <w:trHeight w:val="300"/>
        </w:trPr>
        <w:tc>
          <w:tcPr>
            <w:tcW w:w="1170" w:type="dxa"/>
            <w:noWrap/>
            <w:vAlign w:val="center"/>
            <w:hideMark/>
          </w:tcPr>
          <w:p w:rsidRPr="00782FA6" w:rsidR="00DB248A" w:rsidP="00DB248A" w:rsidRDefault="00DB248A" w14:paraId="3081810A" w14:textId="77777777">
            <w:pPr>
              <w:spacing w:line="240" w:lineRule="auto"/>
              <w:ind w:firstLine="0"/>
              <w:jc w:val="center"/>
              <w:rPr>
                <w:rFonts w:eastAsia="Aptos" w:cs="Times New Roman"/>
                <w:sz w:val="20"/>
                <w:szCs w:val="20"/>
              </w:rPr>
            </w:pPr>
            <w:r w:rsidRPr="00782FA6">
              <w:rPr>
                <w:rFonts w:eastAsia="Aptos" w:cs="Times New Roman"/>
                <w:sz w:val="20"/>
                <w:szCs w:val="20"/>
              </w:rPr>
              <w:t>1671</w:t>
            </w:r>
          </w:p>
        </w:tc>
        <w:tc>
          <w:tcPr>
            <w:tcW w:w="1036" w:type="dxa"/>
            <w:noWrap/>
            <w:vAlign w:val="center"/>
            <w:hideMark/>
          </w:tcPr>
          <w:p w:rsidRPr="00782FA6" w:rsidR="00DB248A" w:rsidP="00DB248A" w:rsidRDefault="00DB248A" w14:paraId="734022B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12C9F5E" w14:textId="46996AB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E7FB3C4" w14:textId="07C81079">
            <w:pPr>
              <w:spacing w:line="240" w:lineRule="auto"/>
              <w:ind w:firstLine="0"/>
              <w:rPr>
                <w:rFonts w:eastAsia="Aptos" w:cs="Times New Roman"/>
                <w:sz w:val="20"/>
                <w:szCs w:val="20"/>
              </w:rPr>
            </w:pPr>
            <w:r w:rsidRPr="00782FA6">
              <w:rPr>
                <w:rFonts w:eastAsia="Aptos" w:cs="Times New Roman"/>
                <w:sz w:val="20"/>
                <w:szCs w:val="20"/>
              </w:rPr>
              <w:t>Verve Cloud, Inc.</w:t>
            </w:r>
          </w:p>
        </w:tc>
      </w:tr>
      <w:tr w:rsidRPr="00782FA6" w:rsidR="00DB248A" w:rsidTr="00E52317" w14:paraId="6F565D53" w14:textId="77777777">
        <w:trPr>
          <w:trHeight w:val="300"/>
        </w:trPr>
        <w:tc>
          <w:tcPr>
            <w:tcW w:w="1170" w:type="dxa"/>
            <w:noWrap/>
            <w:vAlign w:val="center"/>
            <w:hideMark/>
          </w:tcPr>
          <w:p w:rsidRPr="00782FA6" w:rsidR="00DB248A" w:rsidP="00DB248A" w:rsidRDefault="00DB248A" w14:paraId="42774A2C" w14:textId="77777777">
            <w:pPr>
              <w:spacing w:line="240" w:lineRule="auto"/>
              <w:ind w:firstLine="0"/>
              <w:jc w:val="center"/>
              <w:rPr>
                <w:rFonts w:eastAsia="Aptos" w:cs="Times New Roman"/>
                <w:sz w:val="20"/>
                <w:szCs w:val="20"/>
              </w:rPr>
            </w:pPr>
            <w:r w:rsidRPr="00782FA6">
              <w:rPr>
                <w:rFonts w:eastAsia="Aptos" w:cs="Times New Roman"/>
                <w:sz w:val="20"/>
                <w:szCs w:val="20"/>
              </w:rPr>
              <w:t>1673</w:t>
            </w:r>
          </w:p>
        </w:tc>
        <w:tc>
          <w:tcPr>
            <w:tcW w:w="1036" w:type="dxa"/>
            <w:noWrap/>
            <w:vAlign w:val="center"/>
            <w:hideMark/>
          </w:tcPr>
          <w:p w:rsidRPr="00782FA6" w:rsidR="00DB248A" w:rsidP="00DB248A" w:rsidRDefault="00DB248A" w14:paraId="7565400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C8EE2E3" w14:textId="647D23A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856B977" w14:textId="47EA8F79">
            <w:pPr>
              <w:spacing w:line="240" w:lineRule="auto"/>
              <w:ind w:firstLine="0"/>
              <w:rPr>
                <w:rFonts w:eastAsia="Aptos" w:cs="Times New Roman"/>
                <w:sz w:val="20"/>
                <w:szCs w:val="20"/>
              </w:rPr>
            </w:pPr>
            <w:r w:rsidRPr="00782FA6">
              <w:rPr>
                <w:rFonts w:eastAsia="Aptos" w:cs="Times New Roman"/>
                <w:sz w:val="20"/>
                <w:szCs w:val="20"/>
              </w:rPr>
              <w:t>Blu Space Inc</w:t>
            </w:r>
          </w:p>
        </w:tc>
      </w:tr>
      <w:tr w:rsidRPr="00782FA6" w:rsidR="00DB248A" w:rsidTr="00E52317" w14:paraId="0FD1F75B" w14:textId="77777777">
        <w:trPr>
          <w:trHeight w:val="300"/>
        </w:trPr>
        <w:tc>
          <w:tcPr>
            <w:tcW w:w="1170" w:type="dxa"/>
            <w:noWrap/>
            <w:vAlign w:val="center"/>
            <w:hideMark/>
          </w:tcPr>
          <w:p w:rsidRPr="00782FA6" w:rsidR="00DB248A" w:rsidP="00DB248A" w:rsidRDefault="00DB248A" w14:paraId="5F472473" w14:textId="77777777">
            <w:pPr>
              <w:spacing w:line="240" w:lineRule="auto"/>
              <w:ind w:firstLine="0"/>
              <w:jc w:val="center"/>
              <w:rPr>
                <w:rFonts w:eastAsia="Aptos" w:cs="Times New Roman"/>
                <w:sz w:val="20"/>
                <w:szCs w:val="20"/>
              </w:rPr>
            </w:pPr>
            <w:r w:rsidRPr="00782FA6">
              <w:rPr>
                <w:rFonts w:eastAsia="Aptos" w:cs="Times New Roman"/>
                <w:sz w:val="20"/>
                <w:szCs w:val="20"/>
              </w:rPr>
              <w:t>1674</w:t>
            </w:r>
          </w:p>
        </w:tc>
        <w:tc>
          <w:tcPr>
            <w:tcW w:w="1036" w:type="dxa"/>
            <w:noWrap/>
            <w:vAlign w:val="center"/>
            <w:hideMark/>
          </w:tcPr>
          <w:p w:rsidRPr="00782FA6" w:rsidR="00DB248A" w:rsidP="00DB248A" w:rsidRDefault="00DB248A" w14:paraId="474E2DD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0D2E26E" w14:textId="0B54857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D405CD5" w14:textId="60A2CE58">
            <w:pPr>
              <w:spacing w:line="240" w:lineRule="auto"/>
              <w:ind w:firstLine="0"/>
              <w:rPr>
                <w:rFonts w:eastAsia="Aptos" w:cs="Times New Roman"/>
                <w:sz w:val="20"/>
                <w:szCs w:val="20"/>
              </w:rPr>
            </w:pPr>
            <w:r w:rsidRPr="00782FA6">
              <w:rPr>
                <w:rFonts w:eastAsia="Aptos" w:cs="Times New Roman"/>
                <w:sz w:val="20"/>
                <w:szCs w:val="20"/>
              </w:rPr>
              <w:t>Pulsar360 Corp.</w:t>
            </w:r>
          </w:p>
        </w:tc>
      </w:tr>
      <w:tr w:rsidRPr="00782FA6" w:rsidR="00DB248A" w:rsidTr="00E52317" w14:paraId="083ECEFD" w14:textId="77777777">
        <w:trPr>
          <w:trHeight w:val="300"/>
        </w:trPr>
        <w:tc>
          <w:tcPr>
            <w:tcW w:w="1170" w:type="dxa"/>
            <w:noWrap/>
            <w:vAlign w:val="center"/>
            <w:hideMark/>
          </w:tcPr>
          <w:p w:rsidRPr="00782FA6" w:rsidR="00DB248A" w:rsidP="00DB248A" w:rsidRDefault="00DB248A" w14:paraId="050B270B" w14:textId="77777777">
            <w:pPr>
              <w:spacing w:line="240" w:lineRule="auto"/>
              <w:ind w:firstLine="0"/>
              <w:jc w:val="center"/>
              <w:rPr>
                <w:rFonts w:eastAsia="Aptos" w:cs="Times New Roman"/>
                <w:sz w:val="20"/>
                <w:szCs w:val="20"/>
              </w:rPr>
            </w:pPr>
            <w:r w:rsidRPr="00782FA6">
              <w:rPr>
                <w:rFonts w:eastAsia="Aptos" w:cs="Times New Roman"/>
                <w:sz w:val="20"/>
                <w:szCs w:val="20"/>
              </w:rPr>
              <w:t>1677</w:t>
            </w:r>
          </w:p>
        </w:tc>
        <w:tc>
          <w:tcPr>
            <w:tcW w:w="1036" w:type="dxa"/>
            <w:noWrap/>
            <w:vAlign w:val="center"/>
            <w:hideMark/>
          </w:tcPr>
          <w:p w:rsidRPr="00782FA6" w:rsidR="00DB248A" w:rsidP="00DB248A" w:rsidRDefault="00DB248A" w14:paraId="17E5815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4B39394" w14:textId="0A1E3FD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A9F2D0F" w14:textId="15457559">
            <w:pPr>
              <w:spacing w:line="240" w:lineRule="auto"/>
              <w:ind w:firstLine="0"/>
              <w:rPr>
                <w:rFonts w:eastAsia="Aptos" w:cs="Times New Roman"/>
                <w:sz w:val="20"/>
                <w:szCs w:val="20"/>
              </w:rPr>
            </w:pPr>
            <w:proofErr w:type="spellStart"/>
            <w:r w:rsidRPr="00782FA6">
              <w:rPr>
                <w:rFonts w:eastAsia="Aptos" w:cs="Times New Roman"/>
                <w:sz w:val="20"/>
                <w:szCs w:val="20"/>
              </w:rPr>
              <w:t>Telexent</w:t>
            </w:r>
            <w:proofErr w:type="spellEnd"/>
            <w:r w:rsidRPr="00782FA6">
              <w:rPr>
                <w:rFonts w:eastAsia="Aptos" w:cs="Times New Roman"/>
                <w:sz w:val="20"/>
                <w:szCs w:val="20"/>
              </w:rPr>
              <w:t>, Inc.</w:t>
            </w:r>
          </w:p>
        </w:tc>
      </w:tr>
      <w:tr w:rsidRPr="00782FA6" w:rsidR="00DB248A" w:rsidTr="00E52317" w14:paraId="0757241E" w14:textId="77777777">
        <w:trPr>
          <w:trHeight w:val="300"/>
        </w:trPr>
        <w:tc>
          <w:tcPr>
            <w:tcW w:w="1170" w:type="dxa"/>
            <w:noWrap/>
            <w:vAlign w:val="center"/>
            <w:hideMark/>
          </w:tcPr>
          <w:p w:rsidRPr="00782FA6" w:rsidR="00DB248A" w:rsidP="00DB248A" w:rsidRDefault="00DB248A" w14:paraId="6C977B07" w14:textId="77777777">
            <w:pPr>
              <w:spacing w:line="240" w:lineRule="auto"/>
              <w:ind w:firstLine="0"/>
              <w:jc w:val="center"/>
              <w:rPr>
                <w:rFonts w:eastAsia="Aptos" w:cs="Times New Roman"/>
                <w:sz w:val="20"/>
                <w:szCs w:val="20"/>
              </w:rPr>
            </w:pPr>
            <w:r w:rsidRPr="00782FA6">
              <w:rPr>
                <w:rFonts w:eastAsia="Aptos" w:cs="Times New Roman"/>
                <w:sz w:val="20"/>
                <w:szCs w:val="20"/>
              </w:rPr>
              <w:t>1678</w:t>
            </w:r>
          </w:p>
        </w:tc>
        <w:tc>
          <w:tcPr>
            <w:tcW w:w="1036" w:type="dxa"/>
            <w:noWrap/>
            <w:vAlign w:val="center"/>
            <w:hideMark/>
          </w:tcPr>
          <w:p w:rsidRPr="00782FA6" w:rsidR="00DB248A" w:rsidP="00DB248A" w:rsidRDefault="00DB248A" w14:paraId="0A57A17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5E6C19C" w14:textId="4C08F2D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ED96D73" w14:textId="183149BE">
            <w:pPr>
              <w:spacing w:line="240" w:lineRule="auto"/>
              <w:ind w:firstLine="0"/>
              <w:rPr>
                <w:rFonts w:eastAsia="Aptos" w:cs="Times New Roman"/>
                <w:sz w:val="20"/>
                <w:szCs w:val="20"/>
              </w:rPr>
            </w:pPr>
            <w:r w:rsidRPr="00782FA6">
              <w:rPr>
                <w:rFonts w:eastAsia="Aptos" w:cs="Times New Roman"/>
                <w:sz w:val="20"/>
                <w:szCs w:val="20"/>
              </w:rPr>
              <w:t>Southwest Telephone Company</w:t>
            </w:r>
          </w:p>
        </w:tc>
      </w:tr>
      <w:tr w:rsidRPr="00782FA6" w:rsidR="00DB248A" w:rsidTr="00E52317" w14:paraId="131CF9EA" w14:textId="77777777">
        <w:trPr>
          <w:trHeight w:val="300"/>
        </w:trPr>
        <w:tc>
          <w:tcPr>
            <w:tcW w:w="1170" w:type="dxa"/>
            <w:noWrap/>
            <w:vAlign w:val="center"/>
            <w:hideMark/>
          </w:tcPr>
          <w:p w:rsidRPr="00782FA6" w:rsidR="00DB248A" w:rsidP="00DB248A" w:rsidRDefault="00DB248A" w14:paraId="35114CAB" w14:textId="77777777">
            <w:pPr>
              <w:spacing w:line="240" w:lineRule="auto"/>
              <w:ind w:firstLine="0"/>
              <w:jc w:val="center"/>
              <w:rPr>
                <w:rFonts w:eastAsia="Aptos" w:cs="Times New Roman"/>
                <w:sz w:val="20"/>
                <w:szCs w:val="20"/>
              </w:rPr>
            </w:pPr>
            <w:r w:rsidRPr="00782FA6">
              <w:rPr>
                <w:rFonts w:eastAsia="Aptos" w:cs="Times New Roman"/>
                <w:sz w:val="20"/>
                <w:szCs w:val="20"/>
              </w:rPr>
              <w:t>1679</w:t>
            </w:r>
          </w:p>
        </w:tc>
        <w:tc>
          <w:tcPr>
            <w:tcW w:w="1036" w:type="dxa"/>
            <w:noWrap/>
            <w:vAlign w:val="center"/>
            <w:hideMark/>
          </w:tcPr>
          <w:p w:rsidRPr="00782FA6" w:rsidR="00DB248A" w:rsidP="00DB248A" w:rsidRDefault="00DB248A" w14:paraId="73B717A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4A458DF" w14:textId="0F77207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2146D10" w14:textId="709E515D">
            <w:pPr>
              <w:spacing w:line="240" w:lineRule="auto"/>
              <w:ind w:firstLine="0"/>
              <w:rPr>
                <w:rFonts w:eastAsia="Aptos" w:cs="Times New Roman"/>
                <w:sz w:val="20"/>
                <w:szCs w:val="20"/>
              </w:rPr>
            </w:pPr>
            <w:r w:rsidRPr="00782FA6">
              <w:rPr>
                <w:rFonts w:eastAsia="Aptos" w:cs="Times New Roman"/>
                <w:sz w:val="20"/>
                <w:szCs w:val="20"/>
              </w:rPr>
              <w:t>StarTechTel.com, Inc.</w:t>
            </w:r>
          </w:p>
        </w:tc>
      </w:tr>
      <w:tr w:rsidRPr="00782FA6" w:rsidR="00DB248A" w:rsidTr="00E52317" w14:paraId="1E9DB3AD" w14:textId="77777777">
        <w:trPr>
          <w:trHeight w:val="300"/>
        </w:trPr>
        <w:tc>
          <w:tcPr>
            <w:tcW w:w="1170" w:type="dxa"/>
            <w:noWrap/>
            <w:vAlign w:val="center"/>
            <w:hideMark/>
          </w:tcPr>
          <w:p w:rsidRPr="00782FA6" w:rsidR="00DB248A" w:rsidP="00DB248A" w:rsidRDefault="00DB248A" w14:paraId="59AC44CC" w14:textId="77777777">
            <w:pPr>
              <w:spacing w:line="240" w:lineRule="auto"/>
              <w:ind w:firstLine="0"/>
              <w:jc w:val="center"/>
              <w:rPr>
                <w:rFonts w:eastAsia="Aptos" w:cs="Times New Roman"/>
                <w:sz w:val="20"/>
                <w:szCs w:val="20"/>
              </w:rPr>
            </w:pPr>
            <w:r w:rsidRPr="00782FA6">
              <w:rPr>
                <w:rFonts w:eastAsia="Aptos" w:cs="Times New Roman"/>
                <w:sz w:val="20"/>
                <w:szCs w:val="20"/>
              </w:rPr>
              <w:t>1680</w:t>
            </w:r>
          </w:p>
        </w:tc>
        <w:tc>
          <w:tcPr>
            <w:tcW w:w="1036" w:type="dxa"/>
            <w:noWrap/>
            <w:vAlign w:val="center"/>
            <w:hideMark/>
          </w:tcPr>
          <w:p w:rsidRPr="00782FA6" w:rsidR="00DB248A" w:rsidP="00DB248A" w:rsidRDefault="00DB248A" w14:paraId="40D8283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42A9887" w14:textId="1BEFB44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F8AB0B9" w14:textId="2FF20EB2">
            <w:pPr>
              <w:spacing w:line="240" w:lineRule="auto"/>
              <w:ind w:firstLine="0"/>
              <w:rPr>
                <w:rFonts w:eastAsia="Aptos" w:cs="Times New Roman"/>
                <w:sz w:val="20"/>
                <w:szCs w:val="20"/>
              </w:rPr>
            </w:pPr>
            <w:r w:rsidRPr="00782FA6">
              <w:rPr>
                <w:rFonts w:eastAsia="Aptos" w:cs="Times New Roman"/>
                <w:sz w:val="20"/>
                <w:szCs w:val="20"/>
              </w:rPr>
              <w:t>Sun Communications, Inc</w:t>
            </w:r>
          </w:p>
        </w:tc>
      </w:tr>
      <w:tr w:rsidRPr="00782FA6" w:rsidR="00DB248A" w:rsidTr="00E52317" w14:paraId="20F4642F" w14:textId="77777777">
        <w:trPr>
          <w:trHeight w:val="300"/>
        </w:trPr>
        <w:tc>
          <w:tcPr>
            <w:tcW w:w="1170" w:type="dxa"/>
            <w:noWrap/>
            <w:vAlign w:val="center"/>
            <w:hideMark/>
          </w:tcPr>
          <w:p w:rsidRPr="00782FA6" w:rsidR="00DB248A" w:rsidP="00DB248A" w:rsidRDefault="00DB248A" w14:paraId="2302BCAE" w14:textId="77777777">
            <w:pPr>
              <w:spacing w:line="240" w:lineRule="auto"/>
              <w:ind w:firstLine="0"/>
              <w:jc w:val="center"/>
              <w:rPr>
                <w:rFonts w:eastAsia="Aptos" w:cs="Times New Roman"/>
                <w:sz w:val="20"/>
                <w:szCs w:val="20"/>
              </w:rPr>
            </w:pPr>
            <w:r w:rsidRPr="00782FA6">
              <w:rPr>
                <w:rFonts w:eastAsia="Aptos" w:cs="Times New Roman"/>
                <w:sz w:val="20"/>
                <w:szCs w:val="20"/>
              </w:rPr>
              <w:t>1681</w:t>
            </w:r>
          </w:p>
        </w:tc>
        <w:tc>
          <w:tcPr>
            <w:tcW w:w="1036" w:type="dxa"/>
            <w:noWrap/>
            <w:vAlign w:val="center"/>
            <w:hideMark/>
          </w:tcPr>
          <w:p w:rsidRPr="00782FA6" w:rsidR="00DB248A" w:rsidP="00DB248A" w:rsidRDefault="00DB248A" w14:paraId="3B0D27F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57FBF07" w14:textId="146D35A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2C316E3" w14:textId="212A7964">
            <w:pPr>
              <w:spacing w:line="240" w:lineRule="auto"/>
              <w:ind w:firstLine="0"/>
              <w:rPr>
                <w:rFonts w:eastAsia="Aptos" w:cs="Times New Roman"/>
                <w:sz w:val="20"/>
                <w:szCs w:val="20"/>
              </w:rPr>
            </w:pPr>
            <w:r w:rsidRPr="00782FA6">
              <w:rPr>
                <w:rFonts w:eastAsia="Aptos" w:cs="Times New Roman"/>
                <w:sz w:val="20"/>
                <w:szCs w:val="20"/>
              </w:rPr>
              <w:t>Rage technologies, Inc</w:t>
            </w:r>
          </w:p>
        </w:tc>
      </w:tr>
      <w:tr w:rsidRPr="00782FA6" w:rsidR="00DB248A" w:rsidTr="00E52317" w14:paraId="7D1BF1ED" w14:textId="77777777">
        <w:trPr>
          <w:trHeight w:val="300"/>
        </w:trPr>
        <w:tc>
          <w:tcPr>
            <w:tcW w:w="1170" w:type="dxa"/>
            <w:noWrap/>
            <w:vAlign w:val="center"/>
            <w:hideMark/>
          </w:tcPr>
          <w:p w:rsidRPr="00782FA6" w:rsidR="00DB248A" w:rsidP="00DB248A" w:rsidRDefault="00DB248A" w14:paraId="5AB433AB" w14:textId="77777777">
            <w:pPr>
              <w:spacing w:line="240" w:lineRule="auto"/>
              <w:ind w:firstLine="0"/>
              <w:jc w:val="center"/>
              <w:rPr>
                <w:rFonts w:eastAsia="Aptos" w:cs="Times New Roman"/>
                <w:sz w:val="20"/>
                <w:szCs w:val="20"/>
              </w:rPr>
            </w:pPr>
            <w:r w:rsidRPr="00782FA6">
              <w:rPr>
                <w:rFonts w:eastAsia="Aptos" w:cs="Times New Roman"/>
                <w:sz w:val="20"/>
                <w:szCs w:val="20"/>
              </w:rPr>
              <w:t>1683</w:t>
            </w:r>
          </w:p>
        </w:tc>
        <w:tc>
          <w:tcPr>
            <w:tcW w:w="1036" w:type="dxa"/>
            <w:noWrap/>
            <w:vAlign w:val="center"/>
            <w:hideMark/>
          </w:tcPr>
          <w:p w:rsidRPr="00782FA6" w:rsidR="00DB248A" w:rsidP="00DB248A" w:rsidRDefault="00DB248A" w14:paraId="4E2F03B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3AFCE5A" w14:textId="296158B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CAF0A40" w14:textId="40D0573E">
            <w:pPr>
              <w:spacing w:line="240" w:lineRule="auto"/>
              <w:ind w:firstLine="0"/>
              <w:rPr>
                <w:rFonts w:eastAsia="Aptos" w:cs="Times New Roman"/>
                <w:sz w:val="20"/>
                <w:szCs w:val="20"/>
              </w:rPr>
            </w:pPr>
            <w:r w:rsidRPr="00782FA6">
              <w:rPr>
                <w:rFonts w:eastAsia="Aptos" w:cs="Times New Roman"/>
                <w:sz w:val="20"/>
                <w:szCs w:val="20"/>
              </w:rPr>
              <w:t>Google Voice, Inc.</w:t>
            </w:r>
          </w:p>
        </w:tc>
      </w:tr>
      <w:tr w:rsidRPr="00782FA6" w:rsidR="00DB248A" w:rsidTr="00E52317" w14:paraId="3F10402E" w14:textId="77777777">
        <w:trPr>
          <w:trHeight w:val="300"/>
        </w:trPr>
        <w:tc>
          <w:tcPr>
            <w:tcW w:w="1170" w:type="dxa"/>
            <w:noWrap/>
            <w:vAlign w:val="center"/>
            <w:hideMark/>
          </w:tcPr>
          <w:p w:rsidRPr="00782FA6" w:rsidR="00DB248A" w:rsidP="00DB248A" w:rsidRDefault="00DB248A" w14:paraId="341D0011" w14:textId="77777777">
            <w:pPr>
              <w:spacing w:line="240" w:lineRule="auto"/>
              <w:ind w:firstLine="0"/>
              <w:jc w:val="center"/>
              <w:rPr>
                <w:rFonts w:eastAsia="Aptos" w:cs="Times New Roman"/>
                <w:sz w:val="20"/>
                <w:szCs w:val="20"/>
              </w:rPr>
            </w:pPr>
            <w:r w:rsidRPr="00782FA6">
              <w:rPr>
                <w:rFonts w:eastAsia="Aptos" w:cs="Times New Roman"/>
                <w:sz w:val="20"/>
                <w:szCs w:val="20"/>
              </w:rPr>
              <w:t>1684</w:t>
            </w:r>
          </w:p>
        </w:tc>
        <w:tc>
          <w:tcPr>
            <w:tcW w:w="1036" w:type="dxa"/>
            <w:noWrap/>
            <w:vAlign w:val="center"/>
            <w:hideMark/>
          </w:tcPr>
          <w:p w:rsidRPr="00782FA6" w:rsidR="00DB248A" w:rsidP="00DB248A" w:rsidRDefault="00DB248A" w14:paraId="5798667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97F3007" w14:textId="1A9B41C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C9FB85A" w14:textId="5A8C0A97">
            <w:pPr>
              <w:spacing w:line="240" w:lineRule="auto"/>
              <w:ind w:firstLine="0"/>
              <w:rPr>
                <w:rFonts w:eastAsia="Aptos" w:cs="Times New Roman"/>
                <w:sz w:val="20"/>
                <w:szCs w:val="20"/>
              </w:rPr>
            </w:pPr>
            <w:proofErr w:type="spellStart"/>
            <w:r w:rsidRPr="00782FA6">
              <w:rPr>
                <w:rFonts w:eastAsia="Aptos" w:cs="Times New Roman"/>
                <w:sz w:val="20"/>
                <w:szCs w:val="20"/>
              </w:rPr>
              <w:t>Tophat</w:t>
            </w:r>
            <w:proofErr w:type="spellEnd"/>
            <w:r w:rsidRPr="00782FA6">
              <w:rPr>
                <w:rFonts w:eastAsia="Aptos" w:cs="Times New Roman"/>
                <w:sz w:val="20"/>
                <w:szCs w:val="20"/>
              </w:rPr>
              <w:t xml:space="preserve"> Communications, LLC</w:t>
            </w:r>
          </w:p>
        </w:tc>
      </w:tr>
      <w:tr w:rsidRPr="00782FA6" w:rsidR="00DB248A" w:rsidTr="00E52317" w14:paraId="14F5476C" w14:textId="77777777">
        <w:trPr>
          <w:trHeight w:val="300"/>
        </w:trPr>
        <w:tc>
          <w:tcPr>
            <w:tcW w:w="1170" w:type="dxa"/>
            <w:noWrap/>
            <w:vAlign w:val="center"/>
            <w:hideMark/>
          </w:tcPr>
          <w:p w:rsidRPr="00782FA6" w:rsidR="00DB248A" w:rsidP="00DB248A" w:rsidRDefault="00DB248A" w14:paraId="6D7AE838" w14:textId="77777777">
            <w:pPr>
              <w:spacing w:line="240" w:lineRule="auto"/>
              <w:ind w:firstLine="0"/>
              <w:jc w:val="center"/>
              <w:rPr>
                <w:rFonts w:eastAsia="Aptos" w:cs="Times New Roman"/>
                <w:sz w:val="20"/>
                <w:szCs w:val="20"/>
              </w:rPr>
            </w:pPr>
            <w:r w:rsidRPr="00782FA6">
              <w:rPr>
                <w:rFonts w:eastAsia="Aptos" w:cs="Times New Roman"/>
                <w:sz w:val="20"/>
                <w:szCs w:val="20"/>
              </w:rPr>
              <w:t>1685</w:t>
            </w:r>
          </w:p>
        </w:tc>
        <w:tc>
          <w:tcPr>
            <w:tcW w:w="1036" w:type="dxa"/>
            <w:noWrap/>
            <w:vAlign w:val="center"/>
            <w:hideMark/>
          </w:tcPr>
          <w:p w:rsidRPr="00782FA6" w:rsidR="00DB248A" w:rsidP="00DB248A" w:rsidRDefault="00DB248A" w14:paraId="1F2B9F7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896366C" w14:textId="7D746EE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7903F29" w14:textId="2F6248F9">
            <w:pPr>
              <w:spacing w:line="240" w:lineRule="auto"/>
              <w:ind w:firstLine="0"/>
              <w:rPr>
                <w:rFonts w:eastAsia="Aptos" w:cs="Times New Roman"/>
                <w:sz w:val="20"/>
                <w:szCs w:val="20"/>
              </w:rPr>
            </w:pPr>
            <w:proofErr w:type="spellStart"/>
            <w:r w:rsidRPr="00782FA6">
              <w:rPr>
                <w:rFonts w:eastAsia="Aptos" w:cs="Times New Roman"/>
                <w:sz w:val="20"/>
                <w:szCs w:val="20"/>
              </w:rPr>
              <w:t>Teletonix</w:t>
            </w:r>
            <w:proofErr w:type="spellEnd"/>
            <w:r w:rsidRPr="00782FA6">
              <w:rPr>
                <w:rFonts w:eastAsia="Aptos" w:cs="Times New Roman"/>
                <w:sz w:val="20"/>
                <w:szCs w:val="20"/>
              </w:rPr>
              <w:t xml:space="preserve"> Communications, LLC</w:t>
            </w:r>
          </w:p>
        </w:tc>
      </w:tr>
      <w:tr w:rsidRPr="00782FA6" w:rsidR="00DB248A" w:rsidTr="00E52317" w14:paraId="555C1C2F" w14:textId="77777777">
        <w:trPr>
          <w:trHeight w:val="300"/>
        </w:trPr>
        <w:tc>
          <w:tcPr>
            <w:tcW w:w="1170" w:type="dxa"/>
            <w:noWrap/>
            <w:vAlign w:val="center"/>
            <w:hideMark/>
          </w:tcPr>
          <w:p w:rsidRPr="00782FA6" w:rsidR="00DB248A" w:rsidP="00DB248A" w:rsidRDefault="00DB248A" w14:paraId="20C1C5FD" w14:textId="77777777">
            <w:pPr>
              <w:spacing w:line="240" w:lineRule="auto"/>
              <w:ind w:firstLine="0"/>
              <w:jc w:val="center"/>
              <w:rPr>
                <w:rFonts w:eastAsia="Aptos" w:cs="Times New Roman"/>
                <w:sz w:val="20"/>
                <w:szCs w:val="20"/>
              </w:rPr>
            </w:pPr>
            <w:r w:rsidRPr="00782FA6">
              <w:rPr>
                <w:rFonts w:eastAsia="Aptos" w:cs="Times New Roman"/>
                <w:sz w:val="20"/>
                <w:szCs w:val="20"/>
              </w:rPr>
              <w:t>1688</w:t>
            </w:r>
          </w:p>
        </w:tc>
        <w:tc>
          <w:tcPr>
            <w:tcW w:w="1036" w:type="dxa"/>
            <w:noWrap/>
            <w:vAlign w:val="center"/>
            <w:hideMark/>
          </w:tcPr>
          <w:p w:rsidRPr="00782FA6" w:rsidR="00DB248A" w:rsidP="00DB248A" w:rsidRDefault="00DB248A" w14:paraId="44D546E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2FF6739" w14:textId="00E2DC4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50D5359" w14:textId="65B2AF63">
            <w:pPr>
              <w:spacing w:line="240" w:lineRule="auto"/>
              <w:ind w:firstLine="0"/>
              <w:rPr>
                <w:rFonts w:eastAsia="Aptos" w:cs="Times New Roman"/>
                <w:sz w:val="20"/>
                <w:szCs w:val="20"/>
              </w:rPr>
            </w:pPr>
            <w:r w:rsidRPr="00782FA6">
              <w:rPr>
                <w:rFonts w:eastAsia="Aptos" w:cs="Times New Roman"/>
                <w:sz w:val="20"/>
                <w:szCs w:val="20"/>
              </w:rPr>
              <w:t>Lake Linx Inc.</w:t>
            </w:r>
          </w:p>
        </w:tc>
      </w:tr>
      <w:tr w:rsidRPr="00782FA6" w:rsidR="00DB248A" w:rsidTr="00E52317" w14:paraId="5579FB73" w14:textId="77777777">
        <w:trPr>
          <w:trHeight w:val="300"/>
        </w:trPr>
        <w:tc>
          <w:tcPr>
            <w:tcW w:w="1170" w:type="dxa"/>
            <w:noWrap/>
            <w:vAlign w:val="center"/>
            <w:hideMark/>
          </w:tcPr>
          <w:p w:rsidRPr="00782FA6" w:rsidR="00DB248A" w:rsidP="00DB248A" w:rsidRDefault="00DB248A" w14:paraId="49B21110" w14:textId="77777777">
            <w:pPr>
              <w:spacing w:line="240" w:lineRule="auto"/>
              <w:ind w:firstLine="0"/>
              <w:jc w:val="center"/>
              <w:rPr>
                <w:rFonts w:eastAsia="Aptos" w:cs="Times New Roman"/>
                <w:sz w:val="20"/>
                <w:szCs w:val="20"/>
              </w:rPr>
            </w:pPr>
            <w:r w:rsidRPr="00782FA6">
              <w:rPr>
                <w:rFonts w:eastAsia="Aptos" w:cs="Times New Roman"/>
                <w:sz w:val="20"/>
                <w:szCs w:val="20"/>
              </w:rPr>
              <w:t>1689</w:t>
            </w:r>
          </w:p>
        </w:tc>
        <w:tc>
          <w:tcPr>
            <w:tcW w:w="1036" w:type="dxa"/>
            <w:noWrap/>
            <w:vAlign w:val="center"/>
            <w:hideMark/>
          </w:tcPr>
          <w:p w:rsidRPr="00782FA6" w:rsidR="00DB248A" w:rsidP="00DB248A" w:rsidRDefault="00DB248A" w14:paraId="4F45726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BF11D7A" w14:textId="5A7FE0B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6436A62" w14:textId="6B27ABA7">
            <w:pPr>
              <w:spacing w:line="240" w:lineRule="auto"/>
              <w:ind w:firstLine="0"/>
              <w:rPr>
                <w:rFonts w:eastAsia="Aptos" w:cs="Times New Roman"/>
                <w:sz w:val="20"/>
                <w:szCs w:val="20"/>
              </w:rPr>
            </w:pPr>
            <w:proofErr w:type="spellStart"/>
            <w:r w:rsidRPr="00782FA6">
              <w:rPr>
                <w:rFonts w:eastAsia="Aptos" w:cs="Times New Roman"/>
                <w:sz w:val="20"/>
                <w:szCs w:val="20"/>
              </w:rPr>
              <w:t>PhoenixSoft</w:t>
            </w:r>
            <w:proofErr w:type="spellEnd"/>
            <w:r w:rsidRPr="00782FA6">
              <w:rPr>
                <w:rFonts w:eastAsia="Aptos" w:cs="Times New Roman"/>
                <w:sz w:val="20"/>
                <w:szCs w:val="20"/>
              </w:rPr>
              <w:t>, Inc.</w:t>
            </w:r>
          </w:p>
        </w:tc>
      </w:tr>
      <w:tr w:rsidRPr="00782FA6" w:rsidR="00DB248A" w:rsidTr="00E52317" w14:paraId="74D925CD" w14:textId="77777777">
        <w:trPr>
          <w:trHeight w:val="300"/>
        </w:trPr>
        <w:tc>
          <w:tcPr>
            <w:tcW w:w="1170" w:type="dxa"/>
            <w:noWrap/>
            <w:vAlign w:val="center"/>
            <w:hideMark/>
          </w:tcPr>
          <w:p w:rsidRPr="00782FA6" w:rsidR="00DB248A" w:rsidP="00DB248A" w:rsidRDefault="00DB248A" w14:paraId="43B04F68" w14:textId="77777777">
            <w:pPr>
              <w:spacing w:line="240" w:lineRule="auto"/>
              <w:ind w:firstLine="0"/>
              <w:jc w:val="center"/>
              <w:rPr>
                <w:rFonts w:eastAsia="Aptos" w:cs="Times New Roman"/>
                <w:sz w:val="20"/>
                <w:szCs w:val="20"/>
              </w:rPr>
            </w:pPr>
            <w:r w:rsidRPr="00782FA6">
              <w:rPr>
                <w:rFonts w:eastAsia="Aptos" w:cs="Times New Roman"/>
                <w:sz w:val="20"/>
                <w:szCs w:val="20"/>
              </w:rPr>
              <w:t>1690</w:t>
            </w:r>
          </w:p>
        </w:tc>
        <w:tc>
          <w:tcPr>
            <w:tcW w:w="1036" w:type="dxa"/>
            <w:noWrap/>
            <w:vAlign w:val="center"/>
            <w:hideMark/>
          </w:tcPr>
          <w:p w:rsidRPr="00782FA6" w:rsidR="00DB248A" w:rsidP="00DB248A" w:rsidRDefault="00DB248A" w14:paraId="5DE3207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CB67827" w14:textId="3C2BF67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D60A32E" w14:textId="1C04BC3F">
            <w:pPr>
              <w:spacing w:line="240" w:lineRule="auto"/>
              <w:ind w:firstLine="0"/>
              <w:rPr>
                <w:rFonts w:eastAsia="Aptos" w:cs="Times New Roman"/>
                <w:sz w:val="20"/>
                <w:szCs w:val="20"/>
              </w:rPr>
            </w:pPr>
            <w:r w:rsidRPr="00782FA6">
              <w:rPr>
                <w:rFonts w:eastAsia="Aptos" w:cs="Times New Roman"/>
                <w:sz w:val="20"/>
                <w:szCs w:val="20"/>
              </w:rPr>
              <w:t>Edge Communications Solutions LLC</w:t>
            </w:r>
          </w:p>
        </w:tc>
      </w:tr>
      <w:tr w:rsidRPr="00782FA6" w:rsidR="00DB248A" w:rsidTr="00E52317" w14:paraId="45E40D1D" w14:textId="77777777">
        <w:trPr>
          <w:trHeight w:val="300"/>
        </w:trPr>
        <w:tc>
          <w:tcPr>
            <w:tcW w:w="1170" w:type="dxa"/>
            <w:noWrap/>
            <w:vAlign w:val="center"/>
            <w:hideMark/>
          </w:tcPr>
          <w:p w:rsidRPr="00782FA6" w:rsidR="00DB248A" w:rsidP="00DB248A" w:rsidRDefault="00DB248A" w14:paraId="498C31EB" w14:textId="77777777">
            <w:pPr>
              <w:spacing w:line="240" w:lineRule="auto"/>
              <w:ind w:firstLine="0"/>
              <w:jc w:val="center"/>
              <w:rPr>
                <w:rFonts w:eastAsia="Aptos" w:cs="Times New Roman"/>
                <w:sz w:val="20"/>
                <w:szCs w:val="20"/>
              </w:rPr>
            </w:pPr>
            <w:r w:rsidRPr="00782FA6">
              <w:rPr>
                <w:rFonts w:eastAsia="Aptos" w:cs="Times New Roman"/>
                <w:sz w:val="20"/>
                <w:szCs w:val="20"/>
              </w:rPr>
              <w:t>1691</w:t>
            </w:r>
          </w:p>
        </w:tc>
        <w:tc>
          <w:tcPr>
            <w:tcW w:w="1036" w:type="dxa"/>
            <w:noWrap/>
            <w:vAlign w:val="center"/>
            <w:hideMark/>
          </w:tcPr>
          <w:p w:rsidRPr="00782FA6" w:rsidR="00DB248A" w:rsidP="00DB248A" w:rsidRDefault="00DB248A" w14:paraId="2263D55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50573AC" w14:textId="1E6843C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AFD5E8C" w14:textId="7F2C6401">
            <w:pPr>
              <w:spacing w:line="240" w:lineRule="auto"/>
              <w:ind w:firstLine="0"/>
              <w:rPr>
                <w:rFonts w:eastAsia="Aptos" w:cs="Times New Roman"/>
                <w:sz w:val="20"/>
                <w:szCs w:val="20"/>
              </w:rPr>
            </w:pPr>
            <w:proofErr w:type="spellStart"/>
            <w:r w:rsidRPr="00782FA6">
              <w:rPr>
                <w:rFonts w:eastAsia="Aptos" w:cs="Times New Roman"/>
                <w:sz w:val="20"/>
                <w:szCs w:val="20"/>
              </w:rPr>
              <w:t>Xentric</w:t>
            </w:r>
            <w:proofErr w:type="spellEnd"/>
            <w:r w:rsidRPr="00782FA6">
              <w:rPr>
                <w:rFonts w:eastAsia="Aptos" w:cs="Times New Roman"/>
                <w:sz w:val="20"/>
                <w:szCs w:val="20"/>
              </w:rPr>
              <w:t xml:space="preserve"> Solutions Inc.</w:t>
            </w:r>
          </w:p>
        </w:tc>
      </w:tr>
      <w:tr w:rsidRPr="00782FA6" w:rsidR="00DB248A" w:rsidTr="00E52317" w14:paraId="7541C112" w14:textId="77777777">
        <w:trPr>
          <w:trHeight w:val="300"/>
        </w:trPr>
        <w:tc>
          <w:tcPr>
            <w:tcW w:w="1170" w:type="dxa"/>
            <w:noWrap/>
            <w:vAlign w:val="center"/>
            <w:hideMark/>
          </w:tcPr>
          <w:p w:rsidRPr="00782FA6" w:rsidR="00DB248A" w:rsidP="00DB248A" w:rsidRDefault="00DB248A" w14:paraId="58D7E7ED" w14:textId="77777777">
            <w:pPr>
              <w:spacing w:line="240" w:lineRule="auto"/>
              <w:ind w:firstLine="0"/>
              <w:jc w:val="center"/>
              <w:rPr>
                <w:rFonts w:eastAsia="Aptos" w:cs="Times New Roman"/>
                <w:sz w:val="20"/>
                <w:szCs w:val="20"/>
              </w:rPr>
            </w:pPr>
            <w:r w:rsidRPr="00782FA6">
              <w:rPr>
                <w:rFonts w:eastAsia="Aptos" w:cs="Times New Roman"/>
                <w:sz w:val="20"/>
                <w:szCs w:val="20"/>
              </w:rPr>
              <w:t>1692</w:t>
            </w:r>
          </w:p>
        </w:tc>
        <w:tc>
          <w:tcPr>
            <w:tcW w:w="1036" w:type="dxa"/>
            <w:noWrap/>
            <w:vAlign w:val="center"/>
            <w:hideMark/>
          </w:tcPr>
          <w:p w:rsidRPr="00782FA6" w:rsidR="00DB248A" w:rsidP="00DB248A" w:rsidRDefault="00DB248A" w14:paraId="6DE9597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882A7A6" w14:textId="2204285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C1B3448" w14:textId="1D336A53">
            <w:pPr>
              <w:spacing w:line="240" w:lineRule="auto"/>
              <w:ind w:firstLine="0"/>
              <w:rPr>
                <w:rFonts w:eastAsia="Aptos" w:cs="Times New Roman"/>
                <w:sz w:val="20"/>
                <w:szCs w:val="20"/>
              </w:rPr>
            </w:pPr>
            <w:proofErr w:type="spellStart"/>
            <w:r w:rsidRPr="00782FA6">
              <w:rPr>
                <w:rFonts w:eastAsia="Aptos" w:cs="Times New Roman"/>
                <w:sz w:val="20"/>
                <w:szCs w:val="20"/>
              </w:rPr>
              <w:t>Sequre</w:t>
            </w:r>
            <w:proofErr w:type="spellEnd"/>
            <w:r w:rsidRPr="00782FA6">
              <w:rPr>
                <w:rFonts w:eastAsia="Aptos" w:cs="Times New Roman"/>
                <w:sz w:val="20"/>
                <w:szCs w:val="20"/>
              </w:rPr>
              <w:t xml:space="preserve"> LLC</w:t>
            </w:r>
          </w:p>
        </w:tc>
      </w:tr>
      <w:tr w:rsidRPr="00782FA6" w:rsidR="00DB248A" w:rsidTr="00E52317" w14:paraId="02122BE9" w14:textId="77777777">
        <w:trPr>
          <w:trHeight w:val="300"/>
        </w:trPr>
        <w:tc>
          <w:tcPr>
            <w:tcW w:w="1170" w:type="dxa"/>
            <w:noWrap/>
            <w:vAlign w:val="center"/>
            <w:hideMark/>
          </w:tcPr>
          <w:p w:rsidRPr="00782FA6" w:rsidR="00DB248A" w:rsidP="00DB248A" w:rsidRDefault="00DB248A" w14:paraId="7698CDCA" w14:textId="77777777">
            <w:pPr>
              <w:spacing w:line="240" w:lineRule="auto"/>
              <w:ind w:firstLine="0"/>
              <w:jc w:val="center"/>
              <w:rPr>
                <w:rFonts w:eastAsia="Aptos" w:cs="Times New Roman"/>
                <w:sz w:val="20"/>
                <w:szCs w:val="20"/>
              </w:rPr>
            </w:pPr>
            <w:r w:rsidRPr="00782FA6">
              <w:rPr>
                <w:rFonts w:eastAsia="Aptos" w:cs="Times New Roman"/>
                <w:sz w:val="20"/>
                <w:szCs w:val="20"/>
              </w:rPr>
              <w:t>1693</w:t>
            </w:r>
          </w:p>
        </w:tc>
        <w:tc>
          <w:tcPr>
            <w:tcW w:w="1036" w:type="dxa"/>
            <w:noWrap/>
            <w:vAlign w:val="center"/>
            <w:hideMark/>
          </w:tcPr>
          <w:p w:rsidRPr="00782FA6" w:rsidR="00DB248A" w:rsidP="00DB248A" w:rsidRDefault="00DB248A" w14:paraId="5F1BC12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23CA056" w14:textId="67F79D9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6CD0DD7" w14:textId="27667FAC">
            <w:pPr>
              <w:spacing w:line="240" w:lineRule="auto"/>
              <w:ind w:firstLine="0"/>
              <w:rPr>
                <w:rFonts w:eastAsia="Aptos" w:cs="Times New Roman"/>
                <w:sz w:val="20"/>
                <w:szCs w:val="20"/>
              </w:rPr>
            </w:pPr>
            <w:r w:rsidRPr="00782FA6">
              <w:rPr>
                <w:rFonts w:eastAsia="Aptos" w:cs="Times New Roman"/>
                <w:sz w:val="20"/>
                <w:szCs w:val="20"/>
              </w:rPr>
              <w:t>Pioneer Technology, LLC</w:t>
            </w:r>
          </w:p>
        </w:tc>
      </w:tr>
      <w:tr w:rsidRPr="00782FA6" w:rsidR="00DB248A" w:rsidTr="00E52317" w14:paraId="6531852A" w14:textId="77777777">
        <w:trPr>
          <w:trHeight w:val="300"/>
        </w:trPr>
        <w:tc>
          <w:tcPr>
            <w:tcW w:w="1170" w:type="dxa"/>
            <w:noWrap/>
            <w:vAlign w:val="center"/>
            <w:hideMark/>
          </w:tcPr>
          <w:p w:rsidRPr="00782FA6" w:rsidR="00DB248A" w:rsidP="00DB248A" w:rsidRDefault="00DB248A" w14:paraId="0E2B4810" w14:textId="77777777">
            <w:pPr>
              <w:spacing w:line="240" w:lineRule="auto"/>
              <w:ind w:firstLine="0"/>
              <w:jc w:val="center"/>
              <w:rPr>
                <w:rFonts w:eastAsia="Aptos" w:cs="Times New Roman"/>
                <w:sz w:val="20"/>
                <w:szCs w:val="20"/>
              </w:rPr>
            </w:pPr>
            <w:r w:rsidRPr="00782FA6">
              <w:rPr>
                <w:rFonts w:eastAsia="Aptos" w:cs="Times New Roman"/>
                <w:sz w:val="20"/>
                <w:szCs w:val="20"/>
              </w:rPr>
              <w:t>1695</w:t>
            </w:r>
          </w:p>
        </w:tc>
        <w:tc>
          <w:tcPr>
            <w:tcW w:w="1036" w:type="dxa"/>
            <w:noWrap/>
            <w:vAlign w:val="center"/>
            <w:hideMark/>
          </w:tcPr>
          <w:p w:rsidRPr="00782FA6" w:rsidR="00DB248A" w:rsidP="00DB248A" w:rsidRDefault="00DB248A" w14:paraId="2D784D0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338051A" w14:textId="7F915FE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B30E840" w14:textId="0ADFB539">
            <w:pPr>
              <w:spacing w:line="240" w:lineRule="auto"/>
              <w:ind w:firstLine="0"/>
              <w:rPr>
                <w:rFonts w:eastAsia="Aptos" w:cs="Times New Roman"/>
                <w:sz w:val="20"/>
                <w:szCs w:val="20"/>
              </w:rPr>
            </w:pPr>
            <w:proofErr w:type="spellStart"/>
            <w:r w:rsidRPr="00782FA6">
              <w:rPr>
                <w:rFonts w:eastAsia="Aptos" w:cs="Times New Roman"/>
                <w:sz w:val="20"/>
                <w:szCs w:val="20"/>
              </w:rPr>
              <w:t>Vive</w:t>
            </w:r>
            <w:proofErr w:type="spellEnd"/>
            <w:r w:rsidRPr="00782FA6">
              <w:rPr>
                <w:rFonts w:eastAsia="Aptos" w:cs="Times New Roman"/>
                <w:sz w:val="20"/>
                <w:szCs w:val="20"/>
              </w:rPr>
              <w:t xml:space="preserve"> Communications, LLC</w:t>
            </w:r>
          </w:p>
        </w:tc>
      </w:tr>
      <w:tr w:rsidRPr="00782FA6" w:rsidR="00DB248A" w:rsidTr="00E52317" w14:paraId="2902C907" w14:textId="77777777">
        <w:trPr>
          <w:trHeight w:val="300"/>
        </w:trPr>
        <w:tc>
          <w:tcPr>
            <w:tcW w:w="1170" w:type="dxa"/>
            <w:noWrap/>
            <w:vAlign w:val="center"/>
            <w:hideMark/>
          </w:tcPr>
          <w:p w:rsidRPr="00782FA6" w:rsidR="00DB248A" w:rsidP="00DB248A" w:rsidRDefault="00DB248A" w14:paraId="37CE76FF" w14:textId="77777777">
            <w:pPr>
              <w:spacing w:line="240" w:lineRule="auto"/>
              <w:ind w:firstLine="0"/>
              <w:jc w:val="center"/>
              <w:rPr>
                <w:rFonts w:eastAsia="Aptos" w:cs="Times New Roman"/>
                <w:sz w:val="20"/>
                <w:szCs w:val="20"/>
              </w:rPr>
            </w:pPr>
            <w:r w:rsidRPr="00782FA6">
              <w:rPr>
                <w:rFonts w:eastAsia="Aptos" w:cs="Times New Roman"/>
                <w:sz w:val="20"/>
                <w:szCs w:val="20"/>
              </w:rPr>
              <w:t>1696</w:t>
            </w:r>
          </w:p>
        </w:tc>
        <w:tc>
          <w:tcPr>
            <w:tcW w:w="1036" w:type="dxa"/>
            <w:noWrap/>
            <w:vAlign w:val="center"/>
            <w:hideMark/>
          </w:tcPr>
          <w:p w:rsidRPr="00782FA6" w:rsidR="00DB248A" w:rsidP="00DB248A" w:rsidRDefault="00DB248A" w14:paraId="06B7ED3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AFD4923" w14:textId="030B94A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913B231" w14:textId="57289587">
            <w:pPr>
              <w:spacing w:line="240" w:lineRule="auto"/>
              <w:ind w:firstLine="0"/>
              <w:rPr>
                <w:rFonts w:eastAsia="Aptos" w:cs="Times New Roman"/>
                <w:sz w:val="20"/>
                <w:szCs w:val="20"/>
              </w:rPr>
            </w:pPr>
            <w:r w:rsidRPr="00782FA6">
              <w:rPr>
                <w:rFonts w:eastAsia="Aptos" w:cs="Times New Roman"/>
                <w:sz w:val="20"/>
                <w:szCs w:val="20"/>
              </w:rPr>
              <w:t>Alternative Techs Cooperative, Inc.</w:t>
            </w:r>
          </w:p>
        </w:tc>
      </w:tr>
      <w:tr w:rsidRPr="00782FA6" w:rsidR="00DB248A" w:rsidTr="00E52317" w14:paraId="697EBF83" w14:textId="77777777">
        <w:trPr>
          <w:trHeight w:val="300"/>
        </w:trPr>
        <w:tc>
          <w:tcPr>
            <w:tcW w:w="1170" w:type="dxa"/>
            <w:noWrap/>
            <w:vAlign w:val="center"/>
            <w:hideMark/>
          </w:tcPr>
          <w:p w:rsidRPr="00782FA6" w:rsidR="00DB248A" w:rsidP="00DB248A" w:rsidRDefault="00DB248A" w14:paraId="6AE6E28A" w14:textId="77777777">
            <w:pPr>
              <w:spacing w:line="240" w:lineRule="auto"/>
              <w:ind w:firstLine="0"/>
              <w:jc w:val="center"/>
              <w:rPr>
                <w:rFonts w:eastAsia="Aptos" w:cs="Times New Roman"/>
                <w:sz w:val="20"/>
                <w:szCs w:val="20"/>
              </w:rPr>
            </w:pPr>
            <w:r w:rsidRPr="00782FA6">
              <w:rPr>
                <w:rFonts w:eastAsia="Aptos" w:cs="Times New Roman"/>
                <w:sz w:val="20"/>
                <w:szCs w:val="20"/>
              </w:rPr>
              <w:t>1699</w:t>
            </w:r>
          </w:p>
        </w:tc>
        <w:tc>
          <w:tcPr>
            <w:tcW w:w="1036" w:type="dxa"/>
            <w:noWrap/>
            <w:vAlign w:val="center"/>
            <w:hideMark/>
          </w:tcPr>
          <w:p w:rsidRPr="00782FA6" w:rsidR="00DB248A" w:rsidP="00DB248A" w:rsidRDefault="00DB248A" w14:paraId="368DAF8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9BA0337" w14:textId="6ABEA5A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493E7B8" w14:textId="71EBAF89">
            <w:pPr>
              <w:spacing w:line="240" w:lineRule="auto"/>
              <w:ind w:firstLine="0"/>
              <w:rPr>
                <w:rFonts w:eastAsia="Aptos" w:cs="Times New Roman"/>
                <w:sz w:val="20"/>
                <w:szCs w:val="20"/>
              </w:rPr>
            </w:pPr>
            <w:proofErr w:type="spellStart"/>
            <w:r w:rsidRPr="00782FA6">
              <w:rPr>
                <w:rFonts w:eastAsia="Aptos" w:cs="Times New Roman"/>
                <w:sz w:val="20"/>
                <w:szCs w:val="20"/>
              </w:rPr>
              <w:t>UVoice</w:t>
            </w:r>
            <w:proofErr w:type="spellEnd"/>
            <w:r w:rsidRPr="00782FA6">
              <w:rPr>
                <w:rFonts w:eastAsia="Aptos" w:cs="Times New Roman"/>
                <w:sz w:val="20"/>
                <w:szCs w:val="20"/>
              </w:rPr>
              <w:t xml:space="preserve"> USA, LLC</w:t>
            </w:r>
          </w:p>
        </w:tc>
      </w:tr>
      <w:tr w:rsidRPr="00782FA6" w:rsidR="00DB248A" w:rsidTr="00E52317" w14:paraId="25BF5D00" w14:textId="77777777">
        <w:trPr>
          <w:trHeight w:val="300"/>
        </w:trPr>
        <w:tc>
          <w:tcPr>
            <w:tcW w:w="1170" w:type="dxa"/>
            <w:noWrap/>
            <w:vAlign w:val="center"/>
            <w:hideMark/>
          </w:tcPr>
          <w:p w:rsidRPr="00782FA6" w:rsidR="00DB248A" w:rsidP="00DB248A" w:rsidRDefault="00DB248A" w14:paraId="3E85E65F" w14:textId="77777777">
            <w:pPr>
              <w:spacing w:line="240" w:lineRule="auto"/>
              <w:ind w:firstLine="0"/>
              <w:jc w:val="center"/>
              <w:rPr>
                <w:rFonts w:eastAsia="Aptos" w:cs="Times New Roman"/>
                <w:sz w:val="20"/>
                <w:szCs w:val="20"/>
              </w:rPr>
            </w:pPr>
            <w:r w:rsidRPr="00782FA6">
              <w:rPr>
                <w:rFonts w:eastAsia="Aptos" w:cs="Times New Roman"/>
                <w:sz w:val="20"/>
                <w:szCs w:val="20"/>
              </w:rPr>
              <w:t>1701</w:t>
            </w:r>
          </w:p>
        </w:tc>
        <w:tc>
          <w:tcPr>
            <w:tcW w:w="1036" w:type="dxa"/>
            <w:noWrap/>
            <w:vAlign w:val="center"/>
            <w:hideMark/>
          </w:tcPr>
          <w:p w:rsidRPr="00782FA6" w:rsidR="00DB248A" w:rsidP="00DB248A" w:rsidRDefault="00DB248A" w14:paraId="31E3A5E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E792FDB" w14:textId="37B06C7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5613FA8" w14:textId="701A5D46">
            <w:pPr>
              <w:spacing w:line="240" w:lineRule="auto"/>
              <w:ind w:firstLine="0"/>
              <w:rPr>
                <w:rFonts w:eastAsia="Aptos" w:cs="Times New Roman"/>
                <w:sz w:val="20"/>
                <w:szCs w:val="20"/>
              </w:rPr>
            </w:pPr>
            <w:proofErr w:type="spellStart"/>
            <w:r w:rsidRPr="00782FA6">
              <w:rPr>
                <w:rFonts w:eastAsia="Aptos" w:cs="Times New Roman"/>
                <w:sz w:val="20"/>
                <w:szCs w:val="20"/>
              </w:rPr>
              <w:t>Versatel</w:t>
            </w:r>
            <w:proofErr w:type="spellEnd"/>
            <w:r w:rsidRPr="00782FA6">
              <w:rPr>
                <w:rFonts w:eastAsia="Aptos" w:cs="Times New Roman"/>
                <w:sz w:val="20"/>
                <w:szCs w:val="20"/>
              </w:rPr>
              <w:t>, LLC</w:t>
            </w:r>
          </w:p>
        </w:tc>
      </w:tr>
      <w:tr w:rsidRPr="00782FA6" w:rsidR="00DB248A" w:rsidTr="00E52317" w14:paraId="05C10EFC" w14:textId="77777777">
        <w:trPr>
          <w:trHeight w:val="300"/>
        </w:trPr>
        <w:tc>
          <w:tcPr>
            <w:tcW w:w="1170" w:type="dxa"/>
            <w:noWrap/>
            <w:vAlign w:val="center"/>
            <w:hideMark/>
          </w:tcPr>
          <w:p w:rsidRPr="00782FA6" w:rsidR="00DB248A" w:rsidP="00DB248A" w:rsidRDefault="00DB248A" w14:paraId="395F913B" w14:textId="77777777">
            <w:pPr>
              <w:spacing w:line="240" w:lineRule="auto"/>
              <w:ind w:firstLine="0"/>
              <w:jc w:val="center"/>
              <w:rPr>
                <w:rFonts w:eastAsia="Aptos" w:cs="Times New Roman"/>
                <w:sz w:val="20"/>
                <w:szCs w:val="20"/>
              </w:rPr>
            </w:pPr>
            <w:r w:rsidRPr="00782FA6">
              <w:rPr>
                <w:rFonts w:eastAsia="Aptos" w:cs="Times New Roman"/>
                <w:sz w:val="20"/>
                <w:szCs w:val="20"/>
              </w:rPr>
              <w:t>1702</w:t>
            </w:r>
          </w:p>
        </w:tc>
        <w:tc>
          <w:tcPr>
            <w:tcW w:w="1036" w:type="dxa"/>
            <w:noWrap/>
            <w:vAlign w:val="center"/>
            <w:hideMark/>
          </w:tcPr>
          <w:p w:rsidRPr="00782FA6" w:rsidR="00DB248A" w:rsidP="00DB248A" w:rsidRDefault="00DB248A" w14:paraId="2253622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575BD2D" w14:textId="28604F7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3E9EE60" w14:textId="4A2DADEA">
            <w:pPr>
              <w:spacing w:line="240" w:lineRule="auto"/>
              <w:ind w:firstLine="0"/>
              <w:rPr>
                <w:rFonts w:eastAsia="Aptos" w:cs="Times New Roman"/>
                <w:sz w:val="20"/>
                <w:szCs w:val="20"/>
              </w:rPr>
            </w:pPr>
            <w:r w:rsidRPr="00782FA6">
              <w:rPr>
                <w:rFonts w:eastAsia="Aptos" w:cs="Times New Roman"/>
                <w:sz w:val="20"/>
                <w:szCs w:val="20"/>
              </w:rPr>
              <w:t>Allegiant Networks, LLC</w:t>
            </w:r>
          </w:p>
        </w:tc>
      </w:tr>
      <w:tr w:rsidRPr="00782FA6" w:rsidR="00DB248A" w:rsidTr="00E52317" w14:paraId="3000BCBA" w14:textId="77777777">
        <w:trPr>
          <w:trHeight w:val="300"/>
        </w:trPr>
        <w:tc>
          <w:tcPr>
            <w:tcW w:w="1170" w:type="dxa"/>
            <w:noWrap/>
            <w:vAlign w:val="center"/>
            <w:hideMark/>
          </w:tcPr>
          <w:p w:rsidRPr="00782FA6" w:rsidR="00DB248A" w:rsidP="00DB248A" w:rsidRDefault="00DB248A" w14:paraId="5A6884B4" w14:textId="77777777">
            <w:pPr>
              <w:spacing w:line="240" w:lineRule="auto"/>
              <w:ind w:firstLine="0"/>
              <w:jc w:val="center"/>
              <w:rPr>
                <w:rFonts w:eastAsia="Aptos" w:cs="Times New Roman"/>
                <w:sz w:val="20"/>
                <w:szCs w:val="20"/>
              </w:rPr>
            </w:pPr>
            <w:r w:rsidRPr="00782FA6">
              <w:rPr>
                <w:rFonts w:eastAsia="Aptos" w:cs="Times New Roman"/>
                <w:sz w:val="20"/>
                <w:szCs w:val="20"/>
              </w:rPr>
              <w:t>1703</w:t>
            </w:r>
          </w:p>
        </w:tc>
        <w:tc>
          <w:tcPr>
            <w:tcW w:w="1036" w:type="dxa"/>
            <w:noWrap/>
            <w:vAlign w:val="center"/>
            <w:hideMark/>
          </w:tcPr>
          <w:p w:rsidRPr="00782FA6" w:rsidR="00DB248A" w:rsidP="00DB248A" w:rsidRDefault="00DB248A" w14:paraId="76B7DF3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64EB6FB" w14:textId="646AD33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6FACABA" w14:textId="20E75904">
            <w:pPr>
              <w:spacing w:line="240" w:lineRule="auto"/>
              <w:ind w:firstLine="0"/>
              <w:rPr>
                <w:rFonts w:eastAsia="Aptos" w:cs="Times New Roman"/>
                <w:sz w:val="20"/>
                <w:szCs w:val="20"/>
              </w:rPr>
            </w:pPr>
            <w:r w:rsidRPr="00782FA6">
              <w:rPr>
                <w:rFonts w:eastAsia="Aptos" w:cs="Times New Roman"/>
                <w:sz w:val="20"/>
                <w:szCs w:val="20"/>
              </w:rPr>
              <w:t>BREK Communications, Inc.</w:t>
            </w:r>
          </w:p>
        </w:tc>
      </w:tr>
      <w:tr w:rsidRPr="00782FA6" w:rsidR="00DB248A" w:rsidTr="00E52317" w14:paraId="2C8488F8" w14:textId="77777777">
        <w:trPr>
          <w:trHeight w:val="300"/>
        </w:trPr>
        <w:tc>
          <w:tcPr>
            <w:tcW w:w="1170" w:type="dxa"/>
            <w:noWrap/>
            <w:vAlign w:val="center"/>
            <w:hideMark/>
          </w:tcPr>
          <w:p w:rsidRPr="00782FA6" w:rsidR="00DB248A" w:rsidP="00DB248A" w:rsidRDefault="00DB248A" w14:paraId="2754FD18" w14:textId="77777777">
            <w:pPr>
              <w:spacing w:line="240" w:lineRule="auto"/>
              <w:ind w:firstLine="0"/>
              <w:jc w:val="center"/>
              <w:rPr>
                <w:rFonts w:eastAsia="Aptos" w:cs="Times New Roman"/>
                <w:sz w:val="20"/>
                <w:szCs w:val="20"/>
              </w:rPr>
            </w:pPr>
            <w:r w:rsidRPr="00782FA6">
              <w:rPr>
                <w:rFonts w:eastAsia="Aptos" w:cs="Times New Roman"/>
                <w:sz w:val="20"/>
                <w:szCs w:val="20"/>
              </w:rPr>
              <w:t>1704</w:t>
            </w:r>
          </w:p>
        </w:tc>
        <w:tc>
          <w:tcPr>
            <w:tcW w:w="1036" w:type="dxa"/>
            <w:noWrap/>
            <w:vAlign w:val="center"/>
            <w:hideMark/>
          </w:tcPr>
          <w:p w:rsidRPr="00782FA6" w:rsidR="00DB248A" w:rsidP="00DB248A" w:rsidRDefault="00DB248A" w14:paraId="027E4D2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8FAA205" w14:textId="6931013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2636774" w14:textId="74CEB4CA">
            <w:pPr>
              <w:spacing w:line="240" w:lineRule="auto"/>
              <w:ind w:firstLine="0"/>
              <w:rPr>
                <w:rFonts w:eastAsia="Aptos" w:cs="Times New Roman"/>
                <w:sz w:val="20"/>
                <w:szCs w:val="20"/>
              </w:rPr>
            </w:pPr>
            <w:proofErr w:type="spellStart"/>
            <w:r w:rsidRPr="00782FA6">
              <w:rPr>
                <w:rFonts w:eastAsia="Aptos" w:cs="Times New Roman"/>
                <w:sz w:val="20"/>
                <w:szCs w:val="20"/>
              </w:rPr>
              <w:t>PulseOne</w:t>
            </w:r>
            <w:proofErr w:type="spellEnd"/>
            <w:r w:rsidRPr="00782FA6">
              <w:rPr>
                <w:rFonts w:eastAsia="Aptos" w:cs="Times New Roman"/>
                <w:sz w:val="20"/>
                <w:szCs w:val="20"/>
              </w:rPr>
              <w:t xml:space="preserve"> Communications, LLC</w:t>
            </w:r>
          </w:p>
        </w:tc>
      </w:tr>
      <w:tr w:rsidRPr="00782FA6" w:rsidR="00DB248A" w:rsidTr="00E52317" w14:paraId="04F24410" w14:textId="77777777">
        <w:trPr>
          <w:trHeight w:val="300"/>
        </w:trPr>
        <w:tc>
          <w:tcPr>
            <w:tcW w:w="1170" w:type="dxa"/>
            <w:noWrap/>
            <w:vAlign w:val="center"/>
            <w:hideMark/>
          </w:tcPr>
          <w:p w:rsidRPr="00782FA6" w:rsidR="00DB248A" w:rsidP="00DB248A" w:rsidRDefault="00DB248A" w14:paraId="73876AA8" w14:textId="77777777">
            <w:pPr>
              <w:spacing w:line="240" w:lineRule="auto"/>
              <w:ind w:firstLine="0"/>
              <w:jc w:val="center"/>
              <w:rPr>
                <w:rFonts w:eastAsia="Aptos" w:cs="Times New Roman"/>
                <w:sz w:val="20"/>
                <w:szCs w:val="20"/>
              </w:rPr>
            </w:pPr>
            <w:r w:rsidRPr="00782FA6">
              <w:rPr>
                <w:rFonts w:eastAsia="Aptos" w:cs="Times New Roman"/>
                <w:sz w:val="20"/>
                <w:szCs w:val="20"/>
              </w:rPr>
              <w:t>1705</w:t>
            </w:r>
          </w:p>
        </w:tc>
        <w:tc>
          <w:tcPr>
            <w:tcW w:w="1036" w:type="dxa"/>
            <w:noWrap/>
            <w:vAlign w:val="center"/>
            <w:hideMark/>
          </w:tcPr>
          <w:p w:rsidRPr="00782FA6" w:rsidR="00DB248A" w:rsidP="00DB248A" w:rsidRDefault="00DB248A" w14:paraId="2D13A3B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4FF6A6F" w14:textId="0220E3A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57BB675" w14:textId="02265E61">
            <w:pPr>
              <w:spacing w:line="240" w:lineRule="auto"/>
              <w:ind w:firstLine="0"/>
              <w:rPr>
                <w:rFonts w:eastAsia="Aptos" w:cs="Times New Roman"/>
                <w:sz w:val="20"/>
                <w:szCs w:val="20"/>
              </w:rPr>
            </w:pPr>
            <w:r w:rsidRPr="00782FA6">
              <w:rPr>
                <w:rFonts w:eastAsia="Aptos" w:cs="Times New Roman"/>
                <w:sz w:val="20"/>
                <w:szCs w:val="20"/>
              </w:rPr>
              <w:t>Campus Communications Group, Inc.</w:t>
            </w:r>
          </w:p>
        </w:tc>
      </w:tr>
      <w:tr w:rsidRPr="00782FA6" w:rsidR="00DB248A" w:rsidTr="00E52317" w14:paraId="07A45FFB" w14:textId="77777777">
        <w:trPr>
          <w:trHeight w:val="300"/>
        </w:trPr>
        <w:tc>
          <w:tcPr>
            <w:tcW w:w="1170" w:type="dxa"/>
            <w:noWrap/>
            <w:vAlign w:val="center"/>
            <w:hideMark/>
          </w:tcPr>
          <w:p w:rsidRPr="00782FA6" w:rsidR="00DB248A" w:rsidP="00DB248A" w:rsidRDefault="00DB248A" w14:paraId="5D29D754" w14:textId="77777777">
            <w:pPr>
              <w:spacing w:line="240" w:lineRule="auto"/>
              <w:ind w:firstLine="0"/>
              <w:jc w:val="center"/>
              <w:rPr>
                <w:rFonts w:eastAsia="Aptos" w:cs="Times New Roman"/>
                <w:sz w:val="20"/>
                <w:szCs w:val="20"/>
              </w:rPr>
            </w:pPr>
            <w:r w:rsidRPr="00782FA6">
              <w:rPr>
                <w:rFonts w:eastAsia="Aptos" w:cs="Times New Roman"/>
                <w:sz w:val="20"/>
                <w:szCs w:val="20"/>
              </w:rPr>
              <w:t>1706</w:t>
            </w:r>
          </w:p>
        </w:tc>
        <w:tc>
          <w:tcPr>
            <w:tcW w:w="1036" w:type="dxa"/>
            <w:noWrap/>
            <w:vAlign w:val="center"/>
            <w:hideMark/>
          </w:tcPr>
          <w:p w:rsidRPr="00782FA6" w:rsidR="00DB248A" w:rsidP="00DB248A" w:rsidRDefault="00DB248A" w14:paraId="2936903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617DB4C" w14:textId="104E527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D47CB53" w14:textId="25A2EAD6">
            <w:pPr>
              <w:spacing w:line="240" w:lineRule="auto"/>
              <w:ind w:firstLine="0"/>
              <w:rPr>
                <w:rFonts w:eastAsia="Aptos" w:cs="Times New Roman"/>
                <w:sz w:val="20"/>
                <w:szCs w:val="20"/>
              </w:rPr>
            </w:pPr>
            <w:r w:rsidRPr="00782FA6">
              <w:rPr>
                <w:rFonts w:eastAsia="Aptos" w:cs="Times New Roman"/>
                <w:sz w:val="20"/>
                <w:szCs w:val="20"/>
              </w:rPr>
              <w:t>Interactive Services Network, Inc.</w:t>
            </w:r>
          </w:p>
        </w:tc>
      </w:tr>
      <w:tr w:rsidRPr="00782FA6" w:rsidR="00DB248A" w:rsidTr="00E52317" w14:paraId="495B6D8F" w14:textId="77777777">
        <w:trPr>
          <w:trHeight w:val="300"/>
        </w:trPr>
        <w:tc>
          <w:tcPr>
            <w:tcW w:w="1170" w:type="dxa"/>
            <w:noWrap/>
            <w:vAlign w:val="center"/>
            <w:hideMark/>
          </w:tcPr>
          <w:p w:rsidRPr="00782FA6" w:rsidR="00DB248A" w:rsidP="00DB248A" w:rsidRDefault="00DB248A" w14:paraId="4802C92B" w14:textId="77777777">
            <w:pPr>
              <w:spacing w:line="240" w:lineRule="auto"/>
              <w:ind w:firstLine="0"/>
              <w:jc w:val="center"/>
              <w:rPr>
                <w:rFonts w:eastAsia="Aptos" w:cs="Times New Roman"/>
                <w:sz w:val="20"/>
                <w:szCs w:val="20"/>
              </w:rPr>
            </w:pPr>
            <w:r w:rsidRPr="00782FA6">
              <w:rPr>
                <w:rFonts w:eastAsia="Aptos" w:cs="Times New Roman"/>
                <w:sz w:val="20"/>
                <w:szCs w:val="20"/>
              </w:rPr>
              <w:t>1707</w:t>
            </w:r>
          </w:p>
        </w:tc>
        <w:tc>
          <w:tcPr>
            <w:tcW w:w="1036" w:type="dxa"/>
            <w:noWrap/>
            <w:vAlign w:val="center"/>
            <w:hideMark/>
          </w:tcPr>
          <w:p w:rsidRPr="00782FA6" w:rsidR="00DB248A" w:rsidP="00DB248A" w:rsidRDefault="00DB248A" w14:paraId="2DEC5E2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9132AB1" w14:textId="3830397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FE598DF" w14:textId="0C44DE5C">
            <w:pPr>
              <w:spacing w:line="240" w:lineRule="auto"/>
              <w:ind w:firstLine="0"/>
              <w:rPr>
                <w:rFonts w:eastAsia="Aptos" w:cs="Times New Roman"/>
                <w:sz w:val="20"/>
                <w:szCs w:val="20"/>
              </w:rPr>
            </w:pPr>
            <w:r w:rsidRPr="00782FA6">
              <w:rPr>
                <w:rFonts w:eastAsia="Aptos" w:cs="Times New Roman"/>
                <w:sz w:val="20"/>
                <w:szCs w:val="20"/>
              </w:rPr>
              <w:t>BT Americas, Inc.</w:t>
            </w:r>
          </w:p>
        </w:tc>
      </w:tr>
      <w:tr w:rsidRPr="00782FA6" w:rsidR="00DB248A" w:rsidTr="00E52317" w14:paraId="16FB5741" w14:textId="77777777">
        <w:trPr>
          <w:trHeight w:val="300"/>
        </w:trPr>
        <w:tc>
          <w:tcPr>
            <w:tcW w:w="1170" w:type="dxa"/>
            <w:noWrap/>
            <w:vAlign w:val="center"/>
            <w:hideMark/>
          </w:tcPr>
          <w:p w:rsidRPr="00782FA6" w:rsidR="00DB248A" w:rsidP="00DB248A" w:rsidRDefault="00DB248A" w14:paraId="5386EE20" w14:textId="77777777">
            <w:pPr>
              <w:spacing w:line="240" w:lineRule="auto"/>
              <w:ind w:firstLine="0"/>
              <w:jc w:val="center"/>
              <w:rPr>
                <w:rFonts w:eastAsia="Aptos" w:cs="Times New Roman"/>
                <w:sz w:val="20"/>
                <w:szCs w:val="20"/>
              </w:rPr>
            </w:pPr>
            <w:r w:rsidRPr="00782FA6">
              <w:rPr>
                <w:rFonts w:eastAsia="Aptos" w:cs="Times New Roman"/>
                <w:sz w:val="20"/>
                <w:szCs w:val="20"/>
              </w:rPr>
              <w:t>1708</w:t>
            </w:r>
          </w:p>
        </w:tc>
        <w:tc>
          <w:tcPr>
            <w:tcW w:w="1036" w:type="dxa"/>
            <w:noWrap/>
            <w:vAlign w:val="center"/>
            <w:hideMark/>
          </w:tcPr>
          <w:p w:rsidRPr="00782FA6" w:rsidR="00DB248A" w:rsidP="00DB248A" w:rsidRDefault="00DB248A" w14:paraId="7A6A200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AD3C617" w14:textId="55DB54F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45BCE03" w14:textId="7F5995C6">
            <w:pPr>
              <w:spacing w:line="240" w:lineRule="auto"/>
              <w:ind w:firstLine="0"/>
              <w:rPr>
                <w:rFonts w:eastAsia="Aptos" w:cs="Times New Roman"/>
                <w:sz w:val="20"/>
                <w:szCs w:val="20"/>
              </w:rPr>
            </w:pPr>
            <w:r w:rsidRPr="00782FA6">
              <w:rPr>
                <w:rFonts w:eastAsia="Aptos" w:cs="Times New Roman"/>
                <w:sz w:val="20"/>
                <w:szCs w:val="20"/>
              </w:rPr>
              <w:t>Weave Communications, Inc.</w:t>
            </w:r>
          </w:p>
        </w:tc>
      </w:tr>
      <w:tr w:rsidRPr="00782FA6" w:rsidR="00DB248A" w:rsidTr="00E52317" w14:paraId="197B9ED2" w14:textId="77777777">
        <w:trPr>
          <w:trHeight w:val="300"/>
        </w:trPr>
        <w:tc>
          <w:tcPr>
            <w:tcW w:w="1170" w:type="dxa"/>
            <w:noWrap/>
            <w:vAlign w:val="center"/>
            <w:hideMark/>
          </w:tcPr>
          <w:p w:rsidRPr="00782FA6" w:rsidR="00DB248A" w:rsidP="00DB248A" w:rsidRDefault="00DB248A" w14:paraId="434F07AB" w14:textId="77777777">
            <w:pPr>
              <w:spacing w:line="240" w:lineRule="auto"/>
              <w:ind w:firstLine="0"/>
              <w:jc w:val="center"/>
              <w:rPr>
                <w:rFonts w:eastAsia="Aptos" w:cs="Times New Roman"/>
                <w:sz w:val="20"/>
                <w:szCs w:val="20"/>
              </w:rPr>
            </w:pPr>
            <w:r w:rsidRPr="00782FA6">
              <w:rPr>
                <w:rFonts w:eastAsia="Aptos" w:cs="Times New Roman"/>
                <w:sz w:val="20"/>
                <w:szCs w:val="20"/>
              </w:rPr>
              <w:t>1709</w:t>
            </w:r>
          </w:p>
        </w:tc>
        <w:tc>
          <w:tcPr>
            <w:tcW w:w="1036" w:type="dxa"/>
            <w:noWrap/>
            <w:vAlign w:val="center"/>
            <w:hideMark/>
          </w:tcPr>
          <w:p w:rsidRPr="00782FA6" w:rsidR="00DB248A" w:rsidP="00DB248A" w:rsidRDefault="00DB248A" w14:paraId="49E607A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D18B4B9" w14:textId="0372B43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8C09E63" w14:textId="19632F42">
            <w:pPr>
              <w:spacing w:line="240" w:lineRule="auto"/>
              <w:ind w:firstLine="0"/>
              <w:rPr>
                <w:rFonts w:eastAsia="Aptos" w:cs="Times New Roman"/>
                <w:sz w:val="20"/>
                <w:szCs w:val="20"/>
              </w:rPr>
            </w:pPr>
            <w:proofErr w:type="spellStart"/>
            <w:r w:rsidRPr="00782FA6">
              <w:rPr>
                <w:rFonts w:eastAsia="Aptos" w:cs="Times New Roman"/>
                <w:sz w:val="20"/>
                <w:szCs w:val="20"/>
              </w:rPr>
              <w:t>NocTel</w:t>
            </w:r>
            <w:proofErr w:type="spellEnd"/>
            <w:r w:rsidRPr="00782FA6">
              <w:rPr>
                <w:rFonts w:eastAsia="Aptos" w:cs="Times New Roman"/>
                <w:sz w:val="20"/>
                <w:szCs w:val="20"/>
              </w:rPr>
              <w:t xml:space="preserve"> Communications, Inc.</w:t>
            </w:r>
          </w:p>
        </w:tc>
      </w:tr>
      <w:tr w:rsidRPr="00782FA6" w:rsidR="00DB248A" w:rsidTr="00E52317" w14:paraId="51F95A1B" w14:textId="77777777">
        <w:trPr>
          <w:trHeight w:val="300"/>
        </w:trPr>
        <w:tc>
          <w:tcPr>
            <w:tcW w:w="1170" w:type="dxa"/>
            <w:noWrap/>
            <w:vAlign w:val="center"/>
            <w:hideMark/>
          </w:tcPr>
          <w:p w:rsidRPr="00782FA6" w:rsidR="00DB248A" w:rsidP="00DB248A" w:rsidRDefault="00DB248A" w14:paraId="36889D61" w14:textId="77777777">
            <w:pPr>
              <w:spacing w:line="240" w:lineRule="auto"/>
              <w:ind w:firstLine="0"/>
              <w:jc w:val="center"/>
              <w:rPr>
                <w:rFonts w:eastAsia="Aptos" w:cs="Times New Roman"/>
                <w:sz w:val="20"/>
                <w:szCs w:val="20"/>
              </w:rPr>
            </w:pPr>
            <w:r w:rsidRPr="00782FA6">
              <w:rPr>
                <w:rFonts w:eastAsia="Aptos" w:cs="Times New Roman"/>
                <w:sz w:val="20"/>
                <w:szCs w:val="20"/>
              </w:rPr>
              <w:t>1710</w:t>
            </w:r>
          </w:p>
        </w:tc>
        <w:tc>
          <w:tcPr>
            <w:tcW w:w="1036" w:type="dxa"/>
            <w:noWrap/>
            <w:vAlign w:val="center"/>
            <w:hideMark/>
          </w:tcPr>
          <w:p w:rsidRPr="00782FA6" w:rsidR="00DB248A" w:rsidP="00DB248A" w:rsidRDefault="00DB248A" w14:paraId="320A69D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844B0F9" w14:textId="3F700449">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48AD0D1" w14:textId="07D9C419">
            <w:pPr>
              <w:spacing w:line="240" w:lineRule="auto"/>
              <w:ind w:firstLine="0"/>
              <w:rPr>
                <w:rFonts w:eastAsia="Aptos" w:cs="Times New Roman"/>
                <w:sz w:val="20"/>
                <w:szCs w:val="20"/>
              </w:rPr>
            </w:pPr>
            <w:r w:rsidRPr="00782FA6">
              <w:rPr>
                <w:rFonts w:eastAsia="Aptos" w:cs="Times New Roman"/>
                <w:sz w:val="20"/>
                <w:szCs w:val="20"/>
              </w:rPr>
              <w:t>The Atteberry Group, Inc.</w:t>
            </w:r>
          </w:p>
        </w:tc>
      </w:tr>
      <w:tr w:rsidRPr="00782FA6" w:rsidR="00DB248A" w:rsidTr="00E52317" w14:paraId="1D85AD2B" w14:textId="77777777">
        <w:trPr>
          <w:trHeight w:val="300"/>
        </w:trPr>
        <w:tc>
          <w:tcPr>
            <w:tcW w:w="1170" w:type="dxa"/>
            <w:noWrap/>
            <w:vAlign w:val="center"/>
            <w:hideMark/>
          </w:tcPr>
          <w:p w:rsidRPr="00782FA6" w:rsidR="00DB248A" w:rsidP="00DB248A" w:rsidRDefault="00DB248A" w14:paraId="66029C11" w14:textId="77777777">
            <w:pPr>
              <w:spacing w:line="240" w:lineRule="auto"/>
              <w:ind w:firstLine="0"/>
              <w:jc w:val="center"/>
              <w:rPr>
                <w:rFonts w:eastAsia="Aptos" w:cs="Times New Roman"/>
                <w:sz w:val="20"/>
                <w:szCs w:val="20"/>
              </w:rPr>
            </w:pPr>
            <w:r w:rsidRPr="00782FA6">
              <w:rPr>
                <w:rFonts w:eastAsia="Aptos" w:cs="Times New Roman"/>
                <w:sz w:val="20"/>
                <w:szCs w:val="20"/>
              </w:rPr>
              <w:t>1711</w:t>
            </w:r>
          </w:p>
        </w:tc>
        <w:tc>
          <w:tcPr>
            <w:tcW w:w="1036" w:type="dxa"/>
            <w:noWrap/>
            <w:vAlign w:val="center"/>
            <w:hideMark/>
          </w:tcPr>
          <w:p w:rsidRPr="00782FA6" w:rsidR="00DB248A" w:rsidP="00DB248A" w:rsidRDefault="00DB248A" w14:paraId="0D2A255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29F64F4" w14:textId="787CC2C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4E793C3" w14:textId="0E461BA6">
            <w:pPr>
              <w:spacing w:line="240" w:lineRule="auto"/>
              <w:ind w:firstLine="0"/>
              <w:rPr>
                <w:rFonts w:eastAsia="Aptos" w:cs="Times New Roman"/>
                <w:sz w:val="20"/>
                <w:szCs w:val="20"/>
              </w:rPr>
            </w:pPr>
            <w:proofErr w:type="spellStart"/>
            <w:r w:rsidRPr="00782FA6">
              <w:rPr>
                <w:rFonts w:eastAsia="Aptos" w:cs="Times New Roman"/>
                <w:sz w:val="20"/>
                <w:szCs w:val="20"/>
              </w:rPr>
              <w:t>Cynexlink</w:t>
            </w:r>
            <w:proofErr w:type="spellEnd"/>
            <w:r w:rsidRPr="00782FA6">
              <w:rPr>
                <w:rFonts w:eastAsia="Aptos" w:cs="Times New Roman"/>
                <w:sz w:val="20"/>
                <w:szCs w:val="20"/>
              </w:rPr>
              <w:t xml:space="preserve"> LLC</w:t>
            </w:r>
          </w:p>
        </w:tc>
      </w:tr>
      <w:tr w:rsidRPr="00782FA6" w:rsidR="00DB248A" w:rsidTr="00E52317" w14:paraId="421E2E10" w14:textId="77777777">
        <w:trPr>
          <w:trHeight w:val="300"/>
        </w:trPr>
        <w:tc>
          <w:tcPr>
            <w:tcW w:w="1170" w:type="dxa"/>
            <w:noWrap/>
            <w:vAlign w:val="center"/>
            <w:hideMark/>
          </w:tcPr>
          <w:p w:rsidRPr="00782FA6" w:rsidR="00DB248A" w:rsidP="00DB248A" w:rsidRDefault="00DB248A" w14:paraId="2C510092" w14:textId="77777777">
            <w:pPr>
              <w:spacing w:line="240" w:lineRule="auto"/>
              <w:ind w:firstLine="0"/>
              <w:jc w:val="center"/>
              <w:rPr>
                <w:rFonts w:eastAsia="Aptos" w:cs="Times New Roman"/>
                <w:sz w:val="20"/>
                <w:szCs w:val="20"/>
              </w:rPr>
            </w:pPr>
            <w:r w:rsidRPr="00782FA6">
              <w:rPr>
                <w:rFonts w:eastAsia="Aptos" w:cs="Times New Roman"/>
                <w:sz w:val="20"/>
                <w:szCs w:val="20"/>
              </w:rPr>
              <w:t>1712</w:t>
            </w:r>
          </w:p>
        </w:tc>
        <w:tc>
          <w:tcPr>
            <w:tcW w:w="1036" w:type="dxa"/>
            <w:noWrap/>
            <w:vAlign w:val="center"/>
            <w:hideMark/>
          </w:tcPr>
          <w:p w:rsidRPr="00782FA6" w:rsidR="00DB248A" w:rsidP="00DB248A" w:rsidRDefault="00DB248A" w14:paraId="3A8FB27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A18C2BC" w14:textId="3EBF40C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5BF29E5" w14:textId="27F0C094">
            <w:pPr>
              <w:spacing w:line="240" w:lineRule="auto"/>
              <w:ind w:firstLine="0"/>
              <w:rPr>
                <w:rFonts w:eastAsia="Aptos" w:cs="Times New Roman"/>
                <w:sz w:val="20"/>
                <w:szCs w:val="20"/>
              </w:rPr>
            </w:pPr>
            <w:proofErr w:type="spellStart"/>
            <w:r w:rsidRPr="00782FA6">
              <w:rPr>
                <w:rFonts w:eastAsia="Aptos" w:cs="Times New Roman"/>
                <w:sz w:val="20"/>
                <w:szCs w:val="20"/>
              </w:rPr>
              <w:t>Medtel</w:t>
            </w:r>
            <w:proofErr w:type="spellEnd"/>
            <w:r w:rsidRPr="00782FA6">
              <w:rPr>
                <w:rFonts w:eastAsia="Aptos" w:cs="Times New Roman"/>
                <w:sz w:val="20"/>
                <w:szCs w:val="20"/>
              </w:rPr>
              <w:t xml:space="preserve"> Communications, LLC</w:t>
            </w:r>
          </w:p>
        </w:tc>
      </w:tr>
      <w:tr w:rsidRPr="00782FA6" w:rsidR="00DB248A" w:rsidTr="00E52317" w14:paraId="48BDCFB6" w14:textId="77777777">
        <w:trPr>
          <w:trHeight w:val="300"/>
        </w:trPr>
        <w:tc>
          <w:tcPr>
            <w:tcW w:w="1170" w:type="dxa"/>
            <w:noWrap/>
            <w:vAlign w:val="center"/>
            <w:hideMark/>
          </w:tcPr>
          <w:p w:rsidRPr="00782FA6" w:rsidR="00DB248A" w:rsidP="00DB248A" w:rsidRDefault="00DB248A" w14:paraId="1ADA04CA" w14:textId="77777777">
            <w:pPr>
              <w:spacing w:line="240" w:lineRule="auto"/>
              <w:ind w:firstLine="0"/>
              <w:jc w:val="center"/>
              <w:rPr>
                <w:rFonts w:eastAsia="Aptos" w:cs="Times New Roman"/>
                <w:sz w:val="20"/>
                <w:szCs w:val="20"/>
              </w:rPr>
            </w:pPr>
            <w:r w:rsidRPr="00782FA6">
              <w:rPr>
                <w:rFonts w:eastAsia="Aptos" w:cs="Times New Roman"/>
                <w:sz w:val="20"/>
                <w:szCs w:val="20"/>
              </w:rPr>
              <w:t>1713</w:t>
            </w:r>
          </w:p>
        </w:tc>
        <w:tc>
          <w:tcPr>
            <w:tcW w:w="1036" w:type="dxa"/>
            <w:noWrap/>
            <w:vAlign w:val="center"/>
            <w:hideMark/>
          </w:tcPr>
          <w:p w:rsidRPr="00782FA6" w:rsidR="00DB248A" w:rsidP="00DB248A" w:rsidRDefault="00DB248A" w14:paraId="38F67F3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26AD1AE" w14:textId="6D84DA6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37B45E8" w14:textId="02F37F64">
            <w:pPr>
              <w:spacing w:line="240" w:lineRule="auto"/>
              <w:ind w:firstLine="0"/>
              <w:rPr>
                <w:rFonts w:eastAsia="Aptos" w:cs="Times New Roman"/>
                <w:sz w:val="20"/>
                <w:szCs w:val="20"/>
              </w:rPr>
            </w:pPr>
            <w:r w:rsidRPr="00782FA6">
              <w:rPr>
                <w:rFonts w:eastAsia="Aptos" w:cs="Times New Roman"/>
                <w:sz w:val="20"/>
                <w:szCs w:val="20"/>
              </w:rPr>
              <w:t>Education Networks of America, Inc.</w:t>
            </w:r>
          </w:p>
        </w:tc>
      </w:tr>
      <w:tr w:rsidRPr="00782FA6" w:rsidR="00DB248A" w:rsidTr="00E52317" w14:paraId="0DCEF3A7" w14:textId="77777777">
        <w:trPr>
          <w:trHeight w:val="300"/>
        </w:trPr>
        <w:tc>
          <w:tcPr>
            <w:tcW w:w="1170" w:type="dxa"/>
            <w:noWrap/>
            <w:vAlign w:val="center"/>
            <w:hideMark/>
          </w:tcPr>
          <w:p w:rsidRPr="00782FA6" w:rsidR="00DB248A" w:rsidP="00DB248A" w:rsidRDefault="00DB248A" w14:paraId="34D654C1" w14:textId="77777777">
            <w:pPr>
              <w:spacing w:line="240" w:lineRule="auto"/>
              <w:ind w:firstLine="0"/>
              <w:jc w:val="center"/>
              <w:rPr>
                <w:rFonts w:eastAsia="Aptos" w:cs="Times New Roman"/>
                <w:sz w:val="20"/>
                <w:szCs w:val="20"/>
              </w:rPr>
            </w:pPr>
            <w:r w:rsidRPr="00782FA6">
              <w:rPr>
                <w:rFonts w:eastAsia="Aptos" w:cs="Times New Roman"/>
                <w:sz w:val="20"/>
                <w:szCs w:val="20"/>
              </w:rPr>
              <w:t>1714</w:t>
            </w:r>
          </w:p>
        </w:tc>
        <w:tc>
          <w:tcPr>
            <w:tcW w:w="1036" w:type="dxa"/>
            <w:noWrap/>
            <w:vAlign w:val="center"/>
            <w:hideMark/>
          </w:tcPr>
          <w:p w:rsidRPr="00782FA6" w:rsidR="00DB248A" w:rsidP="00DB248A" w:rsidRDefault="00DB248A" w14:paraId="1D7E4F9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0E80942" w14:textId="515CE6F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1BF7D9E" w14:textId="66FADC73">
            <w:pPr>
              <w:spacing w:line="240" w:lineRule="auto"/>
              <w:ind w:firstLine="0"/>
              <w:rPr>
                <w:rFonts w:eastAsia="Aptos" w:cs="Times New Roman"/>
                <w:sz w:val="20"/>
                <w:szCs w:val="20"/>
              </w:rPr>
            </w:pPr>
            <w:r w:rsidRPr="00782FA6">
              <w:rPr>
                <w:rFonts w:eastAsia="Aptos" w:cs="Times New Roman"/>
                <w:sz w:val="20"/>
                <w:szCs w:val="20"/>
              </w:rPr>
              <w:t>B2B Tech Services, LLC</w:t>
            </w:r>
          </w:p>
        </w:tc>
      </w:tr>
      <w:tr w:rsidRPr="00782FA6" w:rsidR="00DB248A" w:rsidTr="00E52317" w14:paraId="6D7ACAE1" w14:textId="77777777">
        <w:trPr>
          <w:trHeight w:val="300"/>
        </w:trPr>
        <w:tc>
          <w:tcPr>
            <w:tcW w:w="1170" w:type="dxa"/>
            <w:noWrap/>
            <w:vAlign w:val="center"/>
            <w:hideMark/>
          </w:tcPr>
          <w:p w:rsidRPr="00782FA6" w:rsidR="00DB248A" w:rsidP="00DB248A" w:rsidRDefault="00DB248A" w14:paraId="576615D3" w14:textId="77777777">
            <w:pPr>
              <w:spacing w:line="240" w:lineRule="auto"/>
              <w:ind w:firstLine="0"/>
              <w:jc w:val="center"/>
              <w:rPr>
                <w:rFonts w:eastAsia="Aptos" w:cs="Times New Roman"/>
                <w:sz w:val="20"/>
                <w:szCs w:val="20"/>
              </w:rPr>
            </w:pPr>
            <w:r w:rsidRPr="00782FA6">
              <w:rPr>
                <w:rFonts w:eastAsia="Aptos" w:cs="Times New Roman"/>
                <w:sz w:val="20"/>
                <w:szCs w:val="20"/>
              </w:rPr>
              <w:t>1716</w:t>
            </w:r>
          </w:p>
        </w:tc>
        <w:tc>
          <w:tcPr>
            <w:tcW w:w="1036" w:type="dxa"/>
            <w:noWrap/>
            <w:vAlign w:val="center"/>
            <w:hideMark/>
          </w:tcPr>
          <w:p w:rsidRPr="00782FA6" w:rsidR="00DB248A" w:rsidP="00DB248A" w:rsidRDefault="00DB248A" w14:paraId="0260166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01FA8C7" w14:textId="626B056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B48EDC0" w14:textId="20B80EE2">
            <w:pPr>
              <w:spacing w:line="240" w:lineRule="auto"/>
              <w:ind w:firstLine="0"/>
              <w:rPr>
                <w:rFonts w:eastAsia="Aptos" w:cs="Times New Roman"/>
                <w:sz w:val="20"/>
                <w:szCs w:val="20"/>
              </w:rPr>
            </w:pPr>
            <w:r w:rsidRPr="00782FA6">
              <w:rPr>
                <w:rFonts w:eastAsia="Aptos" w:cs="Times New Roman"/>
                <w:sz w:val="20"/>
                <w:szCs w:val="20"/>
              </w:rPr>
              <w:t>White Label Communications, LLC</w:t>
            </w:r>
          </w:p>
        </w:tc>
      </w:tr>
      <w:tr w:rsidRPr="00782FA6" w:rsidR="00DB248A" w:rsidTr="00E52317" w14:paraId="030EA6B5" w14:textId="77777777">
        <w:trPr>
          <w:trHeight w:val="300"/>
        </w:trPr>
        <w:tc>
          <w:tcPr>
            <w:tcW w:w="1170" w:type="dxa"/>
            <w:noWrap/>
            <w:vAlign w:val="center"/>
            <w:hideMark/>
          </w:tcPr>
          <w:p w:rsidRPr="00782FA6" w:rsidR="00DB248A" w:rsidP="00DB248A" w:rsidRDefault="00DB248A" w14:paraId="1AC61BAB" w14:textId="77777777">
            <w:pPr>
              <w:spacing w:line="240" w:lineRule="auto"/>
              <w:ind w:firstLine="0"/>
              <w:jc w:val="center"/>
              <w:rPr>
                <w:rFonts w:eastAsia="Aptos" w:cs="Times New Roman"/>
                <w:sz w:val="20"/>
                <w:szCs w:val="20"/>
              </w:rPr>
            </w:pPr>
            <w:r w:rsidRPr="00782FA6">
              <w:rPr>
                <w:rFonts w:eastAsia="Aptos" w:cs="Times New Roman"/>
                <w:sz w:val="20"/>
                <w:szCs w:val="20"/>
              </w:rPr>
              <w:t>1717</w:t>
            </w:r>
          </w:p>
        </w:tc>
        <w:tc>
          <w:tcPr>
            <w:tcW w:w="1036" w:type="dxa"/>
            <w:noWrap/>
            <w:vAlign w:val="center"/>
            <w:hideMark/>
          </w:tcPr>
          <w:p w:rsidRPr="00782FA6" w:rsidR="00DB248A" w:rsidP="00DB248A" w:rsidRDefault="00DB248A" w14:paraId="3D20216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D3A0253" w14:textId="40FE696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4AE1B53" w14:textId="699AA85E">
            <w:pPr>
              <w:spacing w:line="240" w:lineRule="auto"/>
              <w:ind w:firstLine="0"/>
              <w:rPr>
                <w:rFonts w:eastAsia="Aptos" w:cs="Times New Roman"/>
                <w:sz w:val="20"/>
                <w:szCs w:val="20"/>
              </w:rPr>
            </w:pPr>
            <w:r w:rsidRPr="00782FA6">
              <w:rPr>
                <w:rFonts w:eastAsia="Aptos" w:cs="Times New Roman"/>
                <w:sz w:val="20"/>
                <w:szCs w:val="20"/>
              </w:rPr>
              <w:t>Sharpen Technologies, Inc.</w:t>
            </w:r>
          </w:p>
        </w:tc>
      </w:tr>
      <w:tr w:rsidRPr="00782FA6" w:rsidR="00DB248A" w:rsidTr="00E52317" w14:paraId="4915BEA2" w14:textId="77777777">
        <w:trPr>
          <w:trHeight w:val="300"/>
        </w:trPr>
        <w:tc>
          <w:tcPr>
            <w:tcW w:w="1170" w:type="dxa"/>
            <w:noWrap/>
            <w:vAlign w:val="center"/>
            <w:hideMark/>
          </w:tcPr>
          <w:p w:rsidRPr="00782FA6" w:rsidR="00DB248A" w:rsidP="00DB248A" w:rsidRDefault="00DB248A" w14:paraId="641E2A25" w14:textId="77777777">
            <w:pPr>
              <w:spacing w:line="240" w:lineRule="auto"/>
              <w:ind w:firstLine="0"/>
              <w:jc w:val="center"/>
              <w:rPr>
                <w:rFonts w:eastAsia="Aptos" w:cs="Times New Roman"/>
                <w:sz w:val="20"/>
                <w:szCs w:val="20"/>
              </w:rPr>
            </w:pPr>
            <w:r w:rsidRPr="00782FA6">
              <w:rPr>
                <w:rFonts w:eastAsia="Aptos" w:cs="Times New Roman"/>
                <w:sz w:val="20"/>
                <w:szCs w:val="20"/>
              </w:rPr>
              <w:t>1718</w:t>
            </w:r>
          </w:p>
        </w:tc>
        <w:tc>
          <w:tcPr>
            <w:tcW w:w="1036" w:type="dxa"/>
            <w:noWrap/>
            <w:vAlign w:val="center"/>
            <w:hideMark/>
          </w:tcPr>
          <w:p w:rsidRPr="00782FA6" w:rsidR="00DB248A" w:rsidP="00DB248A" w:rsidRDefault="00DB248A" w14:paraId="7443B6B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D26206E" w14:textId="4CCE3D8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4C58330" w14:textId="657824BC">
            <w:pPr>
              <w:spacing w:line="240" w:lineRule="auto"/>
              <w:ind w:firstLine="0"/>
              <w:rPr>
                <w:rFonts w:eastAsia="Aptos" w:cs="Times New Roman"/>
                <w:sz w:val="20"/>
                <w:szCs w:val="20"/>
              </w:rPr>
            </w:pPr>
            <w:r w:rsidRPr="00782FA6">
              <w:rPr>
                <w:rFonts w:eastAsia="Aptos" w:cs="Times New Roman"/>
                <w:sz w:val="20"/>
                <w:szCs w:val="20"/>
              </w:rPr>
              <w:t>Ton80 Communications, LLC</w:t>
            </w:r>
          </w:p>
        </w:tc>
      </w:tr>
      <w:tr w:rsidRPr="00782FA6" w:rsidR="00DB248A" w:rsidTr="00E52317" w14:paraId="3330FA62" w14:textId="77777777">
        <w:trPr>
          <w:trHeight w:val="300"/>
        </w:trPr>
        <w:tc>
          <w:tcPr>
            <w:tcW w:w="1170" w:type="dxa"/>
            <w:noWrap/>
            <w:vAlign w:val="center"/>
            <w:hideMark/>
          </w:tcPr>
          <w:p w:rsidRPr="00782FA6" w:rsidR="00DB248A" w:rsidP="00DB248A" w:rsidRDefault="00DB248A" w14:paraId="623F1FDF" w14:textId="77777777">
            <w:pPr>
              <w:spacing w:line="240" w:lineRule="auto"/>
              <w:ind w:firstLine="0"/>
              <w:jc w:val="center"/>
              <w:rPr>
                <w:rFonts w:eastAsia="Aptos" w:cs="Times New Roman"/>
                <w:sz w:val="20"/>
                <w:szCs w:val="20"/>
              </w:rPr>
            </w:pPr>
            <w:r w:rsidRPr="00782FA6">
              <w:rPr>
                <w:rFonts w:eastAsia="Aptos" w:cs="Times New Roman"/>
                <w:sz w:val="20"/>
                <w:szCs w:val="20"/>
              </w:rPr>
              <w:lastRenderedPageBreak/>
              <w:t>1720</w:t>
            </w:r>
          </w:p>
        </w:tc>
        <w:tc>
          <w:tcPr>
            <w:tcW w:w="1036" w:type="dxa"/>
            <w:noWrap/>
            <w:vAlign w:val="center"/>
            <w:hideMark/>
          </w:tcPr>
          <w:p w:rsidRPr="00782FA6" w:rsidR="00DB248A" w:rsidP="00DB248A" w:rsidRDefault="00DB248A" w14:paraId="2AB691B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842A82B" w14:textId="74134DE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901F6CC" w14:textId="4AB6F786">
            <w:pPr>
              <w:spacing w:line="240" w:lineRule="auto"/>
              <w:ind w:firstLine="0"/>
              <w:rPr>
                <w:rFonts w:eastAsia="Aptos" w:cs="Times New Roman"/>
                <w:sz w:val="20"/>
                <w:szCs w:val="20"/>
              </w:rPr>
            </w:pPr>
            <w:r w:rsidRPr="00782FA6">
              <w:rPr>
                <w:rFonts w:eastAsia="Aptos" w:cs="Times New Roman"/>
                <w:sz w:val="20"/>
                <w:szCs w:val="20"/>
              </w:rPr>
              <w:t>Kumo Cloud Solutions, Inc.</w:t>
            </w:r>
          </w:p>
        </w:tc>
      </w:tr>
      <w:tr w:rsidRPr="00782FA6" w:rsidR="00DB248A" w:rsidTr="00E52317" w14:paraId="5DAB2656" w14:textId="77777777">
        <w:trPr>
          <w:trHeight w:val="300"/>
        </w:trPr>
        <w:tc>
          <w:tcPr>
            <w:tcW w:w="1170" w:type="dxa"/>
            <w:noWrap/>
            <w:vAlign w:val="center"/>
            <w:hideMark/>
          </w:tcPr>
          <w:p w:rsidRPr="00782FA6" w:rsidR="00DB248A" w:rsidP="00DB248A" w:rsidRDefault="00DB248A" w14:paraId="79025179" w14:textId="77777777">
            <w:pPr>
              <w:spacing w:line="240" w:lineRule="auto"/>
              <w:ind w:firstLine="0"/>
              <w:jc w:val="center"/>
              <w:rPr>
                <w:rFonts w:eastAsia="Aptos" w:cs="Times New Roman"/>
                <w:sz w:val="20"/>
                <w:szCs w:val="20"/>
              </w:rPr>
            </w:pPr>
            <w:r w:rsidRPr="00782FA6">
              <w:rPr>
                <w:rFonts w:eastAsia="Aptos" w:cs="Times New Roman"/>
                <w:sz w:val="20"/>
                <w:szCs w:val="20"/>
              </w:rPr>
              <w:t>1721</w:t>
            </w:r>
          </w:p>
        </w:tc>
        <w:tc>
          <w:tcPr>
            <w:tcW w:w="1036" w:type="dxa"/>
            <w:noWrap/>
            <w:vAlign w:val="center"/>
            <w:hideMark/>
          </w:tcPr>
          <w:p w:rsidRPr="00782FA6" w:rsidR="00DB248A" w:rsidP="00DB248A" w:rsidRDefault="00DB248A" w14:paraId="68FC80E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B9A6545" w14:textId="685E521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9EAC237" w14:textId="603A6751">
            <w:pPr>
              <w:spacing w:line="240" w:lineRule="auto"/>
              <w:ind w:firstLine="0"/>
              <w:rPr>
                <w:rFonts w:eastAsia="Aptos" w:cs="Times New Roman"/>
                <w:sz w:val="20"/>
                <w:szCs w:val="20"/>
              </w:rPr>
            </w:pPr>
            <w:r w:rsidRPr="00782FA6">
              <w:rPr>
                <w:rFonts w:eastAsia="Aptos" w:cs="Times New Roman"/>
                <w:sz w:val="20"/>
                <w:szCs w:val="20"/>
              </w:rPr>
              <w:t xml:space="preserve">Eton </w:t>
            </w:r>
            <w:proofErr w:type="spellStart"/>
            <w:r w:rsidRPr="00782FA6">
              <w:rPr>
                <w:rFonts w:eastAsia="Aptos" w:cs="Times New Roman"/>
                <w:sz w:val="20"/>
                <w:szCs w:val="20"/>
              </w:rPr>
              <w:t>InfoComm</w:t>
            </w:r>
            <w:proofErr w:type="spellEnd"/>
            <w:r w:rsidRPr="00782FA6">
              <w:rPr>
                <w:rFonts w:eastAsia="Aptos" w:cs="Times New Roman"/>
                <w:sz w:val="20"/>
                <w:szCs w:val="20"/>
              </w:rPr>
              <w:t xml:space="preserve"> Technology Inc.</w:t>
            </w:r>
          </w:p>
        </w:tc>
      </w:tr>
      <w:tr w:rsidRPr="00782FA6" w:rsidR="00DB248A" w:rsidTr="00E52317" w14:paraId="7E4A6B1D" w14:textId="77777777">
        <w:trPr>
          <w:trHeight w:val="300"/>
        </w:trPr>
        <w:tc>
          <w:tcPr>
            <w:tcW w:w="1170" w:type="dxa"/>
            <w:noWrap/>
            <w:vAlign w:val="center"/>
            <w:hideMark/>
          </w:tcPr>
          <w:p w:rsidRPr="00782FA6" w:rsidR="00DB248A" w:rsidP="00DB248A" w:rsidRDefault="00DB248A" w14:paraId="09EAA8FB" w14:textId="77777777">
            <w:pPr>
              <w:spacing w:line="240" w:lineRule="auto"/>
              <w:ind w:firstLine="0"/>
              <w:jc w:val="center"/>
              <w:rPr>
                <w:rFonts w:eastAsia="Aptos" w:cs="Times New Roman"/>
                <w:sz w:val="20"/>
                <w:szCs w:val="20"/>
              </w:rPr>
            </w:pPr>
            <w:r w:rsidRPr="00782FA6">
              <w:rPr>
                <w:rFonts w:eastAsia="Aptos" w:cs="Times New Roman"/>
                <w:sz w:val="20"/>
                <w:szCs w:val="20"/>
              </w:rPr>
              <w:t>1722</w:t>
            </w:r>
          </w:p>
        </w:tc>
        <w:tc>
          <w:tcPr>
            <w:tcW w:w="1036" w:type="dxa"/>
            <w:noWrap/>
            <w:vAlign w:val="center"/>
            <w:hideMark/>
          </w:tcPr>
          <w:p w:rsidRPr="00782FA6" w:rsidR="00DB248A" w:rsidP="00DB248A" w:rsidRDefault="00DB248A" w14:paraId="0A6162B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4C612A4" w14:textId="4C76954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5144BBC" w14:textId="2D2BCF8D">
            <w:pPr>
              <w:spacing w:line="240" w:lineRule="auto"/>
              <w:ind w:firstLine="0"/>
              <w:rPr>
                <w:rFonts w:eastAsia="Aptos" w:cs="Times New Roman"/>
                <w:sz w:val="20"/>
                <w:szCs w:val="20"/>
              </w:rPr>
            </w:pPr>
            <w:r w:rsidRPr="00782FA6">
              <w:rPr>
                <w:rFonts w:eastAsia="Aptos" w:cs="Times New Roman"/>
                <w:sz w:val="20"/>
                <w:szCs w:val="20"/>
              </w:rPr>
              <w:t>Phone Systems Plus</w:t>
            </w:r>
          </w:p>
        </w:tc>
      </w:tr>
      <w:tr w:rsidRPr="00782FA6" w:rsidR="00DB248A" w:rsidTr="00E52317" w14:paraId="5A815DA0" w14:textId="77777777">
        <w:trPr>
          <w:trHeight w:val="300"/>
        </w:trPr>
        <w:tc>
          <w:tcPr>
            <w:tcW w:w="1170" w:type="dxa"/>
            <w:noWrap/>
            <w:vAlign w:val="center"/>
            <w:hideMark/>
          </w:tcPr>
          <w:p w:rsidRPr="00782FA6" w:rsidR="00DB248A" w:rsidP="00DB248A" w:rsidRDefault="00DB248A" w14:paraId="07FC2AEE" w14:textId="77777777">
            <w:pPr>
              <w:spacing w:line="240" w:lineRule="auto"/>
              <w:ind w:firstLine="0"/>
              <w:jc w:val="center"/>
              <w:rPr>
                <w:rFonts w:eastAsia="Aptos" w:cs="Times New Roman"/>
                <w:sz w:val="20"/>
                <w:szCs w:val="20"/>
              </w:rPr>
            </w:pPr>
            <w:r w:rsidRPr="00782FA6">
              <w:rPr>
                <w:rFonts w:eastAsia="Aptos" w:cs="Times New Roman"/>
                <w:sz w:val="20"/>
                <w:szCs w:val="20"/>
              </w:rPr>
              <w:t>1723</w:t>
            </w:r>
          </w:p>
        </w:tc>
        <w:tc>
          <w:tcPr>
            <w:tcW w:w="1036" w:type="dxa"/>
            <w:noWrap/>
            <w:vAlign w:val="center"/>
            <w:hideMark/>
          </w:tcPr>
          <w:p w:rsidRPr="00782FA6" w:rsidR="00DB248A" w:rsidP="00DB248A" w:rsidRDefault="00DB248A" w14:paraId="7007957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AB52374" w14:textId="1A0A93D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DFD1DF6" w14:textId="3DC5DCD1">
            <w:pPr>
              <w:spacing w:line="240" w:lineRule="auto"/>
              <w:ind w:firstLine="0"/>
              <w:rPr>
                <w:rFonts w:eastAsia="Aptos" w:cs="Times New Roman"/>
                <w:sz w:val="20"/>
                <w:szCs w:val="20"/>
              </w:rPr>
            </w:pPr>
            <w:proofErr w:type="spellStart"/>
            <w:r w:rsidRPr="00782FA6">
              <w:rPr>
                <w:rFonts w:eastAsia="Aptos" w:cs="Times New Roman"/>
                <w:sz w:val="20"/>
                <w:szCs w:val="20"/>
              </w:rPr>
              <w:t>Telelink</w:t>
            </w:r>
            <w:proofErr w:type="spellEnd"/>
            <w:r w:rsidRPr="00782FA6">
              <w:rPr>
                <w:rFonts w:eastAsia="Aptos" w:cs="Times New Roman"/>
                <w:sz w:val="20"/>
                <w:szCs w:val="20"/>
              </w:rPr>
              <w:t xml:space="preserve"> Business Telephone Systems</w:t>
            </w:r>
          </w:p>
        </w:tc>
      </w:tr>
      <w:tr w:rsidRPr="00782FA6" w:rsidR="00DB248A" w:rsidTr="00E52317" w14:paraId="1EC97FEF" w14:textId="77777777">
        <w:trPr>
          <w:trHeight w:val="300"/>
        </w:trPr>
        <w:tc>
          <w:tcPr>
            <w:tcW w:w="1170" w:type="dxa"/>
            <w:noWrap/>
            <w:vAlign w:val="center"/>
            <w:hideMark/>
          </w:tcPr>
          <w:p w:rsidRPr="00782FA6" w:rsidR="00DB248A" w:rsidP="00DB248A" w:rsidRDefault="00DB248A" w14:paraId="2FF1B997" w14:textId="77777777">
            <w:pPr>
              <w:spacing w:line="240" w:lineRule="auto"/>
              <w:ind w:firstLine="0"/>
              <w:jc w:val="center"/>
              <w:rPr>
                <w:rFonts w:eastAsia="Aptos" w:cs="Times New Roman"/>
                <w:sz w:val="20"/>
                <w:szCs w:val="20"/>
              </w:rPr>
            </w:pPr>
            <w:r w:rsidRPr="00782FA6">
              <w:rPr>
                <w:rFonts w:eastAsia="Aptos" w:cs="Times New Roman"/>
                <w:sz w:val="20"/>
                <w:szCs w:val="20"/>
              </w:rPr>
              <w:t>1724</w:t>
            </w:r>
          </w:p>
        </w:tc>
        <w:tc>
          <w:tcPr>
            <w:tcW w:w="1036" w:type="dxa"/>
            <w:noWrap/>
            <w:vAlign w:val="center"/>
            <w:hideMark/>
          </w:tcPr>
          <w:p w:rsidRPr="00782FA6" w:rsidR="00DB248A" w:rsidP="00DB248A" w:rsidRDefault="00DB248A" w14:paraId="67698FFF"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2B470B6" w14:textId="2E9673F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7C6280A" w14:textId="421DF7B3">
            <w:pPr>
              <w:spacing w:line="240" w:lineRule="auto"/>
              <w:ind w:firstLine="0"/>
              <w:rPr>
                <w:rFonts w:eastAsia="Aptos" w:cs="Times New Roman"/>
                <w:sz w:val="20"/>
                <w:szCs w:val="20"/>
              </w:rPr>
            </w:pPr>
            <w:r w:rsidRPr="00782FA6">
              <w:rPr>
                <w:rFonts w:eastAsia="Aptos" w:cs="Times New Roman"/>
                <w:sz w:val="20"/>
                <w:szCs w:val="20"/>
              </w:rPr>
              <w:t>National Processing Alliance, Inc.</w:t>
            </w:r>
          </w:p>
        </w:tc>
      </w:tr>
      <w:tr w:rsidRPr="00782FA6" w:rsidR="00DB248A" w:rsidTr="00E52317" w14:paraId="629A3F3F" w14:textId="77777777">
        <w:trPr>
          <w:trHeight w:val="300"/>
        </w:trPr>
        <w:tc>
          <w:tcPr>
            <w:tcW w:w="1170" w:type="dxa"/>
            <w:noWrap/>
            <w:vAlign w:val="center"/>
            <w:hideMark/>
          </w:tcPr>
          <w:p w:rsidRPr="00782FA6" w:rsidR="00DB248A" w:rsidP="00DB248A" w:rsidRDefault="00DB248A" w14:paraId="333DC75F" w14:textId="77777777">
            <w:pPr>
              <w:spacing w:line="240" w:lineRule="auto"/>
              <w:ind w:firstLine="0"/>
              <w:jc w:val="center"/>
              <w:rPr>
                <w:rFonts w:eastAsia="Aptos" w:cs="Times New Roman"/>
                <w:sz w:val="20"/>
                <w:szCs w:val="20"/>
              </w:rPr>
            </w:pPr>
            <w:r w:rsidRPr="00782FA6">
              <w:rPr>
                <w:rFonts w:eastAsia="Aptos" w:cs="Times New Roman"/>
                <w:sz w:val="20"/>
                <w:szCs w:val="20"/>
              </w:rPr>
              <w:t>1725</w:t>
            </w:r>
          </w:p>
        </w:tc>
        <w:tc>
          <w:tcPr>
            <w:tcW w:w="1036" w:type="dxa"/>
            <w:noWrap/>
            <w:vAlign w:val="center"/>
            <w:hideMark/>
          </w:tcPr>
          <w:p w:rsidRPr="00782FA6" w:rsidR="00DB248A" w:rsidP="00DB248A" w:rsidRDefault="00DB248A" w14:paraId="64164F4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F3FCF46" w14:textId="77A54FA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6ECCA89" w14:textId="2F54B210">
            <w:pPr>
              <w:spacing w:line="240" w:lineRule="auto"/>
              <w:ind w:firstLine="0"/>
              <w:rPr>
                <w:rFonts w:eastAsia="Aptos" w:cs="Times New Roman"/>
                <w:sz w:val="20"/>
                <w:szCs w:val="20"/>
              </w:rPr>
            </w:pPr>
            <w:r w:rsidRPr="00782FA6">
              <w:rPr>
                <w:rFonts w:eastAsia="Aptos" w:cs="Times New Roman"/>
                <w:sz w:val="20"/>
                <w:szCs w:val="20"/>
              </w:rPr>
              <w:t>Dedicated IT, LLC</w:t>
            </w:r>
          </w:p>
        </w:tc>
      </w:tr>
      <w:tr w:rsidRPr="00782FA6" w:rsidR="00DB248A" w:rsidTr="00E52317" w14:paraId="6452DC45" w14:textId="77777777">
        <w:trPr>
          <w:trHeight w:val="300"/>
        </w:trPr>
        <w:tc>
          <w:tcPr>
            <w:tcW w:w="1170" w:type="dxa"/>
            <w:noWrap/>
            <w:vAlign w:val="center"/>
            <w:hideMark/>
          </w:tcPr>
          <w:p w:rsidRPr="00782FA6" w:rsidR="00DB248A" w:rsidP="00DB248A" w:rsidRDefault="00DB248A" w14:paraId="527930DF" w14:textId="77777777">
            <w:pPr>
              <w:spacing w:line="240" w:lineRule="auto"/>
              <w:ind w:firstLine="0"/>
              <w:jc w:val="center"/>
              <w:rPr>
                <w:rFonts w:eastAsia="Aptos" w:cs="Times New Roman"/>
                <w:sz w:val="20"/>
                <w:szCs w:val="20"/>
              </w:rPr>
            </w:pPr>
            <w:r w:rsidRPr="00782FA6">
              <w:rPr>
                <w:rFonts w:eastAsia="Aptos" w:cs="Times New Roman"/>
                <w:sz w:val="20"/>
                <w:szCs w:val="20"/>
              </w:rPr>
              <w:t>1726</w:t>
            </w:r>
          </w:p>
        </w:tc>
        <w:tc>
          <w:tcPr>
            <w:tcW w:w="1036" w:type="dxa"/>
            <w:noWrap/>
            <w:vAlign w:val="center"/>
            <w:hideMark/>
          </w:tcPr>
          <w:p w:rsidRPr="00782FA6" w:rsidR="00DB248A" w:rsidP="00DB248A" w:rsidRDefault="00DB248A" w14:paraId="0E54C4D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44AB27B" w14:textId="182C0E8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50F2552" w14:textId="2DFFAADD">
            <w:pPr>
              <w:spacing w:line="240" w:lineRule="auto"/>
              <w:ind w:firstLine="0"/>
              <w:rPr>
                <w:rFonts w:eastAsia="Aptos" w:cs="Times New Roman"/>
                <w:sz w:val="20"/>
                <w:szCs w:val="20"/>
              </w:rPr>
            </w:pPr>
            <w:r w:rsidRPr="00782FA6">
              <w:rPr>
                <w:rFonts w:eastAsia="Aptos" w:cs="Times New Roman"/>
                <w:sz w:val="20"/>
                <w:szCs w:val="20"/>
              </w:rPr>
              <w:t>Priority Telecom Inc.</w:t>
            </w:r>
          </w:p>
        </w:tc>
      </w:tr>
      <w:tr w:rsidRPr="00782FA6" w:rsidR="00DB248A" w:rsidTr="00E52317" w14:paraId="687EBE65" w14:textId="77777777">
        <w:trPr>
          <w:trHeight w:val="300"/>
        </w:trPr>
        <w:tc>
          <w:tcPr>
            <w:tcW w:w="1170" w:type="dxa"/>
            <w:noWrap/>
            <w:vAlign w:val="center"/>
            <w:hideMark/>
          </w:tcPr>
          <w:p w:rsidRPr="00782FA6" w:rsidR="00DB248A" w:rsidP="00DB248A" w:rsidRDefault="00DB248A" w14:paraId="59D925E5" w14:textId="77777777">
            <w:pPr>
              <w:spacing w:line="240" w:lineRule="auto"/>
              <w:ind w:firstLine="0"/>
              <w:jc w:val="center"/>
              <w:rPr>
                <w:rFonts w:eastAsia="Aptos" w:cs="Times New Roman"/>
                <w:sz w:val="20"/>
                <w:szCs w:val="20"/>
              </w:rPr>
            </w:pPr>
            <w:r w:rsidRPr="00782FA6">
              <w:rPr>
                <w:rFonts w:eastAsia="Aptos" w:cs="Times New Roman"/>
                <w:sz w:val="20"/>
                <w:szCs w:val="20"/>
              </w:rPr>
              <w:t>1727</w:t>
            </w:r>
          </w:p>
        </w:tc>
        <w:tc>
          <w:tcPr>
            <w:tcW w:w="1036" w:type="dxa"/>
            <w:noWrap/>
            <w:vAlign w:val="center"/>
            <w:hideMark/>
          </w:tcPr>
          <w:p w:rsidRPr="00782FA6" w:rsidR="00DB248A" w:rsidP="00DB248A" w:rsidRDefault="00DB248A" w14:paraId="7A8FB26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DBC1F27" w14:textId="724EDEB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5BD29E8" w14:textId="00ADFC7E">
            <w:pPr>
              <w:spacing w:line="240" w:lineRule="auto"/>
              <w:ind w:firstLine="0"/>
              <w:rPr>
                <w:rFonts w:eastAsia="Aptos" w:cs="Times New Roman"/>
                <w:sz w:val="20"/>
                <w:szCs w:val="20"/>
              </w:rPr>
            </w:pPr>
            <w:proofErr w:type="spellStart"/>
            <w:r w:rsidRPr="00782FA6">
              <w:rPr>
                <w:rFonts w:eastAsia="Aptos" w:cs="Times New Roman"/>
                <w:sz w:val="20"/>
                <w:szCs w:val="20"/>
              </w:rPr>
              <w:t>Televergence</w:t>
            </w:r>
            <w:proofErr w:type="spellEnd"/>
            <w:r w:rsidRPr="00782FA6">
              <w:rPr>
                <w:rFonts w:eastAsia="Aptos" w:cs="Times New Roman"/>
                <w:sz w:val="20"/>
                <w:szCs w:val="20"/>
              </w:rPr>
              <w:t xml:space="preserve"> Solutions, Inc.</w:t>
            </w:r>
          </w:p>
        </w:tc>
      </w:tr>
      <w:tr w:rsidRPr="00782FA6" w:rsidR="00DB248A" w:rsidTr="00E52317" w14:paraId="536D149D" w14:textId="77777777">
        <w:trPr>
          <w:trHeight w:val="300"/>
        </w:trPr>
        <w:tc>
          <w:tcPr>
            <w:tcW w:w="1170" w:type="dxa"/>
            <w:noWrap/>
            <w:vAlign w:val="center"/>
            <w:hideMark/>
          </w:tcPr>
          <w:p w:rsidRPr="00782FA6" w:rsidR="00DB248A" w:rsidP="00DB248A" w:rsidRDefault="00DB248A" w14:paraId="615B0766" w14:textId="77777777">
            <w:pPr>
              <w:spacing w:line="240" w:lineRule="auto"/>
              <w:ind w:firstLine="0"/>
              <w:jc w:val="center"/>
              <w:rPr>
                <w:rFonts w:eastAsia="Aptos" w:cs="Times New Roman"/>
                <w:sz w:val="20"/>
                <w:szCs w:val="20"/>
              </w:rPr>
            </w:pPr>
            <w:r w:rsidRPr="00782FA6">
              <w:rPr>
                <w:rFonts w:eastAsia="Aptos" w:cs="Times New Roman"/>
                <w:sz w:val="20"/>
                <w:szCs w:val="20"/>
              </w:rPr>
              <w:t>1729</w:t>
            </w:r>
          </w:p>
        </w:tc>
        <w:tc>
          <w:tcPr>
            <w:tcW w:w="1036" w:type="dxa"/>
            <w:noWrap/>
            <w:vAlign w:val="center"/>
            <w:hideMark/>
          </w:tcPr>
          <w:p w:rsidRPr="00782FA6" w:rsidR="00DB248A" w:rsidP="00DB248A" w:rsidRDefault="00DB248A" w14:paraId="7C37C4A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2235EB0" w14:textId="304457B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280D48D" w14:textId="2503E98C">
            <w:pPr>
              <w:spacing w:line="240" w:lineRule="auto"/>
              <w:ind w:firstLine="0"/>
              <w:rPr>
                <w:rFonts w:eastAsia="Aptos" w:cs="Times New Roman"/>
                <w:sz w:val="20"/>
                <w:szCs w:val="20"/>
              </w:rPr>
            </w:pPr>
            <w:proofErr w:type="spellStart"/>
            <w:r w:rsidRPr="00782FA6">
              <w:rPr>
                <w:rFonts w:eastAsia="Aptos" w:cs="Times New Roman"/>
                <w:sz w:val="20"/>
                <w:szCs w:val="20"/>
              </w:rPr>
              <w:t>DyoPath</w:t>
            </w:r>
            <w:proofErr w:type="spellEnd"/>
            <w:r w:rsidRPr="00782FA6">
              <w:rPr>
                <w:rFonts w:eastAsia="Aptos" w:cs="Times New Roman"/>
                <w:sz w:val="20"/>
                <w:szCs w:val="20"/>
              </w:rPr>
              <w:t>, LLC</w:t>
            </w:r>
          </w:p>
        </w:tc>
      </w:tr>
      <w:tr w:rsidRPr="00782FA6" w:rsidR="00DB248A" w:rsidTr="00E52317" w14:paraId="7417F524" w14:textId="77777777">
        <w:trPr>
          <w:trHeight w:val="300"/>
        </w:trPr>
        <w:tc>
          <w:tcPr>
            <w:tcW w:w="1170" w:type="dxa"/>
            <w:noWrap/>
            <w:vAlign w:val="center"/>
            <w:hideMark/>
          </w:tcPr>
          <w:p w:rsidRPr="00782FA6" w:rsidR="00DB248A" w:rsidP="00DB248A" w:rsidRDefault="00DB248A" w14:paraId="1ABCAA46" w14:textId="77777777">
            <w:pPr>
              <w:spacing w:line="240" w:lineRule="auto"/>
              <w:ind w:firstLine="0"/>
              <w:jc w:val="center"/>
              <w:rPr>
                <w:rFonts w:eastAsia="Aptos" w:cs="Times New Roman"/>
                <w:sz w:val="20"/>
                <w:szCs w:val="20"/>
              </w:rPr>
            </w:pPr>
            <w:r w:rsidRPr="00782FA6">
              <w:rPr>
                <w:rFonts w:eastAsia="Aptos" w:cs="Times New Roman"/>
                <w:sz w:val="20"/>
                <w:szCs w:val="20"/>
              </w:rPr>
              <w:t>1730</w:t>
            </w:r>
          </w:p>
        </w:tc>
        <w:tc>
          <w:tcPr>
            <w:tcW w:w="1036" w:type="dxa"/>
            <w:noWrap/>
            <w:vAlign w:val="center"/>
            <w:hideMark/>
          </w:tcPr>
          <w:p w:rsidRPr="00782FA6" w:rsidR="00DB248A" w:rsidP="00DB248A" w:rsidRDefault="00DB248A" w14:paraId="52DCEDB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5ED23D5" w14:textId="1B3A2CE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09928E1" w14:textId="41F45852">
            <w:pPr>
              <w:spacing w:line="240" w:lineRule="auto"/>
              <w:ind w:firstLine="0"/>
              <w:rPr>
                <w:rFonts w:eastAsia="Aptos" w:cs="Times New Roman"/>
                <w:sz w:val="20"/>
                <w:szCs w:val="20"/>
              </w:rPr>
            </w:pPr>
            <w:proofErr w:type="spellStart"/>
            <w:r w:rsidRPr="00782FA6">
              <w:rPr>
                <w:rFonts w:eastAsia="Aptos" w:cs="Times New Roman"/>
                <w:sz w:val="20"/>
                <w:szCs w:val="20"/>
              </w:rPr>
              <w:t>Techmode</w:t>
            </w:r>
            <w:proofErr w:type="spellEnd"/>
            <w:r w:rsidRPr="00782FA6">
              <w:rPr>
                <w:rFonts w:eastAsia="Aptos" w:cs="Times New Roman"/>
                <w:sz w:val="20"/>
                <w:szCs w:val="20"/>
              </w:rPr>
              <w:t xml:space="preserve"> Go, LLC</w:t>
            </w:r>
          </w:p>
        </w:tc>
      </w:tr>
      <w:tr w:rsidRPr="00782FA6" w:rsidR="00DB248A" w:rsidTr="00E52317" w14:paraId="3D7C3CD3" w14:textId="77777777">
        <w:trPr>
          <w:trHeight w:val="300"/>
        </w:trPr>
        <w:tc>
          <w:tcPr>
            <w:tcW w:w="1170" w:type="dxa"/>
            <w:noWrap/>
            <w:vAlign w:val="center"/>
            <w:hideMark/>
          </w:tcPr>
          <w:p w:rsidRPr="00782FA6" w:rsidR="00DB248A" w:rsidP="00DB248A" w:rsidRDefault="00DB248A" w14:paraId="5624695A" w14:textId="77777777">
            <w:pPr>
              <w:spacing w:line="240" w:lineRule="auto"/>
              <w:ind w:firstLine="0"/>
              <w:jc w:val="center"/>
              <w:rPr>
                <w:rFonts w:eastAsia="Aptos" w:cs="Times New Roman"/>
                <w:sz w:val="20"/>
                <w:szCs w:val="20"/>
              </w:rPr>
            </w:pPr>
            <w:r w:rsidRPr="00782FA6">
              <w:rPr>
                <w:rFonts w:eastAsia="Aptos" w:cs="Times New Roman"/>
                <w:sz w:val="20"/>
                <w:szCs w:val="20"/>
              </w:rPr>
              <w:t>1731</w:t>
            </w:r>
          </w:p>
        </w:tc>
        <w:tc>
          <w:tcPr>
            <w:tcW w:w="1036" w:type="dxa"/>
            <w:noWrap/>
            <w:vAlign w:val="center"/>
            <w:hideMark/>
          </w:tcPr>
          <w:p w:rsidRPr="00782FA6" w:rsidR="00DB248A" w:rsidP="00DB248A" w:rsidRDefault="00DB248A" w14:paraId="4DEA848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7A3D63F" w14:textId="2F517E9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8EAF8EC" w14:textId="0584830A">
            <w:pPr>
              <w:spacing w:line="240" w:lineRule="auto"/>
              <w:ind w:firstLine="0"/>
              <w:rPr>
                <w:rFonts w:eastAsia="Aptos" w:cs="Times New Roman"/>
                <w:sz w:val="20"/>
                <w:szCs w:val="20"/>
              </w:rPr>
            </w:pPr>
            <w:r w:rsidRPr="00782FA6">
              <w:rPr>
                <w:rFonts w:eastAsia="Aptos" w:cs="Times New Roman"/>
                <w:sz w:val="20"/>
                <w:szCs w:val="20"/>
              </w:rPr>
              <w:t>DYL, LLC</w:t>
            </w:r>
          </w:p>
        </w:tc>
      </w:tr>
      <w:tr w:rsidRPr="00782FA6" w:rsidR="00DB248A" w:rsidTr="00E52317" w14:paraId="0D7F99A4" w14:textId="77777777">
        <w:trPr>
          <w:trHeight w:val="300"/>
        </w:trPr>
        <w:tc>
          <w:tcPr>
            <w:tcW w:w="1170" w:type="dxa"/>
            <w:noWrap/>
            <w:vAlign w:val="center"/>
            <w:hideMark/>
          </w:tcPr>
          <w:p w:rsidRPr="00782FA6" w:rsidR="00DB248A" w:rsidP="00DB248A" w:rsidRDefault="00DB248A" w14:paraId="62364B9C" w14:textId="77777777">
            <w:pPr>
              <w:spacing w:line="240" w:lineRule="auto"/>
              <w:ind w:firstLine="0"/>
              <w:jc w:val="center"/>
              <w:rPr>
                <w:rFonts w:eastAsia="Aptos" w:cs="Times New Roman"/>
                <w:sz w:val="20"/>
                <w:szCs w:val="20"/>
              </w:rPr>
            </w:pPr>
            <w:r w:rsidRPr="00782FA6">
              <w:rPr>
                <w:rFonts w:eastAsia="Aptos" w:cs="Times New Roman"/>
                <w:sz w:val="20"/>
                <w:szCs w:val="20"/>
              </w:rPr>
              <w:t>1733</w:t>
            </w:r>
          </w:p>
        </w:tc>
        <w:tc>
          <w:tcPr>
            <w:tcW w:w="1036" w:type="dxa"/>
            <w:noWrap/>
            <w:vAlign w:val="center"/>
            <w:hideMark/>
          </w:tcPr>
          <w:p w:rsidRPr="00782FA6" w:rsidR="00DB248A" w:rsidP="00DB248A" w:rsidRDefault="00DB248A" w14:paraId="57FF7B2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117EB26" w14:textId="22AC720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F24A56A" w14:textId="735F10E4">
            <w:pPr>
              <w:spacing w:line="240" w:lineRule="auto"/>
              <w:ind w:firstLine="0"/>
              <w:rPr>
                <w:rFonts w:eastAsia="Aptos" w:cs="Times New Roman"/>
                <w:sz w:val="20"/>
                <w:szCs w:val="20"/>
              </w:rPr>
            </w:pPr>
            <w:r w:rsidRPr="00782FA6">
              <w:rPr>
                <w:rFonts w:eastAsia="Aptos" w:cs="Times New Roman"/>
                <w:sz w:val="20"/>
                <w:szCs w:val="20"/>
              </w:rPr>
              <w:t>The Computer Guys LLC</w:t>
            </w:r>
          </w:p>
        </w:tc>
      </w:tr>
      <w:tr w:rsidRPr="00782FA6" w:rsidR="00DB248A" w:rsidTr="00E52317" w14:paraId="574B3784" w14:textId="77777777">
        <w:trPr>
          <w:trHeight w:val="300"/>
        </w:trPr>
        <w:tc>
          <w:tcPr>
            <w:tcW w:w="1170" w:type="dxa"/>
            <w:noWrap/>
            <w:vAlign w:val="center"/>
            <w:hideMark/>
          </w:tcPr>
          <w:p w:rsidRPr="00782FA6" w:rsidR="00DB248A" w:rsidP="00DB248A" w:rsidRDefault="00DB248A" w14:paraId="7335D11D" w14:textId="77777777">
            <w:pPr>
              <w:spacing w:line="240" w:lineRule="auto"/>
              <w:ind w:firstLine="0"/>
              <w:jc w:val="center"/>
              <w:rPr>
                <w:rFonts w:eastAsia="Aptos" w:cs="Times New Roman"/>
                <w:sz w:val="20"/>
                <w:szCs w:val="20"/>
              </w:rPr>
            </w:pPr>
            <w:r w:rsidRPr="00782FA6">
              <w:rPr>
                <w:rFonts w:eastAsia="Aptos" w:cs="Times New Roman"/>
                <w:sz w:val="20"/>
                <w:szCs w:val="20"/>
              </w:rPr>
              <w:t>1734</w:t>
            </w:r>
          </w:p>
        </w:tc>
        <w:tc>
          <w:tcPr>
            <w:tcW w:w="1036" w:type="dxa"/>
            <w:noWrap/>
            <w:vAlign w:val="center"/>
            <w:hideMark/>
          </w:tcPr>
          <w:p w:rsidRPr="00782FA6" w:rsidR="00DB248A" w:rsidP="00DB248A" w:rsidRDefault="00DB248A" w14:paraId="72A429A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6A8BD35" w14:textId="4349F18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EDE45D5" w14:textId="2DA4CF12">
            <w:pPr>
              <w:spacing w:line="240" w:lineRule="auto"/>
              <w:ind w:firstLine="0"/>
              <w:rPr>
                <w:rFonts w:eastAsia="Aptos" w:cs="Times New Roman"/>
                <w:sz w:val="20"/>
                <w:szCs w:val="20"/>
              </w:rPr>
            </w:pPr>
            <w:r w:rsidRPr="00782FA6">
              <w:rPr>
                <w:rFonts w:eastAsia="Aptos" w:cs="Times New Roman"/>
                <w:sz w:val="20"/>
                <w:szCs w:val="20"/>
              </w:rPr>
              <w:t>VDT, LLC</w:t>
            </w:r>
          </w:p>
        </w:tc>
      </w:tr>
      <w:tr w:rsidRPr="00782FA6" w:rsidR="00DB248A" w:rsidTr="00E52317" w14:paraId="47FA13C2" w14:textId="77777777">
        <w:trPr>
          <w:trHeight w:val="300"/>
        </w:trPr>
        <w:tc>
          <w:tcPr>
            <w:tcW w:w="1170" w:type="dxa"/>
            <w:noWrap/>
            <w:vAlign w:val="center"/>
            <w:hideMark/>
          </w:tcPr>
          <w:p w:rsidRPr="00782FA6" w:rsidR="00DB248A" w:rsidP="00DB248A" w:rsidRDefault="00DB248A" w14:paraId="7B9D9F56" w14:textId="77777777">
            <w:pPr>
              <w:spacing w:line="240" w:lineRule="auto"/>
              <w:ind w:firstLine="0"/>
              <w:jc w:val="center"/>
              <w:rPr>
                <w:rFonts w:eastAsia="Aptos" w:cs="Times New Roman"/>
                <w:sz w:val="20"/>
                <w:szCs w:val="20"/>
              </w:rPr>
            </w:pPr>
            <w:r w:rsidRPr="00782FA6">
              <w:rPr>
                <w:rFonts w:eastAsia="Aptos" w:cs="Times New Roman"/>
                <w:sz w:val="20"/>
                <w:szCs w:val="20"/>
              </w:rPr>
              <w:t>1735</w:t>
            </w:r>
          </w:p>
        </w:tc>
        <w:tc>
          <w:tcPr>
            <w:tcW w:w="1036" w:type="dxa"/>
            <w:noWrap/>
            <w:vAlign w:val="center"/>
            <w:hideMark/>
          </w:tcPr>
          <w:p w:rsidRPr="00782FA6" w:rsidR="00DB248A" w:rsidP="00DB248A" w:rsidRDefault="00DB248A" w14:paraId="68F6A50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6026E34" w14:textId="1F700FD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925978B" w14:textId="326F61A9">
            <w:pPr>
              <w:spacing w:line="240" w:lineRule="auto"/>
              <w:ind w:firstLine="0"/>
              <w:rPr>
                <w:rFonts w:eastAsia="Aptos" w:cs="Times New Roman"/>
                <w:sz w:val="20"/>
                <w:szCs w:val="20"/>
              </w:rPr>
            </w:pPr>
            <w:r w:rsidRPr="00782FA6">
              <w:rPr>
                <w:rFonts w:eastAsia="Aptos" w:cs="Times New Roman"/>
                <w:sz w:val="20"/>
                <w:szCs w:val="20"/>
              </w:rPr>
              <w:t>Tele Express Business Systems Inc.</w:t>
            </w:r>
          </w:p>
        </w:tc>
      </w:tr>
      <w:tr w:rsidRPr="00782FA6" w:rsidR="00DB248A" w:rsidTr="00E52317" w14:paraId="762182A4" w14:textId="77777777">
        <w:trPr>
          <w:trHeight w:val="300"/>
        </w:trPr>
        <w:tc>
          <w:tcPr>
            <w:tcW w:w="1170" w:type="dxa"/>
            <w:noWrap/>
            <w:vAlign w:val="center"/>
            <w:hideMark/>
          </w:tcPr>
          <w:p w:rsidRPr="00782FA6" w:rsidR="00DB248A" w:rsidP="00DB248A" w:rsidRDefault="00DB248A" w14:paraId="5FD4CD52" w14:textId="77777777">
            <w:pPr>
              <w:spacing w:line="240" w:lineRule="auto"/>
              <w:ind w:firstLine="0"/>
              <w:jc w:val="center"/>
              <w:rPr>
                <w:rFonts w:eastAsia="Aptos" w:cs="Times New Roman"/>
                <w:sz w:val="20"/>
                <w:szCs w:val="20"/>
              </w:rPr>
            </w:pPr>
            <w:r w:rsidRPr="00782FA6">
              <w:rPr>
                <w:rFonts w:eastAsia="Aptos" w:cs="Times New Roman"/>
                <w:sz w:val="20"/>
                <w:szCs w:val="20"/>
              </w:rPr>
              <w:t>1736</w:t>
            </w:r>
          </w:p>
        </w:tc>
        <w:tc>
          <w:tcPr>
            <w:tcW w:w="1036" w:type="dxa"/>
            <w:noWrap/>
            <w:vAlign w:val="center"/>
            <w:hideMark/>
          </w:tcPr>
          <w:p w:rsidRPr="00782FA6" w:rsidR="00DB248A" w:rsidP="00DB248A" w:rsidRDefault="00DB248A" w14:paraId="01D5A67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9802E44" w14:textId="6525848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C5F2D37" w14:textId="564AAA9D">
            <w:pPr>
              <w:spacing w:line="240" w:lineRule="auto"/>
              <w:ind w:firstLine="0"/>
              <w:rPr>
                <w:rFonts w:eastAsia="Aptos" w:cs="Times New Roman"/>
                <w:sz w:val="20"/>
                <w:szCs w:val="20"/>
              </w:rPr>
            </w:pPr>
            <w:r w:rsidRPr="00782FA6">
              <w:rPr>
                <w:rFonts w:eastAsia="Aptos" w:cs="Times New Roman"/>
                <w:sz w:val="20"/>
                <w:szCs w:val="20"/>
              </w:rPr>
              <w:t>Horizon Cable TV, Inc.</w:t>
            </w:r>
          </w:p>
        </w:tc>
      </w:tr>
      <w:tr w:rsidRPr="00782FA6" w:rsidR="00DB248A" w:rsidTr="00E52317" w14:paraId="5F951B90" w14:textId="77777777">
        <w:trPr>
          <w:trHeight w:val="300"/>
        </w:trPr>
        <w:tc>
          <w:tcPr>
            <w:tcW w:w="1170" w:type="dxa"/>
            <w:noWrap/>
            <w:vAlign w:val="center"/>
            <w:hideMark/>
          </w:tcPr>
          <w:p w:rsidRPr="00782FA6" w:rsidR="00DB248A" w:rsidP="00DB248A" w:rsidRDefault="00DB248A" w14:paraId="7E9DD51F" w14:textId="77777777">
            <w:pPr>
              <w:spacing w:line="240" w:lineRule="auto"/>
              <w:ind w:firstLine="0"/>
              <w:jc w:val="center"/>
              <w:rPr>
                <w:rFonts w:eastAsia="Aptos" w:cs="Times New Roman"/>
                <w:sz w:val="20"/>
                <w:szCs w:val="20"/>
              </w:rPr>
            </w:pPr>
            <w:r w:rsidRPr="00782FA6">
              <w:rPr>
                <w:rFonts w:eastAsia="Aptos" w:cs="Times New Roman"/>
                <w:sz w:val="20"/>
                <w:szCs w:val="20"/>
              </w:rPr>
              <w:t>1737</w:t>
            </w:r>
          </w:p>
        </w:tc>
        <w:tc>
          <w:tcPr>
            <w:tcW w:w="1036" w:type="dxa"/>
            <w:noWrap/>
            <w:vAlign w:val="center"/>
            <w:hideMark/>
          </w:tcPr>
          <w:p w:rsidRPr="00782FA6" w:rsidR="00DB248A" w:rsidP="00DB248A" w:rsidRDefault="00DB248A" w14:paraId="0805F6B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41E2E21" w14:textId="691BE42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7D73022" w14:textId="157BA964">
            <w:pPr>
              <w:spacing w:line="240" w:lineRule="auto"/>
              <w:ind w:firstLine="0"/>
              <w:rPr>
                <w:rFonts w:eastAsia="Aptos" w:cs="Times New Roman"/>
                <w:sz w:val="20"/>
                <w:szCs w:val="20"/>
              </w:rPr>
            </w:pPr>
            <w:r w:rsidRPr="00782FA6">
              <w:rPr>
                <w:rFonts w:eastAsia="Aptos" w:cs="Times New Roman"/>
                <w:sz w:val="20"/>
                <w:szCs w:val="20"/>
              </w:rPr>
              <w:t>Skye Telecom LLC</w:t>
            </w:r>
          </w:p>
        </w:tc>
      </w:tr>
      <w:tr w:rsidRPr="00782FA6" w:rsidR="00DB248A" w:rsidTr="00E52317" w14:paraId="42A3AFD5" w14:textId="77777777">
        <w:trPr>
          <w:trHeight w:val="300"/>
        </w:trPr>
        <w:tc>
          <w:tcPr>
            <w:tcW w:w="1170" w:type="dxa"/>
            <w:noWrap/>
            <w:vAlign w:val="center"/>
            <w:hideMark/>
          </w:tcPr>
          <w:p w:rsidRPr="00782FA6" w:rsidR="00DB248A" w:rsidP="00DB248A" w:rsidRDefault="00DB248A" w14:paraId="764F4A30" w14:textId="77777777">
            <w:pPr>
              <w:spacing w:line="240" w:lineRule="auto"/>
              <w:ind w:firstLine="0"/>
              <w:jc w:val="center"/>
              <w:rPr>
                <w:rFonts w:eastAsia="Aptos" w:cs="Times New Roman"/>
                <w:sz w:val="20"/>
                <w:szCs w:val="20"/>
              </w:rPr>
            </w:pPr>
            <w:r w:rsidRPr="00782FA6">
              <w:rPr>
                <w:rFonts w:eastAsia="Aptos" w:cs="Times New Roman"/>
                <w:sz w:val="20"/>
                <w:szCs w:val="20"/>
              </w:rPr>
              <w:t>1739</w:t>
            </w:r>
          </w:p>
        </w:tc>
        <w:tc>
          <w:tcPr>
            <w:tcW w:w="1036" w:type="dxa"/>
            <w:noWrap/>
            <w:vAlign w:val="center"/>
            <w:hideMark/>
          </w:tcPr>
          <w:p w:rsidRPr="00782FA6" w:rsidR="00DB248A" w:rsidP="00DB248A" w:rsidRDefault="00DB248A" w14:paraId="5ADDFC5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B78C7A9" w14:textId="03CB399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1265479" w14:textId="54DC88CB">
            <w:pPr>
              <w:spacing w:line="240" w:lineRule="auto"/>
              <w:ind w:firstLine="0"/>
              <w:rPr>
                <w:rFonts w:eastAsia="Aptos" w:cs="Times New Roman"/>
                <w:sz w:val="20"/>
                <w:szCs w:val="20"/>
              </w:rPr>
            </w:pPr>
            <w:r w:rsidRPr="00782FA6">
              <w:rPr>
                <w:rFonts w:eastAsia="Aptos" w:cs="Times New Roman"/>
                <w:sz w:val="20"/>
                <w:szCs w:val="20"/>
              </w:rPr>
              <w:t>Red River Technology LLC</w:t>
            </w:r>
          </w:p>
        </w:tc>
      </w:tr>
      <w:tr w:rsidRPr="00782FA6" w:rsidR="00DB248A" w:rsidTr="00E52317" w14:paraId="345CE431" w14:textId="77777777">
        <w:trPr>
          <w:trHeight w:val="300"/>
        </w:trPr>
        <w:tc>
          <w:tcPr>
            <w:tcW w:w="1170" w:type="dxa"/>
            <w:noWrap/>
            <w:vAlign w:val="center"/>
            <w:hideMark/>
          </w:tcPr>
          <w:p w:rsidRPr="00782FA6" w:rsidR="00DB248A" w:rsidP="00DB248A" w:rsidRDefault="00DB248A" w14:paraId="1C9D4BEF" w14:textId="77777777">
            <w:pPr>
              <w:spacing w:line="240" w:lineRule="auto"/>
              <w:ind w:firstLine="0"/>
              <w:jc w:val="center"/>
              <w:rPr>
                <w:rFonts w:eastAsia="Aptos" w:cs="Times New Roman"/>
                <w:sz w:val="20"/>
                <w:szCs w:val="20"/>
              </w:rPr>
            </w:pPr>
            <w:r w:rsidRPr="00782FA6">
              <w:rPr>
                <w:rFonts w:eastAsia="Aptos" w:cs="Times New Roman"/>
                <w:sz w:val="20"/>
                <w:szCs w:val="20"/>
              </w:rPr>
              <w:t>1740</w:t>
            </w:r>
          </w:p>
        </w:tc>
        <w:tc>
          <w:tcPr>
            <w:tcW w:w="1036" w:type="dxa"/>
            <w:noWrap/>
            <w:vAlign w:val="center"/>
            <w:hideMark/>
          </w:tcPr>
          <w:p w:rsidRPr="00782FA6" w:rsidR="00DB248A" w:rsidP="00DB248A" w:rsidRDefault="00DB248A" w14:paraId="5976C33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85E8799" w14:textId="50AA142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C2C52C6" w14:textId="53907828">
            <w:pPr>
              <w:spacing w:line="240" w:lineRule="auto"/>
              <w:ind w:firstLine="0"/>
              <w:rPr>
                <w:rFonts w:eastAsia="Aptos" w:cs="Times New Roman"/>
                <w:sz w:val="20"/>
                <w:szCs w:val="20"/>
              </w:rPr>
            </w:pPr>
            <w:r w:rsidRPr="00782FA6">
              <w:rPr>
                <w:rFonts w:eastAsia="Aptos" w:cs="Times New Roman"/>
                <w:sz w:val="20"/>
                <w:szCs w:val="20"/>
              </w:rPr>
              <w:t>805VoIP LLC</w:t>
            </w:r>
          </w:p>
        </w:tc>
      </w:tr>
      <w:tr w:rsidRPr="00782FA6" w:rsidR="00DB248A" w:rsidTr="00E52317" w14:paraId="340CA93A" w14:textId="77777777">
        <w:trPr>
          <w:trHeight w:val="300"/>
        </w:trPr>
        <w:tc>
          <w:tcPr>
            <w:tcW w:w="1170" w:type="dxa"/>
            <w:noWrap/>
            <w:vAlign w:val="center"/>
            <w:hideMark/>
          </w:tcPr>
          <w:p w:rsidRPr="00782FA6" w:rsidR="00DB248A" w:rsidP="00DB248A" w:rsidRDefault="00DB248A" w14:paraId="6AAB0C88" w14:textId="77777777">
            <w:pPr>
              <w:spacing w:line="240" w:lineRule="auto"/>
              <w:ind w:firstLine="0"/>
              <w:jc w:val="center"/>
              <w:rPr>
                <w:rFonts w:eastAsia="Aptos" w:cs="Times New Roman"/>
                <w:sz w:val="20"/>
                <w:szCs w:val="20"/>
              </w:rPr>
            </w:pPr>
            <w:r w:rsidRPr="00782FA6">
              <w:rPr>
                <w:rFonts w:eastAsia="Aptos" w:cs="Times New Roman"/>
                <w:sz w:val="20"/>
                <w:szCs w:val="20"/>
              </w:rPr>
              <w:t>1741</w:t>
            </w:r>
          </w:p>
        </w:tc>
        <w:tc>
          <w:tcPr>
            <w:tcW w:w="1036" w:type="dxa"/>
            <w:noWrap/>
            <w:vAlign w:val="center"/>
            <w:hideMark/>
          </w:tcPr>
          <w:p w:rsidRPr="00782FA6" w:rsidR="00DB248A" w:rsidP="00DB248A" w:rsidRDefault="00DB248A" w14:paraId="3F0CAA5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C162492" w14:textId="03D77E5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3F01C94" w14:textId="0D84D619">
            <w:pPr>
              <w:spacing w:line="240" w:lineRule="auto"/>
              <w:ind w:firstLine="0"/>
              <w:rPr>
                <w:rFonts w:eastAsia="Aptos" w:cs="Times New Roman"/>
                <w:sz w:val="20"/>
                <w:szCs w:val="20"/>
              </w:rPr>
            </w:pPr>
            <w:r w:rsidRPr="00782FA6">
              <w:rPr>
                <w:rFonts w:eastAsia="Aptos" w:cs="Times New Roman"/>
                <w:sz w:val="20"/>
                <w:szCs w:val="20"/>
              </w:rPr>
              <w:t>Coastline Technology Group</w:t>
            </w:r>
          </w:p>
        </w:tc>
      </w:tr>
      <w:tr w:rsidRPr="00782FA6" w:rsidR="00DB248A" w:rsidTr="00E52317" w14:paraId="7D323321" w14:textId="77777777">
        <w:trPr>
          <w:trHeight w:val="300"/>
        </w:trPr>
        <w:tc>
          <w:tcPr>
            <w:tcW w:w="1170" w:type="dxa"/>
            <w:noWrap/>
            <w:vAlign w:val="center"/>
            <w:hideMark/>
          </w:tcPr>
          <w:p w:rsidRPr="00782FA6" w:rsidR="00DB248A" w:rsidP="00DB248A" w:rsidRDefault="00DB248A" w14:paraId="64C4E378" w14:textId="77777777">
            <w:pPr>
              <w:spacing w:line="240" w:lineRule="auto"/>
              <w:ind w:firstLine="0"/>
              <w:jc w:val="center"/>
              <w:rPr>
                <w:rFonts w:eastAsia="Aptos" w:cs="Times New Roman"/>
                <w:sz w:val="20"/>
                <w:szCs w:val="20"/>
              </w:rPr>
            </w:pPr>
            <w:r w:rsidRPr="00782FA6">
              <w:rPr>
                <w:rFonts w:eastAsia="Aptos" w:cs="Times New Roman"/>
                <w:sz w:val="20"/>
                <w:szCs w:val="20"/>
              </w:rPr>
              <w:t>1742</w:t>
            </w:r>
          </w:p>
        </w:tc>
        <w:tc>
          <w:tcPr>
            <w:tcW w:w="1036" w:type="dxa"/>
            <w:noWrap/>
            <w:vAlign w:val="center"/>
            <w:hideMark/>
          </w:tcPr>
          <w:p w:rsidRPr="00782FA6" w:rsidR="00DB248A" w:rsidP="00DB248A" w:rsidRDefault="00DB248A" w14:paraId="705764C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EC911A4" w14:textId="7F20D23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3C245F7" w14:textId="3885C450">
            <w:pPr>
              <w:spacing w:line="240" w:lineRule="auto"/>
              <w:ind w:firstLine="0"/>
              <w:rPr>
                <w:rFonts w:eastAsia="Aptos" w:cs="Times New Roman"/>
                <w:sz w:val="20"/>
                <w:szCs w:val="20"/>
              </w:rPr>
            </w:pPr>
            <w:r w:rsidRPr="00782FA6">
              <w:rPr>
                <w:rFonts w:eastAsia="Aptos" w:cs="Times New Roman"/>
                <w:sz w:val="20"/>
                <w:szCs w:val="20"/>
              </w:rPr>
              <w:t>SoCal Computer Guys, LLC</w:t>
            </w:r>
          </w:p>
        </w:tc>
      </w:tr>
      <w:tr w:rsidRPr="00782FA6" w:rsidR="00DB248A" w:rsidTr="00E52317" w14:paraId="6573E628" w14:textId="77777777">
        <w:trPr>
          <w:trHeight w:val="300"/>
        </w:trPr>
        <w:tc>
          <w:tcPr>
            <w:tcW w:w="1170" w:type="dxa"/>
            <w:noWrap/>
            <w:vAlign w:val="center"/>
            <w:hideMark/>
          </w:tcPr>
          <w:p w:rsidRPr="00782FA6" w:rsidR="00DB248A" w:rsidP="00DB248A" w:rsidRDefault="00DB248A" w14:paraId="09E07C91" w14:textId="77777777">
            <w:pPr>
              <w:spacing w:line="240" w:lineRule="auto"/>
              <w:ind w:firstLine="0"/>
              <w:jc w:val="center"/>
              <w:rPr>
                <w:rFonts w:eastAsia="Aptos" w:cs="Times New Roman"/>
                <w:sz w:val="20"/>
                <w:szCs w:val="20"/>
              </w:rPr>
            </w:pPr>
            <w:r w:rsidRPr="00782FA6">
              <w:rPr>
                <w:rFonts w:eastAsia="Aptos" w:cs="Times New Roman"/>
                <w:sz w:val="20"/>
                <w:szCs w:val="20"/>
              </w:rPr>
              <w:t>1743</w:t>
            </w:r>
          </w:p>
        </w:tc>
        <w:tc>
          <w:tcPr>
            <w:tcW w:w="1036" w:type="dxa"/>
            <w:noWrap/>
            <w:vAlign w:val="center"/>
            <w:hideMark/>
          </w:tcPr>
          <w:p w:rsidRPr="00782FA6" w:rsidR="00DB248A" w:rsidP="00DB248A" w:rsidRDefault="00DB248A" w14:paraId="041778A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8D4E168" w14:textId="60E8A26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37C7E6E" w14:textId="02B6C5F4">
            <w:pPr>
              <w:spacing w:line="240" w:lineRule="auto"/>
              <w:ind w:firstLine="0"/>
              <w:rPr>
                <w:rFonts w:eastAsia="Aptos" w:cs="Times New Roman"/>
                <w:sz w:val="20"/>
                <w:szCs w:val="20"/>
              </w:rPr>
            </w:pPr>
            <w:proofErr w:type="spellStart"/>
            <w:r w:rsidRPr="00782FA6">
              <w:rPr>
                <w:rFonts w:eastAsia="Aptos" w:cs="Times New Roman"/>
                <w:sz w:val="20"/>
                <w:szCs w:val="20"/>
              </w:rPr>
              <w:t>TampaBay</w:t>
            </w:r>
            <w:proofErr w:type="spellEnd"/>
            <w:r w:rsidRPr="00782FA6">
              <w:rPr>
                <w:rFonts w:eastAsia="Aptos" w:cs="Times New Roman"/>
                <w:sz w:val="20"/>
                <w:szCs w:val="20"/>
              </w:rPr>
              <w:t xml:space="preserve"> DSL Inc.</w:t>
            </w:r>
          </w:p>
        </w:tc>
      </w:tr>
      <w:tr w:rsidRPr="00782FA6" w:rsidR="00DB248A" w:rsidTr="00E52317" w14:paraId="1E3EBBFE" w14:textId="77777777">
        <w:trPr>
          <w:trHeight w:val="300"/>
        </w:trPr>
        <w:tc>
          <w:tcPr>
            <w:tcW w:w="1170" w:type="dxa"/>
            <w:noWrap/>
            <w:vAlign w:val="center"/>
            <w:hideMark/>
          </w:tcPr>
          <w:p w:rsidRPr="00782FA6" w:rsidR="00DB248A" w:rsidP="00DB248A" w:rsidRDefault="00DB248A" w14:paraId="2A5174FC" w14:textId="77777777">
            <w:pPr>
              <w:spacing w:line="240" w:lineRule="auto"/>
              <w:ind w:firstLine="0"/>
              <w:jc w:val="center"/>
              <w:rPr>
                <w:rFonts w:eastAsia="Aptos" w:cs="Times New Roman"/>
                <w:sz w:val="20"/>
                <w:szCs w:val="20"/>
              </w:rPr>
            </w:pPr>
            <w:r w:rsidRPr="00782FA6">
              <w:rPr>
                <w:rFonts w:eastAsia="Aptos" w:cs="Times New Roman"/>
                <w:sz w:val="20"/>
                <w:szCs w:val="20"/>
              </w:rPr>
              <w:t>1744</w:t>
            </w:r>
          </w:p>
        </w:tc>
        <w:tc>
          <w:tcPr>
            <w:tcW w:w="1036" w:type="dxa"/>
            <w:noWrap/>
            <w:vAlign w:val="center"/>
            <w:hideMark/>
          </w:tcPr>
          <w:p w:rsidRPr="00782FA6" w:rsidR="00DB248A" w:rsidP="00DB248A" w:rsidRDefault="00DB248A" w14:paraId="1201B9F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2C4F480" w14:textId="45E28515">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7483170" w14:textId="59D81C5D">
            <w:pPr>
              <w:spacing w:line="240" w:lineRule="auto"/>
              <w:ind w:firstLine="0"/>
              <w:rPr>
                <w:rFonts w:eastAsia="Aptos" w:cs="Times New Roman"/>
                <w:sz w:val="20"/>
                <w:szCs w:val="20"/>
              </w:rPr>
            </w:pPr>
            <w:r w:rsidRPr="00782FA6">
              <w:rPr>
                <w:rFonts w:eastAsia="Aptos" w:cs="Times New Roman"/>
                <w:sz w:val="20"/>
                <w:szCs w:val="20"/>
              </w:rPr>
              <w:t>Loud</w:t>
            </w:r>
            <w:r>
              <w:rPr>
                <w:rFonts w:eastAsia="Aptos" w:cs="Times New Roman"/>
                <w:sz w:val="20"/>
                <w:szCs w:val="20"/>
              </w:rPr>
              <w:t xml:space="preserve"> &amp; </w:t>
            </w:r>
            <w:r w:rsidRPr="00782FA6">
              <w:rPr>
                <w:rFonts w:eastAsia="Aptos" w:cs="Times New Roman"/>
                <w:sz w:val="20"/>
                <w:szCs w:val="20"/>
              </w:rPr>
              <w:t>Clear Telecommunications, LLC</w:t>
            </w:r>
          </w:p>
        </w:tc>
      </w:tr>
      <w:tr w:rsidRPr="00782FA6" w:rsidR="00DB248A" w:rsidTr="00E52317" w14:paraId="58D929D5" w14:textId="77777777">
        <w:trPr>
          <w:trHeight w:val="300"/>
        </w:trPr>
        <w:tc>
          <w:tcPr>
            <w:tcW w:w="1170" w:type="dxa"/>
            <w:noWrap/>
            <w:vAlign w:val="center"/>
            <w:hideMark/>
          </w:tcPr>
          <w:p w:rsidRPr="00782FA6" w:rsidR="00DB248A" w:rsidP="00DB248A" w:rsidRDefault="00DB248A" w14:paraId="67BED1EB" w14:textId="77777777">
            <w:pPr>
              <w:spacing w:line="240" w:lineRule="auto"/>
              <w:ind w:firstLine="0"/>
              <w:jc w:val="center"/>
              <w:rPr>
                <w:rFonts w:eastAsia="Aptos" w:cs="Times New Roman"/>
                <w:sz w:val="20"/>
                <w:szCs w:val="20"/>
              </w:rPr>
            </w:pPr>
            <w:r w:rsidRPr="00782FA6">
              <w:rPr>
                <w:rFonts w:eastAsia="Aptos" w:cs="Times New Roman"/>
                <w:sz w:val="20"/>
                <w:szCs w:val="20"/>
              </w:rPr>
              <w:t>1745</w:t>
            </w:r>
          </w:p>
        </w:tc>
        <w:tc>
          <w:tcPr>
            <w:tcW w:w="1036" w:type="dxa"/>
            <w:noWrap/>
            <w:vAlign w:val="center"/>
            <w:hideMark/>
          </w:tcPr>
          <w:p w:rsidRPr="00782FA6" w:rsidR="00DB248A" w:rsidP="00DB248A" w:rsidRDefault="00DB248A" w14:paraId="1E880BA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8105324" w14:textId="27D0A66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432B823" w14:textId="68E4AEBC">
            <w:pPr>
              <w:spacing w:line="240" w:lineRule="auto"/>
              <w:ind w:firstLine="0"/>
              <w:rPr>
                <w:rFonts w:eastAsia="Aptos" w:cs="Times New Roman"/>
                <w:sz w:val="20"/>
                <w:szCs w:val="20"/>
              </w:rPr>
            </w:pPr>
            <w:r w:rsidRPr="00782FA6">
              <w:rPr>
                <w:rFonts w:eastAsia="Aptos" w:cs="Times New Roman"/>
                <w:sz w:val="20"/>
                <w:szCs w:val="20"/>
              </w:rPr>
              <w:t>Twilio International Inc.</w:t>
            </w:r>
          </w:p>
        </w:tc>
      </w:tr>
      <w:tr w:rsidRPr="00782FA6" w:rsidR="00DB248A" w:rsidTr="00E52317" w14:paraId="6BAF0D15" w14:textId="77777777">
        <w:trPr>
          <w:trHeight w:val="300"/>
        </w:trPr>
        <w:tc>
          <w:tcPr>
            <w:tcW w:w="1170" w:type="dxa"/>
            <w:noWrap/>
            <w:vAlign w:val="center"/>
            <w:hideMark/>
          </w:tcPr>
          <w:p w:rsidRPr="00782FA6" w:rsidR="00DB248A" w:rsidP="00DB248A" w:rsidRDefault="00DB248A" w14:paraId="1E26BD41" w14:textId="77777777">
            <w:pPr>
              <w:spacing w:line="240" w:lineRule="auto"/>
              <w:ind w:firstLine="0"/>
              <w:jc w:val="center"/>
              <w:rPr>
                <w:rFonts w:eastAsia="Aptos" w:cs="Times New Roman"/>
                <w:sz w:val="20"/>
                <w:szCs w:val="20"/>
              </w:rPr>
            </w:pPr>
            <w:r w:rsidRPr="00782FA6">
              <w:rPr>
                <w:rFonts w:eastAsia="Aptos" w:cs="Times New Roman"/>
                <w:sz w:val="20"/>
                <w:szCs w:val="20"/>
              </w:rPr>
              <w:t>1746</w:t>
            </w:r>
          </w:p>
        </w:tc>
        <w:tc>
          <w:tcPr>
            <w:tcW w:w="1036" w:type="dxa"/>
            <w:noWrap/>
            <w:vAlign w:val="center"/>
            <w:hideMark/>
          </w:tcPr>
          <w:p w:rsidRPr="00782FA6" w:rsidR="00DB248A" w:rsidP="00DB248A" w:rsidRDefault="00DB248A" w14:paraId="4F37172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28797CA" w14:textId="263001D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F809B13" w14:textId="155254B0">
            <w:pPr>
              <w:spacing w:line="240" w:lineRule="auto"/>
              <w:ind w:firstLine="0"/>
              <w:rPr>
                <w:rFonts w:eastAsia="Aptos" w:cs="Times New Roman"/>
                <w:sz w:val="20"/>
                <w:szCs w:val="20"/>
              </w:rPr>
            </w:pPr>
            <w:r w:rsidRPr="00782FA6">
              <w:rPr>
                <w:rFonts w:eastAsia="Aptos" w:cs="Times New Roman"/>
                <w:sz w:val="20"/>
                <w:szCs w:val="20"/>
              </w:rPr>
              <w:t>Stellar Private Cable Systems, Inc.</w:t>
            </w:r>
          </w:p>
        </w:tc>
      </w:tr>
      <w:tr w:rsidRPr="00782FA6" w:rsidR="00DB248A" w:rsidTr="00E52317" w14:paraId="10B88A51" w14:textId="77777777">
        <w:trPr>
          <w:trHeight w:val="300"/>
        </w:trPr>
        <w:tc>
          <w:tcPr>
            <w:tcW w:w="1170" w:type="dxa"/>
            <w:noWrap/>
            <w:vAlign w:val="center"/>
            <w:hideMark/>
          </w:tcPr>
          <w:p w:rsidRPr="00782FA6" w:rsidR="00DB248A" w:rsidP="00DB248A" w:rsidRDefault="00DB248A" w14:paraId="3595CEF3" w14:textId="77777777">
            <w:pPr>
              <w:spacing w:line="240" w:lineRule="auto"/>
              <w:ind w:firstLine="0"/>
              <w:jc w:val="center"/>
              <w:rPr>
                <w:rFonts w:eastAsia="Aptos" w:cs="Times New Roman"/>
                <w:sz w:val="20"/>
                <w:szCs w:val="20"/>
              </w:rPr>
            </w:pPr>
            <w:r w:rsidRPr="00782FA6">
              <w:rPr>
                <w:rFonts w:eastAsia="Aptos" w:cs="Times New Roman"/>
                <w:sz w:val="20"/>
                <w:szCs w:val="20"/>
              </w:rPr>
              <w:t>1747</w:t>
            </w:r>
          </w:p>
        </w:tc>
        <w:tc>
          <w:tcPr>
            <w:tcW w:w="1036" w:type="dxa"/>
            <w:noWrap/>
            <w:vAlign w:val="center"/>
            <w:hideMark/>
          </w:tcPr>
          <w:p w:rsidRPr="00782FA6" w:rsidR="00DB248A" w:rsidP="00DB248A" w:rsidRDefault="00DB248A" w14:paraId="4F31157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E89C28E" w14:textId="4D3AD68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9118A97" w14:textId="76D6EE88">
            <w:pPr>
              <w:spacing w:line="240" w:lineRule="auto"/>
              <w:ind w:firstLine="0"/>
              <w:rPr>
                <w:rFonts w:eastAsia="Aptos" w:cs="Times New Roman"/>
                <w:sz w:val="20"/>
                <w:szCs w:val="20"/>
              </w:rPr>
            </w:pPr>
            <w:r w:rsidRPr="00782FA6">
              <w:rPr>
                <w:rFonts w:eastAsia="Aptos" w:cs="Times New Roman"/>
                <w:sz w:val="20"/>
                <w:szCs w:val="20"/>
              </w:rPr>
              <w:t>4 Voice LLC</w:t>
            </w:r>
          </w:p>
        </w:tc>
      </w:tr>
      <w:tr w:rsidRPr="00782FA6" w:rsidR="00DB248A" w:rsidTr="00E52317" w14:paraId="457EC0B1" w14:textId="77777777">
        <w:trPr>
          <w:trHeight w:val="300"/>
        </w:trPr>
        <w:tc>
          <w:tcPr>
            <w:tcW w:w="1170" w:type="dxa"/>
            <w:noWrap/>
            <w:vAlign w:val="center"/>
            <w:hideMark/>
          </w:tcPr>
          <w:p w:rsidRPr="00782FA6" w:rsidR="00DB248A" w:rsidP="00DB248A" w:rsidRDefault="00DB248A" w14:paraId="129EF695" w14:textId="77777777">
            <w:pPr>
              <w:spacing w:line="240" w:lineRule="auto"/>
              <w:ind w:firstLine="0"/>
              <w:jc w:val="center"/>
              <w:rPr>
                <w:rFonts w:eastAsia="Aptos" w:cs="Times New Roman"/>
                <w:sz w:val="20"/>
                <w:szCs w:val="20"/>
              </w:rPr>
            </w:pPr>
            <w:r w:rsidRPr="00782FA6">
              <w:rPr>
                <w:rFonts w:eastAsia="Aptos" w:cs="Times New Roman"/>
                <w:sz w:val="20"/>
                <w:szCs w:val="20"/>
              </w:rPr>
              <w:t>1748</w:t>
            </w:r>
          </w:p>
        </w:tc>
        <w:tc>
          <w:tcPr>
            <w:tcW w:w="1036" w:type="dxa"/>
            <w:noWrap/>
            <w:vAlign w:val="center"/>
            <w:hideMark/>
          </w:tcPr>
          <w:p w:rsidRPr="00782FA6" w:rsidR="00DB248A" w:rsidP="00DB248A" w:rsidRDefault="00DB248A" w14:paraId="77666B9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25C86D4" w14:textId="2C9A5EA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F3AB2A3" w14:textId="75F991D5">
            <w:pPr>
              <w:spacing w:line="240" w:lineRule="auto"/>
              <w:ind w:firstLine="0"/>
              <w:rPr>
                <w:rFonts w:eastAsia="Aptos" w:cs="Times New Roman"/>
                <w:sz w:val="20"/>
                <w:szCs w:val="20"/>
              </w:rPr>
            </w:pPr>
            <w:r w:rsidRPr="00782FA6">
              <w:rPr>
                <w:rFonts w:eastAsia="Aptos" w:cs="Times New Roman"/>
                <w:sz w:val="20"/>
                <w:szCs w:val="20"/>
              </w:rPr>
              <w:t>Unified Global Solutions, LLC</w:t>
            </w:r>
          </w:p>
        </w:tc>
      </w:tr>
      <w:tr w:rsidRPr="00782FA6" w:rsidR="00DB248A" w:rsidTr="00E52317" w14:paraId="100F14AE" w14:textId="77777777">
        <w:trPr>
          <w:trHeight w:val="300"/>
        </w:trPr>
        <w:tc>
          <w:tcPr>
            <w:tcW w:w="1170" w:type="dxa"/>
            <w:noWrap/>
            <w:vAlign w:val="center"/>
            <w:hideMark/>
          </w:tcPr>
          <w:p w:rsidRPr="00782FA6" w:rsidR="00DB248A" w:rsidP="00DB248A" w:rsidRDefault="00DB248A" w14:paraId="2AB3222A" w14:textId="77777777">
            <w:pPr>
              <w:spacing w:line="240" w:lineRule="auto"/>
              <w:ind w:firstLine="0"/>
              <w:jc w:val="center"/>
              <w:rPr>
                <w:rFonts w:eastAsia="Aptos" w:cs="Times New Roman"/>
                <w:sz w:val="20"/>
                <w:szCs w:val="20"/>
              </w:rPr>
            </w:pPr>
            <w:r w:rsidRPr="00782FA6">
              <w:rPr>
                <w:rFonts w:eastAsia="Aptos" w:cs="Times New Roman"/>
                <w:sz w:val="20"/>
                <w:szCs w:val="20"/>
              </w:rPr>
              <w:t>1749</w:t>
            </w:r>
          </w:p>
        </w:tc>
        <w:tc>
          <w:tcPr>
            <w:tcW w:w="1036" w:type="dxa"/>
            <w:noWrap/>
            <w:vAlign w:val="center"/>
            <w:hideMark/>
          </w:tcPr>
          <w:p w:rsidRPr="00782FA6" w:rsidR="00DB248A" w:rsidP="00DB248A" w:rsidRDefault="00DB248A" w14:paraId="3532734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62F1285" w14:textId="21E53F6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B7C882F" w14:textId="32AD1C9A">
            <w:pPr>
              <w:spacing w:line="240" w:lineRule="auto"/>
              <w:ind w:firstLine="0"/>
              <w:rPr>
                <w:rFonts w:eastAsia="Aptos" w:cs="Times New Roman"/>
                <w:sz w:val="20"/>
                <w:szCs w:val="20"/>
              </w:rPr>
            </w:pPr>
            <w:r w:rsidRPr="00782FA6">
              <w:rPr>
                <w:rFonts w:eastAsia="Aptos" w:cs="Times New Roman"/>
                <w:sz w:val="20"/>
                <w:szCs w:val="20"/>
              </w:rPr>
              <w:t>Unitas Global, Inc.</w:t>
            </w:r>
          </w:p>
        </w:tc>
      </w:tr>
      <w:tr w:rsidRPr="00782FA6" w:rsidR="00DB248A" w:rsidTr="00E52317" w14:paraId="0C34E51F" w14:textId="77777777">
        <w:trPr>
          <w:trHeight w:val="300"/>
        </w:trPr>
        <w:tc>
          <w:tcPr>
            <w:tcW w:w="1170" w:type="dxa"/>
            <w:noWrap/>
            <w:vAlign w:val="center"/>
            <w:hideMark/>
          </w:tcPr>
          <w:p w:rsidRPr="00782FA6" w:rsidR="00DB248A" w:rsidP="00DB248A" w:rsidRDefault="00DB248A" w14:paraId="2D9919D3" w14:textId="77777777">
            <w:pPr>
              <w:spacing w:line="240" w:lineRule="auto"/>
              <w:ind w:firstLine="0"/>
              <w:jc w:val="center"/>
              <w:rPr>
                <w:rFonts w:eastAsia="Aptos" w:cs="Times New Roman"/>
                <w:sz w:val="20"/>
                <w:szCs w:val="20"/>
              </w:rPr>
            </w:pPr>
            <w:r w:rsidRPr="00782FA6">
              <w:rPr>
                <w:rFonts w:eastAsia="Aptos" w:cs="Times New Roman"/>
                <w:sz w:val="20"/>
                <w:szCs w:val="20"/>
              </w:rPr>
              <w:t>1750</w:t>
            </w:r>
          </w:p>
        </w:tc>
        <w:tc>
          <w:tcPr>
            <w:tcW w:w="1036" w:type="dxa"/>
            <w:noWrap/>
            <w:vAlign w:val="center"/>
            <w:hideMark/>
          </w:tcPr>
          <w:p w:rsidRPr="00782FA6" w:rsidR="00DB248A" w:rsidP="00DB248A" w:rsidRDefault="00DB248A" w14:paraId="6580797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B948999" w14:textId="1A9155D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CC16EFB" w14:textId="46E6493D">
            <w:pPr>
              <w:spacing w:line="240" w:lineRule="auto"/>
              <w:ind w:firstLine="0"/>
              <w:rPr>
                <w:rFonts w:eastAsia="Aptos" w:cs="Times New Roman"/>
                <w:sz w:val="20"/>
                <w:szCs w:val="20"/>
              </w:rPr>
            </w:pPr>
            <w:proofErr w:type="spellStart"/>
            <w:r w:rsidRPr="00782FA6">
              <w:rPr>
                <w:rFonts w:eastAsia="Aptos" w:cs="Times New Roman"/>
                <w:sz w:val="20"/>
                <w:szCs w:val="20"/>
              </w:rPr>
              <w:t>Shammam</w:t>
            </w:r>
            <w:proofErr w:type="spellEnd"/>
            <w:r w:rsidRPr="00782FA6">
              <w:rPr>
                <w:rFonts w:eastAsia="Aptos" w:cs="Times New Roman"/>
                <w:sz w:val="20"/>
                <w:szCs w:val="20"/>
              </w:rPr>
              <w:t xml:space="preserve"> Consulting Services, Inc.</w:t>
            </w:r>
          </w:p>
        </w:tc>
      </w:tr>
      <w:tr w:rsidRPr="00782FA6" w:rsidR="00DB248A" w:rsidTr="00E52317" w14:paraId="35751A08" w14:textId="77777777">
        <w:trPr>
          <w:trHeight w:val="300"/>
        </w:trPr>
        <w:tc>
          <w:tcPr>
            <w:tcW w:w="1170" w:type="dxa"/>
            <w:noWrap/>
            <w:vAlign w:val="center"/>
            <w:hideMark/>
          </w:tcPr>
          <w:p w:rsidRPr="00782FA6" w:rsidR="00DB248A" w:rsidP="00DB248A" w:rsidRDefault="00DB248A" w14:paraId="64469281" w14:textId="77777777">
            <w:pPr>
              <w:spacing w:line="240" w:lineRule="auto"/>
              <w:ind w:firstLine="0"/>
              <w:jc w:val="center"/>
              <w:rPr>
                <w:rFonts w:eastAsia="Aptos" w:cs="Times New Roman"/>
                <w:sz w:val="20"/>
                <w:szCs w:val="20"/>
              </w:rPr>
            </w:pPr>
            <w:r w:rsidRPr="00782FA6">
              <w:rPr>
                <w:rFonts w:eastAsia="Aptos" w:cs="Times New Roman"/>
                <w:sz w:val="20"/>
                <w:szCs w:val="20"/>
              </w:rPr>
              <w:t>1751</w:t>
            </w:r>
          </w:p>
        </w:tc>
        <w:tc>
          <w:tcPr>
            <w:tcW w:w="1036" w:type="dxa"/>
            <w:noWrap/>
            <w:vAlign w:val="center"/>
            <w:hideMark/>
          </w:tcPr>
          <w:p w:rsidRPr="00782FA6" w:rsidR="00DB248A" w:rsidP="00DB248A" w:rsidRDefault="00DB248A" w14:paraId="026F3A3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75ACE41" w14:textId="4E46838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018A07B" w14:textId="5C6F5D4A">
            <w:pPr>
              <w:spacing w:line="240" w:lineRule="auto"/>
              <w:ind w:firstLine="0"/>
              <w:rPr>
                <w:rFonts w:eastAsia="Aptos" w:cs="Times New Roman"/>
                <w:sz w:val="20"/>
                <w:szCs w:val="20"/>
              </w:rPr>
            </w:pPr>
            <w:r w:rsidRPr="00782FA6">
              <w:rPr>
                <w:rFonts w:eastAsia="Aptos" w:cs="Times New Roman"/>
                <w:sz w:val="20"/>
                <w:szCs w:val="20"/>
              </w:rPr>
              <w:t>OIT, LLC</w:t>
            </w:r>
          </w:p>
        </w:tc>
      </w:tr>
      <w:tr w:rsidRPr="00782FA6" w:rsidR="00DB248A" w:rsidTr="00E52317" w14:paraId="07F1CA45" w14:textId="77777777">
        <w:trPr>
          <w:trHeight w:val="300"/>
        </w:trPr>
        <w:tc>
          <w:tcPr>
            <w:tcW w:w="1170" w:type="dxa"/>
            <w:noWrap/>
            <w:vAlign w:val="center"/>
            <w:hideMark/>
          </w:tcPr>
          <w:p w:rsidRPr="00782FA6" w:rsidR="00DB248A" w:rsidP="00DB248A" w:rsidRDefault="00DB248A" w14:paraId="687479A6" w14:textId="77777777">
            <w:pPr>
              <w:spacing w:line="240" w:lineRule="auto"/>
              <w:ind w:firstLine="0"/>
              <w:jc w:val="center"/>
              <w:rPr>
                <w:rFonts w:eastAsia="Aptos" w:cs="Times New Roman"/>
                <w:sz w:val="20"/>
                <w:szCs w:val="20"/>
              </w:rPr>
            </w:pPr>
            <w:r w:rsidRPr="00782FA6">
              <w:rPr>
                <w:rFonts w:eastAsia="Aptos" w:cs="Times New Roman"/>
                <w:sz w:val="20"/>
                <w:szCs w:val="20"/>
              </w:rPr>
              <w:t>1752</w:t>
            </w:r>
          </w:p>
        </w:tc>
        <w:tc>
          <w:tcPr>
            <w:tcW w:w="1036" w:type="dxa"/>
            <w:noWrap/>
            <w:vAlign w:val="center"/>
            <w:hideMark/>
          </w:tcPr>
          <w:p w:rsidRPr="00782FA6" w:rsidR="00DB248A" w:rsidP="00DB248A" w:rsidRDefault="00DB248A" w14:paraId="576BBFD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C924A2B" w14:textId="3BD2912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BABF346" w14:textId="31A75C72">
            <w:pPr>
              <w:spacing w:line="240" w:lineRule="auto"/>
              <w:ind w:firstLine="0"/>
              <w:rPr>
                <w:rFonts w:eastAsia="Aptos" w:cs="Times New Roman"/>
                <w:sz w:val="20"/>
                <w:szCs w:val="20"/>
              </w:rPr>
            </w:pPr>
            <w:r w:rsidRPr="00782FA6">
              <w:rPr>
                <w:rFonts w:eastAsia="Aptos" w:cs="Times New Roman"/>
                <w:sz w:val="20"/>
                <w:szCs w:val="20"/>
              </w:rPr>
              <w:t>Single Point Global Incorporated</w:t>
            </w:r>
          </w:p>
        </w:tc>
      </w:tr>
      <w:tr w:rsidRPr="00782FA6" w:rsidR="00DB248A" w:rsidTr="00E52317" w14:paraId="00D5888A" w14:textId="77777777">
        <w:trPr>
          <w:trHeight w:val="300"/>
        </w:trPr>
        <w:tc>
          <w:tcPr>
            <w:tcW w:w="1170" w:type="dxa"/>
            <w:noWrap/>
            <w:vAlign w:val="center"/>
            <w:hideMark/>
          </w:tcPr>
          <w:p w:rsidRPr="00782FA6" w:rsidR="00DB248A" w:rsidP="00DB248A" w:rsidRDefault="00DB248A" w14:paraId="61E96E44" w14:textId="77777777">
            <w:pPr>
              <w:spacing w:line="240" w:lineRule="auto"/>
              <w:ind w:firstLine="0"/>
              <w:jc w:val="center"/>
              <w:rPr>
                <w:rFonts w:eastAsia="Aptos" w:cs="Times New Roman"/>
                <w:sz w:val="20"/>
                <w:szCs w:val="20"/>
              </w:rPr>
            </w:pPr>
            <w:r w:rsidRPr="00782FA6">
              <w:rPr>
                <w:rFonts w:eastAsia="Aptos" w:cs="Times New Roman"/>
                <w:sz w:val="20"/>
                <w:szCs w:val="20"/>
              </w:rPr>
              <w:t>1753</w:t>
            </w:r>
          </w:p>
        </w:tc>
        <w:tc>
          <w:tcPr>
            <w:tcW w:w="1036" w:type="dxa"/>
            <w:noWrap/>
            <w:vAlign w:val="center"/>
            <w:hideMark/>
          </w:tcPr>
          <w:p w:rsidRPr="00782FA6" w:rsidR="00DB248A" w:rsidP="00DB248A" w:rsidRDefault="00DB248A" w14:paraId="5337FF3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5E5E0FD" w14:textId="4ED0B00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645E87F" w14:textId="13343BC6">
            <w:pPr>
              <w:spacing w:line="240" w:lineRule="auto"/>
              <w:ind w:firstLine="0"/>
              <w:rPr>
                <w:rFonts w:eastAsia="Aptos" w:cs="Times New Roman"/>
                <w:sz w:val="20"/>
                <w:szCs w:val="20"/>
              </w:rPr>
            </w:pPr>
            <w:r w:rsidRPr="00782FA6">
              <w:rPr>
                <w:rFonts w:eastAsia="Aptos" w:cs="Times New Roman"/>
                <w:sz w:val="20"/>
                <w:szCs w:val="20"/>
              </w:rPr>
              <w:t>Earthlink, LLC</w:t>
            </w:r>
          </w:p>
        </w:tc>
      </w:tr>
      <w:tr w:rsidRPr="00782FA6" w:rsidR="00DB248A" w:rsidTr="00E52317" w14:paraId="17B38CCF" w14:textId="77777777">
        <w:trPr>
          <w:trHeight w:val="300"/>
        </w:trPr>
        <w:tc>
          <w:tcPr>
            <w:tcW w:w="1170" w:type="dxa"/>
            <w:noWrap/>
            <w:vAlign w:val="center"/>
            <w:hideMark/>
          </w:tcPr>
          <w:p w:rsidRPr="00782FA6" w:rsidR="00DB248A" w:rsidP="00DB248A" w:rsidRDefault="00DB248A" w14:paraId="1AE3D573" w14:textId="77777777">
            <w:pPr>
              <w:spacing w:line="240" w:lineRule="auto"/>
              <w:ind w:firstLine="0"/>
              <w:jc w:val="center"/>
              <w:rPr>
                <w:rFonts w:eastAsia="Aptos" w:cs="Times New Roman"/>
                <w:sz w:val="20"/>
                <w:szCs w:val="20"/>
              </w:rPr>
            </w:pPr>
            <w:r w:rsidRPr="00782FA6">
              <w:rPr>
                <w:rFonts w:eastAsia="Aptos" w:cs="Times New Roman"/>
                <w:sz w:val="20"/>
                <w:szCs w:val="20"/>
              </w:rPr>
              <w:t>1754</w:t>
            </w:r>
          </w:p>
        </w:tc>
        <w:tc>
          <w:tcPr>
            <w:tcW w:w="1036" w:type="dxa"/>
            <w:noWrap/>
            <w:vAlign w:val="center"/>
            <w:hideMark/>
          </w:tcPr>
          <w:p w:rsidRPr="00782FA6" w:rsidR="00DB248A" w:rsidP="00DB248A" w:rsidRDefault="00DB248A" w14:paraId="318062E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C74F96A" w14:textId="2BC3EBE3">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55F6A96" w14:textId="6EF51D61">
            <w:pPr>
              <w:spacing w:line="240" w:lineRule="auto"/>
              <w:ind w:firstLine="0"/>
              <w:rPr>
                <w:rFonts w:eastAsia="Aptos" w:cs="Times New Roman"/>
                <w:sz w:val="20"/>
                <w:szCs w:val="20"/>
              </w:rPr>
            </w:pPr>
            <w:r w:rsidRPr="00782FA6">
              <w:rPr>
                <w:rFonts w:eastAsia="Aptos" w:cs="Times New Roman"/>
                <w:sz w:val="20"/>
                <w:szCs w:val="20"/>
              </w:rPr>
              <w:t>Marco Technologies, LLC</w:t>
            </w:r>
          </w:p>
        </w:tc>
      </w:tr>
      <w:tr w:rsidRPr="00782FA6" w:rsidR="00DB248A" w:rsidTr="00E52317" w14:paraId="32D0F614" w14:textId="77777777">
        <w:trPr>
          <w:trHeight w:val="300"/>
        </w:trPr>
        <w:tc>
          <w:tcPr>
            <w:tcW w:w="1170" w:type="dxa"/>
            <w:noWrap/>
            <w:vAlign w:val="center"/>
            <w:hideMark/>
          </w:tcPr>
          <w:p w:rsidRPr="00782FA6" w:rsidR="00DB248A" w:rsidP="00DB248A" w:rsidRDefault="00DB248A" w14:paraId="5E2DA3F5" w14:textId="77777777">
            <w:pPr>
              <w:spacing w:line="240" w:lineRule="auto"/>
              <w:ind w:firstLine="0"/>
              <w:jc w:val="center"/>
              <w:rPr>
                <w:rFonts w:eastAsia="Aptos" w:cs="Times New Roman"/>
                <w:sz w:val="20"/>
                <w:szCs w:val="20"/>
              </w:rPr>
            </w:pPr>
            <w:r w:rsidRPr="00782FA6">
              <w:rPr>
                <w:rFonts w:eastAsia="Aptos" w:cs="Times New Roman"/>
                <w:sz w:val="20"/>
                <w:szCs w:val="20"/>
              </w:rPr>
              <w:t>1755</w:t>
            </w:r>
          </w:p>
        </w:tc>
        <w:tc>
          <w:tcPr>
            <w:tcW w:w="1036" w:type="dxa"/>
            <w:noWrap/>
            <w:vAlign w:val="center"/>
            <w:hideMark/>
          </w:tcPr>
          <w:p w:rsidRPr="00782FA6" w:rsidR="00DB248A" w:rsidP="00DB248A" w:rsidRDefault="00DB248A" w14:paraId="17F7E82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3D12CFC" w14:textId="413E465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C916367" w14:textId="3E9135FE">
            <w:pPr>
              <w:spacing w:line="240" w:lineRule="auto"/>
              <w:ind w:firstLine="0"/>
              <w:rPr>
                <w:rFonts w:eastAsia="Aptos" w:cs="Times New Roman"/>
                <w:sz w:val="20"/>
                <w:szCs w:val="20"/>
              </w:rPr>
            </w:pPr>
            <w:proofErr w:type="spellStart"/>
            <w:r w:rsidRPr="00782FA6">
              <w:rPr>
                <w:rFonts w:eastAsia="Aptos" w:cs="Times New Roman"/>
                <w:sz w:val="20"/>
                <w:szCs w:val="20"/>
              </w:rPr>
              <w:t>LimeBox</w:t>
            </w:r>
            <w:proofErr w:type="spellEnd"/>
            <w:r w:rsidRPr="00782FA6">
              <w:rPr>
                <w:rFonts w:eastAsia="Aptos" w:cs="Times New Roman"/>
                <w:sz w:val="20"/>
                <w:szCs w:val="20"/>
              </w:rPr>
              <w:t xml:space="preserve"> Networks, LLC</w:t>
            </w:r>
          </w:p>
        </w:tc>
      </w:tr>
      <w:tr w:rsidRPr="00782FA6" w:rsidR="00DB248A" w:rsidTr="00E52317" w14:paraId="75626043" w14:textId="77777777">
        <w:trPr>
          <w:trHeight w:val="300"/>
        </w:trPr>
        <w:tc>
          <w:tcPr>
            <w:tcW w:w="1170" w:type="dxa"/>
            <w:noWrap/>
            <w:vAlign w:val="center"/>
            <w:hideMark/>
          </w:tcPr>
          <w:p w:rsidRPr="00782FA6" w:rsidR="00DB248A" w:rsidP="00DB248A" w:rsidRDefault="00DB248A" w14:paraId="157D3CA7" w14:textId="77777777">
            <w:pPr>
              <w:spacing w:line="240" w:lineRule="auto"/>
              <w:ind w:firstLine="0"/>
              <w:jc w:val="center"/>
              <w:rPr>
                <w:rFonts w:eastAsia="Aptos" w:cs="Times New Roman"/>
                <w:sz w:val="20"/>
                <w:szCs w:val="20"/>
              </w:rPr>
            </w:pPr>
            <w:r w:rsidRPr="00782FA6">
              <w:rPr>
                <w:rFonts w:eastAsia="Aptos" w:cs="Times New Roman"/>
                <w:sz w:val="20"/>
                <w:szCs w:val="20"/>
              </w:rPr>
              <w:t>1757</w:t>
            </w:r>
          </w:p>
        </w:tc>
        <w:tc>
          <w:tcPr>
            <w:tcW w:w="1036" w:type="dxa"/>
            <w:noWrap/>
            <w:vAlign w:val="center"/>
            <w:hideMark/>
          </w:tcPr>
          <w:p w:rsidRPr="00782FA6" w:rsidR="00DB248A" w:rsidP="00DB248A" w:rsidRDefault="00DB248A" w14:paraId="008C8EE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26726E9" w14:textId="62BA910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B535BFC" w14:textId="6AB7A5F9">
            <w:pPr>
              <w:spacing w:line="240" w:lineRule="auto"/>
              <w:ind w:firstLine="0"/>
              <w:rPr>
                <w:rFonts w:eastAsia="Aptos" w:cs="Times New Roman"/>
                <w:sz w:val="20"/>
                <w:szCs w:val="20"/>
              </w:rPr>
            </w:pPr>
            <w:r w:rsidRPr="00782FA6">
              <w:rPr>
                <w:rFonts w:eastAsia="Aptos" w:cs="Times New Roman"/>
                <w:sz w:val="20"/>
                <w:szCs w:val="20"/>
              </w:rPr>
              <w:t>Axia Technology Partners, LLC</w:t>
            </w:r>
          </w:p>
        </w:tc>
      </w:tr>
      <w:tr w:rsidRPr="00782FA6" w:rsidR="00DB248A" w:rsidTr="00E52317" w14:paraId="031C83E1" w14:textId="77777777">
        <w:trPr>
          <w:trHeight w:val="300"/>
        </w:trPr>
        <w:tc>
          <w:tcPr>
            <w:tcW w:w="1170" w:type="dxa"/>
            <w:noWrap/>
            <w:vAlign w:val="center"/>
            <w:hideMark/>
          </w:tcPr>
          <w:p w:rsidRPr="00782FA6" w:rsidR="00DB248A" w:rsidP="00DB248A" w:rsidRDefault="00DB248A" w14:paraId="5A13D377" w14:textId="77777777">
            <w:pPr>
              <w:spacing w:line="240" w:lineRule="auto"/>
              <w:ind w:firstLine="0"/>
              <w:jc w:val="center"/>
              <w:rPr>
                <w:rFonts w:eastAsia="Aptos" w:cs="Times New Roman"/>
                <w:sz w:val="20"/>
                <w:szCs w:val="20"/>
              </w:rPr>
            </w:pPr>
            <w:r w:rsidRPr="00782FA6">
              <w:rPr>
                <w:rFonts w:eastAsia="Aptos" w:cs="Times New Roman"/>
                <w:sz w:val="20"/>
                <w:szCs w:val="20"/>
              </w:rPr>
              <w:t>1759</w:t>
            </w:r>
          </w:p>
        </w:tc>
        <w:tc>
          <w:tcPr>
            <w:tcW w:w="1036" w:type="dxa"/>
            <w:noWrap/>
            <w:vAlign w:val="center"/>
            <w:hideMark/>
          </w:tcPr>
          <w:p w:rsidRPr="00782FA6" w:rsidR="00DB248A" w:rsidP="00DB248A" w:rsidRDefault="00DB248A" w14:paraId="45A4501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646349A" w14:textId="16BD082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BA0CC8E" w14:textId="6A4C903C">
            <w:pPr>
              <w:spacing w:line="240" w:lineRule="auto"/>
              <w:ind w:firstLine="0"/>
              <w:rPr>
                <w:rFonts w:eastAsia="Aptos" w:cs="Times New Roman"/>
                <w:sz w:val="20"/>
                <w:szCs w:val="20"/>
              </w:rPr>
            </w:pPr>
            <w:r w:rsidRPr="00782FA6">
              <w:rPr>
                <w:rFonts w:eastAsia="Aptos" w:cs="Times New Roman"/>
                <w:sz w:val="20"/>
                <w:szCs w:val="20"/>
              </w:rPr>
              <w:t>TCSI, Inc.</w:t>
            </w:r>
          </w:p>
        </w:tc>
      </w:tr>
      <w:tr w:rsidRPr="00782FA6" w:rsidR="00DB248A" w:rsidTr="00E52317" w14:paraId="17E60BFB" w14:textId="77777777">
        <w:trPr>
          <w:trHeight w:val="300"/>
        </w:trPr>
        <w:tc>
          <w:tcPr>
            <w:tcW w:w="1170" w:type="dxa"/>
            <w:noWrap/>
            <w:vAlign w:val="center"/>
            <w:hideMark/>
          </w:tcPr>
          <w:p w:rsidRPr="00782FA6" w:rsidR="00DB248A" w:rsidP="00DB248A" w:rsidRDefault="00DB248A" w14:paraId="77FBF326" w14:textId="77777777">
            <w:pPr>
              <w:spacing w:line="240" w:lineRule="auto"/>
              <w:ind w:firstLine="0"/>
              <w:jc w:val="center"/>
              <w:rPr>
                <w:rFonts w:eastAsia="Aptos" w:cs="Times New Roman"/>
                <w:sz w:val="20"/>
                <w:szCs w:val="20"/>
              </w:rPr>
            </w:pPr>
            <w:r w:rsidRPr="00782FA6">
              <w:rPr>
                <w:rFonts w:eastAsia="Aptos" w:cs="Times New Roman"/>
                <w:sz w:val="20"/>
                <w:szCs w:val="20"/>
              </w:rPr>
              <w:t>1760</w:t>
            </w:r>
          </w:p>
        </w:tc>
        <w:tc>
          <w:tcPr>
            <w:tcW w:w="1036" w:type="dxa"/>
            <w:noWrap/>
            <w:vAlign w:val="center"/>
            <w:hideMark/>
          </w:tcPr>
          <w:p w:rsidRPr="00782FA6" w:rsidR="00DB248A" w:rsidP="00DB248A" w:rsidRDefault="00DB248A" w14:paraId="17AC03A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55F91F0" w14:textId="22C63B1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D14D80A" w14:textId="1E5CB384">
            <w:pPr>
              <w:spacing w:line="240" w:lineRule="auto"/>
              <w:ind w:firstLine="0"/>
              <w:rPr>
                <w:rFonts w:eastAsia="Aptos" w:cs="Times New Roman"/>
                <w:sz w:val="20"/>
                <w:szCs w:val="20"/>
              </w:rPr>
            </w:pPr>
            <w:proofErr w:type="spellStart"/>
            <w:r w:rsidRPr="00782FA6">
              <w:rPr>
                <w:rFonts w:eastAsia="Aptos" w:cs="Times New Roman"/>
                <w:sz w:val="20"/>
                <w:szCs w:val="20"/>
              </w:rPr>
              <w:t>Datavocity</w:t>
            </w:r>
            <w:proofErr w:type="spellEnd"/>
            <w:r w:rsidRPr="00782FA6">
              <w:rPr>
                <w:rFonts w:eastAsia="Aptos" w:cs="Times New Roman"/>
                <w:sz w:val="20"/>
                <w:szCs w:val="20"/>
              </w:rPr>
              <w:t xml:space="preserve"> West, LLC</w:t>
            </w:r>
          </w:p>
        </w:tc>
      </w:tr>
      <w:tr w:rsidRPr="00782FA6" w:rsidR="00DB248A" w:rsidTr="00E52317" w14:paraId="5C6947A0" w14:textId="77777777">
        <w:trPr>
          <w:trHeight w:val="300"/>
        </w:trPr>
        <w:tc>
          <w:tcPr>
            <w:tcW w:w="1170" w:type="dxa"/>
            <w:noWrap/>
            <w:vAlign w:val="center"/>
            <w:hideMark/>
          </w:tcPr>
          <w:p w:rsidRPr="00782FA6" w:rsidR="00DB248A" w:rsidP="00DB248A" w:rsidRDefault="00DB248A" w14:paraId="6F6656DA" w14:textId="77777777">
            <w:pPr>
              <w:spacing w:line="240" w:lineRule="auto"/>
              <w:ind w:firstLine="0"/>
              <w:jc w:val="center"/>
              <w:rPr>
                <w:rFonts w:eastAsia="Aptos" w:cs="Times New Roman"/>
                <w:sz w:val="20"/>
                <w:szCs w:val="20"/>
              </w:rPr>
            </w:pPr>
            <w:r w:rsidRPr="00782FA6">
              <w:rPr>
                <w:rFonts w:eastAsia="Aptos" w:cs="Times New Roman"/>
                <w:sz w:val="20"/>
                <w:szCs w:val="20"/>
              </w:rPr>
              <w:t>1761</w:t>
            </w:r>
          </w:p>
        </w:tc>
        <w:tc>
          <w:tcPr>
            <w:tcW w:w="1036" w:type="dxa"/>
            <w:noWrap/>
            <w:vAlign w:val="center"/>
            <w:hideMark/>
          </w:tcPr>
          <w:p w:rsidRPr="00782FA6" w:rsidR="00DB248A" w:rsidP="00DB248A" w:rsidRDefault="00DB248A" w14:paraId="441ECBA7"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21ECA9D" w14:textId="1630D56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C779337" w14:textId="1E6E8CDD">
            <w:pPr>
              <w:spacing w:line="240" w:lineRule="auto"/>
              <w:ind w:firstLine="0"/>
              <w:rPr>
                <w:rFonts w:eastAsia="Aptos" w:cs="Times New Roman"/>
                <w:sz w:val="20"/>
                <w:szCs w:val="20"/>
              </w:rPr>
            </w:pPr>
            <w:proofErr w:type="spellStart"/>
            <w:r w:rsidRPr="00782FA6">
              <w:rPr>
                <w:rFonts w:eastAsia="Aptos" w:cs="Times New Roman"/>
                <w:sz w:val="20"/>
                <w:szCs w:val="20"/>
              </w:rPr>
              <w:t>Avatel</w:t>
            </w:r>
            <w:proofErr w:type="spellEnd"/>
            <w:r w:rsidRPr="00782FA6">
              <w:rPr>
                <w:rFonts w:eastAsia="Aptos" w:cs="Times New Roman"/>
                <w:sz w:val="20"/>
                <w:szCs w:val="20"/>
              </w:rPr>
              <w:t xml:space="preserve"> Technologies, Inc.</w:t>
            </w:r>
          </w:p>
        </w:tc>
      </w:tr>
      <w:tr w:rsidRPr="00782FA6" w:rsidR="00DB248A" w:rsidTr="00E52317" w14:paraId="36A2C308" w14:textId="77777777">
        <w:trPr>
          <w:trHeight w:val="300"/>
        </w:trPr>
        <w:tc>
          <w:tcPr>
            <w:tcW w:w="1170" w:type="dxa"/>
            <w:noWrap/>
            <w:vAlign w:val="center"/>
            <w:hideMark/>
          </w:tcPr>
          <w:p w:rsidRPr="00782FA6" w:rsidR="00DB248A" w:rsidP="00DB248A" w:rsidRDefault="00DB248A" w14:paraId="4DEDB119" w14:textId="77777777">
            <w:pPr>
              <w:spacing w:line="240" w:lineRule="auto"/>
              <w:ind w:firstLine="0"/>
              <w:jc w:val="center"/>
              <w:rPr>
                <w:rFonts w:eastAsia="Aptos" w:cs="Times New Roman"/>
                <w:sz w:val="20"/>
                <w:szCs w:val="20"/>
              </w:rPr>
            </w:pPr>
            <w:r w:rsidRPr="00782FA6">
              <w:rPr>
                <w:rFonts w:eastAsia="Aptos" w:cs="Times New Roman"/>
                <w:sz w:val="20"/>
                <w:szCs w:val="20"/>
              </w:rPr>
              <w:t>1762</w:t>
            </w:r>
          </w:p>
        </w:tc>
        <w:tc>
          <w:tcPr>
            <w:tcW w:w="1036" w:type="dxa"/>
            <w:noWrap/>
            <w:vAlign w:val="center"/>
            <w:hideMark/>
          </w:tcPr>
          <w:p w:rsidRPr="00782FA6" w:rsidR="00DB248A" w:rsidP="00DB248A" w:rsidRDefault="00DB248A" w14:paraId="32AFDC1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19631E4" w14:textId="24515D3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F9BD15A" w14:textId="424F91B9">
            <w:pPr>
              <w:spacing w:line="240" w:lineRule="auto"/>
              <w:ind w:firstLine="0"/>
              <w:rPr>
                <w:rFonts w:eastAsia="Aptos" w:cs="Times New Roman"/>
                <w:sz w:val="20"/>
                <w:szCs w:val="20"/>
              </w:rPr>
            </w:pPr>
            <w:r w:rsidRPr="00782FA6">
              <w:rPr>
                <w:rFonts w:eastAsia="Aptos" w:cs="Times New Roman"/>
                <w:sz w:val="20"/>
                <w:szCs w:val="20"/>
              </w:rPr>
              <w:t>Razz Professional Services, Inc.</w:t>
            </w:r>
          </w:p>
        </w:tc>
      </w:tr>
      <w:tr w:rsidRPr="00782FA6" w:rsidR="00DB248A" w:rsidTr="00E52317" w14:paraId="46E110D4" w14:textId="77777777">
        <w:trPr>
          <w:trHeight w:val="300"/>
        </w:trPr>
        <w:tc>
          <w:tcPr>
            <w:tcW w:w="1170" w:type="dxa"/>
            <w:noWrap/>
            <w:vAlign w:val="center"/>
            <w:hideMark/>
          </w:tcPr>
          <w:p w:rsidRPr="00782FA6" w:rsidR="00DB248A" w:rsidP="00DB248A" w:rsidRDefault="00DB248A" w14:paraId="1D20E3BF" w14:textId="77777777">
            <w:pPr>
              <w:spacing w:line="240" w:lineRule="auto"/>
              <w:ind w:firstLine="0"/>
              <w:jc w:val="center"/>
              <w:rPr>
                <w:rFonts w:eastAsia="Aptos" w:cs="Times New Roman"/>
                <w:sz w:val="20"/>
                <w:szCs w:val="20"/>
              </w:rPr>
            </w:pPr>
            <w:r w:rsidRPr="00782FA6">
              <w:rPr>
                <w:rFonts w:eastAsia="Aptos" w:cs="Times New Roman"/>
                <w:sz w:val="20"/>
                <w:szCs w:val="20"/>
              </w:rPr>
              <w:t>1763</w:t>
            </w:r>
          </w:p>
        </w:tc>
        <w:tc>
          <w:tcPr>
            <w:tcW w:w="1036" w:type="dxa"/>
            <w:noWrap/>
            <w:vAlign w:val="center"/>
            <w:hideMark/>
          </w:tcPr>
          <w:p w:rsidRPr="00782FA6" w:rsidR="00DB248A" w:rsidP="00DB248A" w:rsidRDefault="00DB248A" w14:paraId="11CDE81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D0D84F7" w14:textId="76F959B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34C60D7" w14:textId="7A049678">
            <w:pPr>
              <w:spacing w:line="240" w:lineRule="auto"/>
              <w:ind w:firstLine="0"/>
              <w:rPr>
                <w:rFonts w:eastAsia="Aptos" w:cs="Times New Roman"/>
                <w:sz w:val="20"/>
                <w:szCs w:val="20"/>
              </w:rPr>
            </w:pPr>
            <w:r w:rsidRPr="00782FA6">
              <w:rPr>
                <w:rFonts w:eastAsia="Aptos" w:cs="Times New Roman"/>
                <w:sz w:val="20"/>
                <w:szCs w:val="20"/>
              </w:rPr>
              <w:t>Advanced Hosted Services, Inc.</w:t>
            </w:r>
          </w:p>
        </w:tc>
      </w:tr>
      <w:tr w:rsidRPr="00782FA6" w:rsidR="00DB248A" w:rsidTr="00E52317" w14:paraId="0CB4FAF6" w14:textId="77777777">
        <w:trPr>
          <w:trHeight w:val="300"/>
        </w:trPr>
        <w:tc>
          <w:tcPr>
            <w:tcW w:w="1170" w:type="dxa"/>
            <w:noWrap/>
            <w:vAlign w:val="center"/>
            <w:hideMark/>
          </w:tcPr>
          <w:p w:rsidRPr="00782FA6" w:rsidR="00DB248A" w:rsidP="00DB248A" w:rsidRDefault="00DB248A" w14:paraId="434F75E6" w14:textId="77777777">
            <w:pPr>
              <w:spacing w:line="240" w:lineRule="auto"/>
              <w:ind w:firstLine="0"/>
              <w:jc w:val="center"/>
              <w:rPr>
                <w:rFonts w:eastAsia="Aptos" w:cs="Times New Roman"/>
                <w:sz w:val="20"/>
                <w:szCs w:val="20"/>
              </w:rPr>
            </w:pPr>
            <w:r w:rsidRPr="00782FA6">
              <w:rPr>
                <w:rFonts w:eastAsia="Aptos" w:cs="Times New Roman"/>
                <w:sz w:val="20"/>
                <w:szCs w:val="20"/>
              </w:rPr>
              <w:t>1765</w:t>
            </w:r>
          </w:p>
        </w:tc>
        <w:tc>
          <w:tcPr>
            <w:tcW w:w="1036" w:type="dxa"/>
            <w:noWrap/>
            <w:vAlign w:val="center"/>
            <w:hideMark/>
          </w:tcPr>
          <w:p w:rsidRPr="00782FA6" w:rsidR="00DB248A" w:rsidP="00DB248A" w:rsidRDefault="00DB248A" w14:paraId="5A6ACD1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43F17D7" w14:textId="7273D7D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E4A278B" w14:textId="2AB2B10D">
            <w:pPr>
              <w:spacing w:line="240" w:lineRule="auto"/>
              <w:ind w:firstLine="0"/>
              <w:rPr>
                <w:rFonts w:eastAsia="Aptos" w:cs="Times New Roman"/>
                <w:sz w:val="20"/>
                <w:szCs w:val="20"/>
              </w:rPr>
            </w:pPr>
            <w:r w:rsidRPr="00782FA6">
              <w:rPr>
                <w:rFonts w:eastAsia="Aptos" w:cs="Times New Roman"/>
                <w:sz w:val="20"/>
                <w:szCs w:val="20"/>
              </w:rPr>
              <w:t>Teo Communications, Inc.</w:t>
            </w:r>
          </w:p>
        </w:tc>
      </w:tr>
      <w:tr w:rsidRPr="00782FA6" w:rsidR="00DB248A" w:rsidTr="00E52317" w14:paraId="062A2FB9" w14:textId="77777777">
        <w:trPr>
          <w:trHeight w:val="300"/>
        </w:trPr>
        <w:tc>
          <w:tcPr>
            <w:tcW w:w="1170" w:type="dxa"/>
            <w:noWrap/>
            <w:vAlign w:val="center"/>
            <w:hideMark/>
          </w:tcPr>
          <w:p w:rsidRPr="00782FA6" w:rsidR="00DB248A" w:rsidP="00DB248A" w:rsidRDefault="00DB248A" w14:paraId="160C5A27" w14:textId="77777777">
            <w:pPr>
              <w:spacing w:line="240" w:lineRule="auto"/>
              <w:ind w:firstLine="0"/>
              <w:jc w:val="center"/>
              <w:rPr>
                <w:rFonts w:eastAsia="Aptos" w:cs="Times New Roman"/>
                <w:sz w:val="20"/>
                <w:szCs w:val="20"/>
              </w:rPr>
            </w:pPr>
            <w:r w:rsidRPr="00782FA6">
              <w:rPr>
                <w:rFonts w:eastAsia="Aptos" w:cs="Times New Roman"/>
                <w:sz w:val="20"/>
                <w:szCs w:val="20"/>
              </w:rPr>
              <w:lastRenderedPageBreak/>
              <w:t>1766</w:t>
            </w:r>
          </w:p>
        </w:tc>
        <w:tc>
          <w:tcPr>
            <w:tcW w:w="1036" w:type="dxa"/>
            <w:noWrap/>
            <w:vAlign w:val="center"/>
            <w:hideMark/>
          </w:tcPr>
          <w:p w:rsidRPr="00782FA6" w:rsidR="00DB248A" w:rsidP="00DB248A" w:rsidRDefault="00DB248A" w14:paraId="72EB592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B5B6B73" w14:textId="024D2CE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9C7A526" w14:textId="23825DF6">
            <w:pPr>
              <w:spacing w:line="240" w:lineRule="auto"/>
              <w:ind w:firstLine="0"/>
              <w:rPr>
                <w:rFonts w:eastAsia="Aptos" w:cs="Times New Roman"/>
                <w:sz w:val="20"/>
                <w:szCs w:val="20"/>
              </w:rPr>
            </w:pPr>
            <w:r w:rsidRPr="00782FA6">
              <w:rPr>
                <w:rFonts w:eastAsia="Aptos" w:cs="Times New Roman"/>
                <w:sz w:val="20"/>
                <w:szCs w:val="20"/>
              </w:rPr>
              <w:t>GoCo Technology (U.S.) Inc.</w:t>
            </w:r>
          </w:p>
        </w:tc>
      </w:tr>
      <w:tr w:rsidRPr="00782FA6" w:rsidR="00DB248A" w:rsidTr="00E52317" w14:paraId="2606FBDF" w14:textId="77777777">
        <w:trPr>
          <w:trHeight w:val="300"/>
        </w:trPr>
        <w:tc>
          <w:tcPr>
            <w:tcW w:w="1170" w:type="dxa"/>
            <w:noWrap/>
            <w:vAlign w:val="center"/>
            <w:hideMark/>
          </w:tcPr>
          <w:p w:rsidRPr="00782FA6" w:rsidR="00DB248A" w:rsidP="00DB248A" w:rsidRDefault="00DB248A" w14:paraId="1B756DA1" w14:textId="77777777">
            <w:pPr>
              <w:spacing w:line="240" w:lineRule="auto"/>
              <w:ind w:firstLine="0"/>
              <w:jc w:val="center"/>
              <w:rPr>
                <w:rFonts w:eastAsia="Aptos" w:cs="Times New Roman"/>
                <w:sz w:val="20"/>
                <w:szCs w:val="20"/>
              </w:rPr>
            </w:pPr>
            <w:r w:rsidRPr="00782FA6">
              <w:rPr>
                <w:rFonts w:eastAsia="Aptos" w:cs="Times New Roman"/>
                <w:sz w:val="20"/>
                <w:szCs w:val="20"/>
              </w:rPr>
              <w:t>1768</w:t>
            </w:r>
          </w:p>
        </w:tc>
        <w:tc>
          <w:tcPr>
            <w:tcW w:w="1036" w:type="dxa"/>
            <w:noWrap/>
            <w:vAlign w:val="center"/>
            <w:hideMark/>
          </w:tcPr>
          <w:p w:rsidRPr="00782FA6" w:rsidR="00DB248A" w:rsidP="00DB248A" w:rsidRDefault="00DB248A" w14:paraId="02FB6D6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CADC3C5" w14:textId="3A4FC05A">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2A150A1" w14:textId="5D3606BF">
            <w:pPr>
              <w:spacing w:line="240" w:lineRule="auto"/>
              <w:ind w:firstLine="0"/>
              <w:rPr>
                <w:rFonts w:eastAsia="Aptos" w:cs="Times New Roman"/>
                <w:sz w:val="20"/>
                <w:szCs w:val="20"/>
              </w:rPr>
            </w:pPr>
            <w:r w:rsidRPr="00782FA6">
              <w:rPr>
                <w:rFonts w:eastAsia="Aptos" w:cs="Times New Roman"/>
                <w:sz w:val="20"/>
                <w:szCs w:val="20"/>
              </w:rPr>
              <w:t>DTS Technology Group</w:t>
            </w:r>
          </w:p>
        </w:tc>
      </w:tr>
      <w:tr w:rsidRPr="00782FA6" w:rsidR="00DB248A" w:rsidTr="00E52317" w14:paraId="754CBE5D" w14:textId="77777777">
        <w:trPr>
          <w:trHeight w:val="300"/>
        </w:trPr>
        <w:tc>
          <w:tcPr>
            <w:tcW w:w="1170" w:type="dxa"/>
            <w:noWrap/>
            <w:vAlign w:val="center"/>
            <w:hideMark/>
          </w:tcPr>
          <w:p w:rsidRPr="00782FA6" w:rsidR="00DB248A" w:rsidP="00DB248A" w:rsidRDefault="00DB248A" w14:paraId="74F96C6E" w14:textId="77777777">
            <w:pPr>
              <w:spacing w:line="240" w:lineRule="auto"/>
              <w:ind w:firstLine="0"/>
              <w:jc w:val="center"/>
              <w:rPr>
                <w:rFonts w:eastAsia="Aptos" w:cs="Times New Roman"/>
                <w:sz w:val="20"/>
                <w:szCs w:val="20"/>
              </w:rPr>
            </w:pPr>
            <w:r w:rsidRPr="00782FA6">
              <w:rPr>
                <w:rFonts w:eastAsia="Aptos" w:cs="Times New Roman"/>
                <w:sz w:val="20"/>
                <w:szCs w:val="20"/>
              </w:rPr>
              <w:t>1769</w:t>
            </w:r>
          </w:p>
        </w:tc>
        <w:tc>
          <w:tcPr>
            <w:tcW w:w="1036" w:type="dxa"/>
            <w:noWrap/>
            <w:vAlign w:val="center"/>
            <w:hideMark/>
          </w:tcPr>
          <w:p w:rsidRPr="00782FA6" w:rsidR="00DB248A" w:rsidP="00DB248A" w:rsidRDefault="00DB248A" w14:paraId="1FC1B0A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3B443D4" w14:textId="45B1D8F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4A381EF" w14:textId="313C5C78">
            <w:pPr>
              <w:spacing w:line="240" w:lineRule="auto"/>
              <w:ind w:firstLine="0"/>
              <w:rPr>
                <w:rFonts w:eastAsia="Aptos" w:cs="Times New Roman"/>
                <w:sz w:val="20"/>
                <w:szCs w:val="20"/>
              </w:rPr>
            </w:pPr>
            <w:proofErr w:type="spellStart"/>
            <w:r w:rsidRPr="00782FA6">
              <w:rPr>
                <w:rFonts w:eastAsia="Aptos" w:cs="Times New Roman"/>
                <w:sz w:val="20"/>
                <w:szCs w:val="20"/>
              </w:rPr>
              <w:t>Voxology</w:t>
            </w:r>
            <w:proofErr w:type="spellEnd"/>
            <w:r w:rsidRPr="00782FA6">
              <w:rPr>
                <w:rFonts w:eastAsia="Aptos" w:cs="Times New Roman"/>
                <w:sz w:val="20"/>
                <w:szCs w:val="20"/>
              </w:rPr>
              <w:t xml:space="preserve"> Integrations, Inc.</w:t>
            </w:r>
          </w:p>
        </w:tc>
      </w:tr>
      <w:tr w:rsidRPr="00782FA6" w:rsidR="00DB248A" w:rsidTr="00E52317" w14:paraId="4F464DDC" w14:textId="77777777">
        <w:trPr>
          <w:trHeight w:val="300"/>
        </w:trPr>
        <w:tc>
          <w:tcPr>
            <w:tcW w:w="1170" w:type="dxa"/>
            <w:noWrap/>
            <w:vAlign w:val="center"/>
            <w:hideMark/>
          </w:tcPr>
          <w:p w:rsidRPr="00782FA6" w:rsidR="00DB248A" w:rsidP="00DB248A" w:rsidRDefault="00DB248A" w14:paraId="1C2FE07C" w14:textId="77777777">
            <w:pPr>
              <w:spacing w:line="240" w:lineRule="auto"/>
              <w:ind w:firstLine="0"/>
              <w:jc w:val="center"/>
              <w:rPr>
                <w:rFonts w:eastAsia="Aptos" w:cs="Times New Roman"/>
                <w:sz w:val="20"/>
                <w:szCs w:val="20"/>
              </w:rPr>
            </w:pPr>
            <w:r w:rsidRPr="00782FA6">
              <w:rPr>
                <w:rFonts w:eastAsia="Aptos" w:cs="Times New Roman"/>
                <w:sz w:val="20"/>
                <w:szCs w:val="20"/>
              </w:rPr>
              <w:t>1770</w:t>
            </w:r>
          </w:p>
        </w:tc>
        <w:tc>
          <w:tcPr>
            <w:tcW w:w="1036" w:type="dxa"/>
            <w:noWrap/>
            <w:vAlign w:val="center"/>
            <w:hideMark/>
          </w:tcPr>
          <w:p w:rsidRPr="00782FA6" w:rsidR="00DB248A" w:rsidP="00DB248A" w:rsidRDefault="00DB248A" w14:paraId="73C3C1B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8491CAE" w14:textId="39FEF1D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7EAC2E6" w14:textId="659B0CDB">
            <w:pPr>
              <w:spacing w:line="240" w:lineRule="auto"/>
              <w:ind w:firstLine="0"/>
              <w:rPr>
                <w:rFonts w:eastAsia="Aptos" w:cs="Times New Roman"/>
                <w:sz w:val="20"/>
                <w:szCs w:val="20"/>
              </w:rPr>
            </w:pPr>
            <w:proofErr w:type="spellStart"/>
            <w:r w:rsidRPr="00782FA6">
              <w:rPr>
                <w:rFonts w:eastAsia="Aptos" w:cs="Times New Roman"/>
                <w:sz w:val="20"/>
                <w:szCs w:val="20"/>
              </w:rPr>
              <w:t>Voxology</w:t>
            </w:r>
            <w:proofErr w:type="spellEnd"/>
            <w:r w:rsidRPr="00782FA6">
              <w:rPr>
                <w:rFonts w:eastAsia="Aptos" w:cs="Times New Roman"/>
                <w:sz w:val="20"/>
                <w:szCs w:val="20"/>
              </w:rPr>
              <w:t xml:space="preserve"> Carrier Services, Inc.</w:t>
            </w:r>
          </w:p>
        </w:tc>
      </w:tr>
      <w:tr w:rsidRPr="00782FA6" w:rsidR="00DB248A" w:rsidTr="00E52317" w14:paraId="56F53C1A" w14:textId="77777777">
        <w:trPr>
          <w:trHeight w:val="300"/>
        </w:trPr>
        <w:tc>
          <w:tcPr>
            <w:tcW w:w="1170" w:type="dxa"/>
            <w:noWrap/>
            <w:vAlign w:val="center"/>
            <w:hideMark/>
          </w:tcPr>
          <w:p w:rsidRPr="00782FA6" w:rsidR="00DB248A" w:rsidP="00DB248A" w:rsidRDefault="00DB248A" w14:paraId="5725D21A" w14:textId="77777777">
            <w:pPr>
              <w:spacing w:line="240" w:lineRule="auto"/>
              <w:ind w:firstLine="0"/>
              <w:jc w:val="center"/>
              <w:rPr>
                <w:rFonts w:eastAsia="Aptos" w:cs="Times New Roman"/>
                <w:sz w:val="20"/>
                <w:szCs w:val="20"/>
              </w:rPr>
            </w:pPr>
            <w:r w:rsidRPr="00782FA6">
              <w:rPr>
                <w:rFonts w:eastAsia="Aptos" w:cs="Times New Roman"/>
                <w:sz w:val="20"/>
                <w:szCs w:val="20"/>
              </w:rPr>
              <w:t>1771</w:t>
            </w:r>
          </w:p>
        </w:tc>
        <w:tc>
          <w:tcPr>
            <w:tcW w:w="1036" w:type="dxa"/>
            <w:noWrap/>
            <w:vAlign w:val="center"/>
            <w:hideMark/>
          </w:tcPr>
          <w:p w:rsidRPr="00782FA6" w:rsidR="00DB248A" w:rsidP="00DB248A" w:rsidRDefault="00DB248A" w14:paraId="60FA1FD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AD922E9" w14:textId="3F674AF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6A44043" w14:textId="77DE00FF">
            <w:pPr>
              <w:spacing w:line="240" w:lineRule="auto"/>
              <w:ind w:firstLine="0"/>
              <w:rPr>
                <w:rFonts w:eastAsia="Aptos" w:cs="Times New Roman"/>
                <w:sz w:val="20"/>
                <w:szCs w:val="20"/>
              </w:rPr>
            </w:pPr>
            <w:r w:rsidRPr="00782FA6">
              <w:rPr>
                <w:rFonts w:eastAsia="Aptos" w:cs="Times New Roman"/>
                <w:sz w:val="20"/>
                <w:szCs w:val="20"/>
              </w:rPr>
              <w:t>Carousel Industries of North America, Inc.</w:t>
            </w:r>
          </w:p>
        </w:tc>
      </w:tr>
      <w:tr w:rsidRPr="00782FA6" w:rsidR="00DB248A" w:rsidTr="00E52317" w14:paraId="59D86579" w14:textId="77777777">
        <w:trPr>
          <w:trHeight w:val="300"/>
        </w:trPr>
        <w:tc>
          <w:tcPr>
            <w:tcW w:w="1170" w:type="dxa"/>
            <w:noWrap/>
            <w:vAlign w:val="center"/>
            <w:hideMark/>
          </w:tcPr>
          <w:p w:rsidRPr="00782FA6" w:rsidR="00DB248A" w:rsidP="00DB248A" w:rsidRDefault="00DB248A" w14:paraId="190FA836" w14:textId="77777777">
            <w:pPr>
              <w:spacing w:line="240" w:lineRule="auto"/>
              <w:ind w:firstLine="0"/>
              <w:jc w:val="center"/>
              <w:rPr>
                <w:rFonts w:eastAsia="Aptos" w:cs="Times New Roman"/>
                <w:sz w:val="20"/>
                <w:szCs w:val="20"/>
              </w:rPr>
            </w:pPr>
            <w:r w:rsidRPr="00782FA6">
              <w:rPr>
                <w:rFonts w:eastAsia="Aptos" w:cs="Times New Roman"/>
                <w:sz w:val="20"/>
                <w:szCs w:val="20"/>
              </w:rPr>
              <w:t>1772</w:t>
            </w:r>
          </w:p>
        </w:tc>
        <w:tc>
          <w:tcPr>
            <w:tcW w:w="1036" w:type="dxa"/>
            <w:noWrap/>
            <w:vAlign w:val="center"/>
            <w:hideMark/>
          </w:tcPr>
          <w:p w:rsidRPr="00782FA6" w:rsidR="00DB248A" w:rsidP="00DB248A" w:rsidRDefault="00DB248A" w14:paraId="08B4CF4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01F2FA3" w14:textId="1AB9329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B8077FD" w14:textId="171D0A41">
            <w:pPr>
              <w:spacing w:line="240" w:lineRule="auto"/>
              <w:ind w:firstLine="0"/>
              <w:rPr>
                <w:rFonts w:eastAsia="Aptos" w:cs="Times New Roman"/>
                <w:sz w:val="20"/>
                <w:szCs w:val="20"/>
              </w:rPr>
            </w:pPr>
            <w:r w:rsidRPr="00782FA6">
              <w:rPr>
                <w:rFonts w:eastAsia="Aptos" w:cs="Times New Roman"/>
                <w:sz w:val="20"/>
                <w:szCs w:val="20"/>
              </w:rPr>
              <w:t>Dove Communications Inc.</w:t>
            </w:r>
          </w:p>
        </w:tc>
      </w:tr>
      <w:tr w:rsidRPr="00782FA6" w:rsidR="00DB248A" w:rsidTr="00E52317" w14:paraId="4232EC5E" w14:textId="77777777">
        <w:trPr>
          <w:trHeight w:val="300"/>
        </w:trPr>
        <w:tc>
          <w:tcPr>
            <w:tcW w:w="1170" w:type="dxa"/>
            <w:noWrap/>
            <w:vAlign w:val="center"/>
            <w:hideMark/>
          </w:tcPr>
          <w:p w:rsidRPr="00782FA6" w:rsidR="00DB248A" w:rsidP="00DB248A" w:rsidRDefault="00DB248A" w14:paraId="5DB9ADFE" w14:textId="77777777">
            <w:pPr>
              <w:spacing w:line="240" w:lineRule="auto"/>
              <w:ind w:firstLine="0"/>
              <w:jc w:val="center"/>
              <w:rPr>
                <w:rFonts w:eastAsia="Aptos" w:cs="Times New Roman"/>
                <w:sz w:val="20"/>
                <w:szCs w:val="20"/>
              </w:rPr>
            </w:pPr>
            <w:r w:rsidRPr="00782FA6">
              <w:rPr>
                <w:rFonts w:eastAsia="Aptos" w:cs="Times New Roman"/>
                <w:sz w:val="20"/>
                <w:szCs w:val="20"/>
              </w:rPr>
              <w:t>1773</w:t>
            </w:r>
          </w:p>
        </w:tc>
        <w:tc>
          <w:tcPr>
            <w:tcW w:w="1036" w:type="dxa"/>
            <w:noWrap/>
            <w:vAlign w:val="center"/>
            <w:hideMark/>
          </w:tcPr>
          <w:p w:rsidRPr="00782FA6" w:rsidR="00DB248A" w:rsidP="00DB248A" w:rsidRDefault="00DB248A" w14:paraId="3754DDB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F471D46" w14:textId="1CA717DE">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DCA734C" w14:textId="577359C1">
            <w:pPr>
              <w:spacing w:line="240" w:lineRule="auto"/>
              <w:ind w:firstLine="0"/>
              <w:rPr>
                <w:rFonts w:eastAsia="Aptos" w:cs="Times New Roman"/>
                <w:sz w:val="20"/>
                <w:szCs w:val="20"/>
              </w:rPr>
            </w:pPr>
            <w:r w:rsidRPr="00782FA6">
              <w:rPr>
                <w:rFonts w:eastAsia="Aptos" w:cs="Times New Roman"/>
                <w:sz w:val="20"/>
                <w:szCs w:val="20"/>
              </w:rPr>
              <w:t>Turnkey Progressive Technology, Inc.</w:t>
            </w:r>
          </w:p>
        </w:tc>
      </w:tr>
      <w:tr w:rsidRPr="00782FA6" w:rsidR="00DB248A" w:rsidTr="00E52317" w14:paraId="740845E9" w14:textId="77777777">
        <w:trPr>
          <w:trHeight w:val="300"/>
        </w:trPr>
        <w:tc>
          <w:tcPr>
            <w:tcW w:w="1170" w:type="dxa"/>
            <w:noWrap/>
            <w:vAlign w:val="center"/>
            <w:hideMark/>
          </w:tcPr>
          <w:p w:rsidRPr="00782FA6" w:rsidR="00DB248A" w:rsidP="00DB248A" w:rsidRDefault="00DB248A" w14:paraId="36A2AAA4" w14:textId="77777777">
            <w:pPr>
              <w:spacing w:line="240" w:lineRule="auto"/>
              <w:ind w:firstLine="0"/>
              <w:jc w:val="center"/>
              <w:rPr>
                <w:rFonts w:eastAsia="Aptos" w:cs="Times New Roman"/>
                <w:sz w:val="20"/>
                <w:szCs w:val="20"/>
              </w:rPr>
            </w:pPr>
            <w:r w:rsidRPr="00782FA6">
              <w:rPr>
                <w:rFonts w:eastAsia="Aptos" w:cs="Times New Roman"/>
                <w:sz w:val="20"/>
                <w:szCs w:val="20"/>
              </w:rPr>
              <w:t>1774</w:t>
            </w:r>
          </w:p>
        </w:tc>
        <w:tc>
          <w:tcPr>
            <w:tcW w:w="1036" w:type="dxa"/>
            <w:noWrap/>
            <w:vAlign w:val="center"/>
            <w:hideMark/>
          </w:tcPr>
          <w:p w:rsidRPr="00782FA6" w:rsidR="00DB248A" w:rsidP="00DB248A" w:rsidRDefault="00DB248A" w14:paraId="19791CE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E21AD22" w14:textId="54DFE05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656ED7C" w14:textId="663AF04D">
            <w:pPr>
              <w:spacing w:line="240" w:lineRule="auto"/>
              <w:ind w:firstLine="0"/>
              <w:rPr>
                <w:rFonts w:eastAsia="Aptos" w:cs="Times New Roman"/>
                <w:sz w:val="20"/>
                <w:szCs w:val="20"/>
              </w:rPr>
            </w:pPr>
            <w:proofErr w:type="spellStart"/>
            <w:r w:rsidRPr="00782FA6">
              <w:rPr>
                <w:rFonts w:eastAsia="Aptos" w:cs="Times New Roman"/>
                <w:sz w:val="20"/>
                <w:szCs w:val="20"/>
              </w:rPr>
              <w:t>SmartTel</w:t>
            </w:r>
            <w:proofErr w:type="spellEnd"/>
            <w:r w:rsidRPr="00782FA6">
              <w:rPr>
                <w:rFonts w:eastAsia="Aptos" w:cs="Times New Roman"/>
                <w:sz w:val="20"/>
                <w:szCs w:val="20"/>
              </w:rPr>
              <w:t xml:space="preserve"> Inc.</w:t>
            </w:r>
          </w:p>
        </w:tc>
      </w:tr>
      <w:tr w:rsidRPr="00782FA6" w:rsidR="00DB248A" w:rsidTr="00E52317" w14:paraId="334495C7" w14:textId="77777777">
        <w:trPr>
          <w:trHeight w:val="300"/>
        </w:trPr>
        <w:tc>
          <w:tcPr>
            <w:tcW w:w="1170" w:type="dxa"/>
            <w:noWrap/>
            <w:vAlign w:val="center"/>
            <w:hideMark/>
          </w:tcPr>
          <w:p w:rsidRPr="00782FA6" w:rsidR="00DB248A" w:rsidP="00DB248A" w:rsidRDefault="00DB248A" w14:paraId="7C6EE12B" w14:textId="77777777">
            <w:pPr>
              <w:spacing w:line="240" w:lineRule="auto"/>
              <w:ind w:firstLine="0"/>
              <w:jc w:val="center"/>
              <w:rPr>
                <w:rFonts w:eastAsia="Aptos" w:cs="Times New Roman"/>
                <w:sz w:val="20"/>
                <w:szCs w:val="20"/>
              </w:rPr>
            </w:pPr>
            <w:r w:rsidRPr="00782FA6">
              <w:rPr>
                <w:rFonts w:eastAsia="Aptos" w:cs="Times New Roman"/>
                <w:sz w:val="20"/>
                <w:szCs w:val="20"/>
              </w:rPr>
              <w:t>1775</w:t>
            </w:r>
          </w:p>
        </w:tc>
        <w:tc>
          <w:tcPr>
            <w:tcW w:w="1036" w:type="dxa"/>
            <w:noWrap/>
            <w:vAlign w:val="center"/>
            <w:hideMark/>
          </w:tcPr>
          <w:p w:rsidRPr="00782FA6" w:rsidR="00DB248A" w:rsidP="00DB248A" w:rsidRDefault="00DB248A" w14:paraId="44C1339E"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979FA3C" w14:textId="5DD5F39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2E61E1F" w14:textId="6CFBF885">
            <w:pPr>
              <w:spacing w:line="240" w:lineRule="auto"/>
              <w:ind w:firstLine="0"/>
              <w:rPr>
                <w:rFonts w:eastAsia="Aptos" w:cs="Times New Roman"/>
                <w:sz w:val="20"/>
                <w:szCs w:val="20"/>
              </w:rPr>
            </w:pPr>
            <w:r w:rsidRPr="00782FA6">
              <w:rPr>
                <w:rFonts w:eastAsia="Aptos" w:cs="Times New Roman"/>
                <w:sz w:val="20"/>
                <w:szCs w:val="20"/>
              </w:rPr>
              <w:t>Peace Communications LLC</w:t>
            </w:r>
          </w:p>
        </w:tc>
      </w:tr>
      <w:tr w:rsidRPr="00782FA6" w:rsidR="00DB248A" w:rsidTr="00E52317" w14:paraId="024BD541" w14:textId="77777777">
        <w:trPr>
          <w:trHeight w:val="300"/>
        </w:trPr>
        <w:tc>
          <w:tcPr>
            <w:tcW w:w="1170" w:type="dxa"/>
            <w:noWrap/>
            <w:vAlign w:val="center"/>
            <w:hideMark/>
          </w:tcPr>
          <w:p w:rsidRPr="00782FA6" w:rsidR="00DB248A" w:rsidP="00DB248A" w:rsidRDefault="00DB248A" w14:paraId="6932D3B9" w14:textId="77777777">
            <w:pPr>
              <w:spacing w:line="240" w:lineRule="auto"/>
              <w:ind w:firstLine="0"/>
              <w:jc w:val="center"/>
              <w:rPr>
                <w:rFonts w:eastAsia="Aptos" w:cs="Times New Roman"/>
                <w:sz w:val="20"/>
                <w:szCs w:val="20"/>
              </w:rPr>
            </w:pPr>
            <w:r w:rsidRPr="00782FA6">
              <w:rPr>
                <w:rFonts w:eastAsia="Aptos" w:cs="Times New Roman"/>
                <w:sz w:val="20"/>
                <w:szCs w:val="20"/>
              </w:rPr>
              <w:t>1776</w:t>
            </w:r>
          </w:p>
        </w:tc>
        <w:tc>
          <w:tcPr>
            <w:tcW w:w="1036" w:type="dxa"/>
            <w:noWrap/>
            <w:vAlign w:val="center"/>
            <w:hideMark/>
          </w:tcPr>
          <w:p w:rsidRPr="00782FA6" w:rsidR="00DB248A" w:rsidP="00DB248A" w:rsidRDefault="00DB248A" w14:paraId="5DF157A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E95E61A" w14:textId="2FF0119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0EBC1CF3" w14:textId="77818345">
            <w:pPr>
              <w:spacing w:line="240" w:lineRule="auto"/>
              <w:ind w:firstLine="0"/>
              <w:rPr>
                <w:rFonts w:eastAsia="Aptos" w:cs="Times New Roman"/>
                <w:sz w:val="20"/>
                <w:szCs w:val="20"/>
              </w:rPr>
            </w:pPr>
            <w:r w:rsidRPr="00782FA6">
              <w:rPr>
                <w:rFonts w:eastAsia="Aptos" w:cs="Times New Roman"/>
                <w:sz w:val="20"/>
                <w:szCs w:val="20"/>
              </w:rPr>
              <w:t>Integrated Service Solutions, Inc.</w:t>
            </w:r>
          </w:p>
        </w:tc>
      </w:tr>
      <w:tr w:rsidRPr="00782FA6" w:rsidR="00DB248A" w:rsidTr="00E52317" w14:paraId="3718D537" w14:textId="77777777">
        <w:trPr>
          <w:trHeight w:val="300"/>
        </w:trPr>
        <w:tc>
          <w:tcPr>
            <w:tcW w:w="1170" w:type="dxa"/>
            <w:noWrap/>
            <w:vAlign w:val="center"/>
            <w:hideMark/>
          </w:tcPr>
          <w:p w:rsidRPr="00782FA6" w:rsidR="00DB248A" w:rsidP="00DB248A" w:rsidRDefault="00DB248A" w14:paraId="3240BE29" w14:textId="77777777">
            <w:pPr>
              <w:spacing w:line="240" w:lineRule="auto"/>
              <w:ind w:firstLine="0"/>
              <w:jc w:val="center"/>
              <w:rPr>
                <w:rFonts w:eastAsia="Aptos" w:cs="Times New Roman"/>
                <w:sz w:val="20"/>
                <w:szCs w:val="20"/>
              </w:rPr>
            </w:pPr>
            <w:r w:rsidRPr="00782FA6">
              <w:rPr>
                <w:rFonts w:eastAsia="Aptos" w:cs="Times New Roman"/>
                <w:sz w:val="20"/>
                <w:szCs w:val="20"/>
              </w:rPr>
              <w:t>1777</w:t>
            </w:r>
          </w:p>
        </w:tc>
        <w:tc>
          <w:tcPr>
            <w:tcW w:w="1036" w:type="dxa"/>
            <w:noWrap/>
            <w:vAlign w:val="center"/>
            <w:hideMark/>
          </w:tcPr>
          <w:p w:rsidRPr="00782FA6" w:rsidR="00DB248A" w:rsidP="00DB248A" w:rsidRDefault="00DB248A" w14:paraId="78CBF06D"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4FB3BB5" w14:textId="76CAA7A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2D38C05" w14:textId="17A94CFD">
            <w:pPr>
              <w:spacing w:line="240" w:lineRule="auto"/>
              <w:ind w:firstLine="0"/>
              <w:rPr>
                <w:rFonts w:eastAsia="Aptos" w:cs="Times New Roman"/>
                <w:sz w:val="20"/>
                <w:szCs w:val="20"/>
              </w:rPr>
            </w:pPr>
            <w:r w:rsidRPr="00782FA6">
              <w:rPr>
                <w:rFonts w:eastAsia="Aptos" w:cs="Times New Roman"/>
                <w:sz w:val="20"/>
                <w:szCs w:val="20"/>
              </w:rPr>
              <w:t>The Tech Consultants, LLC</w:t>
            </w:r>
          </w:p>
        </w:tc>
      </w:tr>
      <w:tr w:rsidRPr="00782FA6" w:rsidR="00DB248A" w:rsidTr="00E52317" w14:paraId="766478D3" w14:textId="77777777">
        <w:trPr>
          <w:trHeight w:val="300"/>
        </w:trPr>
        <w:tc>
          <w:tcPr>
            <w:tcW w:w="1170" w:type="dxa"/>
            <w:noWrap/>
            <w:vAlign w:val="center"/>
            <w:hideMark/>
          </w:tcPr>
          <w:p w:rsidRPr="00782FA6" w:rsidR="00DB248A" w:rsidP="00DB248A" w:rsidRDefault="00DB248A" w14:paraId="4EB87A18" w14:textId="77777777">
            <w:pPr>
              <w:spacing w:line="240" w:lineRule="auto"/>
              <w:ind w:firstLine="0"/>
              <w:jc w:val="center"/>
              <w:rPr>
                <w:rFonts w:eastAsia="Aptos" w:cs="Times New Roman"/>
                <w:sz w:val="20"/>
                <w:szCs w:val="20"/>
              </w:rPr>
            </w:pPr>
            <w:r w:rsidRPr="00782FA6">
              <w:rPr>
                <w:rFonts w:eastAsia="Aptos" w:cs="Times New Roman"/>
                <w:sz w:val="20"/>
                <w:szCs w:val="20"/>
              </w:rPr>
              <w:t>1778</w:t>
            </w:r>
          </w:p>
        </w:tc>
        <w:tc>
          <w:tcPr>
            <w:tcW w:w="1036" w:type="dxa"/>
            <w:noWrap/>
            <w:vAlign w:val="center"/>
            <w:hideMark/>
          </w:tcPr>
          <w:p w:rsidRPr="00782FA6" w:rsidR="00DB248A" w:rsidP="00DB248A" w:rsidRDefault="00DB248A" w14:paraId="1630BFC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2D68538" w14:textId="1450F78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7397BE5" w14:textId="452E78A1">
            <w:pPr>
              <w:spacing w:line="240" w:lineRule="auto"/>
              <w:ind w:firstLine="0"/>
              <w:rPr>
                <w:rFonts w:eastAsia="Aptos" w:cs="Times New Roman"/>
                <w:sz w:val="20"/>
                <w:szCs w:val="20"/>
              </w:rPr>
            </w:pPr>
            <w:r w:rsidRPr="00782FA6">
              <w:rPr>
                <w:rFonts w:eastAsia="Aptos" w:cs="Times New Roman"/>
                <w:sz w:val="20"/>
                <w:szCs w:val="20"/>
              </w:rPr>
              <w:t>Inland Premier IT Solutions, Inc.</w:t>
            </w:r>
          </w:p>
        </w:tc>
      </w:tr>
      <w:tr w:rsidRPr="00782FA6" w:rsidR="00DB248A" w:rsidTr="00E52317" w14:paraId="6F8B14D5" w14:textId="77777777">
        <w:trPr>
          <w:trHeight w:val="300"/>
        </w:trPr>
        <w:tc>
          <w:tcPr>
            <w:tcW w:w="1170" w:type="dxa"/>
            <w:noWrap/>
            <w:vAlign w:val="center"/>
            <w:hideMark/>
          </w:tcPr>
          <w:p w:rsidRPr="00782FA6" w:rsidR="00DB248A" w:rsidP="00DB248A" w:rsidRDefault="00DB248A" w14:paraId="077C3762" w14:textId="77777777">
            <w:pPr>
              <w:spacing w:line="240" w:lineRule="auto"/>
              <w:ind w:firstLine="0"/>
              <w:jc w:val="center"/>
              <w:rPr>
                <w:rFonts w:eastAsia="Aptos" w:cs="Times New Roman"/>
                <w:sz w:val="20"/>
                <w:szCs w:val="20"/>
              </w:rPr>
            </w:pPr>
            <w:r w:rsidRPr="00782FA6">
              <w:rPr>
                <w:rFonts w:eastAsia="Aptos" w:cs="Times New Roman"/>
                <w:sz w:val="20"/>
                <w:szCs w:val="20"/>
              </w:rPr>
              <w:t>1779</w:t>
            </w:r>
          </w:p>
        </w:tc>
        <w:tc>
          <w:tcPr>
            <w:tcW w:w="1036" w:type="dxa"/>
            <w:noWrap/>
            <w:vAlign w:val="center"/>
            <w:hideMark/>
          </w:tcPr>
          <w:p w:rsidRPr="00782FA6" w:rsidR="00DB248A" w:rsidP="00DB248A" w:rsidRDefault="00DB248A" w14:paraId="4365607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8DF11F7" w14:textId="74796F10">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332F2CD" w14:textId="1AC168D2">
            <w:pPr>
              <w:spacing w:line="240" w:lineRule="auto"/>
              <w:ind w:firstLine="0"/>
              <w:rPr>
                <w:rFonts w:eastAsia="Aptos" w:cs="Times New Roman"/>
                <w:sz w:val="20"/>
                <w:szCs w:val="20"/>
              </w:rPr>
            </w:pPr>
            <w:r w:rsidRPr="00782FA6">
              <w:rPr>
                <w:rFonts w:eastAsia="Aptos" w:cs="Times New Roman"/>
                <w:sz w:val="20"/>
                <w:szCs w:val="20"/>
              </w:rPr>
              <w:t>Telephone Equipment Service Corp.</w:t>
            </w:r>
          </w:p>
        </w:tc>
      </w:tr>
      <w:tr w:rsidRPr="00782FA6" w:rsidR="00DB248A" w:rsidTr="00E52317" w14:paraId="5510ABF9" w14:textId="77777777">
        <w:trPr>
          <w:trHeight w:val="300"/>
        </w:trPr>
        <w:tc>
          <w:tcPr>
            <w:tcW w:w="1170" w:type="dxa"/>
            <w:noWrap/>
            <w:vAlign w:val="center"/>
            <w:hideMark/>
          </w:tcPr>
          <w:p w:rsidRPr="00782FA6" w:rsidR="00DB248A" w:rsidP="00DB248A" w:rsidRDefault="00DB248A" w14:paraId="45AB1A87" w14:textId="77777777">
            <w:pPr>
              <w:spacing w:line="240" w:lineRule="auto"/>
              <w:ind w:firstLine="0"/>
              <w:jc w:val="center"/>
              <w:rPr>
                <w:rFonts w:eastAsia="Aptos" w:cs="Times New Roman"/>
                <w:sz w:val="20"/>
                <w:szCs w:val="20"/>
              </w:rPr>
            </w:pPr>
            <w:r w:rsidRPr="00782FA6">
              <w:rPr>
                <w:rFonts w:eastAsia="Aptos" w:cs="Times New Roman"/>
                <w:sz w:val="20"/>
                <w:szCs w:val="20"/>
              </w:rPr>
              <w:t>1780</w:t>
            </w:r>
          </w:p>
        </w:tc>
        <w:tc>
          <w:tcPr>
            <w:tcW w:w="1036" w:type="dxa"/>
            <w:noWrap/>
            <w:vAlign w:val="center"/>
            <w:hideMark/>
          </w:tcPr>
          <w:p w:rsidRPr="00782FA6" w:rsidR="00DB248A" w:rsidP="00DB248A" w:rsidRDefault="00DB248A" w14:paraId="50257D4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2EE57B4" w14:textId="24E0C27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9446E54" w14:textId="70C0E3C1">
            <w:pPr>
              <w:spacing w:line="240" w:lineRule="auto"/>
              <w:ind w:firstLine="0"/>
              <w:rPr>
                <w:rFonts w:eastAsia="Aptos" w:cs="Times New Roman"/>
                <w:sz w:val="20"/>
                <w:szCs w:val="20"/>
              </w:rPr>
            </w:pPr>
            <w:r w:rsidRPr="00782FA6">
              <w:rPr>
                <w:rFonts w:eastAsia="Aptos" w:cs="Times New Roman"/>
                <w:sz w:val="20"/>
                <w:szCs w:val="20"/>
              </w:rPr>
              <w:t>Clearly IP Inc</w:t>
            </w:r>
          </w:p>
        </w:tc>
      </w:tr>
      <w:tr w:rsidRPr="00782FA6" w:rsidR="00DB248A" w:rsidTr="00E52317" w14:paraId="68DFF2F2" w14:textId="77777777">
        <w:trPr>
          <w:trHeight w:val="300"/>
        </w:trPr>
        <w:tc>
          <w:tcPr>
            <w:tcW w:w="1170" w:type="dxa"/>
            <w:noWrap/>
            <w:vAlign w:val="center"/>
            <w:hideMark/>
          </w:tcPr>
          <w:p w:rsidRPr="00782FA6" w:rsidR="00DB248A" w:rsidP="00DB248A" w:rsidRDefault="00DB248A" w14:paraId="7BA25834" w14:textId="77777777">
            <w:pPr>
              <w:spacing w:line="240" w:lineRule="auto"/>
              <w:ind w:firstLine="0"/>
              <w:jc w:val="center"/>
              <w:rPr>
                <w:rFonts w:eastAsia="Aptos" w:cs="Times New Roman"/>
                <w:sz w:val="20"/>
                <w:szCs w:val="20"/>
              </w:rPr>
            </w:pPr>
            <w:r w:rsidRPr="00782FA6">
              <w:rPr>
                <w:rFonts w:eastAsia="Aptos" w:cs="Times New Roman"/>
                <w:sz w:val="20"/>
                <w:szCs w:val="20"/>
              </w:rPr>
              <w:t>1782</w:t>
            </w:r>
          </w:p>
        </w:tc>
        <w:tc>
          <w:tcPr>
            <w:tcW w:w="1036" w:type="dxa"/>
            <w:noWrap/>
            <w:vAlign w:val="center"/>
            <w:hideMark/>
          </w:tcPr>
          <w:p w:rsidRPr="00782FA6" w:rsidR="00DB248A" w:rsidP="00DB248A" w:rsidRDefault="00DB248A" w14:paraId="1E1EC08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C20376B" w14:textId="3DCECA1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CCD85DD" w14:textId="7CA76024">
            <w:pPr>
              <w:spacing w:line="240" w:lineRule="auto"/>
              <w:ind w:firstLine="0"/>
              <w:rPr>
                <w:rFonts w:eastAsia="Aptos" w:cs="Times New Roman"/>
                <w:sz w:val="20"/>
                <w:szCs w:val="20"/>
              </w:rPr>
            </w:pPr>
            <w:proofErr w:type="spellStart"/>
            <w:r w:rsidRPr="00782FA6">
              <w:rPr>
                <w:rFonts w:eastAsia="Aptos" w:cs="Times New Roman"/>
                <w:sz w:val="20"/>
                <w:szCs w:val="20"/>
              </w:rPr>
              <w:t>Evacomm</w:t>
            </w:r>
            <w:proofErr w:type="spellEnd"/>
            <w:r w:rsidRPr="00782FA6">
              <w:rPr>
                <w:rFonts w:eastAsia="Aptos" w:cs="Times New Roman"/>
                <w:sz w:val="20"/>
                <w:szCs w:val="20"/>
              </w:rPr>
              <w:t xml:space="preserve"> Corporation</w:t>
            </w:r>
          </w:p>
        </w:tc>
      </w:tr>
      <w:tr w:rsidRPr="00782FA6" w:rsidR="00DB248A" w:rsidTr="00E52317" w14:paraId="57BB11F2" w14:textId="77777777">
        <w:trPr>
          <w:trHeight w:val="300"/>
        </w:trPr>
        <w:tc>
          <w:tcPr>
            <w:tcW w:w="1170" w:type="dxa"/>
            <w:noWrap/>
            <w:vAlign w:val="center"/>
            <w:hideMark/>
          </w:tcPr>
          <w:p w:rsidRPr="00782FA6" w:rsidR="00DB248A" w:rsidP="00DB248A" w:rsidRDefault="00DB248A" w14:paraId="727826C5" w14:textId="77777777">
            <w:pPr>
              <w:spacing w:line="240" w:lineRule="auto"/>
              <w:ind w:firstLine="0"/>
              <w:jc w:val="center"/>
              <w:rPr>
                <w:rFonts w:eastAsia="Aptos" w:cs="Times New Roman"/>
                <w:sz w:val="20"/>
                <w:szCs w:val="20"/>
              </w:rPr>
            </w:pPr>
            <w:r w:rsidRPr="00782FA6">
              <w:rPr>
                <w:rFonts w:eastAsia="Aptos" w:cs="Times New Roman"/>
                <w:sz w:val="20"/>
                <w:szCs w:val="20"/>
              </w:rPr>
              <w:t>1783</w:t>
            </w:r>
          </w:p>
        </w:tc>
        <w:tc>
          <w:tcPr>
            <w:tcW w:w="1036" w:type="dxa"/>
            <w:noWrap/>
            <w:vAlign w:val="center"/>
            <w:hideMark/>
          </w:tcPr>
          <w:p w:rsidRPr="00782FA6" w:rsidR="00DB248A" w:rsidP="00DB248A" w:rsidRDefault="00DB248A" w14:paraId="0674534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62C5460" w14:textId="5DB69B1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7AA5F25" w14:textId="3AFAE4E7">
            <w:pPr>
              <w:spacing w:line="240" w:lineRule="auto"/>
              <w:ind w:firstLine="0"/>
              <w:rPr>
                <w:rFonts w:eastAsia="Aptos" w:cs="Times New Roman"/>
                <w:sz w:val="20"/>
                <w:szCs w:val="20"/>
              </w:rPr>
            </w:pPr>
            <w:r w:rsidRPr="00782FA6">
              <w:rPr>
                <w:rFonts w:eastAsia="Aptos" w:cs="Times New Roman"/>
                <w:sz w:val="20"/>
                <w:szCs w:val="20"/>
              </w:rPr>
              <w:t>Rocket Solutions LLC</w:t>
            </w:r>
          </w:p>
        </w:tc>
      </w:tr>
      <w:tr w:rsidRPr="00782FA6" w:rsidR="00DB248A" w:rsidTr="00E52317" w14:paraId="59B4A07C" w14:textId="77777777">
        <w:trPr>
          <w:trHeight w:val="300"/>
        </w:trPr>
        <w:tc>
          <w:tcPr>
            <w:tcW w:w="1170" w:type="dxa"/>
            <w:noWrap/>
            <w:vAlign w:val="center"/>
            <w:hideMark/>
          </w:tcPr>
          <w:p w:rsidRPr="00782FA6" w:rsidR="00DB248A" w:rsidP="00DB248A" w:rsidRDefault="00DB248A" w14:paraId="3EAC5A0A" w14:textId="77777777">
            <w:pPr>
              <w:spacing w:line="240" w:lineRule="auto"/>
              <w:ind w:firstLine="0"/>
              <w:jc w:val="center"/>
              <w:rPr>
                <w:rFonts w:eastAsia="Aptos" w:cs="Times New Roman"/>
                <w:sz w:val="20"/>
                <w:szCs w:val="20"/>
              </w:rPr>
            </w:pPr>
            <w:r w:rsidRPr="00782FA6">
              <w:rPr>
                <w:rFonts w:eastAsia="Aptos" w:cs="Times New Roman"/>
                <w:sz w:val="20"/>
                <w:szCs w:val="20"/>
              </w:rPr>
              <w:t>1784</w:t>
            </w:r>
          </w:p>
        </w:tc>
        <w:tc>
          <w:tcPr>
            <w:tcW w:w="1036" w:type="dxa"/>
            <w:noWrap/>
            <w:vAlign w:val="center"/>
            <w:hideMark/>
          </w:tcPr>
          <w:p w:rsidRPr="00782FA6" w:rsidR="00DB248A" w:rsidP="00DB248A" w:rsidRDefault="00DB248A" w14:paraId="75070566"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BE9D39E" w14:textId="69F066F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9671D1B" w14:textId="2DADB447">
            <w:pPr>
              <w:spacing w:line="240" w:lineRule="auto"/>
              <w:ind w:firstLine="0"/>
              <w:rPr>
                <w:rFonts w:eastAsia="Aptos" w:cs="Times New Roman"/>
                <w:sz w:val="20"/>
                <w:szCs w:val="20"/>
              </w:rPr>
            </w:pPr>
            <w:r w:rsidRPr="00782FA6">
              <w:rPr>
                <w:rFonts w:eastAsia="Aptos" w:cs="Times New Roman"/>
                <w:sz w:val="20"/>
                <w:szCs w:val="20"/>
              </w:rPr>
              <w:t>Leap Telecom, LLC</w:t>
            </w:r>
          </w:p>
        </w:tc>
      </w:tr>
      <w:tr w:rsidRPr="00782FA6" w:rsidR="00DB248A" w:rsidTr="00E52317" w14:paraId="7475E009" w14:textId="77777777">
        <w:trPr>
          <w:trHeight w:val="300"/>
        </w:trPr>
        <w:tc>
          <w:tcPr>
            <w:tcW w:w="1170" w:type="dxa"/>
            <w:noWrap/>
            <w:vAlign w:val="center"/>
            <w:hideMark/>
          </w:tcPr>
          <w:p w:rsidRPr="00782FA6" w:rsidR="00DB248A" w:rsidP="00DB248A" w:rsidRDefault="00DB248A" w14:paraId="017D94CF" w14:textId="77777777">
            <w:pPr>
              <w:spacing w:line="240" w:lineRule="auto"/>
              <w:ind w:firstLine="0"/>
              <w:jc w:val="center"/>
              <w:rPr>
                <w:rFonts w:eastAsia="Aptos" w:cs="Times New Roman"/>
                <w:sz w:val="20"/>
                <w:szCs w:val="20"/>
              </w:rPr>
            </w:pPr>
            <w:r w:rsidRPr="00782FA6">
              <w:rPr>
                <w:rFonts w:eastAsia="Aptos" w:cs="Times New Roman"/>
                <w:sz w:val="20"/>
                <w:szCs w:val="20"/>
              </w:rPr>
              <w:t>1785</w:t>
            </w:r>
          </w:p>
        </w:tc>
        <w:tc>
          <w:tcPr>
            <w:tcW w:w="1036" w:type="dxa"/>
            <w:noWrap/>
            <w:vAlign w:val="center"/>
            <w:hideMark/>
          </w:tcPr>
          <w:p w:rsidRPr="00782FA6" w:rsidR="00DB248A" w:rsidP="00DB248A" w:rsidRDefault="00DB248A" w14:paraId="49C281EB"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4079F597" w14:textId="2974AB2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5FF0178" w14:textId="54684DB5">
            <w:pPr>
              <w:spacing w:line="240" w:lineRule="auto"/>
              <w:ind w:firstLine="0"/>
              <w:rPr>
                <w:rFonts w:eastAsia="Aptos" w:cs="Times New Roman"/>
                <w:sz w:val="20"/>
                <w:szCs w:val="20"/>
              </w:rPr>
            </w:pPr>
            <w:r w:rsidRPr="00782FA6">
              <w:rPr>
                <w:rFonts w:eastAsia="Aptos" w:cs="Times New Roman"/>
                <w:sz w:val="20"/>
                <w:szCs w:val="20"/>
              </w:rPr>
              <w:t>Swell Broadband, Inc.</w:t>
            </w:r>
          </w:p>
        </w:tc>
      </w:tr>
      <w:tr w:rsidRPr="00782FA6" w:rsidR="00DB248A" w:rsidTr="00E52317" w14:paraId="4A75AF79" w14:textId="77777777">
        <w:trPr>
          <w:trHeight w:val="300"/>
        </w:trPr>
        <w:tc>
          <w:tcPr>
            <w:tcW w:w="1170" w:type="dxa"/>
            <w:noWrap/>
            <w:vAlign w:val="center"/>
            <w:hideMark/>
          </w:tcPr>
          <w:p w:rsidRPr="00782FA6" w:rsidR="00DB248A" w:rsidP="00DB248A" w:rsidRDefault="00DB248A" w14:paraId="6920A7C9" w14:textId="77777777">
            <w:pPr>
              <w:spacing w:line="240" w:lineRule="auto"/>
              <w:ind w:firstLine="0"/>
              <w:jc w:val="center"/>
              <w:rPr>
                <w:rFonts w:eastAsia="Aptos" w:cs="Times New Roman"/>
                <w:sz w:val="20"/>
                <w:szCs w:val="20"/>
              </w:rPr>
            </w:pPr>
            <w:r w:rsidRPr="00782FA6">
              <w:rPr>
                <w:rFonts w:eastAsia="Aptos" w:cs="Times New Roman"/>
                <w:sz w:val="20"/>
                <w:szCs w:val="20"/>
              </w:rPr>
              <w:t>1787</w:t>
            </w:r>
          </w:p>
        </w:tc>
        <w:tc>
          <w:tcPr>
            <w:tcW w:w="1036" w:type="dxa"/>
            <w:noWrap/>
            <w:vAlign w:val="center"/>
            <w:hideMark/>
          </w:tcPr>
          <w:p w:rsidRPr="00782FA6" w:rsidR="00DB248A" w:rsidP="00DB248A" w:rsidRDefault="00DB248A" w14:paraId="24D1C73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016C9D8" w14:textId="17B941E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ED4C38E" w14:textId="21CF7DB8">
            <w:pPr>
              <w:spacing w:line="240" w:lineRule="auto"/>
              <w:ind w:firstLine="0"/>
              <w:rPr>
                <w:rFonts w:eastAsia="Aptos" w:cs="Times New Roman"/>
                <w:sz w:val="20"/>
                <w:szCs w:val="20"/>
              </w:rPr>
            </w:pPr>
            <w:proofErr w:type="spellStart"/>
            <w:r w:rsidRPr="00782FA6">
              <w:rPr>
                <w:rFonts w:eastAsia="Aptos" w:cs="Times New Roman"/>
                <w:sz w:val="20"/>
                <w:szCs w:val="20"/>
              </w:rPr>
              <w:t>Voxter</w:t>
            </w:r>
            <w:proofErr w:type="spellEnd"/>
            <w:r w:rsidRPr="00782FA6">
              <w:rPr>
                <w:rFonts w:eastAsia="Aptos" w:cs="Times New Roman"/>
                <w:sz w:val="20"/>
                <w:szCs w:val="20"/>
              </w:rPr>
              <w:t xml:space="preserve"> Communications, Inc.</w:t>
            </w:r>
          </w:p>
        </w:tc>
      </w:tr>
      <w:tr w:rsidRPr="00782FA6" w:rsidR="00DB248A" w:rsidTr="00E52317" w14:paraId="4A756F1F" w14:textId="77777777">
        <w:trPr>
          <w:trHeight w:val="300"/>
        </w:trPr>
        <w:tc>
          <w:tcPr>
            <w:tcW w:w="1170" w:type="dxa"/>
            <w:noWrap/>
            <w:vAlign w:val="center"/>
            <w:hideMark/>
          </w:tcPr>
          <w:p w:rsidRPr="00782FA6" w:rsidR="00DB248A" w:rsidP="00DB248A" w:rsidRDefault="00DB248A" w14:paraId="1FD99385" w14:textId="77777777">
            <w:pPr>
              <w:spacing w:line="240" w:lineRule="auto"/>
              <w:ind w:firstLine="0"/>
              <w:jc w:val="center"/>
              <w:rPr>
                <w:rFonts w:eastAsia="Aptos" w:cs="Times New Roman"/>
                <w:sz w:val="20"/>
                <w:szCs w:val="20"/>
              </w:rPr>
            </w:pPr>
            <w:r w:rsidRPr="00782FA6">
              <w:rPr>
                <w:rFonts w:eastAsia="Aptos" w:cs="Times New Roman"/>
                <w:sz w:val="20"/>
                <w:szCs w:val="20"/>
              </w:rPr>
              <w:t>1788</w:t>
            </w:r>
          </w:p>
        </w:tc>
        <w:tc>
          <w:tcPr>
            <w:tcW w:w="1036" w:type="dxa"/>
            <w:noWrap/>
            <w:vAlign w:val="center"/>
            <w:hideMark/>
          </w:tcPr>
          <w:p w:rsidRPr="00782FA6" w:rsidR="00DB248A" w:rsidP="00DB248A" w:rsidRDefault="00DB248A" w14:paraId="78FD11A1"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CA02B8D" w14:textId="44E2E508">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F9A5629" w14:textId="754A40AD">
            <w:pPr>
              <w:spacing w:line="240" w:lineRule="auto"/>
              <w:ind w:firstLine="0"/>
              <w:rPr>
                <w:rFonts w:eastAsia="Aptos" w:cs="Times New Roman"/>
                <w:sz w:val="20"/>
                <w:szCs w:val="20"/>
              </w:rPr>
            </w:pPr>
            <w:r w:rsidRPr="00782FA6">
              <w:rPr>
                <w:rFonts w:eastAsia="Aptos" w:cs="Times New Roman"/>
                <w:sz w:val="20"/>
                <w:szCs w:val="20"/>
              </w:rPr>
              <w:t>Priority Communication Services LLC</w:t>
            </w:r>
          </w:p>
        </w:tc>
      </w:tr>
      <w:tr w:rsidRPr="00782FA6" w:rsidR="00DB248A" w:rsidTr="00E52317" w14:paraId="0AD8EA6C" w14:textId="77777777">
        <w:trPr>
          <w:trHeight w:val="300"/>
        </w:trPr>
        <w:tc>
          <w:tcPr>
            <w:tcW w:w="1170" w:type="dxa"/>
            <w:noWrap/>
            <w:vAlign w:val="center"/>
            <w:hideMark/>
          </w:tcPr>
          <w:p w:rsidRPr="00782FA6" w:rsidR="00DB248A" w:rsidP="00DB248A" w:rsidRDefault="00DB248A" w14:paraId="1634C3A4" w14:textId="77777777">
            <w:pPr>
              <w:spacing w:line="240" w:lineRule="auto"/>
              <w:ind w:firstLine="0"/>
              <w:jc w:val="center"/>
              <w:rPr>
                <w:rFonts w:eastAsia="Aptos" w:cs="Times New Roman"/>
                <w:sz w:val="20"/>
                <w:szCs w:val="20"/>
              </w:rPr>
            </w:pPr>
            <w:r w:rsidRPr="00782FA6">
              <w:rPr>
                <w:rFonts w:eastAsia="Aptos" w:cs="Times New Roman"/>
                <w:sz w:val="20"/>
                <w:szCs w:val="20"/>
              </w:rPr>
              <w:t>1789</w:t>
            </w:r>
          </w:p>
        </w:tc>
        <w:tc>
          <w:tcPr>
            <w:tcW w:w="1036" w:type="dxa"/>
            <w:noWrap/>
            <w:vAlign w:val="center"/>
            <w:hideMark/>
          </w:tcPr>
          <w:p w:rsidRPr="00782FA6" w:rsidR="00DB248A" w:rsidP="00DB248A" w:rsidRDefault="00DB248A" w14:paraId="01423A15"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1101F23" w14:textId="767F79DF">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4BAE063" w14:textId="67B3A00E">
            <w:pPr>
              <w:spacing w:line="240" w:lineRule="auto"/>
              <w:ind w:firstLine="0"/>
              <w:rPr>
                <w:rFonts w:eastAsia="Aptos" w:cs="Times New Roman"/>
                <w:sz w:val="20"/>
                <w:szCs w:val="20"/>
              </w:rPr>
            </w:pPr>
            <w:r w:rsidRPr="00782FA6">
              <w:rPr>
                <w:rFonts w:eastAsia="Aptos" w:cs="Times New Roman"/>
                <w:sz w:val="20"/>
                <w:szCs w:val="20"/>
              </w:rPr>
              <w:t>PS Lightwave, Inc.</w:t>
            </w:r>
          </w:p>
        </w:tc>
      </w:tr>
      <w:tr w:rsidRPr="00782FA6" w:rsidR="00DB248A" w:rsidTr="00E52317" w14:paraId="1C37F170" w14:textId="77777777">
        <w:trPr>
          <w:trHeight w:val="300"/>
        </w:trPr>
        <w:tc>
          <w:tcPr>
            <w:tcW w:w="1170" w:type="dxa"/>
            <w:noWrap/>
            <w:vAlign w:val="center"/>
            <w:hideMark/>
          </w:tcPr>
          <w:p w:rsidRPr="00782FA6" w:rsidR="00DB248A" w:rsidP="00DB248A" w:rsidRDefault="00DB248A" w14:paraId="3EA5F81E" w14:textId="77777777">
            <w:pPr>
              <w:spacing w:line="240" w:lineRule="auto"/>
              <w:ind w:firstLine="0"/>
              <w:jc w:val="center"/>
              <w:rPr>
                <w:rFonts w:eastAsia="Aptos" w:cs="Times New Roman"/>
                <w:sz w:val="20"/>
                <w:szCs w:val="20"/>
              </w:rPr>
            </w:pPr>
            <w:r w:rsidRPr="00782FA6">
              <w:rPr>
                <w:rFonts w:eastAsia="Aptos" w:cs="Times New Roman"/>
                <w:sz w:val="20"/>
                <w:szCs w:val="20"/>
              </w:rPr>
              <w:t>1790</w:t>
            </w:r>
          </w:p>
        </w:tc>
        <w:tc>
          <w:tcPr>
            <w:tcW w:w="1036" w:type="dxa"/>
            <w:noWrap/>
            <w:vAlign w:val="center"/>
            <w:hideMark/>
          </w:tcPr>
          <w:p w:rsidRPr="00782FA6" w:rsidR="00DB248A" w:rsidP="00DB248A" w:rsidRDefault="00DB248A" w14:paraId="002C6A4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014CE35" w14:textId="48E09686">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2F69F74" w14:textId="12876AB1">
            <w:pPr>
              <w:spacing w:line="240" w:lineRule="auto"/>
              <w:ind w:firstLine="0"/>
              <w:rPr>
                <w:rFonts w:eastAsia="Aptos" w:cs="Times New Roman"/>
                <w:sz w:val="20"/>
                <w:szCs w:val="20"/>
              </w:rPr>
            </w:pPr>
            <w:proofErr w:type="spellStart"/>
            <w:r w:rsidRPr="00782FA6">
              <w:rPr>
                <w:rFonts w:eastAsia="Aptos" w:cs="Times New Roman"/>
                <w:sz w:val="20"/>
                <w:szCs w:val="20"/>
              </w:rPr>
              <w:t>RadiantIQ</w:t>
            </w:r>
            <w:proofErr w:type="spellEnd"/>
            <w:r w:rsidRPr="00782FA6">
              <w:rPr>
                <w:rFonts w:eastAsia="Aptos" w:cs="Times New Roman"/>
                <w:sz w:val="20"/>
                <w:szCs w:val="20"/>
              </w:rPr>
              <w:t xml:space="preserve"> LLC</w:t>
            </w:r>
          </w:p>
        </w:tc>
      </w:tr>
      <w:tr w:rsidRPr="00782FA6" w:rsidR="00DB248A" w:rsidTr="00E52317" w14:paraId="499D99EF" w14:textId="77777777">
        <w:trPr>
          <w:trHeight w:val="300"/>
        </w:trPr>
        <w:tc>
          <w:tcPr>
            <w:tcW w:w="1170" w:type="dxa"/>
            <w:noWrap/>
            <w:vAlign w:val="center"/>
            <w:hideMark/>
          </w:tcPr>
          <w:p w:rsidRPr="00782FA6" w:rsidR="00DB248A" w:rsidP="00DB248A" w:rsidRDefault="00DB248A" w14:paraId="29361108" w14:textId="77777777">
            <w:pPr>
              <w:spacing w:line="240" w:lineRule="auto"/>
              <w:ind w:firstLine="0"/>
              <w:jc w:val="center"/>
              <w:rPr>
                <w:rFonts w:eastAsia="Aptos" w:cs="Times New Roman"/>
                <w:sz w:val="20"/>
                <w:szCs w:val="20"/>
              </w:rPr>
            </w:pPr>
            <w:r w:rsidRPr="00782FA6">
              <w:rPr>
                <w:rFonts w:eastAsia="Aptos" w:cs="Times New Roman"/>
                <w:sz w:val="20"/>
                <w:szCs w:val="20"/>
              </w:rPr>
              <w:t>1791</w:t>
            </w:r>
          </w:p>
        </w:tc>
        <w:tc>
          <w:tcPr>
            <w:tcW w:w="1036" w:type="dxa"/>
            <w:noWrap/>
            <w:vAlign w:val="center"/>
            <w:hideMark/>
          </w:tcPr>
          <w:p w:rsidRPr="00782FA6" w:rsidR="00DB248A" w:rsidP="00DB248A" w:rsidRDefault="00DB248A" w14:paraId="1A38345A"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18E0A83A" w14:textId="4CC681BC">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793D2F5E" w14:textId="6937B326">
            <w:pPr>
              <w:spacing w:line="240" w:lineRule="auto"/>
              <w:ind w:firstLine="0"/>
              <w:rPr>
                <w:rFonts w:eastAsia="Aptos" w:cs="Times New Roman"/>
                <w:sz w:val="20"/>
                <w:szCs w:val="20"/>
              </w:rPr>
            </w:pPr>
            <w:r w:rsidRPr="00782FA6">
              <w:rPr>
                <w:rFonts w:eastAsia="Aptos" w:cs="Times New Roman"/>
                <w:sz w:val="20"/>
                <w:szCs w:val="20"/>
              </w:rPr>
              <w:t>Protel Communications, Inc.</w:t>
            </w:r>
          </w:p>
        </w:tc>
      </w:tr>
      <w:tr w:rsidRPr="00782FA6" w:rsidR="00DB248A" w:rsidTr="00E52317" w14:paraId="1389EBBC" w14:textId="77777777">
        <w:trPr>
          <w:trHeight w:val="300"/>
        </w:trPr>
        <w:tc>
          <w:tcPr>
            <w:tcW w:w="1170" w:type="dxa"/>
            <w:noWrap/>
            <w:vAlign w:val="center"/>
            <w:hideMark/>
          </w:tcPr>
          <w:p w:rsidRPr="00782FA6" w:rsidR="00DB248A" w:rsidP="00DB248A" w:rsidRDefault="00DB248A" w14:paraId="3E274775" w14:textId="77777777">
            <w:pPr>
              <w:spacing w:line="240" w:lineRule="auto"/>
              <w:ind w:firstLine="0"/>
              <w:jc w:val="center"/>
              <w:rPr>
                <w:rFonts w:eastAsia="Aptos" w:cs="Times New Roman"/>
                <w:sz w:val="20"/>
                <w:szCs w:val="20"/>
              </w:rPr>
            </w:pPr>
            <w:r w:rsidRPr="00782FA6">
              <w:rPr>
                <w:rFonts w:eastAsia="Aptos" w:cs="Times New Roman"/>
                <w:sz w:val="20"/>
                <w:szCs w:val="20"/>
              </w:rPr>
              <w:t>1792</w:t>
            </w:r>
          </w:p>
        </w:tc>
        <w:tc>
          <w:tcPr>
            <w:tcW w:w="1036" w:type="dxa"/>
            <w:noWrap/>
            <w:vAlign w:val="center"/>
            <w:hideMark/>
          </w:tcPr>
          <w:p w:rsidRPr="00782FA6" w:rsidR="00DB248A" w:rsidP="00DB248A" w:rsidRDefault="00DB248A" w14:paraId="03ED20FC"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BBDA1EF" w14:textId="2503BB3B">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B170FFB" w14:textId="7DA2705D">
            <w:pPr>
              <w:spacing w:line="240" w:lineRule="auto"/>
              <w:ind w:firstLine="0"/>
              <w:rPr>
                <w:rFonts w:eastAsia="Aptos" w:cs="Times New Roman"/>
                <w:sz w:val="20"/>
                <w:szCs w:val="20"/>
              </w:rPr>
            </w:pPr>
            <w:r w:rsidRPr="00782FA6">
              <w:rPr>
                <w:rFonts w:eastAsia="Aptos" w:cs="Times New Roman"/>
                <w:sz w:val="20"/>
                <w:szCs w:val="20"/>
              </w:rPr>
              <w:t>AMP Networks LLC</w:t>
            </w:r>
          </w:p>
        </w:tc>
      </w:tr>
      <w:tr w:rsidRPr="00782FA6" w:rsidR="00DB248A" w:rsidTr="00E52317" w14:paraId="2631CE13" w14:textId="77777777">
        <w:trPr>
          <w:trHeight w:val="300"/>
        </w:trPr>
        <w:tc>
          <w:tcPr>
            <w:tcW w:w="1170" w:type="dxa"/>
            <w:noWrap/>
            <w:vAlign w:val="center"/>
            <w:hideMark/>
          </w:tcPr>
          <w:p w:rsidRPr="00782FA6" w:rsidR="00DB248A" w:rsidP="00DB248A" w:rsidRDefault="00DB248A" w14:paraId="2D254FC8" w14:textId="77777777">
            <w:pPr>
              <w:spacing w:line="240" w:lineRule="auto"/>
              <w:ind w:firstLine="0"/>
              <w:jc w:val="center"/>
              <w:rPr>
                <w:rFonts w:eastAsia="Aptos" w:cs="Times New Roman"/>
                <w:sz w:val="20"/>
                <w:szCs w:val="20"/>
              </w:rPr>
            </w:pPr>
            <w:r w:rsidRPr="00782FA6">
              <w:rPr>
                <w:rFonts w:eastAsia="Aptos" w:cs="Times New Roman"/>
                <w:sz w:val="20"/>
                <w:szCs w:val="20"/>
              </w:rPr>
              <w:t>1793</w:t>
            </w:r>
          </w:p>
        </w:tc>
        <w:tc>
          <w:tcPr>
            <w:tcW w:w="1036" w:type="dxa"/>
            <w:noWrap/>
            <w:vAlign w:val="center"/>
            <w:hideMark/>
          </w:tcPr>
          <w:p w:rsidRPr="00782FA6" w:rsidR="00DB248A" w:rsidP="00DB248A" w:rsidRDefault="00DB248A" w14:paraId="0B72864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5EC1948B" w14:textId="7F9A765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4394E984" w14:textId="14FA3B4C">
            <w:pPr>
              <w:spacing w:line="240" w:lineRule="auto"/>
              <w:ind w:firstLine="0"/>
              <w:rPr>
                <w:rFonts w:eastAsia="Aptos" w:cs="Times New Roman"/>
                <w:sz w:val="20"/>
                <w:szCs w:val="20"/>
              </w:rPr>
            </w:pPr>
            <w:r w:rsidRPr="00782FA6">
              <w:rPr>
                <w:rFonts w:eastAsia="Aptos" w:cs="Times New Roman"/>
                <w:sz w:val="20"/>
                <w:szCs w:val="20"/>
              </w:rPr>
              <w:t>Fisher Computer Consulting Inc.</w:t>
            </w:r>
          </w:p>
        </w:tc>
      </w:tr>
      <w:tr w:rsidRPr="00782FA6" w:rsidR="00DB248A" w:rsidTr="00E52317" w14:paraId="57BD12FD" w14:textId="77777777">
        <w:trPr>
          <w:trHeight w:val="300"/>
        </w:trPr>
        <w:tc>
          <w:tcPr>
            <w:tcW w:w="1170" w:type="dxa"/>
            <w:noWrap/>
            <w:vAlign w:val="center"/>
            <w:hideMark/>
          </w:tcPr>
          <w:p w:rsidRPr="00782FA6" w:rsidR="00DB248A" w:rsidP="00DB248A" w:rsidRDefault="00DB248A" w14:paraId="5FBB6CA4" w14:textId="77777777">
            <w:pPr>
              <w:spacing w:line="240" w:lineRule="auto"/>
              <w:ind w:firstLine="0"/>
              <w:jc w:val="center"/>
              <w:rPr>
                <w:rFonts w:eastAsia="Aptos" w:cs="Times New Roman"/>
                <w:sz w:val="20"/>
                <w:szCs w:val="20"/>
              </w:rPr>
            </w:pPr>
            <w:r w:rsidRPr="00782FA6">
              <w:rPr>
                <w:rFonts w:eastAsia="Aptos" w:cs="Times New Roman"/>
                <w:sz w:val="20"/>
                <w:szCs w:val="20"/>
              </w:rPr>
              <w:t>1794</w:t>
            </w:r>
          </w:p>
        </w:tc>
        <w:tc>
          <w:tcPr>
            <w:tcW w:w="1036" w:type="dxa"/>
            <w:noWrap/>
            <w:vAlign w:val="center"/>
            <w:hideMark/>
          </w:tcPr>
          <w:p w:rsidRPr="00782FA6" w:rsidR="00DB248A" w:rsidP="00DB248A" w:rsidRDefault="00DB248A" w14:paraId="3443C33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744E70C" w14:textId="146181B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6A4130F" w14:textId="436C92B4">
            <w:pPr>
              <w:spacing w:line="240" w:lineRule="auto"/>
              <w:ind w:firstLine="0"/>
              <w:rPr>
                <w:rFonts w:eastAsia="Aptos" w:cs="Times New Roman"/>
                <w:sz w:val="20"/>
                <w:szCs w:val="20"/>
              </w:rPr>
            </w:pPr>
            <w:proofErr w:type="spellStart"/>
            <w:r w:rsidRPr="00782FA6">
              <w:rPr>
                <w:rFonts w:eastAsia="Aptos" w:cs="Times New Roman"/>
                <w:sz w:val="20"/>
                <w:szCs w:val="20"/>
              </w:rPr>
              <w:t>Juxto</w:t>
            </w:r>
            <w:proofErr w:type="spellEnd"/>
            <w:r w:rsidRPr="00782FA6">
              <w:rPr>
                <w:rFonts w:eastAsia="Aptos" w:cs="Times New Roman"/>
                <w:sz w:val="20"/>
                <w:szCs w:val="20"/>
              </w:rPr>
              <w:t>, LLC</w:t>
            </w:r>
          </w:p>
        </w:tc>
      </w:tr>
      <w:tr w:rsidRPr="00782FA6" w:rsidR="00DB248A" w:rsidTr="00E52317" w14:paraId="47BBF2FC" w14:textId="77777777">
        <w:trPr>
          <w:trHeight w:val="300"/>
        </w:trPr>
        <w:tc>
          <w:tcPr>
            <w:tcW w:w="1170" w:type="dxa"/>
            <w:noWrap/>
            <w:vAlign w:val="center"/>
            <w:hideMark/>
          </w:tcPr>
          <w:p w:rsidRPr="00782FA6" w:rsidR="00DB248A" w:rsidP="00DB248A" w:rsidRDefault="00DB248A" w14:paraId="0B8E48E2" w14:textId="77777777">
            <w:pPr>
              <w:spacing w:line="240" w:lineRule="auto"/>
              <w:ind w:firstLine="0"/>
              <w:jc w:val="center"/>
              <w:rPr>
                <w:rFonts w:eastAsia="Aptos" w:cs="Times New Roman"/>
                <w:sz w:val="20"/>
                <w:szCs w:val="20"/>
              </w:rPr>
            </w:pPr>
            <w:r w:rsidRPr="00782FA6">
              <w:rPr>
                <w:rFonts w:eastAsia="Aptos" w:cs="Times New Roman"/>
                <w:sz w:val="20"/>
                <w:szCs w:val="20"/>
              </w:rPr>
              <w:t>1795</w:t>
            </w:r>
          </w:p>
        </w:tc>
        <w:tc>
          <w:tcPr>
            <w:tcW w:w="1036" w:type="dxa"/>
            <w:noWrap/>
            <w:vAlign w:val="center"/>
            <w:hideMark/>
          </w:tcPr>
          <w:p w:rsidRPr="00782FA6" w:rsidR="00DB248A" w:rsidP="00DB248A" w:rsidRDefault="00DB248A" w14:paraId="6C8EB8D3"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3647FEE0" w14:textId="066984F1">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A5575BB" w14:textId="69608129">
            <w:pPr>
              <w:spacing w:line="240" w:lineRule="auto"/>
              <w:ind w:firstLine="0"/>
              <w:rPr>
                <w:rFonts w:eastAsia="Aptos" w:cs="Times New Roman"/>
                <w:sz w:val="20"/>
                <w:szCs w:val="20"/>
              </w:rPr>
            </w:pPr>
            <w:proofErr w:type="spellStart"/>
            <w:r w:rsidRPr="00782FA6">
              <w:rPr>
                <w:rFonts w:eastAsia="Aptos" w:cs="Times New Roman"/>
                <w:sz w:val="20"/>
                <w:szCs w:val="20"/>
              </w:rPr>
              <w:t>FlexIP</w:t>
            </w:r>
            <w:proofErr w:type="spellEnd"/>
            <w:r w:rsidRPr="00782FA6">
              <w:rPr>
                <w:rFonts w:eastAsia="Aptos" w:cs="Times New Roman"/>
                <w:sz w:val="20"/>
                <w:szCs w:val="20"/>
              </w:rPr>
              <w:t xml:space="preserve"> Solutions Inc.</w:t>
            </w:r>
          </w:p>
        </w:tc>
      </w:tr>
      <w:tr w:rsidRPr="00782FA6" w:rsidR="00DB248A" w:rsidTr="00E52317" w14:paraId="475CEAC9" w14:textId="77777777">
        <w:trPr>
          <w:trHeight w:val="300"/>
        </w:trPr>
        <w:tc>
          <w:tcPr>
            <w:tcW w:w="1170" w:type="dxa"/>
            <w:noWrap/>
            <w:vAlign w:val="center"/>
            <w:hideMark/>
          </w:tcPr>
          <w:p w:rsidRPr="00782FA6" w:rsidR="00DB248A" w:rsidP="00DB248A" w:rsidRDefault="00DB248A" w14:paraId="106595B3" w14:textId="77777777">
            <w:pPr>
              <w:spacing w:line="240" w:lineRule="auto"/>
              <w:ind w:firstLine="0"/>
              <w:jc w:val="center"/>
              <w:rPr>
                <w:rFonts w:eastAsia="Aptos" w:cs="Times New Roman"/>
                <w:sz w:val="20"/>
                <w:szCs w:val="20"/>
              </w:rPr>
            </w:pPr>
            <w:r w:rsidRPr="00782FA6">
              <w:rPr>
                <w:rFonts w:eastAsia="Aptos" w:cs="Times New Roman"/>
                <w:sz w:val="20"/>
                <w:szCs w:val="20"/>
              </w:rPr>
              <w:t>1796</w:t>
            </w:r>
          </w:p>
        </w:tc>
        <w:tc>
          <w:tcPr>
            <w:tcW w:w="1036" w:type="dxa"/>
            <w:noWrap/>
            <w:vAlign w:val="center"/>
            <w:hideMark/>
          </w:tcPr>
          <w:p w:rsidRPr="00782FA6" w:rsidR="00DB248A" w:rsidP="00DB248A" w:rsidRDefault="00DB248A" w14:paraId="242CB9F0"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25BDDE35" w14:textId="28C2D0B2">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62E5F1B8" w14:textId="0309B052">
            <w:pPr>
              <w:spacing w:line="240" w:lineRule="auto"/>
              <w:ind w:firstLine="0"/>
              <w:rPr>
                <w:rFonts w:eastAsia="Aptos" w:cs="Times New Roman"/>
                <w:sz w:val="20"/>
                <w:szCs w:val="20"/>
              </w:rPr>
            </w:pPr>
            <w:r w:rsidRPr="00782FA6">
              <w:rPr>
                <w:rFonts w:eastAsia="Aptos" w:cs="Times New Roman"/>
                <w:sz w:val="20"/>
                <w:szCs w:val="20"/>
              </w:rPr>
              <w:t>SR Technologies, Inc.</w:t>
            </w:r>
          </w:p>
        </w:tc>
      </w:tr>
      <w:tr w:rsidRPr="00782FA6" w:rsidR="00DB248A" w:rsidTr="00E52317" w14:paraId="6CE2F941" w14:textId="77777777">
        <w:trPr>
          <w:trHeight w:val="300"/>
        </w:trPr>
        <w:tc>
          <w:tcPr>
            <w:tcW w:w="1170" w:type="dxa"/>
            <w:noWrap/>
            <w:vAlign w:val="center"/>
            <w:hideMark/>
          </w:tcPr>
          <w:p w:rsidRPr="00782FA6" w:rsidR="00DB248A" w:rsidP="00DB248A" w:rsidRDefault="00DB248A" w14:paraId="52A80E6A" w14:textId="77777777">
            <w:pPr>
              <w:spacing w:line="240" w:lineRule="auto"/>
              <w:ind w:firstLine="0"/>
              <w:jc w:val="center"/>
              <w:rPr>
                <w:rFonts w:eastAsia="Aptos" w:cs="Times New Roman"/>
                <w:sz w:val="20"/>
                <w:szCs w:val="20"/>
              </w:rPr>
            </w:pPr>
            <w:r w:rsidRPr="00782FA6">
              <w:rPr>
                <w:rFonts w:eastAsia="Aptos" w:cs="Times New Roman"/>
                <w:sz w:val="20"/>
                <w:szCs w:val="20"/>
              </w:rPr>
              <w:t>1797</w:t>
            </w:r>
          </w:p>
        </w:tc>
        <w:tc>
          <w:tcPr>
            <w:tcW w:w="1036" w:type="dxa"/>
            <w:noWrap/>
            <w:vAlign w:val="center"/>
            <w:hideMark/>
          </w:tcPr>
          <w:p w:rsidRPr="00782FA6" w:rsidR="00DB248A" w:rsidP="00DB248A" w:rsidRDefault="00DB248A" w14:paraId="143DD9D8"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7491FE3E" w14:textId="58CE7C9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23DAE513" w14:textId="00025560">
            <w:pPr>
              <w:spacing w:line="240" w:lineRule="auto"/>
              <w:ind w:firstLine="0"/>
              <w:rPr>
                <w:rFonts w:eastAsia="Aptos" w:cs="Times New Roman"/>
                <w:sz w:val="20"/>
                <w:szCs w:val="20"/>
              </w:rPr>
            </w:pPr>
            <w:r w:rsidRPr="00782FA6">
              <w:rPr>
                <w:rFonts w:eastAsia="Aptos" w:cs="Times New Roman"/>
                <w:sz w:val="20"/>
                <w:szCs w:val="20"/>
              </w:rPr>
              <w:t>RCG Telecommunications Services LLC</w:t>
            </w:r>
          </w:p>
        </w:tc>
      </w:tr>
      <w:tr w:rsidRPr="00782FA6" w:rsidR="00DB248A" w:rsidTr="00E52317" w14:paraId="39D17FB1" w14:textId="77777777">
        <w:trPr>
          <w:trHeight w:val="300"/>
        </w:trPr>
        <w:tc>
          <w:tcPr>
            <w:tcW w:w="1170" w:type="dxa"/>
            <w:noWrap/>
            <w:vAlign w:val="center"/>
            <w:hideMark/>
          </w:tcPr>
          <w:p w:rsidRPr="00782FA6" w:rsidR="00DB248A" w:rsidP="00DB248A" w:rsidRDefault="00DB248A" w14:paraId="5A81300B" w14:textId="77777777">
            <w:pPr>
              <w:spacing w:line="240" w:lineRule="auto"/>
              <w:ind w:firstLine="0"/>
              <w:jc w:val="center"/>
              <w:rPr>
                <w:rFonts w:eastAsia="Aptos" w:cs="Times New Roman"/>
                <w:sz w:val="20"/>
                <w:szCs w:val="20"/>
              </w:rPr>
            </w:pPr>
            <w:r w:rsidRPr="00782FA6">
              <w:rPr>
                <w:rFonts w:eastAsia="Aptos" w:cs="Times New Roman"/>
                <w:sz w:val="20"/>
                <w:szCs w:val="20"/>
              </w:rPr>
              <w:t>1798</w:t>
            </w:r>
          </w:p>
        </w:tc>
        <w:tc>
          <w:tcPr>
            <w:tcW w:w="1036" w:type="dxa"/>
            <w:noWrap/>
            <w:vAlign w:val="center"/>
            <w:hideMark/>
          </w:tcPr>
          <w:p w:rsidRPr="00782FA6" w:rsidR="00DB248A" w:rsidP="00DB248A" w:rsidRDefault="00DB248A" w14:paraId="291CF289"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F81506B" w14:textId="6AA42E67">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69131C2" w14:textId="1FD37D79">
            <w:pPr>
              <w:spacing w:line="240" w:lineRule="auto"/>
              <w:ind w:firstLine="0"/>
              <w:rPr>
                <w:rFonts w:eastAsia="Aptos" w:cs="Times New Roman"/>
                <w:sz w:val="20"/>
                <w:szCs w:val="20"/>
              </w:rPr>
            </w:pPr>
            <w:proofErr w:type="spellStart"/>
            <w:r w:rsidRPr="00782FA6">
              <w:rPr>
                <w:rFonts w:eastAsia="Aptos" w:cs="Times New Roman"/>
                <w:sz w:val="20"/>
                <w:szCs w:val="20"/>
              </w:rPr>
              <w:t>BlackPoint</w:t>
            </w:r>
            <w:proofErr w:type="spellEnd"/>
            <w:r w:rsidRPr="00782FA6">
              <w:rPr>
                <w:rFonts w:eastAsia="Aptos" w:cs="Times New Roman"/>
                <w:sz w:val="20"/>
                <w:szCs w:val="20"/>
              </w:rPr>
              <w:t xml:space="preserve"> IT Services, Inc.</w:t>
            </w:r>
          </w:p>
        </w:tc>
      </w:tr>
      <w:tr w:rsidRPr="00782FA6" w:rsidR="00DB248A" w:rsidTr="00E52317" w14:paraId="5DD892D0" w14:textId="77777777">
        <w:trPr>
          <w:trHeight w:val="300"/>
        </w:trPr>
        <w:tc>
          <w:tcPr>
            <w:tcW w:w="1170" w:type="dxa"/>
            <w:noWrap/>
            <w:vAlign w:val="center"/>
            <w:hideMark/>
          </w:tcPr>
          <w:p w:rsidRPr="00782FA6" w:rsidR="00DB248A" w:rsidP="00DB248A" w:rsidRDefault="00DB248A" w14:paraId="351C8ED4" w14:textId="77777777">
            <w:pPr>
              <w:spacing w:line="240" w:lineRule="auto"/>
              <w:ind w:firstLine="0"/>
              <w:jc w:val="center"/>
              <w:rPr>
                <w:rFonts w:eastAsia="Aptos" w:cs="Times New Roman"/>
                <w:sz w:val="20"/>
                <w:szCs w:val="20"/>
              </w:rPr>
            </w:pPr>
            <w:r w:rsidRPr="00782FA6">
              <w:rPr>
                <w:rFonts w:eastAsia="Aptos" w:cs="Times New Roman"/>
                <w:sz w:val="20"/>
                <w:szCs w:val="20"/>
              </w:rPr>
              <w:t>1799</w:t>
            </w:r>
          </w:p>
        </w:tc>
        <w:tc>
          <w:tcPr>
            <w:tcW w:w="1036" w:type="dxa"/>
            <w:noWrap/>
            <w:vAlign w:val="center"/>
            <w:hideMark/>
          </w:tcPr>
          <w:p w:rsidRPr="00782FA6" w:rsidR="00DB248A" w:rsidP="00DB248A" w:rsidRDefault="00DB248A" w14:paraId="23A0399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0F3ACACA" w14:textId="6E21E9D4">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54CD9F15" w14:textId="6EF6DAF5">
            <w:pPr>
              <w:spacing w:line="240" w:lineRule="auto"/>
              <w:ind w:firstLine="0"/>
              <w:rPr>
                <w:rFonts w:eastAsia="Aptos" w:cs="Times New Roman"/>
                <w:sz w:val="20"/>
                <w:szCs w:val="20"/>
              </w:rPr>
            </w:pPr>
            <w:r w:rsidRPr="00782FA6">
              <w:rPr>
                <w:rFonts w:eastAsia="Aptos" w:cs="Times New Roman"/>
                <w:sz w:val="20"/>
                <w:szCs w:val="20"/>
              </w:rPr>
              <w:t>Contivio.com Corporation</w:t>
            </w:r>
          </w:p>
        </w:tc>
      </w:tr>
      <w:tr w:rsidRPr="00782FA6" w:rsidR="00DB248A" w:rsidTr="00E52317" w14:paraId="1B44815B" w14:textId="77777777">
        <w:trPr>
          <w:trHeight w:val="300"/>
        </w:trPr>
        <w:tc>
          <w:tcPr>
            <w:tcW w:w="1170" w:type="dxa"/>
            <w:noWrap/>
            <w:vAlign w:val="center"/>
            <w:hideMark/>
          </w:tcPr>
          <w:p w:rsidRPr="00782FA6" w:rsidR="00DB248A" w:rsidP="00DB248A" w:rsidRDefault="00DB248A" w14:paraId="58850EBA" w14:textId="77777777">
            <w:pPr>
              <w:spacing w:line="240" w:lineRule="auto"/>
              <w:ind w:firstLine="0"/>
              <w:jc w:val="center"/>
              <w:rPr>
                <w:rFonts w:eastAsia="Aptos" w:cs="Times New Roman"/>
                <w:sz w:val="20"/>
                <w:szCs w:val="20"/>
              </w:rPr>
            </w:pPr>
            <w:r w:rsidRPr="00782FA6">
              <w:rPr>
                <w:rFonts w:eastAsia="Aptos" w:cs="Times New Roman"/>
                <w:sz w:val="20"/>
                <w:szCs w:val="20"/>
              </w:rPr>
              <w:t>1800</w:t>
            </w:r>
          </w:p>
        </w:tc>
        <w:tc>
          <w:tcPr>
            <w:tcW w:w="1036" w:type="dxa"/>
            <w:noWrap/>
            <w:vAlign w:val="center"/>
            <w:hideMark/>
          </w:tcPr>
          <w:p w:rsidRPr="00782FA6" w:rsidR="00DB248A" w:rsidP="00DB248A" w:rsidRDefault="00DB248A" w14:paraId="0392D542"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tcPr>
          <w:p w:rsidRPr="00782FA6" w:rsidR="00DB248A" w:rsidP="00DB248A" w:rsidRDefault="00DB248A" w14:paraId="6D23B8BF" w14:textId="78D1315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330BF6BB" w14:textId="5D825C81">
            <w:pPr>
              <w:spacing w:line="240" w:lineRule="auto"/>
              <w:ind w:firstLine="0"/>
              <w:rPr>
                <w:rFonts w:eastAsia="Aptos" w:cs="Times New Roman"/>
                <w:sz w:val="20"/>
                <w:szCs w:val="20"/>
              </w:rPr>
            </w:pPr>
            <w:r w:rsidRPr="00782FA6">
              <w:rPr>
                <w:rFonts w:eastAsia="Aptos" w:cs="Times New Roman"/>
                <w:sz w:val="20"/>
                <w:szCs w:val="20"/>
              </w:rPr>
              <w:t>End2End Communications LLC</w:t>
            </w:r>
          </w:p>
        </w:tc>
      </w:tr>
      <w:tr w:rsidRPr="00782FA6" w:rsidR="00DB248A" w:rsidTr="00E52317" w14:paraId="1447E99A" w14:textId="21AA29AC">
        <w:trPr>
          <w:trHeight w:val="300"/>
        </w:trPr>
        <w:tc>
          <w:tcPr>
            <w:tcW w:w="1170" w:type="dxa"/>
            <w:noWrap/>
            <w:vAlign w:val="center"/>
            <w:hideMark/>
          </w:tcPr>
          <w:p w:rsidRPr="00782FA6" w:rsidR="00DB248A" w:rsidP="00DB248A" w:rsidRDefault="00DB248A" w14:paraId="2E2337BB" w14:textId="77777777">
            <w:pPr>
              <w:spacing w:line="240" w:lineRule="auto"/>
              <w:ind w:firstLine="0"/>
              <w:jc w:val="center"/>
              <w:rPr>
                <w:rFonts w:eastAsia="Aptos" w:cs="Times New Roman"/>
                <w:sz w:val="20"/>
                <w:szCs w:val="20"/>
              </w:rPr>
            </w:pPr>
            <w:r w:rsidRPr="00782FA6">
              <w:rPr>
                <w:rFonts w:eastAsia="Aptos" w:cs="Times New Roman"/>
                <w:sz w:val="20"/>
                <w:szCs w:val="20"/>
              </w:rPr>
              <w:t>1801</w:t>
            </w:r>
          </w:p>
        </w:tc>
        <w:tc>
          <w:tcPr>
            <w:tcW w:w="1036" w:type="dxa"/>
            <w:noWrap/>
            <w:vAlign w:val="center"/>
            <w:hideMark/>
          </w:tcPr>
          <w:p w:rsidRPr="00782FA6" w:rsidR="00DB248A" w:rsidP="00DB248A" w:rsidRDefault="00DB248A" w14:paraId="181DD934" w14:textId="77777777">
            <w:pPr>
              <w:spacing w:line="240" w:lineRule="auto"/>
              <w:ind w:firstLine="0"/>
              <w:jc w:val="center"/>
              <w:rPr>
                <w:rFonts w:eastAsia="Aptos" w:cs="Times New Roman"/>
                <w:sz w:val="20"/>
                <w:szCs w:val="20"/>
              </w:rPr>
            </w:pPr>
            <w:r w:rsidRPr="00782FA6">
              <w:rPr>
                <w:rFonts w:eastAsia="Aptos" w:cs="Times New Roman"/>
                <w:sz w:val="20"/>
                <w:szCs w:val="20"/>
              </w:rPr>
              <w:t>DVS</w:t>
            </w:r>
          </w:p>
        </w:tc>
        <w:tc>
          <w:tcPr>
            <w:tcW w:w="1303" w:type="dxa"/>
            <w:noWrap/>
            <w:hideMark/>
          </w:tcPr>
          <w:p w:rsidRPr="00782FA6" w:rsidR="00DB248A" w:rsidP="00DB248A" w:rsidRDefault="00DB248A" w14:paraId="4C225251" w14:textId="1A19606D">
            <w:pPr>
              <w:spacing w:line="240" w:lineRule="auto"/>
              <w:ind w:firstLine="0"/>
              <w:rPr>
                <w:rFonts w:eastAsia="Aptos" w:cs="Times New Roman"/>
                <w:sz w:val="20"/>
                <w:szCs w:val="20"/>
              </w:rPr>
            </w:pPr>
            <w:r w:rsidRPr="003771D0">
              <w:rPr>
                <w:rFonts w:eastAsia="Aptos" w:cs="Times New Roman"/>
                <w:sz w:val="20"/>
                <w:szCs w:val="20"/>
              </w:rPr>
              <w:t>DVF</w:t>
            </w:r>
          </w:p>
        </w:tc>
        <w:tc>
          <w:tcPr>
            <w:tcW w:w="5851" w:type="dxa"/>
            <w:noWrap/>
            <w:vAlign w:val="center"/>
            <w:hideMark/>
          </w:tcPr>
          <w:p w:rsidRPr="00782FA6" w:rsidR="00DB248A" w:rsidP="00DB248A" w:rsidRDefault="00DB248A" w14:paraId="1BF63A71" w14:textId="5A950672">
            <w:pPr>
              <w:spacing w:line="240" w:lineRule="auto"/>
              <w:ind w:firstLine="0"/>
              <w:rPr>
                <w:rFonts w:eastAsia="Aptos" w:cs="Times New Roman"/>
                <w:color w:val="000000"/>
                <w:sz w:val="20"/>
                <w:szCs w:val="20"/>
              </w:rPr>
            </w:pPr>
            <w:r w:rsidRPr="00782FA6">
              <w:rPr>
                <w:rFonts w:eastAsia="Aptos" w:cs="Times New Roman"/>
                <w:sz w:val="20"/>
                <w:szCs w:val="20"/>
              </w:rPr>
              <w:t>Computer Telephony Innovations, Inc</w:t>
            </w:r>
          </w:p>
          <w:p w:rsidRPr="00782FA6" w:rsidR="00DB248A" w:rsidP="00DB248A" w:rsidRDefault="00DB248A" w14:paraId="759C9D35" w14:textId="22251CE1">
            <w:pPr>
              <w:spacing w:line="240" w:lineRule="auto"/>
              <w:ind w:firstLine="0"/>
              <w:rPr>
                <w:rFonts w:eastAsia="Aptos" w:cs="Times New Roman"/>
                <w:sz w:val="20"/>
                <w:szCs w:val="20"/>
              </w:rPr>
            </w:pPr>
          </w:p>
        </w:tc>
      </w:tr>
    </w:tbl>
    <w:p w:rsidR="001F0388" w:rsidP="00F77351" w:rsidRDefault="001F0388" w14:paraId="29E769A4" w14:textId="77777777">
      <w:pPr>
        <w:ind w:firstLine="0"/>
        <w:rPr>
          <w:b/>
        </w:rPr>
      </w:pPr>
    </w:p>
    <w:p w:rsidR="001F0388" w:rsidP="00F77351" w:rsidRDefault="001F0388" w14:paraId="2EA96123" w14:textId="77777777">
      <w:pPr>
        <w:ind w:firstLine="0"/>
        <w:rPr>
          <w:b/>
        </w:rPr>
      </w:pPr>
    </w:p>
    <w:p w:rsidR="00AB5BAC" w:rsidP="00F77351" w:rsidRDefault="00AB5BAC" w14:paraId="2714CA3A" w14:textId="77777777">
      <w:pPr>
        <w:ind w:firstLine="0"/>
        <w:rPr>
          <w:b/>
        </w:rPr>
      </w:pPr>
    </w:p>
    <w:p w:rsidR="001F203D" w:rsidP="00645D56" w:rsidRDefault="001F203D" w14:paraId="1556AED1" w14:textId="08BBFB6E">
      <w:pPr>
        <w:ind w:firstLine="0"/>
        <w:jc w:val="center"/>
        <w:rPr>
          <w:b/>
        </w:rPr>
      </w:pPr>
      <w:r w:rsidRPr="002E4891">
        <w:rPr>
          <w:b/>
        </w:rPr>
        <w:t>(END OF A</w:t>
      </w:r>
      <w:r>
        <w:rPr>
          <w:b/>
        </w:rPr>
        <w:t>PPENDIX</w:t>
      </w:r>
      <w:r w:rsidRPr="002E4891">
        <w:rPr>
          <w:b/>
        </w:rPr>
        <w:t xml:space="preserve"> </w:t>
      </w:r>
      <w:r>
        <w:rPr>
          <w:b/>
        </w:rPr>
        <w:t>D</w:t>
      </w:r>
      <w:r w:rsidRPr="002E4891">
        <w:rPr>
          <w:b/>
        </w:rPr>
        <w:t>)</w:t>
      </w:r>
    </w:p>
    <w:p w:rsidR="00E432EA" w:rsidRDefault="00E432EA" w14:paraId="6CBC9507" w14:textId="77777777">
      <w:pPr>
        <w:spacing w:after="160" w:line="259" w:lineRule="auto"/>
        <w:ind w:firstLine="0"/>
        <w:rPr>
          <w:b/>
        </w:rPr>
        <w:sectPr w:rsidR="00E432EA" w:rsidSect="00977FD1">
          <w:footerReference w:type="default" r:id="rId37"/>
          <w:pgSz w:w="12240" w:h="15840"/>
          <w:pgMar w:top="1728" w:right="1440" w:bottom="1440" w:left="1440" w:header="720" w:footer="720" w:gutter="0"/>
          <w:pgNumType w:start="1"/>
          <w:cols w:space="720"/>
          <w:docGrid w:linePitch="360"/>
        </w:sectPr>
      </w:pPr>
    </w:p>
    <w:p w:rsidR="00D37C41" w:rsidP="00D37C41" w:rsidRDefault="00D37C41" w14:paraId="11694709" w14:textId="77777777">
      <w:pPr>
        <w:ind w:firstLine="0"/>
      </w:pPr>
    </w:p>
    <w:p w:rsidR="00D37C41" w:rsidP="00D37C41" w:rsidRDefault="00D37C41" w14:paraId="0ED6E5D6" w14:textId="77777777">
      <w:pPr>
        <w:ind w:firstLine="0"/>
      </w:pPr>
    </w:p>
    <w:p w:rsidR="00D37C41" w:rsidP="00D37C41" w:rsidRDefault="00D37C41" w14:paraId="653BF3BE" w14:textId="77777777">
      <w:pPr>
        <w:ind w:firstLine="0"/>
      </w:pPr>
    </w:p>
    <w:p w:rsidR="00D37C41" w:rsidP="00D37C41" w:rsidRDefault="00D37C41" w14:paraId="4802B848" w14:textId="77777777">
      <w:pPr>
        <w:ind w:firstLine="0"/>
      </w:pPr>
    </w:p>
    <w:p w:rsidR="00D37C41" w:rsidP="00D37C41" w:rsidRDefault="00D37C41" w14:paraId="2B649074" w14:textId="77777777">
      <w:pPr>
        <w:ind w:firstLine="0"/>
      </w:pPr>
    </w:p>
    <w:p w:rsidR="00D37C41" w:rsidP="00D37C41" w:rsidRDefault="00D37C41" w14:paraId="4C067401" w14:textId="77777777">
      <w:pPr>
        <w:ind w:firstLine="0"/>
      </w:pPr>
    </w:p>
    <w:p w:rsidR="00D37C41" w:rsidP="00D37C41" w:rsidRDefault="00D37C41" w14:paraId="2E9D173E" w14:textId="77777777">
      <w:pPr>
        <w:ind w:firstLine="0"/>
      </w:pPr>
    </w:p>
    <w:p w:rsidRPr="004E6CDC" w:rsidR="001F203D" w:rsidP="00564BEC" w:rsidRDefault="001F203D" w14:paraId="4CE80B6F" w14:textId="6BAD9F41">
      <w:pPr>
        <w:ind w:firstLine="0"/>
        <w:jc w:val="center"/>
        <w:rPr>
          <w:b/>
          <w:sz w:val="44"/>
          <w:szCs w:val="44"/>
        </w:rPr>
      </w:pPr>
      <w:r w:rsidRPr="004E6CDC">
        <w:rPr>
          <w:b/>
          <w:sz w:val="44"/>
          <w:szCs w:val="44"/>
        </w:rPr>
        <w:t>A</w:t>
      </w:r>
      <w:r>
        <w:rPr>
          <w:b/>
          <w:sz w:val="44"/>
          <w:szCs w:val="44"/>
        </w:rPr>
        <w:t>PPENDIX</w:t>
      </w:r>
      <w:r w:rsidRPr="004E6CDC">
        <w:rPr>
          <w:b/>
          <w:sz w:val="44"/>
          <w:szCs w:val="44"/>
        </w:rPr>
        <w:t xml:space="preserve"> </w:t>
      </w:r>
      <w:r w:rsidR="001F0388">
        <w:rPr>
          <w:b/>
          <w:sz w:val="44"/>
          <w:szCs w:val="44"/>
        </w:rPr>
        <w:t>E</w:t>
      </w:r>
    </w:p>
    <w:p w:rsidR="001F203D" w:rsidP="001F203D" w:rsidRDefault="001F203D" w14:paraId="7D0B72B1" w14:textId="77777777">
      <w:pPr>
        <w:sectPr w:rsidR="001F203D" w:rsidSect="00977FD1">
          <w:footerReference w:type="default" r:id="rId38"/>
          <w:pgSz w:w="12240" w:h="15840"/>
          <w:pgMar w:top="1728" w:right="1440" w:bottom="1440" w:left="1440" w:header="720" w:footer="720" w:gutter="0"/>
          <w:pgNumType w:start="1"/>
          <w:cols w:space="720"/>
          <w:docGrid w:linePitch="360"/>
        </w:sectPr>
      </w:pPr>
    </w:p>
    <w:p w:rsidRPr="008123F1" w:rsidR="001F203D" w:rsidP="008123F1" w:rsidRDefault="001F203D" w14:paraId="3B3BFA8B" w14:textId="632B9E42">
      <w:pPr>
        <w:spacing w:after="240" w:line="240" w:lineRule="auto"/>
        <w:ind w:firstLine="0"/>
        <w:jc w:val="center"/>
        <w:rPr>
          <w:rFonts w:ascii="Arial" w:hAnsi="Arial"/>
          <w:b/>
          <w:bCs/>
        </w:rPr>
      </w:pPr>
      <w:bookmarkStart w:name="_Toc174702348" w:id="264"/>
      <w:r w:rsidRPr="008123F1">
        <w:rPr>
          <w:rFonts w:ascii="Arial" w:hAnsi="Arial"/>
          <w:b/>
          <w:bCs/>
        </w:rPr>
        <w:lastRenderedPageBreak/>
        <w:t xml:space="preserve">APPENDIX </w:t>
      </w:r>
      <w:r w:rsidRPr="008123F1" w:rsidR="0022703A">
        <w:rPr>
          <w:rFonts w:ascii="Arial" w:hAnsi="Arial"/>
          <w:b/>
          <w:bCs/>
        </w:rPr>
        <w:t>E</w:t>
      </w:r>
      <w:bookmarkEnd w:id="264"/>
    </w:p>
    <w:p w:rsidR="00406E4C" w:rsidP="008123F1" w:rsidRDefault="00455B00" w14:paraId="790C61DE" w14:textId="59BB7CA1">
      <w:pPr>
        <w:spacing w:after="180" w:line="240" w:lineRule="auto"/>
        <w:ind w:firstLine="0"/>
        <w:rPr>
          <w:rFonts w:cs="Arial"/>
          <w:b/>
          <w:bCs/>
          <w:color w:val="000000" w:themeColor="text1"/>
          <w:szCs w:val="26"/>
        </w:rPr>
      </w:pPr>
      <w:r w:rsidRPr="001F203D">
        <w:rPr>
          <w:rFonts w:cs="Arial"/>
          <w:b/>
          <w:bCs/>
          <w:color w:val="000000" w:themeColor="text1"/>
          <w:szCs w:val="26"/>
        </w:rPr>
        <w:t xml:space="preserve">List of </w:t>
      </w:r>
      <w:r w:rsidRPr="000178D1">
        <w:rPr>
          <w:rFonts w:cs="Arial"/>
          <w:b/>
          <w:bCs/>
          <w:color w:val="000000" w:themeColor="text1"/>
          <w:szCs w:val="26"/>
        </w:rPr>
        <w:t>Currently Operating</w:t>
      </w:r>
      <w:r>
        <w:rPr>
          <w:rFonts w:cs="Arial"/>
          <w:b/>
          <w:bCs/>
          <w:color w:val="000000" w:themeColor="text1"/>
          <w:szCs w:val="26"/>
        </w:rPr>
        <w:t xml:space="preserve"> CPCN/</w:t>
      </w:r>
      <w:r w:rsidR="00F93F90">
        <w:rPr>
          <w:rFonts w:cs="Arial"/>
          <w:b/>
          <w:bCs/>
          <w:color w:val="000000" w:themeColor="text1"/>
          <w:szCs w:val="26"/>
        </w:rPr>
        <w:t>Section 1013</w:t>
      </w:r>
      <w:r>
        <w:rPr>
          <w:rFonts w:cs="Arial"/>
          <w:b/>
          <w:bCs/>
          <w:color w:val="000000" w:themeColor="text1"/>
          <w:szCs w:val="26"/>
        </w:rPr>
        <w:t xml:space="preserve"> Holders Subject to Automatic Migration to Non</w:t>
      </w:r>
      <w:r w:rsidR="006951D5">
        <w:rPr>
          <w:rFonts w:cs="Arial"/>
          <w:b/>
          <w:bCs/>
          <w:color w:val="000000" w:themeColor="text1"/>
          <w:szCs w:val="26"/>
        </w:rPr>
        <w:noBreakHyphen/>
      </w:r>
      <w:r>
        <w:rPr>
          <w:rFonts w:cs="Arial"/>
          <w:b/>
          <w:bCs/>
          <w:color w:val="000000" w:themeColor="text1"/>
          <w:szCs w:val="26"/>
        </w:rPr>
        <w:t>Facilities</w:t>
      </w:r>
      <w:r w:rsidR="006951D5">
        <w:rPr>
          <w:rFonts w:cs="Arial"/>
          <w:b/>
          <w:bCs/>
          <w:color w:val="000000" w:themeColor="text1"/>
          <w:szCs w:val="26"/>
        </w:rPr>
        <w:noBreakHyphen/>
      </w:r>
      <w:r>
        <w:rPr>
          <w:rFonts w:cs="Arial"/>
          <w:b/>
          <w:bCs/>
          <w:color w:val="000000" w:themeColor="text1"/>
          <w:szCs w:val="26"/>
        </w:rPr>
        <w:t xml:space="preserve">Based Fixed Interconnected VoIP Provider </w:t>
      </w:r>
    </w:p>
    <w:p w:rsidR="00C50C29" w:rsidP="001B5C80" w:rsidRDefault="009A61FF" w14:paraId="6017934E" w14:textId="2129E2E9">
      <w:pPr>
        <w:spacing w:line="240" w:lineRule="auto"/>
        <w:ind w:firstLine="0"/>
        <w:rPr>
          <w:rFonts w:cs="Arial"/>
          <w:color w:val="000000" w:themeColor="text1"/>
          <w:szCs w:val="26"/>
        </w:rPr>
      </w:pPr>
      <w:r w:rsidRPr="00E315F5">
        <w:rPr>
          <w:rFonts w:cs="Arial"/>
          <w:color w:val="000000" w:themeColor="text1"/>
          <w:szCs w:val="26"/>
        </w:rPr>
        <w:t xml:space="preserve">*As of </w:t>
      </w:r>
      <w:r w:rsidR="00400BB6">
        <w:rPr>
          <w:rFonts w:cs="Arial"/>
          <w:color w:val="000000" w:themeColor="text1"/>
          <w:szCs w:val="26"/>
        </w:rPr>
        <w:t>August </w:t>
      </w:r>
      <w:r w:rsidR="0060106F">
        <w:rPr>
          <w:rFonts w:cs="Arial"/>
          <w:color w:val="000000" w:themeColor="text1"/>
          <w:szCs w:val="26"/>
        </w:rPr>
        <w:t>22</w:t>
      </w:r>
      <w:r w:rsidRPr="00E315F5">
        <w:rPr>
          <w:rFonts w:cs="Arial"/>
          <w:color w:val="000000" w:themeColor="text1"/>
          <w:szCs w:val="26"/>
        </w:rPr>
        <w:t>, 2024</w:t>
      </w:r>
    </w:p>
    <w:p w:rsidR="00493DBE" w:rsidP="001B5C80" w:rsidRDefault="00493DBE" w14:paraId="4D3648A1" w14:textId="77777777">
      <w:pPr>
        <w:spacing w:line="240" w:lineRule="auto"/>
        <w:ind w:firstLine="0"/>
        <w:rPr>
          <w:rFonts w:cs="Arial"/>
          <w:color w:val="000000" w:themeColor="text1"/>
          <w:szCs w:val="26"/>
        </w:rPr>
      </w:pPr>
    </w:p>
    <w:tbl>
      <w:tblPr>
        <w:tblStyle w:val="TableGrid2"/>
        <w:tblW w:w="8995" w:type="dxa"/>
        <w:tblLayout w:type="fixed"/>
        <w:tblLook w:val="04A0" w:firstRow="1" w:lastRow="0" w:firstColumn="1" w:lastColumn="0" w:noHBand="0" w:noVBand="1"/>
      </w:tblPr>
      <w:tblGrid>
        <w:gridCol w:w="1345"/>
        <w:gridCol w:w="990"/>
        <w:gridCol w:w="1080"/>
        <w:gridCol w:w="5580"/>
      </w:tblGrid>
      <w:tr w:rsidRPr="00782FA6" w:rsidR="00DB248A" w:rsidTr="001C7C69" w14:paraId="39552731" w14:textId="77777777">
        <w:trPr>
          <w:trHeight w:val="1070"/>
          <w:tblHeader/>
        </w:trPr>
        <w:tc>
          <w:tcPr>
            <w:tcW w:w="1345" w:type="dxa"/>
            <w:shd w:val="clear" w:color="auto" w:fill="E8E8E8"/>
            <w:vAlign w:val="center"/>
            <w:hideMark/>
          </w:tcPr>
          <w:p w:rsidRPr="00782FA6" w:rsidR="00DB248A" w:rsidRDefault="00DB248A" w14:paraId="4AF59FC4" w14:textId="77777777">
            <w:pPr>
              <w:spacing w:line="240" w:lineRule="auto"/>
              <w:ind w:firstLine="0"/>
              <w:jc w:val="center"/>
              <w:rPr>
                <w:rFonts w:eastAsia="Aptos" w:cs="Times New Roman"/>
                <w:b/>
                <w:bCs/>
                <w:sz w:val="24"/>
                <w:szCs w:val="24"/>
              </w:rPr>
            </w:pPr>
            <w:r w:rsidRPr="00782FA6">
              <w:rPr>
                <w:rFonts w:eastAsia="Aptos" w:cs="Times New Roman"/>
                <w:b/>
                <w:bCs/>
                <w:sz w:val="24"/>
                <w:szCs w:val="24"/>
              </w:rPr>
              <w:t>Corporate Utility ID Number</w:t>
            </w:r>
          </w:p>
        </w:tc>
        <w:tc>
          <w:tcPr>
            <w:tcW w:w="990" w:type="dxa"/>
            <w:shd w:val="clear" w:color="auto" w:fill="E8E8E8"/>
            <w:vAlign w:val="center"/>
            <w:hideMark/>
          </w:tcPr>
          <w:p w:rsidRPr="00782FA6" w:rsidR="00DB248A" w:rsidRDefault="00DB248A" w14:paraId="4BFEFA52" w14:textId="54ABAE64">
            <w:pPr>
              <w:spacing w:line="240" w:lineRule="auto"/>
              <w:ind w:firstLine="0"/>
              <w:jc w:val="center"/>
              <w:rPr>
                <w:rFonts w:eastAsia="Aptos" w:cs="Times New Roman"/>
                <w:b/>
                <w:bCs/>
                <w:sz w:val="24"/>
                <w:szCs w:val="24"/>
              </w:rPr>
            </w:pPr>
            <w:proofErr w:type="spellStart"/>
            <w:r>
              <w:rPr>
                <w:rFonts w:eastAsia="Aptos" w:cs="Times New Roman"/>
                <w:b/>
                <w:bCs/>
                <w:sz w:val="24"/>
                <w:szCs w:val="24"/>
              </w:rPr>
              <w:t>Curent</w:t>
            </w:r>
            <w:r w:rsidRPr="00782FA6">
              <w:rPr>
                <w:rFonts w:eastAsia="Aptos" w:cs="Times New Roman"/>
                <w:b/>
                <w:bCs/>
                <w:sz w:val="24"/>
                <w:szCs w:val="24"/>
              </w:rPr>
              <w:t>Utility</w:t>
            </w:r>
            <w:proofErr w:type="spellEnd"/>
            <w:r w:rsidRPr="00782FA6">
              <w:rPr>
                <w:rFonts w:eastAsia="Aptos" w:cs="Times New Roman"/>
                <w:b/>
                <w:bCs/>
                <w:sz w:val="24"/>
                <w:szCs w:val="24"/>
              </w:rPr>
              <w:t xml:space="preserve"> Type</w:t>
            </w:r>
          </w:p>
        </w:tc>
        <w:tc>
          <w:tcPr>
            <w:tcW w:w="1080" w:type="dxa"/>
            <w:shd w:val="clear" w:color="auto" w:fill="E8E8E8"/>
          </w:tcPr>
          <w:p w:rsidRPr="00782FA6" w:rsidR="00DB248A" w:rsidRDefault="00DB248A" w14:paraId="25744DDD" w14:textId="7DAA8A74">
            <w:pPr>
              <w:spacing w:line="240" w:lineRule="auto"/>
              <w:ind w:firstLine="0"/>
              <w:jc w:val="center"/>
              <w:rPr>
                <w:rFonts w:eastAsia="Aptos" w:cs="Times New Roman"/>
                <w:b/>
                <w:bCs/>
                <w:sz w:val="24"/>
                <w:szCs w:val="24"/>
              </w:rPr>
            </w:pPr>
            <w:r>
              <w:rPr>
                <w:rFonts w:eastAsia="Aptos" w:cs="Times New Roman"/>
                <w:b/>
                <w:bCs/>
                <w:sz w:val="24"/>
                <w:szCs w:val="24"/>
              </w:rPr>
              <w:t>New Utility Type</w:t>
            </w:r>
          </w:p>
        </w:tc>
        <w:tc>
          <w:tcPr>
            <w:tcW w:w="5580" w:type="dxa"/>
            <w:shd w:val="clear" w:color="auto" w:fill="E8E8E8"/>
            <w:noWrap/>
            <w:vAlign w:val="center"/>
            <w:hideMark/>
          </w:tcPr>
          <w:p w:rsidRPr="00782FA6" w:rsidR="00DB248A" w:rsidRDefault="00DB248A" w14:paraId="0FD5E6A5" w14:textId="4906D05D">
            <w:pPr>
              <w:spacing w:line="240" w:lineRule="auto"/>
              <w:ind w:firstLine="0"/>
              <w:jc w:val="center"/>
              <w:rPr>
                <w:rFonts w:eastAsia="Aptos" w:cs="Times New Roman"/>
                <w:b/>
                <w:bCs/>
                <w:sz w:val="24"/>
                <w:szCs w:val="24"/>
              </w:rPr>
            </w:pPr>
            <w:r w:rsidRPr="00782FA6">
              <w:rPr>
                <w:rFonts w:eastAsia="Aptos" w:cs="Times New Roman"/>
                <w:b/>
                <w:bCs/>
                <w:sz w:val="24"/>
                <w:szCs w:val="24"/>
              </w:rPr>
              <w:t>Utility Name</w:t>
            </w:r>
          </w:p>
        </w:tc>
      </w:tr>
      <w:tr w:rsidRPr="00782FA6" w:rsidR="00DB248A" w:rsidTr="001C7C69" w14:paraId="6DAC9137" w14:textId="77777777">
        <w:trPr>
          <w:trHeight w:val="300"/>
        </w:trPr>
        <w:tc>
          <w:tcPr>
            <w:tcW w:w="1345" w:type="dxa"/>
            <w:noWrap/>
            <w:vAlign w:val="center"/>
          </w:tcPr>
          <w:p w:rsidRPr="00782FA6" w:rsidR="00DB248A" w:rsidP="00C03F91" w:rsidRDefault="00DB248A" w14:paraId="59370471" w14:textId="599848F1">
            <w:pPr>
              <w:spacing w:line="240" w:lineRule="auto"/>
              <w:ind w:firstLine="0"/>
              <w:jc w:val="center"/>
              <w:rPr>
                <w:rFonts w:eastAsia="Aptos" w:cs="Times New Roman"/>
                <w:sz w:val="20"/>
                <w:szCs w:val="20"/>
              </w:rPr>
            </w:pPr>
            <w:r w:rsidRPr="00B44946">
              <w:rPr>
                <w:rFonts w:cs="Arial"/>
                <w:color w:val="000000" w:themeColor="text1"/>
                <w:sz w:val="20"/>
                <w:szCs w:val="20"/>
              </w:rPr>
              <w:t>7413</w:t>
            </w:r>
          </w:p>
        </w:tc>
        <w:tc>
          <w:tcPr>
            <w:tcW w:w="990" w:type="dxa"/>
            <w:noWrap/>
            <w:vAlign w:val="center"/>
          </w:tcPr>
          <w:p w:rsidRPr="00782FA6" w:rsidR="00DB248A" w:rsidP="00C03F91" w:rsidRDefault="00DB248A" w14:paraId="2EB252B2" w14:textId="42331A4B">
            <w:pPr>
              <w:spacing w:line="240" w:lineRule="auto"/>
              <w:ind w:firstLine="0"/>
              <w:jc w:val="center"/>
              <w:rPr>
                <w:rFonts w:eastAsia="Aptos" w:cs="Times New Roman"/>
                <w:sz w:val="20"/>
                <w:szCs w:val="20"/>
              </w:rPr>
            </w:pPr>
            <w:r w:rsidRPr="00B44946">
              <w:rPr>
                <w:sz w:val="20"/>
                <w:szCs w:val="20"/>
              </w:rPr>
              <w:t>IER</w:t>
            </w:r>
          </w:p>
        </w:tc>
        <w:tc>
          <w:tcPr>
            <w:tcW w:w="1080" w:type="dxa"/>
          </w:tcPr>
          <w:p w:rsidRPr="00B44946" w:rsidR="00DB248A" w:rsidP="001C7C69" w:rsidRDefault="00DB248A" w14:paraId="018B1AAB" w14:textId="6A9D49FF">
            <w:pPr>
              <w:spacing w:line="240" w:lineRule="auto"/>
              <w:ind w:firstLine="0"/>
              <w:jc w:val="center"/>
              <w:rPr>
                <w:sz w:val="20"/>
                <w:szCs w:val="20"/>
              </w:rPr>
            </w:pPr>
            <w:r>
              <w:rPr>
                <w:sz w:val="20"/>
                <w:szCs w:val="20"/>
              </w:rPr>
              <w:t>DVF</w:t>
            </w:r>
          </w:p>
        </w:tc>
        <w:tc>
          <w:tcPr>
            <w:tcW w:w="5580" w:type="dxa"/>
            <w:noWrap/>
            <w:vAlign w:val="center"/>
          </w:tcPr>
          <w:p w:rsidRPr="00782FA6" w:rsidR="00DB248A" w:rsidP="00C03F91" w:rsidRDefault="00DB248A" w14:paraId="0A1B42DF" w14:textId="79DBD519">
            <w:pPr>
              <w:spacing w:line="240" w:lineRule="auto"/>
              <w:ind w:firstLine="0"/>
              <w:rPr>
                <w:rFonts w:eastAsia="Aptos" w:cs="Times New Roman"/>
                <w:sz w:val="20"/>
                <w:szCs w:val="20"/>
              </w:rPr>
            </w:pPr>
            <w:r w:rsidRPr="00B44946">
              <w:rPr>
                <w:sz w:val="20"/>
                <w:szCs w:val="20"/>
              </w:rPr>
              <w:t>Atlantis Utility, Inc.</w:t>
            </w:r>
          </w:p>
        </w:tc>
      </w:tr>
      <w:tr w:rsidRPr="00782FA6" w:rsidR="00DB248A" w:rsidTr="001C7C69" w14:paraId="4B22BF02" w14:textId="77777777">
        <w:trPr>
          <w:trHeight w:val="300"/>
        </w:trPr>
        <w:tc>
          <w:tcPr>
            <w:tcW w:w="1345" w:type="dxa"/>
            <w:noWrap/>
            <w:vAlign w:val="center"/>
          </w:tcPr>
          <w:p w:rsidRPr="00B44946" w:rsidR="00DB248A" w:rsidP="00DB248A" w:rsidRDefault="00DB248A" w14:paraId="04401854" w14:textId="0F069B2D">
            <w:pPr>
              <w:spacing w:line="240" w:lineRule="auto"/>
              <w:ind w:firstLine="0"/>
              <w:jc w:val="center"/>
              <w:rPr>
                <w:rFonts w:cs="Arial"/>
                <w:color w:val="000000" w:themeColor="text1"/>
                <w:sz w:val="20"/>
                <w:szCs w:val="20"/>
              </w:rPr>
            </w:pPr>
            <w:r w:rsidRPr="00B44946">
              <w:rPr>
                <w:rFonts w:cs="Arial"/>
                <w:color w:val="000000" w:themeColor="text1"/>
                <w:sz w:val="20"/>
                <w:szCs w:val="20"/>
              </w:rPr>
              <w:t>7414</w:t>
            </w:r>
          </w:p>
        </w:tc>
        <w:tc>
          <w:tcPr>
            <w:tcW w:w="990" w:type="dxa"/>
            <w:noWrap/>
            <w:vAlign w:val="center"/>
          </w:tcPr>
          <w:p w:rsidRPr="00B44946" w:rsidR="00DB248A" w:rsidP="00DB248A" w:rsidRDefault="00DB248A" w14:paraId="29F1F4F5" w14:textId="0B7BD2F6">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77BCC563" w14:textId="3288DE39">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424F1573" w14:textId="508ACBE4">
            <w:pPr>
              <w:spacing w:line="240" w:lineRule="auto"/>
              <w:ind w:firstLine="0"/>
              <w:rPr>
                <w:sz w:val="20"/>
                <w:szCs w:val="20"/>
              </w:rPr>
            </w:pPr>
            <w:r w:rsidRPr="00B44946">
              <w:rPr>
                <w:sz w:val="20"/>
                <w:szCs w:val="20"/>
              </w:rPr>
              <w:t>Cheap Geeks IT Consulting</w:t>
            </w:r>
          </w:p>
        </w:tc>
      </w:tr>
      <w:tr w:rsidRPr="00782FA6" w:rsidR="00DB248A" w:rsidTr="001C7C69" w14:paraId="74CE4276" w14:textId="77777777">
        <w:trPr>
          <w:trHeight w:val="300"/>
        </w:trPr>
        <w:tc>
          <w:tcPr>
            <w:tcW w:w="1345" w:type="dxa"/>
            <w:noWrap/>
            <w:vAlign w:val="center"/>
          </w:tcPr>
          <w:p w:rsidRPr="00B44946" w:rsidR="00DB248A" w:rsidP="00DB248A" w:rsidRDefault="00DB248A" w14:paraId="0B33FE76" w14:textId="27D8ABEB">
            <w:pPr>
              <w:spacing w:line="240" w:lineRule="auto"/>
              <w:ind w:firstLine="0"/>
              <w:jc w:val="center"/>
              <w:rPr>
                <w:rFonts w:cs="Arial"/>
                <w:color w:val="000000" w:themeColor="text1"/>
                <w:sz w:val="20"/>
                <w:szCs w:val="20"/>
              </w:rPr>
            </w:pPr>
            <w:r w:rsidRPr="00B44946">
              <w:rPr>
                <w:rFonts w:cs="Arial"/>
                <w:color w:val="000000" w:themeColor="text1"/>
                <w:sz w:val="20"/>
                <w:szCs w:val="20"/>
              </w:rPr>
              <w:t>7415</w:t>
            </w:r>
          </w:p>
        </w:tc>
        <w:tc>
          <w:tcPr>
            <w:tcW w:w="990" w:type="dxa"/>
            <w:noWrap/>
            <w:vAlign w:val="center"/>
          </w:tcPr>
          <w:p w:rsidRPr="00B44946" w:rsidR="00DB248A" w:rsidP="00DB248A" w:rsidRDefault="00DB248A" w14:paraId="64B59E60" w14:textId="3E48245F">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731FBCFB" w14:textId="47C1EE26">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2689BAD8" w14:textId="1FED7149">
            <w:pPr>
              <w:spacing w:line="240" w:lineRule="auto"/>
              <w:ind w:firstLine="0"/>
              <w:rPr>
                <w:sz w:val="20"/>
                <w:szCs w:val="20"/>
              </w:rPr>
            </w:pPr>
            <w:r w:rsidRPr="00B44946">
              <w:rPr>
                <w:sz w:val="20"/>
                <w:szCs w:val="20"/>
              </w:rPr>
              <w:t>Quality Voice</w:t>
            </w:r>
            <w:r>
              <w:rPr>
                <w:sz w:val="20"/>
                <w:szCs w:val="20"/>
              </w:rPr>
              <w:t xml:space="preserve"> &amp; </w:t>
            </w:r>
            <w:r w:rsidRPr="00B44946">
              <w:rPr>
                <w:sz w:val="20"/>
                <w:szCs w:val="20"/>
              </w:rPr>
              <w:t>Data, Inc.</w:t>
            </w:r>
          </w:p>
        </w:tc>
      </w:tr>
      <w:tr w:rsidRPr="00782FA6" w:rsidR="00DB248A" w:rsidTr="001C7C69" w14:paraId="7F4F967A" w14:textId="77777777">
        <w:trPr>
          <w:trHeight w:val="300"/>
        </w:trPr>
        <w:tc>
          <w:tcPr>
            <w:tcW w:w="1345" w:type="dxa"/>
            <w:noWrap/>
            <w:vAlign w:val="center"/>
          </w:tcPr>
          <w:p w:rsidRPr="00B44946" w:rsidR="00DB248A" w:rsidP="00DB248A" w:rsidRDefault="00DB248A" w14:paraId="56A2BEFD" w14:textId="2B4CC27A">
            <w:pPr>
              <w:spacing w:line="240" w:lineRule="auto"/>
              <w:ind w:firstLine="0"/>
              <w:jc w:val="center"/>
              <w:rPr>
                <w:rFonts w:cs="Arial"/>
                <w:color w:val="000000" w:themeColor="text1"/>
                <w:sz w:val="20"/>
                <w:szCs w:val="20"/>
              </w:rPr>
            </w:pPr>
            <w:r w:rsidRPr="00B44946">
              <w:rPr>
                <w:rFonts w:cs="Arial"/>
                <w:color w:val="000000" w:themeColor="text1"/>
                <w:sz w:val="20"/>
                <w:szCs w:val="20"/>
              </w:rPr>
              <w:t>7416</w:t>
            </w:r>
          </w:p>
        </w:tc>
        <w:tc>
          <w:tcPr>
            <w:tcW w:w="990" w:type="dxa"/>
            <w:noWrap/>
            <w:vAlign w:val="center"/>
          </w:tcPr>
          <w:p w:rsidRPr="00B44946" w:rsidR="00DB248A" w:rsidP="00DB248A" w:rsidRDefault="00DB248A" w14:paraId="3C85D118" w14:textId="3ACD9B69">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14A5F6BF" w14:textId="75D9FF8B">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74B34FBF" w14:textId="23A1E39E">
            <w:pPr>
              <w:spacing w:line="240" w:lineRule="auto"/>
              <w:ind w:firstLine="0"/>
              <w:rPr>
                <w:sz w:val="20"/>
                <w:szCs w:val="20"/>
              </w:rPr>
            </w:pPr>
            <w:r w:rsidRPr="00B44946">
              <w:rPr>
                <w:sz w:val="20"/>
                <w:szCs w:val="20"/>
              </w:rPr>
              <w:t>Dagobah Systems, Inc.</w:t>
            </w:r>
          </w:p>
        </w:tc>
      </w:tr>
      <w:tr w:rsidRPr="00782FA6" w:rsidR="00DB248A" w:rsidTr="001C7C69" w14:paraId="19519221" w14:textId="77777777">
        <w:trPr>
          <w:trHeight w:val="300"/>
        </w:trPr>
        <w:tc>
          <w:tcPr>
            <w:tcW w:w="1345" w:type="dxa"/>
            <w:noWrap/>
            <w:vAlign w:val="center"/>
          </w:tcPr>
          <w:p w:rsidRPr="00B44946" w:rsidR="00DB248A" w:rsidP="00DB248A" w:rsidRDefault="00DB248A" w14:paraId="03408FF8" w14:textId="695FB7B4">
            <w:pPr>
              <w:spacing w:line="240" w:lineRule="auto"/>
              <w:ind w:firstLine="0"/>
              <w:jc w:val="center"/>
              <w:rPr>
                <w:rFonts w:cs="Arial"/>
                <w:color w:val="000000" w:themeColor="text1"/>
                <w:sz w:val="20"/>
                <w:szCs w:val="20"/>
              </w:rPr>
            </w:pPr>
            <w:r w:rsidRPr="00B44946">
              <w:rPr>
                <w:rFonts w:cs="Arial"/>
                <w:color w:val="000000" w:themeColor="text1"/>
                <w:sz w:val="20"/>
                <w:szCs w:val="20"/>
              </w:rPr>
              <w:t>7417</w:t>
            </w:r>
          </w:p>
        </w:tc>
        <w:tc>
          <w:tcPr>
            <w:tcW w:w="990" w:type="dxa"/>
            <w:noWrap/>
            <w:vAlign w:val="center"/>
          </w:tcPr>
          <w:p w:rsidRPr="00B44946" w:rsidR="00DB248A" w:rsidP="00DB248A" w:rsidRDefault="00DB248A" w14:paraId="5EDFDF8E" w14:textId="18176BAE">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65DDD6B3" w14:textId="472D6C3C">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4D9028D9" w14:textId="3DF7C8C4">
            <w:pPr>
              <w:spacing w:line="240" w:lineRule="auto"/>
              <w:ind w:firstLine="0"/>
              <w:rPr>
                <w:sz w:val="20"/>
                <w:szCs w:val="20"/>
              </w:rPr>
            </w:pPr>
            <w:proofErr w:type="spellStart"/>
            <w:r w:rsidRPr="00B44946">
              <w:rPr>
                <w:sz w:val="20"/>
                <w:szCs w:val="20"/>
              </w:rPr>
              <w:t>Ozonetel</w:t>
            </w:r>
            <w:proofErr w:type="spellEnd"/>
            <w:r w:rsidRPr="00B44946">
              <w:rPr>
                <w:sz w:val="20"/>
                <w:szCs w:val="20"/>
              </w:rPr>
              <w:t xml:space="preserve"> Communications, Inc.</w:t>
            </w:r>
          </w:p>
        </w:tc>
      </w:tr>
      <w:tr w:rsidRPr="00782FA6" w:rsidR="00DB248A" w:rsidTr="001C7C69" w14:paraId="57689455" w14:textId="77777777">
        <w:trPr>
          <w:trHeight w:val="300"/>
        </w:trPr>
        <w:tc>
          <w:tcPr>
            <w:tcW w:w="1345" w:type="dxa"/>
            <w:noWrap/>
            <w:vAlign w:val="center"/>
          </w:tcPr>
          <w:p w:rsidRPr="00B44946" w:rsidR="00DB248A" w:rsidP="00DB248A" w:rsidRDefault="00DB248A" w14:paraId="00287653" w14:textId="620F711F">
            <w:pPr>
              <w:spacing w:line="240" w:lineRule="auto"/>
              <w:ind w:firstLine="0"/>
              <w:jc w:val="center"/>
              <w:rPr>
                <w:rFonts w:cs="Arial"/>
                <w:color w:val="000000" w:themeColor="text1"/>
                <w:sz w:val="20"/>
                <w:szCs w:val="20"/>
              </w:rPr>
            </w:pPr>
            <w:r w:rsidRPr="00B44946">
              <w:rPr>
                <w:rFonts w:cs="Arial"/>
                <w:color w:val="000000" w:themeColor="text1"/>
                <w:sz w:val="20"/>
                <w:szCs w:val="20"/>
              </w:rPr>
              <w:t>7418</w:t>
            </w:r>
          </w:p>
        </w:tc>
        <w:tc>
          <w:tcPr>
            <w:tcW w:w="990" w:type="dxa"/>
            <w:noWrap/>
            <w:vAlign w:val="center"/>
          </w:tcPr>
          <w:p w:rsidRPr="00B44946" w:rsidR="00DB248A" w:rsidP="00DB248A" w:rsidRDefault="00DB248A" w14:paraId="2B500587" w14:textId="05738FDA">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4C6F4899" w14:textId="349E13A3">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37F0C870" w14:textId="0A828685">
            <w:pPr>
              <w:spacing w:line="240" w:lineRule="auto"/>
              <w:ind w:firstLine="0"/>
              <w:rPr>
                <w:sz w:val="20"/>
                <w:szCs w:val="20"/>
              </w:rPr>
            </w:pPr>
            <w:r w:rsidRPr="00B44946">
              <w:rPr>
                <w:sz w:val="20"/>
                <w:szCs w:val="20"/>
              </w:rPr>
              <w:t>VoIP Stir PR LLC</w:t>
            </w:r>
          </w:p>
        </w:tc>
      </w:tr>
      <w:tr w:rsidRPr="00782FA6" w:rsidR="00DB248A" w:rsidTr="001C7C69" w14:paraId="7B07D145" w14:textId="77777777">
        <w:trPr>
          <w:trHeight w:val="300"/>
        </w:trPr>
        <w:tc>
          <w:tcPr>
            <w:tcW w:w="1345" w:type="dxa"/>
            <w:noWrap/>
            <w:vAlign w:val="center"/>
          </w:tcPr>
          <w:p w:rsidRPr="00B44946" w:rsidR="00DB248A" w:rsidP="00DB248A" w:rsidRDefault="00DB248A" w14:paraId="6711A2F4" w14:textId="75F43FD8">
            <w:pPr>
              <w:spacing w:line="240" w:lineRule="auto"/>
              <w:ind w:firstLine="0"/>
              <w:jc w:val="center"/>
              <w:rPr>
                <w:rFonts w:cs="Arial"/>
                <w:color w:val="000000" w:themeColor="text1"/>
                <w:sz w:val="20"/>
                <w:szCs w:val="20"/>
              </w:rPr>
            </w:pPr>
            <w:r w:rsidRPr="00B44946">
              <w:rPr>
                <w:rFonts w:cs="Arial"/>
                <w:color w:val="000000" w:themeColor="text1"/>
                <w:sz w:val="20"/>
                <w:szCs w:val="20"/>
              </w:rPr>
              <w:t>7419</w:t>
            </w:r>
          </w:p>
        </w:tc>
        <w:tc>
          <w:tcPr>
            <w:tcW w:w="990" w:type="dxa"/>
            <w:noWrap/>
            <w:vAlign w:val="center"/>
          </w:tcPr>
          <w:p w:rsidRPr="00B44946" w:rsidR="00DB248A" w:rsidP="00DB248A" w:rsidRDefault="00DB248A" w14:paraId="2AA5521E" w14:textId="3642445F">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2C305CC2" w14:textId="2F6425E3">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234C1CD2" w14:textId="6440FCD5">
            <w:pPr>
              <w:spacing w:line="240" w:lineRule="auto"/>
              <w:ind w:firstLine="0"/>
              <w:rPr>
                <w:sz w:val="20"/>
                <w:szCs w:val="20"/>
              </w:rPr>
            </w:pPr>
            <w:proofErr w:type="spellStart"/>
            <w:r w:rsidRPr="00B44946">
              <w:rPr>
                <w:sz w:val="20"/>
                <w:szCs w:val="20"/>
              </w:rPr>
              <w:t>KassNet</w:t>
            </w:r>
            <w:proofErr w:type="spellEnd"/>
            <w:r w:rsidRPr="00B44946">
              <w:rPr>
                <w:sz w:val="20"/>
                <w:szCs w:val="20"/>
              </w:rPr>
              <w:t>, Inc.</w:t>
            </w:r>
          </w:p>
        </w:tc>
      </w:tr>
      <w:tr w:rsidRPr="00782FA6" w:rsidR="00DB248A" w:rsidTr="001C7C69" w14:paraId="3687DF93" w14:textId="77777777">
        <w:trPr>
          <w:trHeight w:val="300"/>
        </w:trPr>
        <w:tc>
          <w:tcPr>
            <w:tcW w:w="1345" w:type="dxa"/>
            <w:noWrap/>
            <w:vAlign w:val="center"/>
          </w:tcPr>
          <w:p w:rsidRPr="00B44946" w:rsidR="00DB248A" w:rsidP="00DB248A" w:rsidRDefault="00DB248A" w14:paraId="06202C94" w14:textId="1598EA17">
            <w:pPr>
              <w:spacing w:line="240" w:lineRule="auto"/>
              <w:ind w:firstLine="0"/>
              <w:jc w:val="center"/>
              <w:rPr>
                <w:rFonts w:cs="Arial"/>
                <w:color w:val="000000" w:themeColor="text1"/>
                <w:sz w:val="20"/>
                <w:szCs w:val="20"/>
              </w:rPr>
            </w:pPr>
            <w:r w:rsidRPr="00B44946">
              <w:rPr>
                <w:rFonts w:cs="Arial"/>
                <w:color w:val="000000" w:themeColor="text1"/>
                <w:sz w:val="20"/>
                <w:szCs w:val="20"/>
              </w:rPr>
              <w:t>7420</w:t>
            </w:r>
          </w:p>
        </w:tc>
        <w:tc>
          <w:tcPr>
            <w:tcW w:w="990" w:type="dxa"/>
            <w:noWrap/>
            <w:vAlign w:val="center"/>
          </w:tcPr>
          <w:p w:rsidRPr="00B44946" w:rsidR="00DB248A" w:rsidP="00DB248A" w:rsidRDefault="00DB248A" w14:paraId="1B5ACF15" w14:textId="2659261C">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3ADE5D01" w14:textId="300E4EDB">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05C71DA4" w14:textId="59CE9A62">
            <w:pPr>
              <w:spacing w:line="240" w:lineRule="auto"/>
              <w:ind w:firstLine="0"/>
              <w:rPr>
                <w:sz w:val="20"/>
                <w:szCs w:val="20"/>
              </w:rPr>
            </w:pPr>
            <w:r w:rsidRPr="00B44946">
              <w:rPr>
                <w:sz w:val="20"/>
                <w:szCs w:val="20"/>
              </w:rPr>
              <w:t>In</w:t>
            </w:r>
            <w:r w:rsidR="006951D5">
              <w:rPr>
                <w:sz w:val="20"/>
                <w:szCs w:val="20"/>
              </w:rPr>
              <w:noBreakHyphen/>
            </w:r>
            <w:r w:rsidRPr="00B44946">
              <w:rPr>
                <w:sz w:val="20"/>
                <w:szCs w:val="20"/>
              </w:rPr>
              <w:t>Telecom Consulting, LLC</w:t>
            </w:r>
          </w:p>
        </w:tc>
      </w:tr>
      <w:tr w:rsidRPr="00782FA6" w:rsidR="00DB248A" w:rsidTr="001C7C69" w14:paraId="028DA3AE" w14:textId="77777777">
        <w:trPr>
          <w:trHeight w:val="300"/>
        </w:trPr>
        <w:tc>
          <w:tcPr>
            <w:tcW w:w="1345" w:type="dxa"/>
            <w:noWrap/>
            <w:vAlign w:val="center"/>
          </w:tcPr>
          <w:p w:rsidRPr="00B44946" w:rsidR="00DB248A" w:rsidP="00DB248A" w:rsidRDefault="00DB248A" w14:paraId="7E01B486" w14:textId="0ECCF67F">
            <w:pPr>
              <w:spacing w:line="240" w:lineRule="auto"/>
              <w:ind w:firstLine="0"/>
              <w:jc w:val="center"/>
              <w:rPr>
                <w:rFonts w:cs="Arial"/>
                <w:color w:val="000000" w:themeColor="text1"/>
                <w:sz w:val="20"/>
                <w:szCs w:val="20"/>
              </w:rPr>
            </w:pPr>
            <w:r w:rsidRPr="00B44946">
              <w:rPr>
                <w:sz w:val="20"/>
                <w:szCs w:val="20"/>
              </w:rPr>
              <w:t>7421</w:t>
            </w:r>
          </w:p>
        </w:tc>
        <w:tc>
          <w:tcPr>
            <w:tcW w:w="990" w:type="dxa"/>
            <w:noWrap/>
            <w:vAlign w:val="center"/>
          </w:tcPr>
          <w:p w:rsidRPr="00B44946" w:rsidR="00DB248A" w:rsidP="00DB248A" w:rsidRDefault="00DB248A" w14:paraId="22777177" w14:textId="68192706">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2435B43E" w14:textId="2FF3F5C9">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5B48B493" w14:textId="7FA2D0EB">
            <w:pPr>
              <w:spacing w:line="240" w:lineRule="auto"/>
              <w:ind w:firstLine="0"/>
              <w:rPr>
                <w:sz w:val="20"/>
                <w:szCs w:val="20"/>
              </w:rPr>
            </w:pPr>
            <w:proofErr w:type="spellStart"/>
            <w:r w:rsidRPr="00B44946">
              <w:rPr>
                <w:sz w:val="20"/>
                <w:szCs w:val="20"/>
              </w:rPr>
              <w:t>Gracetel</w:t>
            </w:r>
            <w:proofErr w:type="spellEnd"/>
            <w:r w:rsidRPr="00B44946">
              <w:rPr>
                <w:sz w:val="20"/>
                <w:szCs w:val="20"/>
              </w:rPr>
              <w:t>, Inc.</w:t>
            </w:r>
          </w:p>
        </w:tc>
      </w:tr>
      <w:tr w:rsidRPr="00782FA6" w:rsidR="00DB248A" w:rsidTr="001C7C69" w14:paraId="3ED5FDB8" w14:textId="77777777">
        <w:trPr>
          <w:trHeight w:val="300"/>
        </w:trPr>
        <w:tc>
          <w:tcPr>
            <w:tcW w:w="1345" w:type="dxa"/>
            <w:noWrap/>
            <w:vAlign w:val="center"/>
          </w:tcPr>
          <w:p w:rsidRPr="00B44946" w:rsidR="00DB248A" w:rsidP="00DB248A" w:rsidRDefault="00DB248A" w14:paraId="7ECC72BC" w14:textId="32735E60">
            <w:pPr>
              <w:spacing w:line="240" w:lineRule="auto"/>
              <w:ind w:firstLine="0"/>
              <w:jc w:val="center"/>
              <w:rPr>
                <w:sz w:val="20"/>
                <w:szCs w:val="20"/>
              </w:rPr>
            </w:pPr>
            <w:r w:rsidRPr="00B44946">
              <w:rPr>
                <w:sz w:val="20"/>
                <w:szCs w:val="20"/>
              </w:rPr>
              <w:t>7422</w:t>
            </w:r>
          </w:p>
        </w:tc>
        <w:tc>
          <w:tcPr>
            <w:tcW w:w="990" w:type="dxa"/>
            <w:noWrap/>
            <w:vAlign w:val="center"/>
          </w:tcPr>
          <w:p w:rsidRPr="00B44946" w:rsidR="00DB248A" w:rsidP="00DB248A" w:rsidRDefault="00DB248A" w14:paraId="045A8831" w14:textId="0EF85D3F">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1B1EEE60" w14:textId="3D28EBC6">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202776E0" w14:textId="3B508584">
            <w:pPr>
              <w:spacing w:line="240" w:lineRule="auto"/>
              <w:ind w:firstLine="0"/>
              <w:rPr>
                <w:sz w:val="20"/>
                <w:szCs w:val="20"/>
              </w:rPr>
            </w:pPr>
            <w:r w:rsidRPr="00B44946">
              <w:rPr>
                <w:sz w:val="20"/>
                <w:szCs w:val="20"/>
              </w:rPr>
              <w:t>Russell Communications, LLC</w:t>
            </w:r>
          </w:p>
        </w:tc>
      </w:tr>
      <w:tr w:rsidRPr="00782FA6" w:rsidR="00DB248A" w:rsidTr="001C7C69" w14:paraId="5D439003" w14:textId="77777777">
        <w:trPr>
          <w:trHeight w:val="300"/>
        </w:trPr>
        <w:tc>
          <w:tcPr>
            <w:tcW w:w="1345" w:type="dxa"/>
            <w:noWrap/>
            <w:vAlign w:val="center"/>
          </w:tcPr>
          <w:p w:rsidRPr="00B44946" w:rsidR="00DB248A" w:rsidP="00DB248A" w:rsidRDefault="00DB248A" w14:paraId="4475C146" w14:textId="03F8A001">
            <w:pPr>
              <w:spacing w:line="240" w:lineRule="auto"/>
              <w:ind w:firstLine="0"/>
              <w:jc w:val="center"/>
              <w:rPr>
                <w:sz w:val="20"/>
                <w:szCs w:val="20"/>
              </w:rPr>
            </w:pPr>
            <w:r w:rsidRPr="00B44946">
              <w:rPr>
                <w:sz w:val="20"/>
                <w:szCs w:val="20"/>
              </w:rPr>
              <w:t>7423</w:t>
            </w:r>
          </w:p>
        </w:tc>
        <w:tc>
          <w:tcPr>
            <w:tcW w:w="990" w:type="dxa"/>
            <w:noWrap/>
            <w:vAlign w:val="center"/>
          </w:tcPr>
          <w:p w:rsidRPr="00B44946" w:rsidR="00DB248A" w:rsidP="00DB248A" w:rsidRDefault="00DB248A" w14:paraId="74846548" w14:textId="741F02D4">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2C9BA5B7" w14:textId="65E9D6E8">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162E669B" w14:textId="0CAB8F0D">
            <w:pPr>
              <w:spacing w:line="240" w:lineRule="auto"/>
              <w:ind w:firstLine="0"/>
              <w:rPr>
                <w:sz w:val="20"/>
                <w:szCs w:val="20"/>
              </w:rPr>
            </w:pPr>
            <w:proofErr w:type="spellStart"/>
            <w:r w:rsidRPr="00B44946">
              <w:rPr>
                <w:sz w:val="20"/>
                <w:szCs w:val="20"/>
              </w:rPr>
              <w:t>Speakerbus</w:t>
            </w:r>
            <w:proofErr w:type="spellEnd"/>
            <w:r w:rsidRPr="00B44946">
              <w:rPr>
                <w:sz w:val="20"/>
                <w:szCs w:val="20"/>
              </w:rPr>
              <w:t xml:space="preserve"> Incorporated</w:t>
            </w:r>
          </w:p>
        </w:tc>
      </w:tr>
      <w:tr w:rsidRPr="00782FA6" w:rsidR="00DB248A" w:rsidTr="001C7C69" w14:paraId="7FAD2AA6" w14:textId="77777777">
        <w:trPr>
          <w:trHeight w:val="300"/>
        </w:trPr>
        <w:tc>
          <w:tcPr>
            <w:tcW w:w="1345" w:type="dxa"/>
            <w:noWrap/>
            <w:vAlign w:val="center"/>
          </w:tcPr>
          <w:p w:rsidRPr="00B44946" w:rsidR="00DB248A" w:rsidP="00DB248A" w:rsidRDefault="00DB248A" w14:paraId="15809772" w14:textId="314A1F49">
            <w:pPr>
              <w:spacing w:line="240" w:lineRule="auto"/>
              <w:ind w:firstLine="0"/>
              <w:jc w:val="center"/>
              <w:rPr>
                <w:sz w:val="20"/>
                <w:szCs w:val="20"/>
              </w:rPr>
            </w:pPr>
            <w:r w:rsidRPr="00B44946">
              <w:rPr>
                <w:sz w:val="20"/>
                <w:szCs w:val="20"/>
              </w:rPr>
              <w:t>7424</w:t>
            </w:r>
          </w:p>
        </w:tc>
        <w:tc>
          <w:tcPr>
            <w:tcW w:w="990" w:type="dxa"/>
            <w:noWrap/>
            <w:vAlign w:val="center"/>
          </w:tcPr>
          <w:p w:rsidRPr="00B44946" w:rsidR="00DB248A" w:rsidP="00DB248A" w:rsidRDefault="00DB248A" w14:paraId="013EAD8F" w14:textId="039F0C77">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781690A8" w14:textId="56E6632A">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5C9502D1" w14:textId="6A311599">
            <w:pPr>
              <w:spacing w:line="240" w:lineRule="auto"/>
              <w:ind w:firstLine="0"/>
              <w:rPr>
                <w:sz w:val="20"/>
                <w:szCs w:val="20"/>
              </w:rPr>
            </w:pPr>
            <w:proofErr w:type="spellStart"/>
            <w:r w:rsidRPr="00B44946">
              <w:rPr>
                <w:sz w:val="20"/>
                <w:szCs w:val="20"/>
              </w:rPr>
              <w:t>Anucom</w:t>
            </w:r>
            <w:proofErr w:type="spellEnd"/>
            <w:r w:rsidRPr="00B44946">
              <w:rPr>
                <w:sz w:val="20"/>
                <w:szCs w:val="20"/>
              </w:rPr>
              <w:t>, Inc.</w:t>
            </w:r>
          </w:p>
        </w:tc>
      </w:tr>
      <w:tr w:rsidRPr="00782FA6" w:rsidR="00DB248A" w:rsidTr="001C7C69" w14:paraId="0F93BFC2" w14:textId="77777777">
        <w:trPr>
          <w:trHeight w:val="300"/>
        </w:trPr>
        <w:tc>
          <w:tcPr>
            <w:tcW w:w="1345" w:type="dxa"/>
            <w:noWrap/>
            <w:vAlign w:val="center"/>
          </w:tcPr>
          <w:p w:rsidRPr="00B44946" w:rsidR="00DB248A" w:rsidP="00DB248A" w:rsidRDefault="00DB248A" w14:paraId="485CE4E4" w14:textId="32303158">
            <w:pPr>
              <w:spacing w:line="240" w:lineRule="auto"/>
              <w:ind w:firstLine="0"/>
              <w:jc w:val="center"/>
              <w:rPr>
                <w:sz w:val="20"/>
                <w:szCs w:val="20"/>
              </w:rPr>
            </w:pPr>
            <w:r w:rsidRPr="00B44946">
              <w:rPr>
                <w:sz w:val="20"/>
                <w:szCs w:val="20"/>
              </w:rPr>
              <w:t>7425</w:t>
            </w:r>
          </w:p>
        </w:tc>
        <w:tc>
          <w:tcPr>
            <w:tcW w:w="990" w:type="dxa"/>
            <w:noWrap/>
            <w:vAlign w:val="center"/>
          </w:tcPr>
          <w:p w:rsidRPr="00B44946" w:rsidR="00DB248A" w:rsidP="00DB248A" w:rsidRDefault="00DB248A" w14:paraId="2EC5ED80" w14:textId="7DE1DBD3">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00CC6509" w14:textId="5F7716C6">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7A3505D6" w14:textId="14B86376">
            <w:pPr>
              <w:spacing w:line="240" w:lineRule="auto"/>
              <w:ind w:firstLine="0"/>
              <w:rPr>
                <w:sz w:val="20"/>
                <w:szCs w:val="20"/>
              </w:rPr>
            </w:pPr>
            <w:r w:rsidRPr="00B44946">
              <w:rPr>
                <w:sz w:val="20"/>
                <w:szCs w:val="20"/>
              </w:rPr>
              <w:t>Altigen Communications, Inc.</w:t>
            </w:r>
          </w:p>
        </w:tc>
      </w:tr>
      <w:tr w:rsidRPr="00782FA6" w:rsidR="00DB248A" w:rsidTr="001C7C69" w14:paraId="146B37D1" w14:textId="77777777">
        <w:trPr>
          <w:trHeight w:val="300"/>
        </w:trPr>
        <w:tc>
          <w:tcPr>
            <w:tcW w:w="1345" w:type="dxa"/>
            <w:noWrap/>
            <w:vAlign w:val="center"/>
          </w:tcPr>
          <w:p w:rsidRPr="00B44946" w:rsidR="00DB248A" w:rsidP="00DB248A" w:rsidRDefault="00DB248A" w14:paraId="57AA5086" w14:textId="7049015F">
            <w:pPr>
              <w:spacing w:line="240" w:lineRule="auto"/>
              <w:ind w:firstLine="0"/>
              <w:jc w:val="center"/>
              <w:rPr>
                <w:sz w:val="20"/>
                <w:szCs w:val="20"/>
              </w:rPr>
            </w:pPr>
            <w:r w:rsidRPr="00B44946">
              <w:rPr>
                <w:sz w:val="20"/>
                <w:szCs w:val="20"/>
              </w:rPr>
              <w:t>7426</w:t>
            </w:r>
          </w:p>
        </w:tc>
        <w:tc>
          <w:tcPr>
            <w:tcW w:w="990" w:type="dxa"/>
            <w:noWrap/>
            <w:vAlign w:val="center"/>
          </w:tcPr>
          <w:p w:rsidRPr="00B44946" w:rsidR="00DB248A" w:rsidP="00DB248A" w:rsidRDefault="00DB248A" w14:paraId="3BE013F3" w14:textId="3BC69F69">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67CD31E9" w14:textId="76B1A5EF">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1E6A2101" w14:textId="3C4CC277">
            <w:pPr>
              <w:spacing w:line="240" w:lineRule="auto"/>
              <w:ind w:firstLine="0"/>
              <w:rPr>
                <w:sz w:val="20"/>
                <w:szCs w:val="20"/>
              </w:rPr>
            </w:pPr>
            <w:proofErr w:type="spellStart"/>
            <w:r w:rsidRPr="00B44946">
              <w:rPr>
                <w:sz w:val="20"/>
                <w:szCs w:val="20"/>
              </w:rPr>
              <w:t>Voxology</w:t>
            </w:r>
            <w:proofErr w:type="spellEnd"/>
            <w:r w:rsidRPr="00B44946">
              <w:rPr>
                <w:sz w:val="20"/>
                <w:szCs w:val="20"/>
              </w:rPr>
              <w:t xml:space="preserve"> Inc.</w:t>
            </w:r>
          </w:p>
        </w:tc>
      </w:tr>
      <w:tr w:rsidRPr="00782FA6" w:rsidR="00DB248A" w:rsidTr="001C7C69" w14:paraId="29BF859B" w14:textId="77777777">
        <w:trPr>
          <w:trHeight w:val="300"/>
        </w:trPr>
        <w:tc>
          <w:tcPr>
            <w:tcW w:w="1345" w:type="dxa"/>
            <w:noWrap/>
            <w:vAlign w:val="center"/>
          </w:tcPr>
          <w:p w:rsidRPr="00B44946" w:rsidR="00DB248A" w:rsidP="00DB248A" w:rsidRDefault="00DB248A" w14:paraId="2A16A4F6" w14:textId="33754A06">
            <w:pPr>
              <w:spacing w:line="240" w:lineRule="auto"/>
              <w:ind w:firstLine="0"/>
              <w:jc w:val="center"/>
              <w:rPr>
                <w:sz w:val="20"/>
                <w:szCs w:val="20"/>
              </w:rPr>
            </w:pPr>
            <w:r w:rsidRPr="00B44946">
              <w:rPr>
                <w:sz w:val="20"/>
                <w:szCs w:val="20"/>
              </w:rPr>
              <w:t>7427</w:t>
            </w:r>
          </w:p>
        </w:tc>
        <w:tc>
          <w:tcPr>
            <w:tcW w:w="990" w:type="dxa"/>
            <w:noWrap/>
            <w:vAlign w:val="center"/>
          </w:tcPr>
          <w:p w:rsidRPr="00B44946" w:rsidR="00DB248A" w:rsidP="00DB248A" w:rsidRDefault="00DB248A" w14:paraId="41C344D6" w14:textId="35A5A34B">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21D6B152" w14:textId="1837B345">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7B34ACEA" w14:textId="4600A56A">
            <w:pPr>
              <w:spacing w:line="240" w:lineRule="auto"/>
              <w:ind w:firstLine="0"/>
              <w:rPr>
                <w:sz w:val="20"/>
                <w:szCs w:val="20"/>
              </w:rPr>
            </w:pPr>
            <w:r w:rsidRPr="00B44946">
              <w:rPr>
                <w:sz w:val="20"/>
                <w:szCs w:val="20"/>
              </w:rPr>
              <w:t>ISSQUARED INC.</w:t>
            </w:r>
          </w:p>
        </w:tc>
      </w:tr>
      <w:tr w:rsidRPr="00782FA6" w:rsidR="00DB248A" w:rsidTr="001C7C69" w14:paraId="5A270635" w14:textId="77777777">
        <w:trPr>
          <w:trHeight w:val="300"/>
        </w:trPr>
        <w:tc>
          <w:tcPr>
            <w:tcW w:w="1345" w:type="dxa"/>
            <w:noWrap/>
            <w:vAlign w:val="center"/>
          </w:tcPr>
          <w:p w:rsidRPr="00B44946" w:rsidR="00DB248A" w:rsidP="00DB248A" w:rsidRDefault="00DB248A" w14:paraId="30C0FD33" w14:textId="2626102C">
            <w:pPr>
              <w:spacing w:line="240" w:lineRule="auto"/>
              <w:ind w:firstLine="0"/>
              <w:jc w:val="center"/>
              <w:rPr>
                <w:sz w:val="20"/>
                <w:szCs w:val="20"/>
              </w:rPr>
            </w:pPr>
            <w:r w:rsidRPr="00B44946">
              <w:rPr>
                <w:sz w:val="20"/>
                <w:szCs w:val="20"/>
              </w:rPr>
              <w:t>7428</w:t>
            </w:r>
          </w:p>
        </w:tc>
        <w:tc>
          <w:tcPr>
            <w:tcW w:w="990" w:type="dxa"/>
            <w:noWrap/>
            <w:vAlign w:val="center"/>
          </w:tcPr>
          <w:p w:rsidRPr="00B44946" w:rsidR="00DB248A" w:rsidP="00DB248A" w:rsidRDefault="00DB248A" w14:paraId="76BE6710" w14:textId="1D473790">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4C5848F5" w14:textId="2BE511D8">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0184D357" w14:textId="445D5A26">
            <w:pPr>
              <w:spacing w:line="240" w:lineRule="auto"/>
              <w:ind w:firstLine="0"/>
              <w:rPr>
                <w:sz w:val="20"/>
                <w:szCs w:val="20"/>
              </w:rPr>
            </w:pPr>
            <w:proofErr w:type="spellStart"/>
            <w:r w:rsidRPr="00B44946">
              <w:rPr>
                <w:sz w:val="20"/>
                <w:szCs w:val="20"/>
              </w:rPr>
              <w:t>Content+Cloud</w:t>
            </w:r>
            <w:proofErr w:type="spellEnd"/>
            <w:r w:rsidRPr="00B44946">
              <w:rPr>
                <w:sz w:val="20"/>
                <w:szCs w:val="20"/>
              </w:rPr>
              <w:t xml:space="preserve"> Corporation</w:t>
            </w:r>
          </w:p>
        </w:tc>
      </w:tr>
      <w:tr w:rsidRPr="00782FA6" w:rsidR="00DB248A" w:rsidTr="001C7C69" w14:paraId="083D23E9" w14:textId="77777777">
        <w:trPr>
          <w:trHeight w:val="300"/>
        </w:trPr>
        <w:tc>
          <w:tcPr>
            <w:tcW w:w="1345" w:type="dxa"/>
            <w:noWrap/>
            <w:vAlign w:val="center"/>
          </w:tcPr>
          <w:p w:rsidRPr="00B44946" w:rsidR="00DB248A" w:rsidP="00DB248A" w:rsidRDefault="00DB248A" w14:paraId="52F1024F" w14:textId="2C975BF1">
            <w:pPr>
              <w:spacing w:line="240" w:lineRule="auto"/>
              <w:ind w:firstLine="0"/>
              <w:jc w:val="center"/>
              <w:rPr>
                <w:sz w:val="20"/>
                <w:szCs w:val="20"/>
              </w:rPr>
            </w:pPr>
            <w:r w:rsidRPr="00B44946">
              <w:rPr>
                <w:sz w:val="20"/>
                <w:szCs w:val="20"/>
              </w:rPr>
              <w:t>7429</w:t>
            </w:r>
          </w:p>
        </w:tc>
        <w:tc>
          <w:tcPr>
            <w:tcW w:w="990" w:type="dxa"/>
            <w:noWrap/>
            <w:vAlign w:val="center"/>
          </w:tcPr>
          <w:p w:rsidRPr="00B44946" w:rsidR="00DB248A" w:rsidP="00DB248A" w:rsidRDefault="00DB248A" w14:paraId="02F2775B" w14:textId="45AEEC2A">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2F4339EB" w14:textId="0DEA52A7">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2AD98BB1" w14:textId="71F3C115">
            <w:pPr>
              <w:spacing w:line="240" w:lineRule="auto"/>
              <w:ind w:firstLine="0"/>
              <w:rPr>
                <w:sz w:val="20"/>
                <w:szCs w:val="20"/>
              </w:rPr>
            </w:pPr>
            <w:r w:rsidRPr="00B44946">
              <w:rPr>
                <w:sz w:val="20"/>
                <w:szCs w:val="20"/>
              </w:rPr>
              <w:t>Digital Future UCC LLC</w:t>
            </w:r>
          </w:p>
        </w:tc>
      </w:tr>
      <w:tr w:rsidRPr="00782FA6" w:rsidR="00DB248A" w:rsidTr="001C7C69" w14:paraId="3DF5D9E5" w14:textId="77777777">
        <w:trPr>
          <w:trHeight w:val="300"/>
        </w:trPr>
        <w:tc>
          <w:tcPr>
            <w:tcW w:w="1345" w:type="dxa"/>
            <w:noWrap/>
            <w:vAlign w:val="center"/>
          </w:tcPr>
          <w:p w:rsidRPr="00B44946" w:rsidR="00DB248A" w:rsidP="00DB248A" w:rsidRDefault="00DB248A" w14:paraId="6F2A451C" w14:textId="1BB50115">
            <w:pPr>
              <w:spacing w:line="240" w:lineRule="auto"/>
              <w:ind w:firstLine="0"/>
              <w:jc w:val="center"/>
              <w:rPr>
                <w:sz w:val="20"/>
                <w:szCs w:val="20"/>
              </w:rPr>
            </w:pPr>
            <w:r w:rsidRPr="00B44946">
              <w:rPr>
                <w:sz w:val="20"/>
                <w:szCs w:val="20"/>
              </w:rPr>
              <w:t>7430</w:t>
            </w:r>
          </w:p>
        </w:tc>
        <w:tc>
          <w:tcPr>
            <w:tcW w:w="990" w:type="dxa"/>
            <w:noWrap/>
            <w:vAlign w:val="center"/>
          </w:tcPr>
          <w:p w:rsidRPr="00B44946" w:rsidR="00DB248A" w:rsidP="00DB248A" w:rsidRDefault="00DB248A" w14:paraId="43AA25B4" w14:textId="09F742C5">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5D2B0E1F" w14:textId="71719992">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71753ED5" w14:textId="4111A671">
            <w:pPr>
              <w:spacing w:line="240" w:lineRule="auto"/>
              <w:ind w:firstLine="0"/>
              <w:rPr>
                <w:sz w:val="20"/>
                <w:szCs w:val="20"/>
              </w:rPr>
            </w:pPr>
            <w:r w:rsidRPr="00B44946">
              <w:rPr>
                <w:sz w:val="20"/>
                <w:szCs w:val="20"/>
              </w:rPr>
              <w:t>LSL Telecom, Inc.</w:t>
            </w:r>
          </w:p>
        </w:tc>
      </w:tr>
      <w:tr w:rsidRPr="00782FA6" w:rsidR="00DB248A" w:rsidTr="001C7C69" w14:paraId="5127DCB7" w14:textId="77777777">
        <w:trPr>
          <w:trHeight w:val="300"/>
        </w:trPr>
        <w:tc>
          <w:tcPr>
            <w:tcW w:w="1345" w:type="dxa"/>
            <w:noWrap/>
            <w:vAlign w:val="center"/>
          </w:tcPr>
          <w:p w:rsidRPr="00B44946" w:rsidR="00DB248A" w:rsidP="00DB248A" w:rsidRDefault="00DB248A" w14:paraId="5232FE9B" w14:textId="014B4654">
            <w:pPr>
              <w:spacing w:line="240" w:lineRule="auto"/>
              <w:ind w:firstLine="0"/>
              <w:jc w:val="center"/>
              <w:rPr>
                <w:sz w:val="20"/>
                <w:szCs w:val="20"/>
              </w:rPr>
            </w:pPr>
            <w:r w:rsidRPr="00B44946">
              <w:rPr>
                <w:sz w:val="20"/>
                <w:szCs w:val="20"/>
              </w:rPr>
              <w:t>7432</w:t>
            </w:r>
          </w:p>
        </w:tc>
        <w:tc>
          <w:tcPr>
            <w:tcW w:w="990" w:type="dxa"/>
            <w:noWrap/>
            <w:vAlign w:val="center"/>
          </w:tcPr>
          <w:p w:rsidRPr="00B44946" w:rsidR="00DB248A" w:rsidP="00DB248A" w:rsidRDefault="00DB248A" w14:paraId="095E6072" w14:textId="3FD5C2EE">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6E7D74AE" w14:textId="2E1D6C21">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04A6AA9E" w14:textId="57C9A9A1">
            <w:pPr>
              <w:spacing w:line="240" w:lineRule="auto"/>
              <w:ind w:firstLine="0"/>
              <w:rPr>
                <w:sz w:val="20"/>
                <w:szCs w:val="20"/>
              </w:rPr>
            </w:pPr>
            <w:r w:rsidRPr="00B44946">
              <w:rPr>
                <w:sz w:val="20"/>
                <w:szCs w:val="20"/>
              </w:rPr>
              <w:t>Interlink Communications LLC</w:t>
            </w:r>
          </w:p>
        </w:tc>
      </w:tr>
      <w:tr w:rsidRPr="00782FA6" w:rsidR="00DB248A" w:rsidTr="001C7C69" w14:paraId="3642A259" w14:textId="77777777">
        <w:trPr>
          <w:trHeight w:val="300"/>
        </w:trPr>
        <w:tc>
          <w:tcPr>
            <w:tcW w:w="1345" w:type="dxa"/>
            <w:noWrap/>
            <w:vAlign w:val="center"/>
          </w:tcPr>
          <w:p w:rsidRPr="00B44946" w:rsidR="00DB248A" w:rsidP="00DB248A" w:rsidRDefault="00DB248A" w14:paraId="101CA116" w14:textId="355AF5F1">
            <w:pPr>
              <w:spacing w:line="240" w:lineRule="auto"/>
              <w:ind w:firstLine="0"/>
              <w:jc w:val="center"/>
              <w:rPr>
                <w:sz w:val="20"/>
                <w:szCs w:val="20"/>
              </w:rPr>
            </w:pPr>
            <w:r w:rsidRPr="00B44946">
              <w:rPr>
                <w:sz w:val="20"/>
                <w:szCs w:val="20"/>
              </w:rPr>
              <w:t>7433</w:t>
            </w:r>
          </w:p>
        </w:tc>
        <w:tc>
          <w:tcPr>
            <w:tcW w:w="990" w:type="dxa"/>
            <w:noWrap/>
            <w:vAlign w:val="center"/>
          </w:tcPr>
          <w:p w:rsidRPr="00B44946" w:rsidR="00DB248A" w:rsidP="00DB248A" w:rsidRDefault="00DB248A" w14:paraId="355C7BCB" w14:textId="7D99EE92">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2DB54CBE" w14:textId="39C9EBA8">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3805FA6E" w14:textId="5DF22654">
            <w:pPr>
              <w:spacing w:line="240" w:lineRule="auto"/>
              <w:ind w:firstLine="0"/>
              <w:rPr>
                <w:sz w:val="20"/>
                <w:szCs w:val="20"/>
              </w:rPr>
            </w:pPr>
            <w:proofErr w:type="spellStart"/>
            <w:r w:rsidRPr="00B44946">
              <w:rPr>
                <w:sz w:val="20"/>
                <w:szCs w:val="20"/>
              </w:rPr>
              <w:t>Intsigna</w:t>
            </w:r>
            <w:proofErr w:type="spellEnd"/>
          </w:p>
        </w:tc>
      </w:tr>
      <w:tr w:rsidRPr="00782FA6" w:rsidR="00DB248A" w:rsidTr="001C7C69" w14:paraId="1C639CB7" w14:textId="77777777">
        <w:trPr>
          <w:trHeight w:val="300"/>
        </w:trPr>
        <w:tc>
          <w:tcPr>
            <w:tcW w:w="1345" w:type="dxa"/>
            <w:noWrap/>
            <w:vAlign w:val="center"/>
          </w:tcPr>
          <w:p w:rsidRPr="00B44946" w:rsidR="00DB248A" w:rsidP="00DB248A" w:rsidRDefault="00DB248A" w14:paraId="2B768DF6" w14:textId="347FCD62">
            <w:pPr>
              <w:spacing w:line="240" w:lineRule="auto"/>
              <w:ind w:firstLine="0"/>
              <w:jc w:val="center"/>
              <w:rPr>
                <w:sz w:val="20"/>
                <w:szCs w:val="20"/>
              </w:rPr>
            </w:pPr>
            <w:r w:rsidRPr="00B44946">
              <w:rPr>
                <w:sz w:val="20"/>
                <w:szCs w:val="20"/>
              </w:rPr>
              <w:t>7434</w:t>
            </w:r>
          </w:p>
        </w:tc>
        <w:tc>
          <w:tcPr>
            <w:tcW w:w="990" w:type="dxa"/>
            <w:noWrap/>
            <w:vAlign w:val="center"/>
          </w:tcPr>
          <w:p w:rsidRPr="00B44946" w:rsidR="00DB248A" w:rsidP="00DB248A" w:rsidRDefault="00DB248A" w14:paraId="7E30F227" w14:textId="25F6E538">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09E01C56" w14:textId="12625251">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36C6AF90" w14:textId="1F4DE1E7">
            <w:pPr>
              <w:spacing w:line="240" w:lineRule="auto"/>
              <w:ind w:firstLine="0"/>
              <w:rPr>
                <w:sz w:val="20"/>
                <w:szCs w:val="20"/>
              </w:rPr>
            </w:pPr>
            <w:proofErr w:type="spellStart"/>
            <w:r w:rsidRPr="00B44946">
              <w:rPr>
                <w:sz w:val="20"/>
                <w:szCs w:val="20"/>
              </w:rPr>
              <w:t>RingALFA</w:t>
            </w:r>
            <w:proofErr w:type="spellEnd"/>
            <w:r w:rsidRPr="00B44946">
              <w:rPr>
                <w:sz w:val="20"/>
                <w:szCs w:val="20"/>
              </w:rPr>
              <w:t xml:space="preserve"> Inc.</w:t>
            </w:r>
          </w:p>
        </w:tc>
      </w:tr>
      <w:tr w:rsidRPr="00782FA6" w:rsidR="00DB248A" w:rsidTr="001C7C69" w14:paraId="2CC62815" w14:textId="77777777">
        <w:trPr>
          <w:trHeight w:val="300"/>
        </w:trPr>
        <w:tc>
          <w:tcPr>
            <w:tcW w:w="1345" w:type="dxa"/>
            <w:noWrap/>
            <w:vAlign w:val="center"/>
          </w:tcPr>
          <w:p w:rsidRPr="00B44946" w:rsidR="00DB248A" w:rsidP="00DB248A" w:rsidRDefault="00DB248A" w14:paraId="47358655" w14:textId="48FC74F6">
            <w:pPr>
              <w:spacing w:line="240" w:lineRule="auto"/>
              <w:ind w:firstLine="0"/>
              <w:jc w:val="center"/>
              <w:rPr>
                <w:sz w:val="20"/>
                <w:szCs w:val="20"/>
              </w:rPr>
            </w:pPr>
            <w:r w:rsidRPr="00B44946">
              <w:rPr>
                <w:sz w:val="20"/>
                <w:szCs w:val="20"/>
              </w:rPr>
              <w:t>7435</w:t>
            </w:r>
          </w:p>
        </w:tc>
        <w:tc>
          <w:tcPr>
            <w:tcW w:w="990" w:type="dxa"/>
            <w:noWrap/>
            <w:vAlign w:val="center"/>
          </w:tcPr>
          <w:p w:rsidRPr="00B44946" w:rsidR="00DB248A" w:rsidP="00DB248A" w:rsidRDefault="00DB248A" w14:paraId="6B6F45FD" w14:textId="181FD836">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56E45AD6" w14:textId="60FCAF70">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26DCF652" w14:textId="75ABB24E">
            <w:pPr>
              <w:spacing w:line="240" w:lineRule="auto"/>
              <w:ind w:firstLine="0"/>
              <w:rPr>
                <w:sz w:val="20"/>
                <w:szCs w:val="20"/>
              </w:rPr>
            </w:pPr>
            <w:proofErr w:type="spellStart"/>
            <w:r w:rsidRPr="00B44946">
              <w:rPr>
                <w:sz w:val="20"/>
                <w:szCs w:val="20"/>
              </w:rPr>
              <w:t>SignalWire</w:t>
            </w:r>
            <w:proofErr w:type="spellEnd"/>
            <w:r w:rsidRPr="00B44946">
              <w:rPr>
                <w:sz w:val="20"/>
                <w:szCs w:val="20"/>
              </w:rPr>
              <w:t>, Inc.</w:t>
            </w:r>
          </w:p>
        </w:tc>
      </w:tr>
      <w:tr w:rsidRPr="00782FA6" w:rsidR="00DB248A" w:rsidTr="001C7C69" w14:paraId="2816EA59" w14:textId="77777777">
        <w:trPr>
          <w:trHeight w:val="300"/>
        </w:trPr>
        <w:tc>
          <w:tcPr>
            <w:tcW w:w="1345" w:type="dxa"/>
            <w:noWrap/>
            <w:vAlign w:val="center"/>
          </w:tcPr>
          <w:p w:rsidRPr="00B44946" w:rsidR="00DB248A" w:rsidP="00DB248A" w:rsidRDefault="00DB248A" w14:paraId="6582E289" w14:textId="12291C12">
            <w:pPr>
              <w:spacing w:line="240" w:lineRule="auto"/>
              <w:ind w:firstLine="0"/>
              <w:jc w:val="center"/>
              <w:rPr>
                <w:sz w:val="20"/>
                <w:szCs w:val="20"/>
              </w:rPr>
            </w:pPr>
            <w:r w:rsidRPr="00B44946">
              <w:rPr>
                <w:sz w:val="20"/>
                <w:szCs w:val="20"/>
              </w:rPr>
              <w:t>7436</w:t>
            </w:r>
          </w:p>
        </w:tc>
        <w:tc>
          <w:tcPr>
            <w:tcW w:w="990" w:type="dxa"/>
            <w:noWrap/>
            <w:vAlign w:val="center"/>
          </w:tcPr>
          <w:p w:rsidRPr="00B44946" w:rsidR="00DB248A" w:rsidP="00DB248A" w:rsidRDefault="00DB248A" w14:paraId="69399A54" w14:textId="4E2699CF">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1E0A0CA9" w14:textId="58E33680">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61E26C52" w14:textId="117DB15E">
            <w:pPr>
              <w:spacing w:line="240" w:lineRule="auto"/>
              <w:ind w:firstLine="0"/>
              <w:rPr>
                <w:sz w:val="20"/>
                <w:szCs w:val="20"/>
              </w:rPr>
            </w:pPr>
            <w:r w:rsidRPr="00B44946">
              <w:rPr>
                <w:sz w:val="20"/>
                <w:szCs w:val="20"/>
              </w:rPr>
              <w:t>One Stop Telecom</w:t>
            </w:r>
          </w:p>
        </w:tc>
      </w:tr>
      <w:tr w:rsidRPr="00782FA6" w:rsidR="00DB248A" w:rsidTr="001C7C69" w14:paraId="37D0681E" w14:textId="77777777">
        <w:trPr>
          <w:trHeight w:val="300"/>
        </w:trPr>
        <w:tc>
          <w:tcPr>
            <w:tcW w:w="1345" w:type="dxa"/>
            <w:noWrap/>
            <w:vAlign w:val="center"/>
          </w:tcPr>
          <w:p w:rsidRPr="00B44946" w:rsidR="00DB248A" w:rsidP="00DB248A" w:rsidRDefault="00DB248A" w14:paraId="7C1D1211" w14:textId="51372AB4">
            <w:pPr>
              <w:spacing w:line="240" w:lineRule="auto"/>
              <w:ind w:firstLine="0"/>
              <w:jc w:val="center"/>
              <w:rPr>
                <w:sz w:val="20"/>
                <w:szCs w:val="20"/>
              </w:rPr>
            </w:pPr>
            <w:r w:rsidRPr="00B44946">
              <w:rPr>
                <w:sz w:val="20"/>
                <w:szCs w:val="20"/>
              </w:rPr>
              <w:t>7437</w:t>
            </w:r>
          </w:p>
        </w:tc>
        <w:tc>
          <w:tcPr>
            <w:tcW w:w="990" w:type="dxa"/>
            <w:noWrap/>
            <w:vAlign w:val="center"/>
          </w:tcPr>
          <w:p w:rsidRPr="00B44946" w:rsidR="00DB248A" w:rsidP="00DB248A" w:rsidRDefault="00DB248A" w14:paraId="024B231F" w14:textId="4C6E1322">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153F6D0B" w14:textId="1FAEAC09">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178F0301" w14:textId="02947B00">
            <w:pPr>
              <w:spacing w:line="240" w:lineRule="auto"/>
              <w:ind w:firstLine="0"/>
              <w:rPr>
                <w:sz w:val="20"/>
                <w:szCs w:val="20"/>
              </w:rPr>
            </w:pPr>
            <w:r w:rsidRPr="00B44946">
              <w:rPr>
                <w:sz w:val="20"/>
                <w:szCs w:val="20"/>
              </w:rPr>
              <w:t>CM.com US. Inc.</w:t>
            </w:r>
          </w:p>
        </w:tc>
      </w:tr>
      <w:tr w:rsidRPr="00782FA6" w:rsidR="00DB248A" w:rsidTr="001C7C69" w14:paraId="409AA254" w14:textId="77777777">
        <w:trPr>
          <w:trHeight w:val="300"/>
        </w:trPr>
        <w:tc>
          <w:tcPr>
            <w:tcW w:w="1345" w:type="dxa"/>
            <w:noWrap/>
            <w:vAlign w:val="center"/>
          </w:tcPr>
          <w:p w:rsidRPr="00B44946" w:rsidR="00DB248A" w:rsidP="00DB248A" w:rsidRDefault="00DB248A" w14:paraId="577EC710" w14:textId="0752499C">
            <w:pPr>
              <w:spacing w:line="240" w:lineRule="auto"/>
              <w:ind w:firstLine="0"/>
              <w:jc w:val="center"/>
              <w:rPr>
                <w:sz w:val="20"/>
                <w:szCs w:val="20"/>
              </w:rPr>
            </w:pPr>
            <w:r w:rsidRPr="00B44946">
              <w:rPr>
                <w:sz w:val="20"/>
                <w:szCs w:val="20"/>
              </w:rPr>
              <w:t>7439</w:t>
            </w:r>
          </w:p>
        </w:tc>
        <w:tc>
          <w:tcPr>
            <w:tcW w:w="990" w:type="dxa"/>
            <w:noWrap/>
            <w:vAlign w:val="center"/>
          </w:tcPr>
          <w:p w:rsidRPr="00B44946" w:rsidR="00DB248A" w:rsidP="00DB248A" w:rsidRDefault="00DB248A" w14:paraId="35A79511" w14:textId="7ADE9805">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681B5A3F" w14:textId="0B0A9F74">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790E885C" w14:textId="3D4701C3">
            <w:pPr>
              <w:spacing w:line="240" w:lineRule="auto"/>
              <w:ind w:firstLine="0"/>
              <w:rPr>
                <w:sz w:val="20"/>
                <w:szCs w:val="20"/>
              </w:rPr>
            </w:pPr>
            <w:r w:rsidRPr="00B44946">
              <w:rPr>
                <w:sz w:val="20"/>
                <w:szCs w:val="20"/>
              </w:rPr>
              <w:t>Kloud Communications, Inc.</w:t>
            </w:r>
          </w:p>
        </w:tc>
      </w:tr>
      <w:tr w:rsidRPr="00782FA6" w:rsidR="00DB248A" w:rsidTr="001C7C69" w14:paraId="2B1F031F" w14:textId="77777777">
        <w:trPr>
          <w:trHeight w:val="300"/>
        </w:trPr>
        <w:tc>
          <w:tcPr>
            <w:tcW w:w="1345" w:type="dxa"/>
            <w:noWrap/>
            <w:vAlign w:val="center"/>
          </w:tcPr>
          <w:p w:rsidRPr="00B44946" w:rsidR="00DB248A" w:rsidP="00DB248A" w:rsidRDefault="00DB248A" w14:paraId="76AF3563" w14:textId="5FC7876A">
            <w:pPr>
              <w:spacing w:line="240" w:lineRule="auto"/>
              <w:ind w:firstLine="0"/>
              <w:jc w:val="center"/>
              <w:rPr>
                <w:sz w:val="20"/>
                <w:szCs w:val="20"/>
              </w:rPr>
            </w:pPr>
            <w:r w:rsidRPr="00B44946">
              <w:rPr>
                <w:sz w:val="20"/>
                <w:szCs w:val="20"/>
              </w:rPr>
              <w:t>7441</w:t>
            </w:r>
          </w:p>
        </w:tc>
        <w:tc>
          <w:tcPr>
            <w:tcW w:w="990" w:type="dxa"/>
            <w:noWrap/>
            <w:vAlign w:val="center"/>
          </w:tcPr>
          <w:p w:rsidRPr="00B44946" w:rsidR="00DB248A" w:rsidP="00DB248A" w:rsidRDefault="00DB248A" w14:paraId="3AA01F1C" w14:textId="04A2CE78">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5AFA65C3" w14:textId="3193D1E0">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2BD650A9" w14:textId="7C621CDE">
            <w:pPr>
              <w:spacing w:line="240" w:lineRule="auto"/>
              <w:ind w:firstLine="0"/>
              <w:rPr>
                <w:sz w:val="20"/>
                <w:szCs w:val="20"/>
              </w:rPr>
            </w:pPr>
            <w:r w:rsidRPr="00B44946">
              <w:rPr>
                <w:sz w:val="20"/>
                <w:szCs w:val="20"/>
              </w:rPr>
              <w:t>BBH Connectivity, Inc.</w:t>
            </w:r>
          </w:p>
        </w:tc>
      </w:tr>
      <w:tr w:rsidRPr="00782FA6" w:rsidR="00DB248A" w:rsidTr="001C7C69" w14:paraId="62306F00" w14:textId="77777777">
        <w:trPr>
          <w:trHeight w:val="300"/>
        </w:trPr>
        <w:tc>
          <w:tcPr>
            <w:tcW w:w="1345" w:type="dxa"/>
            <w:noWrap/>
            <w:vAlign w:val="center"/>
          </w:tcPr>
          <w:p w:rsidRPr="00B44946" w:rsidR="00DB248A" w:rsidP="00DB248A" w:rsidRDefault="00DB248A" w14:paraId="4B1A644C" w14:textId="771F3C1F">
            <w:pPr>
              <w:spacing w:line="240" w:lineRule="auto"/>
              <w:ind w:firstLine="0"/>
              <w:jc w:val="center"/>
              <w:rPr>
                <w:sz w:val="20"/>
                <w:szCs w:val="20"/>
              </w:rPr>
            </w:pPr>
            <w:r w:rsidRPr="00B44946">
              <w:rPr>
                <w:sz w:val="20"/>
                <w:szCs w:val="20"/>
              </w:rPr>
              <w:t>7442</w:t>
            </w:r>
          </w:p>
        </w:tc>
        <w:tc>
          <w:tcPr>
            <w:tcW w:w="990" w:type="dxa"/>
            <w:noWrap/>
            <w:vAlign w:val="center"/>
          </w:tcPr>
          <w:p w:rsidRPr="00B44946" w:rsidR="00DB248A" w:rsidP="00DB248A" w:rsidRDefault="00DB248A" w14:paraId="4E8690EC" w14:textId="04526B66">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5DBBC217" w14:textId="0EE742B7">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1B729B5B" w14:textId="531EC015">
            <w:pPr>
              <w:spacing w:line="240" w:lineRule="auto"/>
              <w:ind w:firstLine="0"/>
              <w:rPr>
                <w:sz w:val="20"/>
                <w:szCs w:val="20"/>
              </w:rPr>
            </w:pPr>
            <w:r w:rsidRPr="00B44946">
              <w:rPr>
                <w:sz w:val="20"/>
                <w:szCs w:val="20"/>
              </w:rPr>
              <w:t xml:space="preserve">7G Network, Inc. </w:t>
            </w:r>
          </w:p>
        </w:tc>
      </w:tr>
      <w:tr w:rsidRPr="00782FA6" w:rsidR="00DB248A" w:rsidTr="001C7C69" w14:paraId="261016DC" w14:textId="77777777">
        <w:trPr>
          <w:trHeight w:val="300"/>
        </w:trPr>
        <w:tc>
          <w:tcPr>
            <w:tcW w:w="1345" w:type="dxa"/>
            <w:noWrap/>
            <w:vAlign w:val="center"/>
          </w:tcPr>
          <w:p w:rsidRPr="00B44946" w:rsidR="00DB248A" w:rsidP="00DB248A" w:rsidRDefault="00DB248A" w14:paraId="0E4C5CBE" w14:textId="5249BA68">
            <w:pPr>
              <w:spacing w:line="240" w:lineRule="auto"/>
              <w:ind w:firstLine="0"/>
              <w:jc w:val="center"/>
              <w:rPr>
                <w:sz w:val="20"/>
                <w:szCs w:val="20"/>
              </w:rPr>
            </w:pPr>
            <w:r w:rsidRPr="00B44946">
              <w:rPr>
                <w:sz w:val="20"/>
                <w:szCs w:val="20"/>
              </w:rPr>
              <w:t>7444</w:t>
            </w:r>
          </w:p>
        </w:tc>
        <w:tc>
          <w:tcPr>
            <w:tcW w:w="990" w:type="dxa"/>
            <w:noWrap/>
            <w:vAlign w:val="center"/>
          </w:tcPr>
          <w:p w:rsidRPr="00B44946" w:rsidR="00DB248A" w:rsidP="00DB248A" w:rsidRDefault="00DB248A" w14:paraId="228EA2FE" w14:textId="7181025E">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50C1F444" w14:textId="58F70CC5">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550FA611" w14:textId="0711CBBE">
            <w:pPr>
              <w:spacing w:line="240" w:lineRule="auto"/>
              <w:ind w:firstLine="0"/>
              <w:rPr>
                <w:sz w:val="20"/>
                <w:szCs w:val="20"/>
              </w:rPr>
            </w:pPr>
            <w:r w:rsidRPr="00B44946">
              <w:rPr>
                <w:sz w:val="20"/>
                <w:szCs w:val="20"/>
              </w:rPr>
              <w:t>NW Technologies Group, Inc.</w:t>
            </w:r>
          </w:p>
        </w:tc>
      </w:tr>
      <w:tr w:rsidRPr="00782FA6" w:rsidR="00DB248A" w:rsidTr="001C7C69" w14:paraId="475F47C4" w14:textId="77777777">
        <w:trPr>
          <w:trHeight w:val="300"/>
        </w:trPr>
        <w:tc>
          <w:tcPr>
            <w:tcW w:w="1345" w:type="dxa"/>
            <w:noWrap/>
            <w:vAlign w:val="center"/>
          </w:tcPr>
          <w:p w:rsidRPr="00B44946" w:rsidR="00DB248A" w:rsidP="00DB248A" w:rsidRDefault="00DB248A" w14:paraId="44D52417" w14:textId="2D5111E8">
            <w:pPr>
              <w:spacing w:line="240" w:lineRule="auto"/>
              <w:ind w:firstLine="0"/>
              <w:jc w:val="center"/>
              <w:rPr>
                <w:sz w:val="20"/>
                <w:szCs w:val="20"/>
              </w:rPr>
            </w:pPr>
            <w:r w:rsidRPr="00B44946">
              <w:rPr>
                <w:sz w:val="20"/>
                <w:szCs w:val="20"/>
              </w:rPr>
              <w:t>7445</w:t>
            </w:r>
          </w:p>
        </w:tc>
        <w:tc>
          <w:tcPr>
            <w:tcW w:w="990" w:type="dxa"/>
            <w:noWrap/>
            <w:vAlign w:val="center"/>
          </w:tcPr>
          <w:p w:rsidRPr="00B44946" w:rsidR="00DB248A" w:rsidP="00DB248A" w:rsidRDefault="00DB248A" w14:paraId="3FD672ED" w14:textId="1A28B3BF">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03A25996" w14:textId="18B1B471">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2103CF82" w14:textId="3BC4B00B">
            <w:pPr>
              <w:spacing w:line="240" w:lineRule="auto"/>
              <w:ind w:firstLine="0"/>
              <w:rPr>
                <w:sz w:val="20"/>
                <w:szCs w:val="20"/>
              </w:rPr>
            </w:pPr>
            <w:r w:rsidRPr="00B44946">
              <w:rPr>
                <w:sz w:val="20"/>
                <w:szCs w:val="20"/>
              </w:rPr>
              <w:t>Trifecta Solutions Inc.</w:t>
            </w:r>
          </w:p>
        </w:tc>
      </w:tr>
      <w:tr w:rsidRPr="00782FA6" w:rsidR="00DB248A" w:rsidTr="001C7C69" w14:paraId="5F2D11BA" w14:textId="77777777">
        <w:trPr>
          <w:trHeight w:val="300"/>
        </w:trPr>
        <w:tc>
          <w:tcPr>
            <w:tcW w:w="1345" w:type="dxa"/>
            <w:noWrap/>
            <w:vAlign w:val="center"/>
          </w:tcPr>
          <w:p w:rsidRPr="00B44946" w:rsidR="00DB248A" w:rsidP="00DB248A" w:rsidRDefault="00DB248A" w14:paraId="7157B67B" w14:textId="5F0DF146">
            <w:pPr>
              <w:spacing w:line="240" w:lineRule="auto"/>
              <w:ind w:firstLine="0"/>
              <w:jc w:val="center"/>
              <w:rPr>
                <w:sz w:val="20"/>
                <w:szCs w:val="20"/>
              </w:rPr>
            </w:pPr>
            <w:r w:rsidRPr="00B44946">
              <w:rPr>
                <w:sz w:val="20"/>
                <w:szCs w:val="20"/>
              </w:rPr>
              <w:t>7451</w:t>
            </w:r>
          </w:p>
        </w:tc>
        <w:tc>
          <w:tcPr>
            <w:tcW w:w="990" w:type="dxa"/>
            <w:noWrap/>
            <w:vAlign w:val="center"/>
          </w:tcPr>
          <w:p w:rsidRPr="00B44946" w:rsidR="00DB248A" w:rsidP="00DB248A" w:rsidRDefault="00DB248A" w14:paraId="4D008DC9" w14:textId="34EDE911">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4BE8805F" w14:textId="7464027A">
            <w:pPr>
              <w:spacing w:line="240" w:lineRule="auto"/>
              <w:ind w:firstLine="0"/>
              <w:jc w:val="center"/>
              <w:rPr>
                <w:sz w:val="20"/>
                <w:szCs w:val="20"/>
              </w:rPr>
            </w:pPr>
            <w:r w:rsidRPr="005A1F15">
              <w:rPr>
                <w:sz w:val="20"/>
                <w:szCs w:val="20"/>
              </w:rPr>
              <w:t>DVF</w:t>
            </w:r>
          </w:p>
        </w:tc>
        <w:tc>
          <w:tcPr>
            <w:tcW w:w="5580" w:type="dxa"/>
            <w:noWrap/>
            <w:vAlign w:val="center"/>
          </w:tcPr>
          <w:p w:rsidRPr="00B44946" w:rsidR="00DB248A" w:rsidP="00DB248A" w:rsidRDefault="00DB248A" w14:paraId="294C30A9" w14:textId="06537CD4">
            <w:pPr>
              <w:spacing w:line="240" w:lineRule="auto"/>
              <w:ind w:firstLine="0"/>
              <w:rPr>
                <w:sz w:val="20"/>
                <w:szCs w:val="20"/>
              </w:rPr>
            </w:pPr>
            <w:proofErr w:type="spellStart"/>
            <w:r w:rsidRPr="00B44946">
              <w:rPr>
                <w:sz w:val="20"/>
                <w:szCs w:val="20"/>
              </w:rPr>
              <w:t>UniVoxx</w:t>
            </w:r>
            <w:proofErr w:type="spellEnd"/>
            <w:r w:rsidRPr="00B44946">
              <w:rPr>
                <w:sz w:val="20"/>
                <w:szCs w:val="20"/>
              </w:rPr>
              <w:t>, LLC</w:t>
            </w:r>
          </w:p>
        </w:tc>
      </w:tr>
      <w:tr w:rsidRPr="00782FA6" w:rsidR="0060106F" w:rsidTr="001C7C69" w14:paraId="049202BB" w14:textId="77777777">
        <w:trPr>
          <w:trHeight w:val="300"/>
        </w:trPr>
        <w:tc>
          <w:tcPr>
            <w:tcW w:w="1345" w:type="dxa"/>
            <w:noWrap/>
            <w:vAlign w:val="center"/>
          </w:tcPr>
          <w:p w:rsidRPr="00B44946" w:rsidR="0060106F" w:rsidP="0060106F" w:rsidRDefault="0060106F" w14:paraId="7673384C" w14:textId="01433BCD">
            <w:pPr>
              <w:spacing w:line="240" w:lineRule="auto"/>
              <w:ind w:firstLine="0"/>
              <w:jc w:val="center"/>
              <w:rPr>
                <w:sz w:val="20"/>
                <w:szCs w:val="20"/>
              </w:rPr>
            </w:pPr>
            <w:r>
              <w:rPr>
                <w:sz w:val="20"/>
                <w:szCs w:val="20"/>
              </w:rPr>
              <w:lastRenderedPageBreak/>
              <w:t>7454</w:t>
            </w:r>
          </w:p>
        </w:tc>
        <w:tc>
          <w:tcPr>
            <w:tcW w:w="990" w:type="dxa"/>
            <w:noWrap/>
            <w:vAlign w:val="center"/>
          </w:tcPr>
          <w:p w:rsidRPr="00B44946" w:rsidR="0060106F" w:rsidP="0060106F" w:rsidRDefault="0060106F" w14:paraId="3D43AAE1" w14:textId="0B59D39C">
            <w:pPr>
              <w:spacing w:line="240" w:lineRule="auto"/>
              <w:ind w:firstLine="0"/>
              <w:jc w:val="center"/>
              <w:rPr>
                <w:sz w:val="20"/>
                <w:szCs w:val="20"/>
              </w:rPr>
            </w:pPr>
            <w:r>
              <w:rPr>
                <w:sz w:val="20"/>
                <w:szCs w:val="20"/>
              </w:rPr>
              <w:t>IER</w:t>
            </w:r>
          </w:p>
        </w:tc>
        <w:tc>
          <w:tcPr>
            <w:tcW w:w="1080" w:type="dxa"/>
          </w:tcPr>
          <w:p w:rsidRPr="005A1F15" w:rsidR="0060106F" w:rsidP="0060106F" w:rsidRDefault="0060106F" w14:paraId="67FF4989" w14:textId="1017BAA1">
            <w:pPr>
              <w:spacing w:line="240" w:lineRule="auto"/>
              <w:ind w:firstLine="0"/>
              <w:jc w:val="center"/>
              <w:rPr>
                <w:sz w:val="20"/>
                <w:szCs w:val="20"/>
              </w:rPr>
            </w:pPr>
            <w:r>
              <w:rPr>
                <w:sz w:val="20"/>
                <w:szCs w:val="20"/>
              </w:rPr>
              <w:t>DVF</w:t>
            </w:r>
          </w:p>
        </w:tc>
        <w:tc>
          <w:tcPr>
            <w:tcW w:w="5580" w:type="dxa"/>
            <w:noWrap/>
            <w:vAlign w:val="center"/>
          </w:tcPr>
          <w:p w:rsidRPr="00B44946" w:rsidR="0060106F" w:rsidP="0060106F" w:rsidRDefault="0060106F" w14:paraId="47B4F7C4" w14:textId="795F5EE1">
            <w:pPr>
              <w:spacing w:line="240" w:lineRule="auto"/>
              <w:ind w:firstLine="0"/>
              <w:rPr>
                <w:rFonts w:cs="Arial"/>
                <w:color w:val="000000" w:themeColor="text1"/>
                <w:sz w:val="20"/>
                <w:szCs w:val="20"/>
              </w:rPr>
            </w:pPr>
            <w:r>
              <w:rPr>
                <w:rFonts w:cs="Arial"/>
                <w:color w:val="000000" w:themeColor="text1"/>
                <w:sz w:val="20"/>
                <w:szCs w:val="20"/>
              </w:rPr>
              <w:t>VNILA Services, Inc.</w:t>
            </w:r>
          </w:p>
        </w:tc>
      </w:tr>
      <w:tr w:rsidRPr="00782FA6" w:rsidR="0060106F" w:rsidTr="001C7C69" w14:paraId="1179D0A9" w14:textId="77777777">
        <w:trPr>
          <w:trHeight w:val="300"/>
        </w:trPr>
        <w:tc>
          <w:tcPr>
            <w:tcW w:w="1345" w:type="dxa"/>
            <w:noWrap/>
            <w:vAlign w:val="center"/>
          </w:tcPr>
          <w:p w:rsidRPr="00B44946" w:rsidR="0060106F" w:rsidP="0060106F" w:rsidRDefault="0060106F" w14:paraId="526521F8" w14:textId="5AC7E29F">
            <w:pPr>
              <w:spacing w:line="240" w:lineRule="auto"/>
              <w:ind w:firstLine="0"/>
              <w:jc w:val="center"/>
              <w:rPr>
                <w:sz w:val="20"/>
                <w:szCs w:val="20"/>
              </w:rPr>
            </w:pPr>
            <w:r>
              <w:rPr>
                <w:sz w:val="20"/>
                <w:szCs w:val="20"/>
              </w:rPr>
              <w:t>7455</w:t>
            </w:r>
          </w:p>
        </w:tc>
        <w:tc>
          <w:tcPr>
            <w:tcW w:w="990" w:type="dxa"/>
            <w:noWrap/>
            <w:vAlign w:val="center"/>
          </w:tcPr>
          <w:p w:rsidRPr="00B44946" w:rsidR="0060106F" w:rsidP="0060106F" w:rsidRDefault="0060106F" w14:paraId="0CD51BB0" w14:textId="414DE02D">
            <w:pPr>
              <w:spacing w:line="240" w:lineRule="auto"/>
              <w:ind w:firstLine="0"/>
              <w:jc w:val="center"/>
              <w:rPr>
                <w:sz w:val="20"/>
                <w:szCs w:val="20"/>
              </w:rPr>
            </w:pPr>
            <w:r>
              <w:rPr>
                <w:sz w:val="20"/>
                <w:szCs w:val="20"/>
              </w:rPr>
              <w:t>IER</w:t>
            </w:r>
          </w:p>
        </w:tc>
        <w:tc>
          <w:tcPr>
            <w:tcW w:w="1080" w:type="dxa"/>
          </w:tcPr>
          <w:p w:rsidRPr="005A1F15" w:rsidR="0060106F" w:rsidP="0060106F" w:rsidRDefault="0060106F" w14:paraId="6693D453" w14:textId="639E0632">
            <w:pPr>
              <w:spacing w:line="240" w:lineRule="auto"/>
              <w:ind w:firstLine="0"/>
              <w:jc w:val="center"/>
              <w:rPr>
                <w:sz w:val="20"/>
                <w:szCs w:val="20"/>
              </w:rPr>
            </w:pPr>
            <w:r>
              <w:rPr>
                <w:sz w:val="20"/>
                <w:szCs w:val="20"/>
              </w:rPr>
              <w:t>DVF</w:t>
            </w:r>
          </w:p>
        </w:tc>
        <w:tc>
          <w:tcPr>
            <w:tcW w:w="5580" w:type="dxa"/>
            <w:noWrap/>
            <w:vAlign w:val="center"/>
          </w:tcPr>
          <w:p w:rsidRPr="00B44946" w:rsidR="0060106F" w:rsidP="0060106F" w:rsidRDefault="0060106F" w14:paraId="5045667E" w14:textId="4060A2ED">
            <w:pPr>
              <w:spacing w:line="240" w:lineRule="auto"/>
              <w:ind w:firstLine="0"/>
              <w:rPr>
                <w:rFonts w:cs="Arial"/>
                <w:color w:val="000000" w:themeColor="text1"/>
                <w:sz w:val="20"/>
                <w:szCs w:val="20"/>
              </w:rPr>
            </w:pPr>
            <w:r>
              <w:rPr>
                <w:rFonts w:cs="Arial"/>
                <w:color w:val="000000" w:themeColor="text1"/>
                <w:sz w:val="20"/>
                <w:szCs w:val="20"/>
              </w:rPr>
              <w:t>Podium Voice, LLC</w:t>
            </w:r>
          </w:p>
        </w:tc>
      </w:tr>
      <w:tr w:rsidRPr="00782FA6" w:rsidR="00DB248A" w:rsidTr="001C7C69" w14:paraId="7F8A2E0C" w14:textId="77777777">
        <w:trPr>
          <w:trHeight w:val="300"/>
        </w:trPr>
        <w:tc>
          <w:tcPr>
            <w:tcW w:w="1345" w:type="dxa"/>
            <w:noWrap/>
            <w:vAlign w:val="center"/>
          </w:tcPr>
          <w:p w:rsidRPr="00B44946" w:rsidR="00DB248A" w:rsidP="00DB248A" w:rsidRDefault="00DB248A" w14:paraId="231D981C" w14:textId="73156EC7">
            <w:pPr>
              <w:spacing w:line="240" w:lineRule="auto"/>
              <w:ind w:firstLine="0"/>
              <w:jc w:val="center"/>
              <w:rPr>
                <w:sz w:val="20"/>
                <w:szCs w:val="20"/>
              </w:rPr>
            </w:pPr>
            <w:r w:rsidRPr="00B44946">
              <w:rPr>
                <w:sz w:val="20"/>
                <w:szCs w:val="20"/>
              </w:rPr>
              <w:t>7456</w:t>
            </w:r>
          </w:p>
        </w:tc>
        <w:tc>
          <w:tcPr>
            <w:tcW w:w="990" w:type="dxa"/>
            <w:noWrap/>
            <w:vAlign w:val="center"/>
          </w:tcPr>
          <w:p w:rsidRPr="00B44946" w:rsidR="00DB248A" w:rsidP="00DB248A" w:rsidRDefault="00DB248A" w14:paraId="41613733" w14:textId="1847C234">
            <w:pPr>
              <w:spacing w:line="240" w:lineRule="auto"/>
              <w:ind w:firstLine="0"/>
              <w:jc w:val="center"/>
              <w:rPr>
                <w:sz w:val="20"/>
                <w:szCs w:val="20"/>
              </w:rPr>
            </w:pPr>
            <w:r w:rsidRPr="00B44946">
              <w:rPr>
                <w:sz w:val="20"/>
                <w:szCs w:val="20"/>
              </w:rPr>
              <w:t>IER</w:t>
            </w:r>
          </w:p>
        </w:tc>
        <w:tc>
          <w:tcPr>
            <w:tcW w:w="1080" w:type="dxa"/>
          </w:tcPr>
          <w:p w:rsidRPr="00B44946" w:rsidR="00DB248A" w:rsidP="001C7C69" w:rsidRDefault="00DB248A" w14:paraId="3816D9D1" w14:textId="3BC001B3">
            <w:pPr>
              <w:spacing w:line="240" w:lineRule="auto"/>
              <w:ind w:firstLine="0"/>
              <w:jc w:val="center"/>
              <w:rPr>
                <w:rFonts w:cs="Arial"/>
                <w:color w:val="000000" w:themeColor="text1"/>
                <w:sz w:val="20"/>
                <w:szCs w:val="20"/>
              </w:rPr>
            </w:pPr>
            <w:r w:rsidRPr="005A1F15">
              <w:rPr>
                <w:sz w:val="20"/>
                <w:szCs w:val="20"/>
              </w:rPr>
              <w:t>DVF</w:t>
            </w:r>
          </w:p>
        </w:tc>
        <w:tc>
          <w:tcPr>
            <w:tcW w:w="5580" w:type="dxa"/>
            <w:noWrap/>
            <w:vAlign w:val="center"/>
          </w:tcPr>
          <w:p w:rsidRPr="00B44946" w:rsidR="00DB248A" w:rsidP="00DB248A" w:rsidRDefault="00DB248A" w14:paraId="498F6EE0" w14:textId="31918E8F">
            <w:pPr>
              <w:spacing w:line="240" w:lineRule="auto"/>
              <w:ind w:firstLine="0"/>
              <w:rPr>
                <w:sz w:val="20"/>
                <w:szCs w:val="20"/>
              </w:rPr>
            </w:pPr>
            <w:r w:rsidRPr="00B44946">
              <w:rPr>
                <w:rFonts w:cs="Arial"/>
                <w:color w:val="000000" w:themeColor="text1"/>
                <w:sz w:val="20"/>
                <w:szCs w:val="20"/>
              </w:rPr>
              <w:t>Computer Help L.A., Inc.</w:t>
            </w:r>
          </w:p>
        </w:tc>
      </w:tr>
      <w:tr w:rsidRPr="00782FA6" w:rsidR="00DB248A" w:rsidTr="001C7C69" w14:paraId="09626ED0" w14:textId="77777777">
        <w:trPr>
          <w:trHeight w:val="300"/>
        </w:trPr>
        <w:tc>
          <w:tcPr>
            <w:tcW w:w="1345" w:type="dxa"/>
            <w:noWrap/>
            <w:vAlign w:val="center"/>
          </w:tcPr>
          <w:p w:rsidR="00DB248A" w:rsidP="00DB248A" w:rsidRDefault="00DB248A" w14:paraId="0D3D4F17" w14:textId="16EE2DE7">
            <w:pPr>
              <w:spacing w:line="240" w:lineRule="auto"/>
              <w:ind w:firstLine="0"/>
              <w:jc w:val="center"/>
              <w:rPr>
                <w:sz w:val="20"/>
                <w:szCs w:val="20"/>
              </w:rPr>
            </w:pPr>
            <w:r>
              <w:rPr>
                <w:sz w:val="20"/>
                <w:szCs w:val="20"/>
              </w:rPr>
              <w:t>7458</w:t>
            </w:r>
          </w:p>
        </w:tc>
        <w:tc>
          <w:tcPr>
            <w:tcW w:w="990" w:type="dxa"/>
            <w:noWrap/>
            <w:vAlign w:val="center"/>
          </w:tcPr>
          <w:p w:rsidR="00DB248A" w:rsidP="00DB248A" w:rsidRDefault="00DB248A" w14:paraId="040FE81F" w14:textId="34364C70">
            <w:pPr>
              <w:spacing w:line="240" w:lineRule="auto"/>
              <w:ind w:firstLine="0"/>
              <w:jc w:val="center"/>
              <w:rPr>
                <w:sz w:val="20"/>
                <w:szCs w:val="20"/>
              </w:rPr>
            </w:pPr>
            <w:r>
              <w:rPr>
                <w:sz w:val="20"/>
                <w:szCs w:val="20"/>
              </w:rPr>
              <w:t>IER</w:t>
            </w:r>
          </w:p>
        </w:tc>
        <w:tc>
          <w:tcPr>
            <w:tcW w:w="1080" w:type="dxa"/>
          </w:tcPr>
          <w:p w:rsidR="00DB248A" w:rsidP="001C7C69" w:rsidRDefault="00DB248A" w14:paraId="58A8E645" w14:textId="500E01C6">
            <w:pPr>
              <w:spacing w:line="240" w:lineRule="auto"/>
              <w:ind w:firstLine="0"/>
              <w:jc w:val="center"/>
              <w:rPr>
                <w:rFonts w:cs="Arial"/>
                <w:color w:val="000000" w:themeColor="text1"/>
                <w:sz w:val="20"/>
                <w:szCs w:val="20"/>
              </w:rPr>
            </w:pPr>
            <w:r w:rsidRPr="005A1F15">
              <w:rPr>
                <w:sz w:val="20"/>
                <w:szCs w:val="20"/>
              </w:rPr>
              <w:t>DVF</w:t>
            </w:r>
          </w:p>
        </w:tc>
        <w:tc>
          <w:tcPr>
            <w:tcW w:w="5580" w:type="dxa"/>
            <w:noWrap/>
            <w:vAlign w:val="center"/>
          </w:tcPr>
          <w:p w:rsidR="00DB248A" w:rsidP="00DB248A" w:rsidRDefault="00DB248A" w14:paraId="71489AAA" w14:textId="7ABF56D5">
            <w:pPr>
              <w:spacing w:line="240" w:lineRule="auto"/>
              <w:ind w:firstLine="0"/>
              <w:rPr>
                <w:rFonts w:cs="Arial"/>
                <w:color w:val="000000" w:themeColor="text1"/>
                <w:sz w:val="20"/>
                <w:szCs w:val="20"/>
              </w:rPr>
            </w:pPr>
            <w:r>
              <w:rPr>
                <w:rFonts w:cs="Arial"/>
                <w:color w:val="000000" w:themeColor="text1"/>
                <w:sz w:val="20"/>
                <w:szCs w:val="20"/>
              </w:rPr>
              <w:t>Re</w:t>
            </w:r>
            <w:r w:rsidR="006951D5">
              <w:rPr>
                <w:rFonts w:cs="Arial"/>
                <w:color w:val="000000" w:themeColor="text1"/>
                <w:sz w:val="20"/>
                <w:szCs w:val="20"/>
              </w:rPr>
              <w:noBreakHyphen/>
            </w:r>
            <w:r>
              <w:rPr>
                <w:rFonts w:cs="Arial"/>
                <w:color w:val="000000" w:themeColor="text1"/>
                <w:sz w:val="20"/>
                <w:szCs w:val="20"/>
              </w:rPr>
              <w:t>Invent Telecom, LLC</w:t>
            </w:r>
          </w:p>
        </w:tc>
      </w:tr>
      <w:tr w:rsidRPr="00782FA6" w:rsidR="00DB248A" w:rsidTr="001C7C69" w14:paraId="1227C06C" w14:textId="77777777">
        <w:trPr>
          <w:trHeight w:val="300"/>
        </w:trPr>
        <w:tc>
          <w:tcPr>
            <w:tcW w:w="1345" w:type="dxa"/>
            <w:noWrap/>
            <w:vAlign w:val="center"/>
          </w:tcPr>
          <w:p w:rsidRPr="00B44946" w:rsidR="00DB248A" w:rsidP="00DB248A" w:rsidRDefault="00DB248A" w14:paraId="261E1ED3" w14:textId="42B5276C">
            <w:pPr>
              <w:spacing w:line="240" w:lineRule="auto"/>
              <w:ind w:firstLine="0"/>
              <w:jc w:val="center"/>
              <w:rPr>
                <w:sz w:val="20"/>
                <w:szCs w:val="20"/>
              </w:rPr>
            </w:pPr>
            <w:r>
              <w:rPr>
                <w:sz w:val="20"/>
                <w:szCs w:val="20"/>
              </w:rPr>
              <w:t>7459</w:t>
            </w:r>
          </w:p>
        </w:tc>
        <w:tc>
          <w:tcPr>
            <w:tcW w:w="990" w:type="dxa"/>
            <w:noWrap/>
            <w:vAlign w:val="center"/>
          </w:tcPr>
          <w:p w:rsidRPr="00B44946" w:rsidR="00DB248A" w:rsidP="00DB248A" w:rsidRDefault="00DB248A" w14:paraId="6C915486" w14:textId="61A86879">
            <w:pPr>
              <w:spacing w:line="240" w:lineRule="auto"/>
              <w:ind w:firstLine="0"/>
              <w:jc w:val="center"/>
              <w:rPr>
                <w:sz w:val="20"/>
                <w:szCs w:val="20"/>
              </w:rPr>
            </w:pPr>
            <w:r>
              <w:rPr>
                <w:sz w:val="20"/>
                <w:szCs w:val="20"/>
              </w:rPr>
              <w:t>IER</w:t>
            </w:r>
          </w:p>
        </w:tc>
        <w:tc>
          <w:tcPr>
            <w:tcW w:w="1080" w:type="dxa"/>
          </w:tcPr>
          <w:p w:rsidR="00DB248A" w:rsidP="001C7C69" w:rsidRDefault="00DB248A" w14:paraId="4D2F100E" w14:textId="4466E94A">
            <w:pPr>
              <w:spacing w:line="240" w:lineRule="auto"/>
              <w:ind w:firstLine="0"/>
              <w:jc w:val="center"/>
              <w:rPr>
                <w:rFonts w:cs="Arial"/>
                <w:color w:val="000000" w:themeColor="text1"/>
                <w:sz w:val="20"/>
                <w:szCs w:val="20"/>
              </w:rPr>
            </w:pPr>
            <w:r w:rsidRPr="005A1F15">
              <w:rPr>
                <w:sz w:val="20"/>
                <w:szCs w:val="20"/>
              </w:rPr>
              <w:t>DVF</w:t>
            </w:r>
          </w:p>
        </w:tc>
        <w:tc>
          <w:tcPr>
            <w:tcW w:w="5580" w:type="dxa"/>
            <w:noWrap/>
            <w:vAlign w:val="center"/>
          </w:tcPr>
          <w:p w:rsidRPr="00B44946" w:rsidR="00DB248A" w:rsidP="00DB248A" w:rsidRDefault="00DB248A" w14:paraId="1E648AA6" w14:textId="6296C5CC">
            <w:pPr>
              <w:spacing w:line="240" w:lineRule="auto"/>
              <w:ind w:firstLine="0"/>
              <w:rPr>
                <w:rFonts w:cs="Arial"/>
                <w:color w:val="000000" w:themeColor="text1"/>
                <w:sz w:val="20"/>
                <w:szCs w:val="20"/>
              </w:rPr>
            </w:pPr>
            <w:r>
              <w:rPr>
                <w:rFonts w:cs="Arial"/>
                <w:color w:val="000000" w:themeColor="text1"/>
                <w:sz w:val="20"/>
                <w:szCs w:val="20"/>
              </w:rPr>
              <w:t>Computer Ware, Inc.</w:t>
            </w:r>
          </w:p>
        </w:tc>
      </w:tr>
    </w:tbl>
    <w:p w:rsidR="00F973E5" w:rsidP="00F973E5" w:rsidRDefault="00F973E5" w14:paraId="198D598D" w14:textId="77777777">
      <w:pPr>
        <w:ind w:firstLine="0"/>
        <w:rPr>
          <w:b/>
        </w:rPr>
      </w:pPr>
    </w:p>
    <w:p w:rsidR="00AB5BAC" w:rsidP="00F973E5" w:rsidRDefault="00AB5BAC" w14:paraId="5EF9E619" w14:textId="77777777">
      <w:pPr>
        <w:ind w:firstLine="0"/>
        <w:rPr>
          <w:b/>
        </w:rPr>
      </w:pPr>
    </w:p>
    <w:p w:rsidR="00AB5BAC" w:rsidP="00F973E5" w:rsidRDefault="00AB5BAC" w14:paraId="11E1FC60" w14:textId="77777777">
      <w:pPr>
        <w:ind w:firstLine="0"/>
        <w:rPr>
          <w:b/>
        </w:rPr>
      </w:pPr>
    </w:p>
    <w:p w:rsidR="00860D44" w:rsidP="00F973E5" w:rsidRDefault="001F0388" w14:paraId="003DF996" w14:textId="3973D114">
      <w:pPr>
        <w:ind w:firstLine="0"/>
        <w:jc w:val="center"/>
        <w:rPr>
          <w:b/>
        </w:rPr>
      </w:pPr>
      <w:r w:rsidRPr="002E4891">
        <w:rPr>
          <w:b/>
        </w:rPr>
        <w:t>(END OF A</w:t>
      </w:r>
      <w:r>
        <w:rPr>
          <w:b/>
        </w:rPr>
        <w:t>PPENDIX</w:t>
      </w:r>
      <w:r w:rsidRPr="002E4891">
        <w:rPr>
          <w:b/>
        </w:rPr>
        <w:t xml:space="preserve"> </w:t>
      </w:r>
      <w:r>
        <w:rPr>
          <w:b/>
        </w:rPr>
        <w:t>E</w:t>
      </w:r>
      <w:r w:rsidRPr="002E4891">
        <w:rPr>
          <w:b/>
        </w:rPr>
        <w:t>)</w:t>
      </w:r>
    </w:p>
    <w:p w:rsidR="00E432EA" w:rsidRDefault="00E432EA" w14:paraId="308DFA4C" w14:textId="77777777">
      <w:pPr>
        <w:spacing w:after="160" w:line="259" w:lineRule="auto"/>
        <w:ind w:firstLine="0"/>
        <w:rPr>
          <w:b/>
        </w:rPr>
        <w:sectPr w:rsidR="00E432EA" w:rsidSect="00977FD1">
          <w:footerReference w:type="default" r:id="rId39"/>
          <w:pgSz w:w="12240" w:h="15840"/>
          <w:pgMar w:top="1728" w:right="1440" w:bottom="1440" w:left="1440" w:header="720" w:footer="720" w:gutter="0"/>
          <w:pgNumType w:start="1"/>
          <w:cols w:space="720"/>
          <w:docGrid w:linePitch="360"/>
        </w:sectPr>
      </w:pPr>
    </w:p>
    <w:p w:rsidR="00D37C41" w:rsidP="00D37C41" w:rsidRDefault="00D37C41" w14:paraId="5B9166EF" w14:textId="77777777">
      <w:pPr>
        <w:ind w:firstLine="0"/>
      </w:pPr>
    </w:p>
    <w:p w:rsidR="00D37C41" w:rsidP="00D37C41" w:rsidRDefault="00D37C41" w14:paraId="7426CE9D" w14:textId="77777777">
      <w:pPr>
        <w:ind w:firstLine="0"/>
      </w:pPr>
    </w:p>
    <w:p w:rsidR="00D37C41" w:rsidP="00D37C41" w:rsidRDefault="00D37C41" w14:paraId="0FD15D8A" w14:textId="77777777">
      <w:pPr>
        <w:ind w:firstLine="0"/>
      </w:pPr>
    </w:p>
    <w:p w:rsidR="00D37C41" w:rsidP="00D37C41" w:rsidRDefault="00D37C41" w14:paraId="6DFE3E63" w14:textId="77777777">
      <w:pPr>
        <w:ind w:firstLine="0"/>
      </w:pPr>
    </w:p>
    <w:p w:rsidR="00D37C41" w:rsidP="00D37C41" w:rsidRDefault="00D37C41" w14:paraId="4DAC5234" w14:textId="77777777">
      <w:pPr>
        <w:ind w:firstLine="0"/>
      </w:pPr>
    </w:p>
    <w:p w:rsidR="00D37C41" w:rsidP="00D37C41" w:rsidRDefault="00D37C41" w14:paraId="66DA60A4" w14:textId="77777777">
      <w:pPr>
        <w:ind w:firstLine="0"/>
      </w:pPr>
    </w:p>
    <w:p w:rsidR="00D37C41" w:rsidP="00D37C41" w:rsidRDefault="00D37C41" w14:paraId="62BA65EB" w14:textId="77777777">
      <w:pPr>
        <w:ind w:firstLine="0"/>
      </w:pPr>
    </w:p>
    <w:p w:rsidRPr="004E6CDC" w:rsidR="00860D44" w:rsidP="00564BEC" w:rsidRDefault="00860D44" w14:paraId="548A1F65" w14:textId="16AB3DFE">
      <w:pPr>
        <w:ind w:firstLine="0"/>
        <w:jc w:val="center"/>
        <w:rPr>
          <w:b/>
          <w:sz w:val="44"/>
          <w:szCs w:val="44"/>
        </w:rPr>
      </w:pPr>
      <w:r w:rsidRPr="004E6CDC">
        <w:rPr>
          <w:b/>
          <w:sz w:val="44"/>
          <w:szCs w:val="44"/>
        </w:rPr>
        <w:t>A</w:t>
      </w:r>
      <w:r>
        <w:rPr>
          <w:b/>
          <w:sz w:val="44"/>
          <w:szCs w:val="44"/>
        </w:rPr>
        <w:t>PPENDIX</w:t>
      </w:r>
      <w:r w:rsidRPr="004E6CDC">
        <w:rPr>
          <w:b/>
          <w:sz w:val="44"/>
          <w:szCs w:val="44"/>
        </w:rPr>
        <w:t xml:space="preserve"> </w:t>
      </w:r>
      <w:r>
        <w:rPr>
          <w:b/>
          <w:sz w:val="44"/>
          <w:szCs w:val="44"/>
        </w:rPr>
        <w:t>F</w:t>
      </w:r>
    </w:p>
    <w:p w:rsidR="00860D44" w:rsidP="00860D44" w:rsidRDefault="00860D44" w14:paraId="51E353E9" w14:textId="77777777">
      <w:pPr>
        <w:jc w:val="center"/>
        <w:sectPr w:rsidR="00860D44" w:rsidSect="00977FD1">
          <w:footerReference w:type="default" r:id="rId40"/>
          <w:pgSz w:w="12240" w:h="15840"/>
          <w:pgMar w:top="1728" w:right="1440" w:bottom="1440" w:left="1440" w:header="720" w:footer="720" w:gutter="0"/>
          <w:pgNumType w:start="1"/>
          <w:cols w:space="720"/>
          <w:docGrid w:linePitch="360"/>
        </w:sectPr>
      </w:pPr>
    </w:p>
    <w:p w:rsidRPr="005C0BB5" w:rsidR="00860D44" w:rsidP="005C0BB5" w:rsidRDefault="00860D44" w14:paraId="1916F2E7" w14:textId="40AC5790">
      <w:pPr>
        <w:spacing w:after="240" w:line="240" w:lineRule="auto"/>
        <w:ind w:firstLine="0"/>
        <w:jc w:val="center"/>
        <w:rPr>
          <w:rFonts w:ascii="Arial" w:hAnsi="Arial"/>
          <w:b/>
          <w:bCs/>
        </w:rPr>
      </w:pPr>
      <w:bookmarkStart w:name="_Toc174702349" w:id="265"/>
      <w:r w:rsidRPr="005C0BB5">
        <w:rPr>
          <w:rFonts w:ascii="Arial" w:hAnsi="Arial"/>
          <w:b/>
          <w:bCs/>
        </w:rPr>
        <w:lastRenderedPageBreak/>
        <w:t>APPENDIX F</w:t>
      </w:r>
      <w:bookmarkEnd w:id="265"/>
    </w:p>
    <w:p w:rsidR="00000DC4" w:rsidP="009544D6" w:rsidRDefault="00000DC4" w14:paraId="79E11834" w14:textId="032ED30B">
      <w:pPr>
        <w:pStyle w:val="Standard"/>
        <w:ind w:firstLine="0"/>
        <w:jc w:val="center"/>
      </w:pPr>
      <w:r w:rsidRPr="00A62D6B">
        <w:rPr>
          <w:b/>
          <w:sz w:val="24"/>
          <w:szCs w:val="24"/>
        </w:rPr>
        <w:t xml:space="preserve">FINANCIAL REQUIREMENTS FOR CPCN AND </w:t>
      </w:r>
      <w:r w:rsidR="000645F4">
        <w:rPr>
          <w:b/>
          <w:sz w:val="24"/>
          <w:szCs w:val="24"/>
        </w:rPr>
        <w:t>SECTION </w:t>
      </w:r>
      <w:r w:rsidRPr="00A62D6B">
        <w:rPr>
          <w:b/>
          <w:sz w:val="24"/>
          <w:szCs w:val="24"/>
        </w:rPr>
        <w:t>1013</w:t>
      </w:r>
      <w:r w:rsidRPr="00A62D6B" w:rsidR="00C72359">
        <w:rPr>
          <w:b/>
          <w:sz w:val="24"/>
          <w:szCs w:val="24"/>
        </w:rPr>
        <w:t xml:space="preserve"> </w:t>
      </w:r>
      <w:r w:rsidRPr="00A62D6B">
        <w:rPr>
          <w:b/>
          <w:sz w:val="24"/>
          <w:szCs w:val="24"/>
        </w:rPr>
        <w:t>REGISTRATION</w:t>
      </w:r>
      <w:r w:rsidR="00696F23">
        <w:rPr>
          <w:b/>
          <w:sz w:val="24"/>
          <w:szCs w:val="24"/>
        </w:rPr>
        <w:t xml:space="preserve"> APPLICATIONS</w:t>
      </w:r>
    </w:p>
    <w:p w:rsidR="00C307CF" w:rsidP="00C307CF" w:rsidRDefault="00C307CF" w14:paraId="451B1D90" w14:textId="452E58A3">
      <w:pPr>
        <w:pStyle w:val="Standard"/>
        <w:ind w:firstLine="0"/>
      </w:pPr>
      <w:r>
        <w:t>Th</w:t>
      </w:r>
      <w:r w:rsidR="00C72359">
        <w:t>e</w:t>
      </w:r>
      <w:r>
        <w:t xml:space="preserve"> financial requirements </w:t>
      </w:r>
      <w:r w:rsidR="00177044">
        <w:t xml:space="preserve">to obtain operating authority </w:t>
      </w:r>
      <w:r>
        <w:t xml:space="preserve">are as follows: </w:t>
      </w:r>
    </w:p>
    <w:p w:rsidR="00C307CF" w:rsidRDefault="00C307CF" w14:paraId="3C4A03F7" w14:textId="046E684C">
      <w:pPr>
        <w:pStyle w:val="Standard"/>
        <w:numPr>
          <w:ilvl w:val="1"/>
          <w:numId w:val="21"/>
        </w:numPr>
        <w:ind w:left="720"/>
      </w:pPr>
      <w:r>
        <w:t xml:space="preserve">All new </w:t>
      </w:r>
      <w:r w:rsidR="00E705E6">
        <w:t>facilities</w:t>
      </w:r>
      <w:r w:rsidR="006951D5">
        <w:noBreakHyphen/>
      </w:r>
      <w:r w:rsidR="00E705E6">
        <w:t>based</w:t>
      </w:r>
      <w:r>
        <w:t xml:space="preserve"> applicants seeking CPCNs</w:t>
      </w:r>
      <w:r w:rsidR="00177044">
        <w:t xml:space="preserve"> </w:t>
      </w:r>
      <w:r>
        <w:t xml:space="preserve">shall demonstrate in their applications that they possess a minimum of $100,000 </w:t>
      </w:r>
      <w:r w:rsidR="009E1581">
        <w:t xml:space="preserve">unencumbered </w:t>
      </w:r>
      <w:r>
        <w:t>as defined below, reasonably liquid and readily available to meet the firm</w:t>
      </w:r>
      <w:r w:rsidR="00893D67">
        <w:t>’</w:t>
      </w:r>
      <w:r>
        <w:t>s start</w:t>
      </w:r>
      <w:r w:rsidR="006951D5">
        <w:noBreakHyphen/>
      </w:r>
      <w:r>
        <w:t>up expenses. Such applicants shall also document any deposits required by local exchange companies or interexchange carriers (IECs) and demonstrate that they have a minimum of $25,000 to be used solely for deposits</w:t>
      </w:r>
      <w:r w:rsidR="00837922">
        <w:t xml:space="preserve"> required by local exchange companies or interexchange carriers</w:t>
      </w:r>
      <w:r>
        <w:t>.</w:t>
      </w:r>
    </w:p>
    <w:p w:rsidR="00C307CF" w:rsidRDefault="00C307CF" w14:paraId="7E86EEB9" w14:textId="24F9540C">
      <w:pPr>
        <w:pStyle w:val="Standard"/>
        <w:numPr>
          <w:ilvl w:val="1"/>
          <w:numId w:val="21"/>
        </w:numPr>
        <w:ind w:left="720"/>
      </w:pPr>
      <w:r>
        <w:t xml:space="preserve">All new </w:t>
      </w:r>
      <w:r w:rsidR="00E705E6">
        <w:t>non</w:t>
      </w:r>
      <w:r w:rsidR="006951D5">
        <w:noBreakHyphen/>
      </w:r>
      <w:r w:rsidR="00E705E6">
        <w:t>facilities</w:t>
      </w:r>
      <w:r w:rsidR="006951D5">
        <w:noBreakHyphen/>
      </w:r>
      <w:r w:rsidR="00E705E6">
        <w:t>based</w:t>
      </w:r>
      <w:r>
        <w:t xml:space="preserve"> applicants seeking </w:t>
      </w:r>
      <w:r w:rsidR="000645F4">
        <w:t>Section </w:t>
      </w:r>
      <w:r w:rsidR="00177044">
        <w:t xml:space="preserve">1013 registrations </w:t>
      </w:r>
      <w:r>
        <w:t xml:space="preserve">shall demonstrate in their applications that they possess a minimum of $25,000 </w:t>
      </w:r>
      <w:r w:rsidR="009E1581">
        <w:t xml:space="preserve">unencumbered </w:t>
      </w:r>
      <w:r>
        <w:t>as defined below, reasonably liquid and readily available to meet the new firm</w:t>
      </w:r>
      <w:r w:rsidR="00893D67">
        <w:t>’</w:t>
      </w:r>
      <w:r>
        <w:t>s expenses. Such applicants shall also document any deposits required by LECs or IECs and demonstrate that they have a minimum of $25,000 to be used solely for deposits</w:t>
      </w:r>
      <w:r w:rsidR="00837922">
        <w:t xml:space="preserve"> required by local exchange companies or interexchange carriers</w:t>
      </w:r>
      <w:r>
        <w:t>.</w:t>
      </w:r>
    </w:p>
    <w:p w:rsidR="00C307CF" w:rsidRDefault="00C307CF" w14:paraId="198120CD" w14:textId="6F6919F8">
      <w:pPr>
        <w:pStyle w:val="Standard"/>
        <w:numPr>
          <w:ilvl w:val="1"/>
          <w:numId w:val="21"/>
        </w:numPr>
        <w:ind w:left="720"/>
      </w:pPr>
      <w:r>
        <w:t xml:space="preserve">Applicants for </w:t>
      </w:r>
      <w:r w:rsidR="00177044">
        <w:t xml:space="preserve">operating authority </w:t>
      </w:r>
      <w:r>
        <w:t xml:space="preserve">who have profitable interstate operations may meet the minimum financial requirement by submitting all of the three items: (1) an audited balance sheet; (2) an audited balance sheet for the previous quarter; and (3) </w:t>
      </w:r>
      <w:r w:rsidRPr="003851D4">
        <w:t>a bank statement as of the month prior to the date of filing the application or a third</w:t>
      </w:r>
      <w:r w:rsidR="006951D5">
        <w:noBreakHyphen/>
      </w:r>
      <w:r w:rsidRPr="003851D4">
        <w:t xml:space="preserve">party undertaking to provide the required amounts on behalf of applicant. If the balance sheet shows current liabilities in excess of current assets or negative equity, explain how applicant will be able to maintain sufficient liquidity for its </w:t>
      </w:r>
      <w:r w:rsidRPr="003851D4">
        <w:lastRenderedPageBreak/>
        <w:t>first year of operations</w:t>
      </w:r>
      <w:r>
        <w:t>, as authorized in Decision (D.) 91</w:t>
      </w:r>
      <w:r w:rsidR="006951D5">
        <w:noBreakHyphen/>
      </w:r>
      <w:r>
        <w:t>10</w:t>
      </w:r>
      <w:r w:rsidR="006951D5">
        <w:noBreakHyphen/>
      </w:r>
      <w:r>
        <w:t>041 and modified by D.14</w:t>
      </w:r>
      <w:r w:rsidR="006951D5">
        <w:noBreakHyphen/>
      </w:r>
      <w:r>
        <w:t>11</w:t>
      </w:r>
      <w:r w:rsidR="006951D5">
        <w:noBreakHyphen/>
      </w:r>
      <w:r>
        <w:t>004 for NDIECs</w:t>
      </w:r>
      <w:r w:rsidRPr="003851D4">
        <w:t>.</w:t>
      </w:r>
    </w:p>
    <w:p w:rsidR="00C307CF" w:rsidRDefault="00177044" w14:paraId="09D41A0A" w14:textId="6DDD8880">
      <w:pPr>
        <w:pStyle w:val="Standard"/>
        <w:numPr>
          <w:ilvl w:val="1"/>
          <w:numId w:val="21"/>
        </w:numPr>
        <w:ind w:left="720"/>
      </w:pPr>
      <w:r>
        <w:t>Applicants for operating authority without profitable interstate operations</w:t>
      </w:r>
      <w:r w:rsidR="00C307CF">
        <w:t xml:space="preserve"> </w:t>
      </w:r>
      <w:r>
        <w:t xml:space="preserve">are </w:t>
      </w:r>
      <w:r w:rsidR="00C307CF">
        <w:t xml:space="preserve">permitted to use any of the following financial instruments to satisfy the applicable unencumbered cash </w:t>
      </w:r>
      <w:r w:rsidR="009E1581">
        <w:t xml:space="preserve">equivalent </w:t>
      </w:r>
      <w:r w:rsidR="00C307CF">
        <w:t>requirements</w:t>
      </w:r>
      <w:r>
        <w:t>:</w:t>
      </w:r>
    </w:p>
    <w:p w:rsidR="00215D8D" w:rsidRDefault="009E1581" w14:paraId="4612E75E" w14:textId="7BD4377B">
      <w:pPr>
        <w:pStyle w:val="Standard"/>
        <w:numPr>
          <w:ilvl w:val="2"/>
          <w:numId w:val="21"/>
        </w:numPr>
        <w:ind w:left="1440"/>
      </w:pPr>
      <w:r>
        <w:t>U</w:t>
      </w:r>
      <w:r w:rsidR="00D04534">
        <w:t>naudited bank statements</w:t>
      </w:r>
      <w:r>
        <w:t>;</w:t>
      </w:r>
      <w:r w:rsidR="00E1304C">
        <w:t xml:space="preserve"> </w:t>
      </w:r>
    </w:p>
    <w:p w:rsidR="00C307CF" w:rsidRDefault="00C307CF" w14:paraId="3F27191D" w14:textId="17615D60">
      <w:pPr>
        <w:pStyle w:val="Standard"/>
        <w:numPr>
          <w:ilvl w:val="2"/>
          <w:numId w:val="21"/>
        </w:numPr>
        <w:ind w:left="1440"/>
      </w:pPr>
      <w:r>
        <w:t>Certificate of deposit or other liquid deposit with a reputable bank or other financial institution;</w:t>
      </w:r>
    </w:p>
    <w:p w:rsidR="00C307CF" w:rsidRDefault="00C307CF" w14:paraId="59FB3577" w14:textId="6FEAA70D">
      <w:pPr>
        <w:pStyle w:val="Standard"/>
        <w:numPr>
          <w:ilvl w:val="2"/>
          <w:numId w:val="21"/>
        </w:numPr>
        <w:ind w:left="1440"/>
      </w:pPr>
      <w:r>
        <w:t xml:space="preserve">Preferred stock proceeds or other corporate shareholder equity, provided that use is restricted to maintenance of working capital for a period of </w:t>
      </w:r>
      <w:r w:rsidR="00AA6629">
        <w:t>at least</w:t>
      </w:r>
      <w:r>
        <w:t xml:space="preserve"> twelve (12) months beyond certification of the applicant by the Commission;</w:t>
      </w:r>
    </w:p>
    <w:p w:rsidR="00C307CF" w:rsidRDefault="00C307CF" w14:paraId="153EFE75" w14:textId="5C6BA658">
      <w:pPr>
        <w:pStyle w:val="Standard"/>
        <w:numPr>
          <w:ilvl w:val="2"/>
          <w:numId w:val="21"/>
        </w:numPr>
        <w:ind w:left="1440"/>
      </w:pPr>
      <w:r>
        <w:t xml:space="preserve">Letter of credit, issued by a reputable bank or other financial institution, irrevocable for a period of </w:t>
      </w:r>
      <w:r w:rsidR="00AA6629">
        <w:t>at least</w:t>
      </w:r>
      <w:r>
        <w:t xml:space="preserve"> twelve (12) months beyond certification of the applicant by the Commission;</w:t>
      </w:r>
    </w:p>
    <w:p w:rsidR="00C307CF" w:rsidRDefault="00C307CF" w14:paraId="2CB49B62" w14:textId="2498AE9A">
      <w:pPr>
        <w:pStyle w:val="Standard"/>
        <w:numPr>
          <w:ilvl w:val="2"/>
          <w:numId w:val="21"/>
        </w:numPr>
        <w:ind w:left="1440"/>
      </w:pPr>
      <w:r>
        <w:t>Line of credit or other loan,</w:t>
      </w:r>
      <w:r w:rsidRPr="00A00D29">
        <w:rPr>
          <w:b/>
          <w:bCs/>
        </w:rPr>
        <w:t xml:space="preserve"> </w:t>
      </w:r>
      <w:r>
        <w:t xml:space="preserve">issued by a reputable bank or other financial institution, irrevocable for a period of </w:t>
      </w:r>
      <w:r w:rsidR="00AA6629">
        <w:t>at least</w:t>
      </w:r>
      <w:r>
        <w:t xml:space="preserve"> twelve (12) months beyond certification of the applicant by the Commission, and payable on an interest</w:t>
      </w:r>
      <w:r w:rsidR="006951D5">
        <w:noBreakHyphen/>
      </w:r>
      <w:r>
        <w:t>only basis for the same period;</w:t>
      </w:r>
    </w:p>
    <w:p w:rsidR="00C307CF" w:rsidRDefault="00C307CF" w14:paraId="27B9C004" w14:textId="10B45F1A">
      <w:pPr>
        <w:pStyle w:val="Standard"/>
        <w:numPr>
          <w:ilvl w:val="2"/>
          <w:numId w:val="21"/>
        </w:numPr>
        <w:ind w:left="1440"/>
      </w:pPr>
      <w:r>
        <w:t xml:space="preserve">Loan, issued by a qualified subsidiary, affiliate of applicant, or a qualified corporation holding controlling interest in the applicant, irrevocable for a period of </w:t>
      </w:r>
      <w:r w:rsidR="00AA6629">
        <w:t>at least</w:t>
      </w:r>
      <w:r>
        <w:t xml:space="preserve"> twelve (12) months beyond certification of the applicant by the Commission, and payable on an interest</w:t>
      </w:r>
      <w:r w:rsidR="006951D5">
        <w:noBreakHyphen/>
      </w:r>
      <w:r>
        <w:t>only basis for the same period;</w:t>
      </w:r>
    </w:p>
    <w:p w:rsidR="00C307CF" w:rsidRDefault="00C307CF" w14:paraId="1C0822E3" w14:textId="02A3D777">
      <w:pPr>
        <w:pStyle w:val="Standard"/>
        <w:numPr>
          <w:ilvl w:val="2"/>
          <w:numId w:val="21"/>
        </w:numPr>
        <w:ind w:left="1440"/>
      </w:pPr>
      <w:r>
        <w:t xml:space="preserve">Guarantee, issued by a corporation, </w:t>
      </w:r>
      <w:proofErr w:type="spellStart"/>
      <w:r>
        <w:t>copartnership</w:t>
      </w:r>
      <w:proofErr w:type="spellEnd"/>
      <w:r>
        <w:t xml:space="preserve">, or other person or association, irrevocable for a period of </w:t>
      </w:r>
      <w:r w:rsidR="00AA6629">
        <w:t>at least</w:t>
      </w:r>
      <w:r>
        <w:t xml:space="preserve"> twelve (12) months </w:t>
      </w:r>
      <w:r>
        <w:lastRenderedPageBreak/>
        <w:t>beyond certification of the applicant by the Commission;</w:t>
      </w:r>
      <w:r w:rsidR="00215D8D">
        <w:t xml:space="preserve"> including </w:t>
      </w:r>
      <w:r w:rsidRPr="00215D8D" w:rsidR="00215D8D">
        <w:rPr>
          <w:lang w:val="en-ZW"/>
        </w:rPr>
        <w:t>c</w:t>
      </w:r>
      <w:proofErr w:type="spellStart"/>
      <w:r w:rsidR="00215D8D">
        <w:t>ashier</w:t>
      </w:r>
      <w:r w:rsidR="00893D67">
        <w:t>’</w:t>
      </w:r>
      <w:r w:rsidR="00215D8D">
        <w:t>s</w:t>
      </w:r>
      <w:proofErr w:type="spellEnd"/>
      <w:r w:rsidR="00215D8D">
        <w:t xml:space="preserve"> check, sight draft, performance bond proceeds, or traveler</w:t>
      </w:r>
      <w:r w:rsidR="00893D67">
        <w:t>’</w:t>
      </w:r>
      <w:r w:rsidR="00215D8D">
        <w:t>s checks.</w:t>
      </w:r>
    </w:p>
    <w:p w:rsidR="00C307CF" w:rsidRDefault="00C307CF" w14:paraId="7F2F123D" w14:textId="6FEABB9F">
      <w:pPr>
        <w:pStyle w:val="Standard"/>
        <w:numPr>
          <w:ilvl w:val="2"/>
          <w:numId w:val="21"/>
        </w:numPr>
        <w:ind w:left="1440"/>
      </w:pPr>
      <w:r>
        <w:t xml:space="preserve">Guarantee, issued by a qualified subsidiary, affiliate of applicant, or a qualified corporation holding controlling interest in the applicant, irrevocable for a period of </w:t>
      </w:r>
      <w:r w:rsidR="00AA6629">
        <w:t>at least</w:t>
      </w:r>
      <w:r>
        <w:t xml:space="preserve"> twelve (12) months beyond the </w:t>
      </w:r>
      <w:r w:rsidRPr="00B01C2E">
        <w:t>certification of the applicant by the Commission.</w:t>
      </w:r>
    </w:p>
    <w:p w:rsidR="00C307CF" w:rsidRDefault="00C307CF" w14:paraId="4BDB9BB4" w14:textId="6CE20AC7">
      <w:pPr>
        <w:pStyle w:val="Standard"/>
        <w:numPr>
          <w:ilvl w:val="1"/>
          <w:numId w:val="21"/>
        </w:numPr>
        <w:ind w:left="720"/>
      </w:pPr>
      <w:r>
        <w:t>The definitions of certain of the financial instruments listed in 4. and our intent on nondiscriminatory application of these definitions are clarified as follows:</w:t>
      </w:r>
    </w:p>
    <w:p w:rsidRPr="009E1581" w:rsidR="009E1581" w:rsidRDefault="009E1581" w14:paraId="1E8DCF59" w14:textId="77777777">
      <w:pPr>
        <w:pStyle w:val="Standard"/>
        <w:numPr>
          <w:ilvl w:val="2"/>
          <w:numId w:val="21"/>
        </w:numPr>
        <w:ind w:left="1440"/>
      </w:pPr>
      <w:r w:rsidRPr="009E1581">
        <w:t xml:space="preserve">Applicants using unaudited bank statements are required to submit to the Director of </w:t>
      </w:r>
      <w:r w:rsidRPr="009E1581">
        <w:rPr>
          <w:bCs/>
          <w:lang w:val="en-ZW"/>
        </w:rPr>
        <w:t xml:space="preserve">Communications Division </w:t>
      </w:r>
      <w:r w:rsidRPr="009E1581">
        <w:t xml:space="preserve">a copy of the </w:t>
      </w:r>
      <w:r w:rsidRPr="009E1581">
        <w:rPr>
          <w:bCs/>
          <w:lang w:val="en-ZW"/>
        </w:rPr>
        <w:t>bank statement (1) dated six months after the issuance date of the authorizing decision and submitted within eight months of the issuance date of the authorizing decision</w:t>
      </w:r>
      <w:r w:rsidRPr="009E1581">
        <w:rPr>
          <w:bCs/>
        </w:rPr>
        <w:t>, and (2) dated</w:t>
      </w:r>
      <w:r w:rsidRPr="009E1581">
        <w:rPr>
          <w:bCs/>
          <w:lang w:val="en-ZW"/>
        </w:rPr>
        <w:t xml:space="preserve"> 12 months after the issuance date of the authorizing decision submitted within 14 months of the issuance date of the authorizing decision</w:t>
      </w:r>
      <w:r w:rsidRPr="009E1581">
        <w:rPr>
          <w:bCs/>
        </w:rPr>
        <w:t xml:space="preserve">. </w:t>
      </w:r>
    </w:p>
    <w:p w:rsidR="00C307CF" w:rsidRDefault="00C307CF" w14:paraId="42F137CF" w14:textId="5EF95E9C">
      <w:pPr>
        <w:pStyle w:val="Standard"/>
        <w:numPr>
          <w:ilvl w:val="2"/>
          <w:numId w:val="21"/>
        </w:numPr>
        <w:ind w:left="1440"/>
      </w:pPr>
      <w:r>
        <w:t>All unencumbered instruments listed in 4.</w:t>
      </w:r>
      <w:r w:rsidR="009E1581">
        <w:t>b</w:t>
      </w:r>
      <w:r>
        <w:t>. through 4.h. above will be subject to verification and review by the Commission prior to and for a period of twelve (12) months beyond certification of the applicant by the Commission. Failure to comply with this requirement will void applicant</w:t>
      </w:r>
      <w:r w:rsidR="00893D67">
        <w:t>’</w:t>
      </w:r>
      <w:r>
        <w:t xml:space="preserve">s certification or result in such other action as the Commission deems in the public interest, including assessment of reasonable penalties. (See </w:t>
      </w:r>
      <w:r w:rsidR="00C04D12">
        <w:t>Pub. Util.</w:t>
      </w:r>
      <w:r>
        <w:t xml:space="preserve"> Code </w:t>
      </w:r>
      <w:r w:rsidR="00646044">
        <w:t>§§ </w:t>
      </w:r>
      <w:r>
        <w:t>581 and 2112.)</w:t>
      </w:r>
    </w:p>
    <w:p w:rsidR="00C307CF" w:rsidRDefault="00C307CF" w14:paraId="3AF6DDDC" w14:textId="5DDB43E4">
      <w:pPr>
        <w:pStyle w:val="Standard"/>
        <w:numPr>
          <w:ilvl w:val="2"/>
          <w:numId w:val="21"/>
        </w:numPr>
        <w:ind w:left="1440"/>
      </w:pPr>
      <w:r>
        <w:lastRenderedPageBreak/>
        <w:t>Applicants for CPCNs as non</w:t>
      </w:r>
      <w:r w:rsidR="006951D5">
        <w:noBreakHyphen/>
      </w:r>
      <w:r>
        <w:t>facilities</w:t>
      </w:r>
      <w:r w:rsidR="006951D5">
        <w:noBreakHyphen/>
      </w:r>
      <w:r>
        <w:t xml:space="preserve">based </w:t>
      </w:r>
      <w:r w:rsidR="009E1581">
        <w:t>voice service providers, including</w:t>
      </w:r>
      <w:r>
        <w:t xml:space="preserve"> interconnected VoIP, shall assure that every issuer of a letter of credit, line of credit, or guarantee to applicant will remain prepared to furnish such reports to applicant for tendering to the Commission at such time and in such form as the Commission may reasonably require to verify or confirm the financial responsibility of applicant for a period of </w:t>
      </w:r>
      <w:r w:rsidR="00AA6629">
        <w:t>at least</w:t>
      </w:r>
      <w:r>
        <w:t xml:space="preserve"> twelve (12) months after certification of the applicant by the Commission.</w:t>
      </w:r>
    </w:p>
    <w:p w:rsidR="00362318" w:rsidP="00E8106D" w:rsidRDefault="00C307CF" w14:paraId="2BAA1CB6" w14:textId="0EB936EC">
      <w:pPr>
        <w:pStyle w:val="Standard"/>
        <w:keepNext/>
        <w:numPr>
          <w:ilvl w:val="2"/>
          <w:numId w:val="21"/>
        </w:numPr>
        <w:ind w:left="1440"/>
      </w:pPr>
      <w:r>
        <w:t>All information furnished to the Commission for purposes of compliance with this requirement will be available for public inspection or made public, except in cases where a showing is made of a compelling need to protect it as private or proprietary</w:t>
      </w:r>
      <w:r w:rsidRPr="00090A55">
        <w:rPr>
          <w:b/>
          <w:bCs/>
        </w:rPr>
        <w:t xml:space="preserve"> </w:t>
      </w:r>
      <w:r>
        <w:t>information.</w:t>
      </w:r>
    </w:p>
    <w:p w:rsidR="00E8106D" w:rsidP="00E8106D" w:rsidRDefault="00E8106D" w14:paraId="180A8D3B" w14:textId="77777777">
      <w:pPr>
        <w:pStyle w:val="Standard"/>
        <w:keepNext/>
        <w:ind w:firstLine="0"/>
        <w:jc w:val="center"/>
      </w:pPr>
    </w:p>
    <w:p w:rsidR="00E8106D" w:rsidP="00E8106D" w:rsidRDefault="00E8106D" w14:paraId="05250DB0" w14:textId="77777777">
      <w:pPr>
        <w:pStyle w:val="Standard"/>
        <w:keepNext/>
        <w:ind w:firstLine="0"/>
        <w:jc w:val="center"/>
      </w:pPr>
    </w:p>
    <w:p w:rsidR="00E8106D" w:rsidP="00E8106D" w:rsidRDefault="00E8106D" w14:paraId="5B414228" w14:textId="77777777">
      <w:pPr>
        <w:pStyle w:val="Standard"/>
        <w:keepNext/>
        <w:ind w:firstLine="0"/>
        <w:jc w:val="center"/>
      </w:pPr>
    </w:p>
    <w:p w:rsidR="001648E7" w:rsidP="00F5116B" w:rsidRDefault="00F5116B" w14:paraId="7EC66370" w14:textId="798AC1FF">
      <w:pPr>
        <w:pStyle w:val="Standard"/>
        <w:ind w:firstLine="0"/>
        <w:jc w:val="center"/>
      </w:pPr>
      <w:r>
        <w:t>(</w:t>
      </w:r>
      <w:r w:rsidRPr="00236DB8" w:rsidR="00236DB8">
        <w:rPr>
          <w:b/>
          <w:bCs/>
        </w:rPr>
        <w:t>END OF APPENDIX F</w:t>
      </w:r>
      <w:r>
        <w:t>)</w:t>
      </w:r>
    </w:p>
    <w:p w:rsidR="00E432EA" w:rsidRDefault="00E432EA" w14:paraId="03925A1E" w14:textId="77777777">
      <w:pPr>
        <w:spacing w:after="160" w:line="259" w:lineRule="auto"/>
        <w:ind w:firstLine="0"/>
        <w:sectPr w:rsidR="00E432EA" w:rsidSect="00977FD1">
          <w:footerReference w:type="default" r:id="rId41"/>
          <w:pgSz w:w="12240" w:h="15840"/>
          <w:pgMar w:top="1728" w:right="1440" w:bottom="1440" w:left="1440" w:header="720" w:footer="720" w:gutter="0"/>
          <w:pgNumType w:start="1"/>
          <w:cols w:space="720"/>
          <w:docGrid w:linePitch="360"/>
        </w:sectPr>
      </w:pPr>
    </w:p>
    <w:p w:rsidR="00D37C41" w:rsidP="00D37C41" w:rsidRDefault="00D37C41" w14:paraId="23E4C941" w14:textId="77777777">
      <w:pPr>
        <w:ind w:firstLine="0"/>
      </w:pPr>
    </w:p>
    <w:p w:rsidR="00D37C41" w:rsidP="00D37C41" w:rsidRDefault="00D37C41" w14:paraId="1B099723" w14:textId="77777777">
      <w:pPr>
        <w:ind w:firstLine="0"/>
      </w:pPr>
    </w:p>
    <w:p w:rsidR="00D37C41" w:rsidP="00D37C41" w:rsidRDefault="00D37C41" w14:paraId="59F7C8FE" w14:textId="77777777">
      <w:pPr>
        <w:ind w:firstLine="0"/>
      </w:pPr>
    </w:p>
    <w:p w:rsidR="00D37C41" w:rsidP="00D37C41" w:rsidRDefault="00D37C41" w14:paraId="11E6A9B8" w14:textId="77777777">
      <w:pPr>
        <w:ind w:firstLine="0"/>
      </w:pPr>
    </w:p>
    <w:p w:rsidR="00D37C41" w:rsidP="00D37C41" w:rsidRDefault="00D37C41" w14:paraId="5909AB78" w14:textId="77777777">
      <w:pPr>
        <w:ind w:firstLine="0"/>
      </w:pPr>
    </w:p>
    <w:p w:rsidR="00D37C41" w:rsidP="00D37C41" w:rsidRDefault="00D37C41" w14:paraId="6303FA33" w14:textId="77777777">
      <w:pPr>
        <w:ind w:firstLine="0"/>
      </w:pPr>
    </w:p>
    <w:p w:rsidR="00D37C41" w:rsidP="00D37C41" w:rsidRDefault="00D37C41" w14:paraId="2AA26E0A" w14:textId="77777777">
      <w:pPr>
        <w:ind w:firstLine="0"/>
      </w:pPr>
    </w:p>
    <w:p w:rsidRPr="004E6CDC" w:rsidR="001648E7" w:rsidP="00564BEC" w:rsidRDefault="001648E7" w14:paraId="5E66671C" w14:textId="26B2432A">
      <w:pPr>
        <w:ind w:firstLine="0"/>
        <w:jc w:val="center"/>
        <w:rPr>
          <w:b/>
          <w:sz w:val="44"/>
          <w:szCs w:val="44"/>
        </w:rPr>
      </w:pPr>
      <w:r w:rsidRPr="004E6CDC">
        <w:rPr>
          <w:b/>
          <w:sz w:val="44"/>
          <w:szCs w:val="44"/>
        </w:rPr>
        <w:t>A</w:t>
      </w:r>
      <w:r>
        <w:rPr>
          <w:b/>
          <w:sz w:val="44"/>
          <w:szCs w:val="44"/>
        </w:rPr>
        <w:t>PPENDIX</w:t>
      </w:r>
      <w:r w:rsidRPr="004E6CDC">
        <w:rPr>
          <w:b/>
          <w:sz w:val="44"/>
          <w:szCs w:val="44"/>
        </w:rPr>
        <w:t xml:space="preserve"> </w:t>
      </w:r>
      <w:r>
        <w:rPr>
          <w:b/>
          <w:sz w:val="44"/>
          <w:szCs w:val="44"/>
        </w:rPr>
        <w:t>G</w:t>
      </w:r>
    </w:p>
    <w:p w:rsidR="001648E7" w:rsidP="001648E7" w:rsidRDefault="001648E7" w14:paraId="198E876C" w14:textId="77777777">
      <w:pPr>
        <w:sectPr w:rsidR="001648E7" w:rsidSect="00977FD1">
          <w:footerReference w:type="default" r:id="rId42"/>
          <w:pgSz w:w="12240" w:h="15840"/>
          <w:pgMar w:top="1728" w:right="1440" w:bottom="1440" w:left="1440" w:header="720" w:footer="720" w:gutter="0"/>
          <w:pgNumType w:start="1"/>
          <w:cols w:space="720"/>
          <w:docGrid w:linePitch="360"/>
        </w:sectPr>
      </w:pPr>
    </w:p>
    <w:p w:rsidRPr="005C0BB5" w:rsidR="00362318" w:rsidP="005C0BB5" w:rsidRDefault="00362318" w14:paraId="327A71E3" w14:textId="67188F40">
      <w:pPr>
        <w:spacing w:after="240" w:line="240" w:lineRule="auto"/>
        <w:ind w:firstLine="0"/>
        <w:jc w:val="center"/>
        <w:rPr>
          <w:rFonts w:ascii="Arial" w:hAnsi="Arial"/>
          <w:b/>
          <w:bCs/>
        </w:rPr>
      </w:pPr>
      <w:bookmarkStart w:name="_Toc174702350" w:id="266"/>
      <w:r w:rsidRPr="005C0BB5">
        <w:rPr>
          <w:rFonts w:ascii="Arial" w:hAnsi="Arial"/>
          <w:b/>
          <w:bCs/>
        </w:rPr>
        <w:lastRenderedPageBreak/>
        <w:t xml:space="preserve">APPENDIX </w:t>
      </w:r>
      <w:r w:rsidRPr="005C0BB5" w:rsidR="008852CD">
        <w:rPr>
          <w:rFonts w:ascii="Arial" w:hAnsi="Arial"/>
          <w:b/>
          <w:bCs/>
        </w:rPr>
        <w:t>G</w:t>
      </w:r>
      <w:bookmarkEnd w:id="266"/>
    </w:p>
    <w:p w:rsidR="00362318" w:rsidP="00362318" w:rsidRDefault="00C91FD7" w14:paraId="1E6FE89C" w14:textId="30B56B4D">
      <w:pPr>
        <w:spacing w:line="240" w:lineRule="auto"/>
        <w:jc w:val="center"/>
        <w:rPr>
          <w:b/>
          <w:bCs/>
        </w:rPr>
      </w:pPr>
      <w:r>
        <w:rPr>
          <w:b/>
          <w:bCs/>
        </w:rPr>
        <w:t>INTERCONNECTED V</w:t>
      </w:r>
      <w:r w:rsidR="000B593D">
        <w:rPr>
          <w:b/>
          <w:bCs/>
        </w:rPr>
        <w:t>O</w:t>
      </w:r>
      <w:r>
        <w:rPr>
          <w:b/>
          <w:bCs/>
        </w:rPr>
        <w:t xml:space="preserve">IP </w:t>
      </w:r>
      <w:r w:rsidR="000B593D">
        <w:rPr>
          <w:b/>
          <w:bCs/>
        </w:rPr>
        <w:t>SERVICE</w:t>
      </w:r>
      <w:r>
        <w:rPr>
          <w:b/>
          <w:bCs/>
        </w:rPr>
        <w:t xml:space="preserve"> PROVIDERS</w:t>
      </w:r>
    </w:p>
    <w:p w:rsidR="00362318" w:rsidP="005C0BB5" w:rsidRDefault="00362318" w14:paraId="463B65AA" w14:textId="77777777">
      <w:pPr>
        <w:spacing w:after="180" w:line="240" w:lineRule="auto"/>
        <w:jc w:val="center"/>
        <w:rPr>
          <w:b/>
          <w:bCs/>
        </w:rPr>
      </w:pPr>
      <w:r>
        <w:rPr>
          <w:b/>
          <w:bCs/>
        </w:rPr>
        <w:t xml:space="preserve">PROCEDURE FOR TRANSFERS OF CONTROL OF ASSETS </w:t>
      </w:r>
    </w:p>
    <w:p w:rsidRPr="001C7C69" w:rsidR="00362318" w:rsidRDefault="00362318" w14:paraId="6FB7FF0D" w14:textId="264CF0CE">
      <w:pPr>
        <w:pStyle w:val="Quote2"/>
        <w:numPr>
          <w:ilvl w:val="0"/>
          <w:numId w:val="25"/>
        </w:numPr>
        <w:tabs>
          <w:tab w:val="clear" w:pos="1080"/>
          <w:tab w:val="left" w:pos="9090"/>
        </w:tabs>
        <w:spacing w:after="120"/>
        <w:ind w:left="360" w:right="0"/>
      </w:pPr>
      <w:r w:rsidRPr="001C7C69">
        <w:t>A</w:t>
      </w:r>
      <w:r w:rsidRPr="001C7C69" w:rsidR="008852CD">
        <w:t xml:space="preserve">n interconnected VoIP provider granted operating authority </w:t>
      </w:r>
      <w:r w:rsidRPr="001C7C69">
        <w:t>by the Commission may file an advice letter, instead of an application, for authority to transfer control or assets, including a merger with another</w:t>
      </w:r>
      <w:r w:rsidRPr="001C7C69" w:rsidR="00DC260B">
        <w:t xml:space="preserve"> provider with operating</w:t>
      </w:r>
      <w:r w:rsidRPr="001C7C69">
        <w:t xml:space="preserve">, pursuant to </w:t>
      </w:r>
      <w:r w:rsidR="00C04D12">
        <w:t>Pub. Util.</w:t>
      </w:r>
      <w:r w:rsidRPr="001C7C69">
        <w:t xml:space="preserve"> Code </w:t>
      </w:r>
      <w:r w:rsidR="00646044">
        <w:t>§§ </w:t>
      </w:r>
      <w:r w:rsidRPr="001C7C69">
        <w:t xml:space="preserve">851 through 854 if all of the conditions set forth in this appendix are satisfied. The </w:t>
      </w:r>
      <w:r w:rsidRPr="001C7C69" w:rsidR="005F2D22">
        <w:t>Tier 2</w:t>
      </w:r>
      <w:r w:rsidRPr="001C7C69">
        <w:t xml:space="preserve"> advice letter shall become effective 40 days after filing absent Commission action to suspend the advice letter.</w:t>
      </w:r>
    </w:p>
    <w:p w:rsidRPr="001C7C69" w:rsidR="00362318" w:rsidRDefault="00362318" w14:paraId="00C07CD4" w14:textId="25EF7F17">
      <w:pPr>
        <w:pStyle w:val="Quote2"/>
        <w:numPr>
          <w:ilvl w:val="1"/>
          <w:numId w:val="25"/>
        </w:numPr>
        <w:tabs>
          <w:tab w:val="clear" w:pos="1800"/>
          <w:tab w:val="num" w:pos="360"/>
          <w:tab w:val="left" w:pos="9090"/>
        </w:tabs>
        <w:spacing w:after="120"/>
        <w:ind w:left="1080" w:right="0"/>
      </w:pPr>
      <w:r w:rsidRPr="001C7C69">
        <w:t>The advice letter shall</w:t>
      </w:r>
      <w:r w:rsidR="000128F6">
        <w:t xml:space="preserve">: </w:t>
      </w:r>
      <w:r w:rsidRPr="001C7C69">
        <w:t xml:space="preserve"> (1) advise the Commission that the filing </w:t>
      </w:r>
      <w:r w:rsidRPr="001C7C69" w:rsidR="00DC260B">
        <w:t xml:space="preserve">interconnected VoIP provider with utility type Digital Voice Fixed (DVF) </w:t>
      </w:r>
      <w:r w:rsidRPr="001C7C69">
        <w:t>is a party to a pending transaction for which Commission authority is required, (2) provide the general terms of the transaction, and (3) identify any decided or pending legal complaints against the involved entities, in California or other states.</w:t>
      </w:r>
    </w:p>
    <w:p w:rsidRPr="001C7C69" w:rsidR="00362318" w:rsidRDefault="00362318" w14:paraId="73818217" w14:textId="4103D6AE">
      <w:pPr>
        <w:pStyle w:val="Quote2"/>
        <w:numPr>
          <w:ilvl w:val="1"/>
          <w:numId w:val="25"/>
        </w:numPr>
        <w:tabs>
          <w:tab w:val="clear" w:pos="1800"/>
          <w:tab w:val="num" w:pos="1080"/>
          <w:tab w:val="left" w:pos="9090"/>
        </w:tabs>
        <w:spacing w:after="120"/>
        <w:ind w:left="1080" w:right="0"/>
      </w:pPr>
      <w:r w:rsidRPr="001C7C69">
        <w:t xml:space="preserve">The advice letter shall be served on the Director of the Consumer Protection and Safety Division and those persons to whom the entity is already required to serve tariff changes under </w:t>
      </w:r>
      <w:r w:rsidRPr="001C7C69" w:rsidR="00053CBF">
        <w:t>General Order 9</w:t>
      </w:r>
      <w:r w:rsidRPr="001C7C69">
        <w:t>6</w:t>
      </w:r>
      <w:r w:rsidR="006951D5">
        <w:noBreakHyphen/>
      </w:r>
      <w:r w:rsidRPr="001C7C69" w:rsidR="00B21265">
        <w:t>B</w:t>
      </w:r>
      <w:r w:rsidRPr="001C7C69">
        <w:t>.</w:t>
      </w:r>
    </w:p>
    <w:p w:rsidRPr="001C7C69" w:rsidR="00362318" w:rsidRDefault="00362318" w14:paraId="4A68AB96" w14:textId="67A1E00D">
      <w:pPr>
        <w:pStyle w:val="Quote2"/>
        <w:numPr>
          <w:ilvl w:val="1"/>
          <w:numId w:val="25"/>
        </w:numPr>
        <w:tabs>
          <w:tab w:val="clear" w:pos="1800"/>
          <w:tab w:val="num" w:pos="1080"/>
          <w:tab w:val="left" w:pos="9090"/>
        </w:tabs>
        <w:spacing w:after="120"/>
        <w:ind w:left="1080" w:right="0"/>
      </w:pPr>
      <w:r w:rsidRPr="001C7C69">
        <w:t>Requests for authority to transfer customers shall comply with the customer notification requirements set forth in Decision 97</w:t>
      </w:r>
      <w:r w:rsidR="006951D5">
        <w:noBreakHyphen/>
      </w:r>
      <w:r w:rsidRPr="001C7C69">
        <w:t>06</w:t>
      </w:r>
      <w:r w:rsidR="006951D5">
        <w:noBreakHyphen/>
      </w:r>
      <w:r w:rsidRPr="001C7C69">
        <w:t>096.</w:t>
      </w:r>
    </w:p>
    <w:p w:rsidRPr="001C7C69" w:rsidR="00362318" w:rsidRDefault="00362318" w14:paraId="2C8B68D8" w14:textId="77777777">
      <w:pPr>
        <w:pStyle w:val="Quote2"/>
        <w:numPr>
          <w:ilvl w:val="1"/>
          <w:numId w:val="25"/>
        </w:numPr>
        <w:tabs>
          <w:tab w:val="clear" w:pos="1800"/>
          <w:tab w:val="num" w:pos="1080"/>
          <w:tab w:val="left" w:pos="9090"/>
        </w:tabs>
        <w:spacing w:after="120"/>
        <w:ind w:left="1080" w:right="0"/>
      </w:pPr>
      <w:r w:rsidRPr="001C7C69">
        <w:t>Financial statements shall accompany the advice letter for any applicant that will continue operations after the transaction has been completed.  Financial statements may be filed under seal, but doing so is subject to protest.</w:t>
      </w:r>
    </w:p>
    <w:p w:rsidRPr="001C7C69" w:rsidR="00362318" w:rsidRDefault="00362318" w14:paraId="7B41E7A7" w14:textId="77777777">
      <w:pPr>
        <w:pStyle w:val="Quote2"/>
        <w:numPr>
          <w:ilvl w:val="1"/>
          <w:numId w:val="25"/>
        </w:numPr>
        <w:tabs>
          <w:tab w:val="clear" w:pos="1800"/>
          <w:tab w:val="num" w:pos="1080"/>
          <w:tab w:val="left" w:pos="9090"/>
        </w:tabs>
        <w:spacing w:after="120"/>
        <w:ind w:left="1080" w:right="0"/>
      </w:pPr>
      <w:r w:rsidRPr="001C7C69">
        <w:t>The advice letter text shall describe the terms of the transaction and indicate how any surviving Commission certified entities would modify their tariffs, if at all.</w:t>
      </w:r>
    </w:p>
    <w:p w:rsidRPr="001C7C69" w:rsidR="003D56E5" w:rsidRDefault="00362318" w14:paraId="26C29E58" w14:textId="77777777">
      <w:pPr>
        <w:pStyle w:val="Quote2"/>
        <w:numPr>
          <w:ilvl w:val="1"/>
          <w:numId w:val="25"/>
        </w:numPr>
        <w:tabs>
          <w:tab w:val="clear" w:pos="1800"/>
          <w:tab w:val="num" w:pos="1080"/>
          <w:tab w:val="left" w:pos="9090"/>
        </w:tabs>
        <w:spacing w:after="120"/>
        <w:ind w:left="1080" w:right="0"/>
      </w:pPr>
      <w:r w:rsidRPr="001C7C69">
        <w:t>The advice letter text shall attest that the transaction does not have a potential for resulting in either a direct physical change in the environment or a reasonably foreseeable indirect physical change in</w:t>
      </w:r>
      <w:r w:rsidRPr="00887C6F">
        <w:rPr>
          <w:rFonts w:ascii="Arial" w:hAnsi="Arial"/>
        </w:rPr>
        <w:t xml:space="preserve"> </w:t>
      </w:r>
      <w:r w:rsidRPr="001C7C69">
        <w:t>the environment pursuant to California Environmental Quality Act (CEQA) Guideline 15378.</w:t>
      </w:r>
    </w:p>
    <w:p w:rsidRPr="001C7C69" w:rsidR="00362318" w:rsidP="00236DB8" w:rsidRDefault="00362318" w14:paraId="645407F2" w14:textId="23B9112D">
      <w:pPr>
        <w:pStyle w:val="Quote2"/>
        <w:spacing w:after="120"/>
        <w:ind w:left="360" w:right="0" w:hanging="360"/>
      </w:pPr>
      <w:r w:rsidRPr="001C7C69">
        <w:t>2.  Unless suspended by the Commission at the request of the Commission staff, either because of a protest within a 20</w:t>
      </w:r>
      <w:r w:rsidR="006951D5">
        <w:noBreakHyphen/>
      </w:r>
      <w:r w:rsidRPr="001C7C69">
        <w:t xml:space="preserve">day protest period from the date the </w:t>
      </w:r>
      <w:r w:rsidRPr="001C7C69">
        <w:lastRenderedPageBreak/>
        <w:t xml:space="preserve">matter appears on the daily calendar or </w:t>
      </w:r>
      <w:proofErr w:type="spellStart"/>
      <w:r w:rsidRPr="001C7C69">
        <w:t>sua</w:t>
      </w:r>
      <w:proofErr w:type="spellEnd"/>
      <w:r w:rsidRPr="001C7C69">
        <w:t xml:space="preserve"> sponte, the advice letter shall take effect and the transaction shall be deemed approved.  If the Commission believes that the matter warrants more comprehensive review, the Commission may suspend the advice letter and direct the parties to file an application.</w:t>
      </w:r>
    </w:p>
    <w:p w:rsidRPr="001C7C69" w:rsidR="003D56E5" w:rsidP="00236DB8" w:rsidRDefault="00362318" w14:paraId="43ADE3C1" w14:textId="77777777">
      <w:pPr>
        <w:pStyle w:val="Quote2"/>
        <w:tabs>
          <w:tab w:val="left" w:pos="9090"/>
        </w:tabs>
        <w:spacing w:after="120"/>
        <w:ind w:left="360" w:right="0" w:hanging="360"/>
      </w:pPr>
      <w:r w:rsidRPr="001C7C69">
        <w:t>3.  The advice letter procedure shall not be used under the following conditions:</w:t>
      </w:r>
    </w:p>
    <w:p w:rsidRPr="001C7C69" w:rsidR="00362318" w:rsidRDefault="00362318" w14:paraId="5247F9AF" w14:textId="2DFDA176">
      <w:pPr>
        <w:pStyle w:val="Quote2"/>
        <w:numPr>
          <w:ilvl w:val="0"/>
          <w:numId w:val="26"/>
        </w:numPr>
        <w:tabs>
          <w:tab w:val="clear" w:pos="1800"/>
          <w:tab w:val="num" w:pos="1080"/>
          <w:tab w:val="left" w:pos="9090"/>
        </w:tabs>
        <w:spacing w:after="120"/>
        <w:ind w:left="1080" w:right="0"/>
      </w:pPr>
      <w:r w:rsidRPr="001C7C69">
        <w:t xml:space="preserve">Where an entity acquiring assets or control is not either an already certificated entity or the parent or subsidiary of a presently certified entity.  In other words, the advice letter procedure described above may not be used for purposes of market </w:t>
      </w:r>
      <w:r w:rsidR="002B4758">
        <w:t xml:space="preserve">entry of </w:t>
      </w:r>
      <w:r w:rsidRPr="001C7C69" w:rsidR="009C0033">
        <w:t>interconnected VoIP service provider</w:t>
      </w:r>
      <w:r w:rsidR="008D6842">
        <w:t>s</w:t>
      </w:r>
      <w:r w:rsidRPr="001C7C69">
        <w:t>.</w:t>
      </w:r>
    </w:p>
    <w:p w:rsidRPr="001C7C69" w:rsidR="00362318" w:rsidRDefault="00362318" w14:paraId="2E429620" w14:textId="14DC5ABB">
      <w:pPr>
        <w:pStyle w:val="Quote2"/>
        <w:numPr>
          <w:ilvl w:val="0"/>
          <w:numId w:val="26"/>
        </w:numPr>
        <w:tabs>
          <w:tab w:val="clear" w:pos="1800"/>
          <w:tab w:val="num" w:pos="1080"/>
          <w:tab w:val="left" w:pos="9090"/>
        </w:tabs>
        <w:spacing w:after="120"/>
        <w:ind w:left="1080" w:right="0"/>
      </w:pPr>
      <w:r w:rsidRPr="001C7C69">
        <w:t xml:space="preserve">Where the transaction involves </w:t>
      </w:r>
      <w:proofErr w:type="spellStart"/>
      <w:r w:rsidRPr="001C7C69">
        <w:t>a</w:t>
      </w:r>
      <w:proofErr w:type="spellEnd"/>
      <w:r w:rsidRPr="001C7C69">
        <w:t xml:space="preserve"> owned or affiliated with a California incumbent local exchange carrier.</w:t>
      </w:r>
    </w:p>
    <w:p w:rsidRPr="001C7C69" w:rsidR="00362318" w:rsidRDefault="00362318" w14:paraId="4B862483" w14:textId="66A36A02">
      <w:pPr>
        <w:pStyle w:val="Quote2"/>
        <w:numPr>
          <w:ilvl w:val="0"/>
          <w:numId w:val="26"/>
        </w:numPr>
        <w:tabs>
          <w:tab w:val="clear" w:pos="1800"/>
          <w:tab w:val="num" w:pos="1080"/>
          <w:tab w:val="left" w:pos="9090"/>
        </w:tabs>
        <w:spacing w:after="120"/>
        <w:ind w:left="1080" w:right="0"/>
      </w:pPr>
      <w:r w:rsidRPr="001C7C69">
        <w:t xml:space="preserve">Where transactions are subject to the requirements of </w:t>
      </w:r>
      <w:r w:rsidR="00C04D12">
        <w:t>Pub. Util.</w:t>
      </w:r>
      <w:r w:rsidRPr="001C7C69">
        <w:t xml:space="preserve"> Code </w:t>
      </w:r>
      <w:r w:rsidR="00646044">
        <w:t>§§ </w:t>
      </w:r>
      <w:r w:rsidRPr="001C7C69">
        <w:t xml:space="preserve">854(b) and (c). </w:t>
      </w:r>
    </w:p>
    <w:p w:rsidRPr="001C7C69" w:rsidR="00362318" w:rsidRDefault="00362318" w14:paraId="74339C17" w14:textId="77777777">
      <w:pPr>
        <w:pStyle w:val="Quote2"/>
        <w:numPr>
          <w:ilvl w:val="0"/>
          <w:numId w:val="26"/>
        </w:numPr>
        <w:tabs>
          <w:tab w:val="clear" w:pos="1800"/>
          <w:tab w:val="num" w:pos="1080"/>
          <w:tab w:val="left" w:pos="9090"/>
        </w:tabs>
        <w:spacing w:after="120"/>
        <w:ind w:left="1080" w:right="0"/>
      </w:pPr>
      <w:r w:rsidRPr="001C7C69">
        <w:t xml:space="preserve">Where the transaction has a potential for resulting in either a direct physical change in the environment or a reasonably foreseeable indirect physical change in the environment.  (CEQA Guideline 15378.) </w:t>
      </w:r>
    </w:p>
    <w:p w:rsidR="00362318" w:rsidP="00362318" w:rsidRDefault="00362318" w14:paraId="7AF80AC6" w14:textId="77777777">
      <w:pPr>
        <w:ind w:left="720"/>
        <w:rPr>
          <w:b/>
          <w:bCs/>
        </w:rPr>
      </w:pPr>
    </w:p>
    <w:p w:rsidR="009B0E2F" w:rsidP="00362318" w:rsidRDefault="009B0E2F" w14:paraId="4DCBA522" w14:textId="77777777">
      <w:pPr>
        <w:ind w:left="720"/>
        <w:rPr>
          <w:b/>
          <w:bCs/>
        </w:rPr>
      </w:pPr>
    </w:p>
    <w:p w:rsidR="009B0E2F" w:rsidP="00362318" w:rsidRDefault="009B0E2F" w14:paraId="249670D4" w14:textId="77777777">
      <w:pPr>
        <w:ind w:left="720"/>
        <w:rPr>
          <w:b/>
          <w:bCs/>
        </w:rPr>
      </w:pPr>
    </w:p>
    <w:p w:rsidR="0094197E" w:rsidP="00564BEC" w:rsidRDefault="00362318" w14:paraId="5362C1FF" w14:textId="554278B1">
      <w:pPr>
        <w:pStyle w:val="Quote2"/>
        <w:ind w:left="0" w:right="0"/>
        <w:jc w:val="center"/>
        <w:rPr>
          <w:b/>
          <w:bCs/>
        </w:rPr>
      </w:pPr>
      <w:r>
        <w:rPr>
          <w:b/>
          <w:bCs/>
        </w:rPr>
        <w:t xml:space="preserve">(END OF APPENDIX </w:t>
      </w:r>
      <w:r w:rsidR="009013CF">
        <w:rPr>
          <w:b/>
          <w:bCs/>
        </w:rPr>
        <w:t>G</w:t>
      </w:r>
      <w:r>
        <w:rPr>
          <w:b/>
          <w:bCs/>
        </w:rPr>
        <w:t>)</w:t>
      </w:r>
    </w:p>
    <w:p w:rsidRPr="0009617C" w:rsidR="00E432EA" w:rsidRDefault="00E432EA" w14:paraId="7C8BBAC7" w14:textId="77777777">
      <w:pPr>
        <w:spacing w:after="160" w:line="259" w:lineRule="auto"/>
        <w:ind w:firstLine="0"/>
        <w:rPr>
          <w:rFonts w:eastAsia="Times New Roman" w:cs="Times New Roman"/>
          <w:b/>
          <w:bCs/>
          <w:szCs w:val="20"/>
        </w:rPr>
        <w:sectPr w:rsidRPr="0009617C" w:rsidR="00E432EA" w:rsidSect="00977FD1">
          <w:footerReference w:type="default" r:id="rId43"/>
          <w:pgSz w:w="12240" w:h="15840"/>
          <w:pgMar w:top="1728" w:right="1440" w:bottom="1440" w:left="1440" w:header="720" w:footer="720" w:gutter="0"/>
          <w:pgNumType w:start="1"/>
          <w:cols w:space="720"/>
          <w:docGrid w:linePitch="360"/>
        </w:sectPr>
      </w:pPr>
    </w:p>
    <w:p w:rsidR="00D37C41" w:rsidP="00D37C41" w:rsidRDefault="00D37C41" w14:paraId="3464449C" w14:textId="77777777">
      <w:pPr>
        <w:ind w:firstLine="0"/>
      </w:pPr>
    </w:p>
    <w:p w:rsidR="00D37C41" w:rsidP="00D37C41" w:rsidRDefault="00D37C41" w14:paraId="05A8D963" w14:textId="77777777">
      <w:pPr>
        <w:ind w:firstLine="0"/>
      </w:pPr>
    </w:p>
    <w:p w:rsidR="00D37C41" w:rsidP="00D37C41" w:rsidRDefault="00D37C41" w14:paraId="39A84DBB" w14:textId="77777777">
      <w:pPr>
        <w:ind w:firstLine="0"/>
      </w:pPr>
    </w:p>
    <w:p w:rsidR="00D37C41" w:rsidP="00D37C41" w:rsidRDefault="00D37C41" w14:paraId="08BAE391" w14:textId="77777777">
      <w:pPr>
        <w:ind w:firstLine="0"/>
      </w:pPr>
    </w:p>
    <w:p w:rsidR="00D37C41" w:rsidP="00D37C41" w:rsidRDefault="00D37C41" w14:paraId="04B8E2FC" w14:textId="77777777">
      <w:pPr>
        <w:ind w:firstLine="0"/>
      </w:pPr>
    </w:p>
    <w:p w:rsidR="00D37C41" w:rsidP="00D37C41" w:rsidRDefault="00D37C41" w14:paraId="43E87E97" w14:textId="77777777">
      <w:pPr>
        <w:ind w:firstLine="0"/>
      </w:pPr>
    </w:p>
    <w:p w:rsidR="00D37C41" w:rsidP="00D37C41" w:rsidRDefault="00D37C41" w14:paraId="494D44AA" w14:textId="77777777">
      <w:pPr>
        <w:ind w:firstLine="0"/>
      </w:pPr>
    </w:p>
    <w:p w:rsidRPr="004E6CDC" w:rsidR="0094197E" w:rsidP="00564BEC" w:rsidRDefault="0094197E" w14:paraId="19216604" w14:textId="58F626D6">
      <w:pPr>
        <w:ind w:firstLine="0"/>
        <w:jc w:val="center"/>
        <w:rPr>
          <w:b/>
          <w:sz w:val="44"/>
          <w:szCs w:val="44"/>
        </w:rPr>
      </w:pPr>
      <w:r w:rsidRPr="004E6CDC">
        <w:rPr>
          <w:b/>
          <w:sz w:val="44"/>
          <w:szCs w:val="44"/>
        </w:rPr>
        <w:t>A</w:t>
      </w:r>
      <w:r>
        <w:rPr>
          <w:b/>
          <w:sz w:val="44"/>
          <w:szCs w:val="44"/>
        </w:rPr>
        <w:t>PPENDIX</w:t>
      </w:r>
      <w:r w:rsidRPr="004E6CDC">
        <w:rPr>
          <w:b/>
          <w:sz w:val="44"/>
          <w:szCs w:val="44"/>
        </w:rPr>
        <w:t xml:space="preserve"> </w:t>
      </w:r>
      <w:r>
        <w:rPr>
          <w:b/>
          <w:sz w:val="44"/>
          <w:szCs w:val="44"/>
        </w:rPr>
        <w:t>H</w:t>
      </w:r>
    </w:p>
    <w:p w:rsidR="0094197E" w:rsidP="0094197E" w:rsidRDefault="0094197E" w14:paraId="46415822" w14:textId="77777777">
      <w:pPr>
        <w:sectPr w:rsidR="0094197E" w:rsidSect="00977FD1">
          <w:footerReference w:type="default" r:id="rId44"/>
          <w:pgSz w:w="12240" w:h="15840"/>
          <w:pgMar w:top="1728" w:right="1440" w:bottom="1440" w:left="1440" w:header="720" w:footer="720" w:gutter="0"/>
          <w:pgNumType w:start="1"/>
          <w:cols w:space="720"/>
          <w:docGrid w:linePitch="360"/>
        </w:sectPr>
      </w:pPr>
    </w:p>
    <w:p w:rsidRPr="005C0BB5" w:rsidR="0094197E" w:rsidP="005C0BB5" w:rsidRDefault="0094197E" w14:paraId="2C51EE60" w14:textId="2B16AE70">
      <w:pPr>
        <w:spacing w:after="240" w:line="240" w:lineRule="auto"/>
        <w:ind w:firstLine="0"/>
        <w:jc w:val="center"/>
        <w:rPr>
          <w:rFonts w:ascii="Arial" w:hAnsi="Arial"/>
          <w:b/>
          <w:bCs/>
        </w:rPr>
      </w:pPr>
      <w:bookmarkStart w:name="_Toc174702351" w:id="267"/>
      <w:r w:rsidRPr="005C0BB5">
        <w:rPr>
          <w:rFonts w:ascii="Arial" w:hAnsi="Arial"/>
          <w:b/>
          <w:bCs/>
        </w:rPr>
        <w:lastRenderedPageBreak/>
        <w:t xml:space="preserve">APPENDIX </w:t>
      </w:r>
      <w:r w:rsidRPr="005C0BB5" w:rsidR="00354555">
        <w:rPr>
          <w:rFonts w:ascii="Arial" w:hAnsi="Arial"/>
          <w:b/>
          <w:bCs/>
        </w:rPr>
        <w:t>H</w:t>
      </w:r>
      <w:bookmarkEnd w:id="267"/>
    </w:p>
    <w:p w:rsidR="00085372" w:rsidP="00085372" w:rsidRDefault="00085372" w14:paraId="0B942D7A" w14:textId="6F68AC8F">
      <w:pPr>
        <w:spacing w:line="240" w:lineRule="auto"/>
        <w:ind w:firstLine="0"/>
        <w:jc w:val="center"/>
        <w:rPr>
          <w:b/>
          <w:bCs/>
        </w:rPr>
      </w:pPr>
      <w:r>
        <w:rPr>
          <w:b/>
          <w:bCs/>
        </w:rPr>
        <w:t>21</w:t>
      </w:r>
      <w:r w:rsidR="00844EAF">
        <w:rPr>
          <w:b/>
          <w:bCs/>
        </w:rPr>
        <w:noBreakHyphen/>
      </w:r>
      <w:r>
        <w:rPr>
          <w:b/>
          <w:bCs/>
        </w:rPr>
        <w:t xml:space="preserve">DAY </w:t>
      </w:r>
      <w:r w:rsidR="00354555">
        <w:rPr>
          <w:b/>
          <w:bCs/>
        </w:rPr>
        <w:t>EX</w:t>
      </w:r>
      <w:r w:rsidR="00EA1A6D">
        <w:rPr>
          <w:b/>
          <w:bCs/>
        </w:rPr>
        <w:t>PEDITED</w:t>
      </w:r>
      <w:r w:rsidR="00354555">
        <w:rPr>
          <w:b/>
          <w:bCs/>
        </w:rPr>
        <w:t xml:space="preserve"> </w:t>
      </w:r>
      <w:r w:rsidRPr="00354555">
        <w:rPr>
          <w:b/>
          <w:bCs/>
        </w:rPr>
        <w:t>CALIFORNIA ENVIRONMENTAL QUALITY ACT</w:t>
      </w:r>
    </w:p>
    <w:p w:rsidR="0094197E" w:rsidP="005C0BB5" w:rsidRDefault="00354555" w14:paraId="58F3942E" w14:textId="4EA15AF1">
      <w:pPr>
        <w:spacing w:after="180" w:line="240" w:lineRule="auto"/>
        <w:ind w:firstLine="0"/>
        <w:jc w:val="center"/>
        <w:rPr>
          <w:b/>
          <w:bCs/>
        </w:rPr>
      </w:pPr>
      <w:r>
        <w:rPr>
          <w:b/>
          <w:bCs/>
        </w:rPr>
        <w:t>REVIEW PROCESS</w:t>
      </w:r>
    </w:p>
    <w:p w:rsidRPr="003E48C0" w:rsidR="00354555" w:rsidP="007B0013" w:rsidRDefault="00354555" w14:paraId="7B5673E8" w14:textId="254AA068">
      <w:pPr>
        <w:spacing w:after="240"/>
        <w:ind w:right="-720" w:firstLine="0"/>
        <w:rPr>
          <w:szCs w:val="26"/>
        </w:rPr>
      </w:pPr>
      <w:r>
        <w:rPr>
          <w:szCs w:val="26"/>
        </w:rPr>
        <w:t xml:space="preserve">Once a telecommunications provider obtains CPCN operating authority and a </w:t>
      </w:r>
      <w:r w:rsidR="00F93F90">
        <w:rPr>
          <w:szCs w:val="26"/>
        </w:rPr>
        <w:t>Utility ID Number</w:t>
      </w:r>
      <w:r>
        <w:rPr>
          <w:szCs w:val="26"/>
        </w:rPr>
        <w:t>, t</w:t>
      </w:r>
      <w:r w:rsidRPr="003E48C0">
        <w:rPr>
          <w:szCs w:val="26"/>
        </w:rPr>
        <w:t xml:space="preserve">he </w:t>
      </w:r>
      <w:r w:rsidR="00CD40FD">
        <w:rPr>
          <w:szCs w:val="26"/>
        </w:rPr>
        <w:t>Commission’s 21</w:t>
      </w:r>
      <w:r w:rsidR="00844EAF">
        <w:rPr>
          <w:szCs w:val="26"/>
        </w:rPr>
        <w:noBreakHyphen/>
      </w:r>
      <w:r w:rsidR="00CD40FD">
        <w:rPr>
          <w:szCs w:val="26"/>
        </w:rPr>
        <w:t>day expedited</w:t>
      </w:r>
      <w:r w:rsidRPr="003E48C0" w:rsidR="00CD40FD">
        <w:rPr>
          <w:szCs w:val="26"/>
        </w:rPr>
        <w:t xml:space="preserve"> CEQA </w:t>
      </w:r>
      <w:r w:rsidR="00CD40FD">
        <w:rPr>
          <w:szCs w:val="26"/>
        </w:rPr>
        <w:t>review process</w:t>
      </w:r>
      <w:r w:rsidRPr="003E48C0" w:rsidDel="00CD40FD" w:rsidR="00CD40FD">
        <w:rPr>
          <w:szCs w:val="26"/>
        </w:rPr>
        <w:t xml:space="preserve"> </w:t>
      </w:r>
      <w:r w:rsidR="00085372">
        <w:rPr>
          <w:szCs w:val="26"/>
        </w:rPr>
        <w:t>may</w:t>
      </w:r>
      <w:r w:rsidRPr="003E48C0">
        <w:rPr>
          <w:szCs w:val="26"/>
        </w:rPr>
        <w:t xml:space="preserve"> be used to obtain C</w:t>
      </w:r>
      <w:r w:rsidR="00B936E7">
        <w:rPr>
          <w:szCs w:val="26"/>
        </w:rPr>
        <w:t>EQA review</w:t>
      </w:r>
      <w:r w:rsidRPr="003E48C0">
        <w:rPr>
          <w:szCs w:val="26"/>
        </w:rPr>
        <w:t xml:space="preserve"> of </w:t>
      </w:r>
      <w:r w:rsidR="008B0F1B">
        <w:rPr>
          <w:szCs w:val="26"/>
        </w:rPr>
        <w:t xml:space="preserve">projects </w:t>
      </w:r>
      <w:r w:rsidR="00CD40FD">
        <w:rPr>
          <w:szCs w:val="26"/>
        </w:rPr>
        <w:t xml:space="preserve">likely to be categorically exempt </w:t>
      </w:r>
      <w:r w:rsidR="00B936E7">
        <w:rPr>
          <w:szCs w:val="26"/>
        </w:rPr>
        <w:t>under CEQA</w:t>
      </w:r>
      <w:r w:rsidR="00BC4957">
        <w:rPr>
          <w:szCs w:val="26"/>
        </w:rPr>
        <w:t>, using the following process</w:t>
      </w:r>
      <w:r w:rsidRPr="003E48C0">
        <w:rPr>
          <w:szCs w:val="26"/>
        </w:rPr>
        <w:t>:</w:t>
      </w:r>
    </w:p>
    <w:p w:rsidRPr="00354555" w:rsidR="00354555" w:rsidP="00354555" w:rsidRDefault="00354555" w14:paraId="3EA98A96" w14:textId="595ED134">
      <w:pPr>
        <w:pStyle w:val="Quote1"/>
        <w:spacing w:before="0" w:after="120"/>
        <w:ind w:left="0" w:right="1440"/>
        <w:rPr>
          <w:szCs w:val="26"/>
        </w:rPr>
      </w:pPr>
      <w:r w:rsidRPr="00354555">
        <w:rPr>
          <w:bCs/>
          <w:szCs w:val="26"/>
        </w:rPr>
        <w:t>The utility</w:t>
      </w:r>
      <w:r w:rsidRPr="00354555">
        <w:rPr>
          <w:szCs w:val="26"/>
        </w:rPr>
        <w:t xml:space="preserve"> will provide the Commission</w:t>
      </w:r>
      <w:r w:rsidR="00893D67">
        <w:rPr>
          <w:szCs w:val="26"/>
        </w:rPr>
        <w:t>’</w:t>
      </w:r>
      <w:r w:rsidRPr="00354555">
        <w:rPr>
          <w:szCs w:val="26"/>
        </w:rPr>
        <w:t xml:space="preserve">s </w:t>
      </w:r>
      <w:r w:rsidR="008650F5">
        <w:rPr>
          <w:szCs w:val="26"/>
        </w:rPr>
        <w:t>Energy Division</w:t>
      </w:r>
      <w:r w:rsidRPr="00354555">
        <w:rPr>
          <w:szCs w:val="26"/>
        </w:rPr>
        <w:t xml:space="preserve"> with:</w:t>
      </w:r>
    </w:p>
    <w:p w:rsidRPr="003E48C0" w:rsidR="00354555" w:rsidP="00F47403" w:rsidRDefault="00354555" w14:paraId="09366759" w14:textId="77777777">
      <w:pPr>
        <w:pStyle w:val="Quote1"/>
        <w:numPr>
          <w:ilvl w:val="1"/>
          <w:numId w:val="11"/>
        </w:numPr>
        <w:spacing w:before="0" w:after="120"/>
        <w:ind w:right="1440"/>
        <w:rPr>
          <w:szCs w:val="26"/>
        </w:rPr>
      </w:pPr>
      <w:r w:rsidRPr="003E48C0">
        <w:rPr>
          <w:szCs w:val="26"/>
        </w:rPr>
        <w:t>A detailed description of the proposed project, including:</w:t>
      </w:r>
    </w:p>
    <w:p w:rsidRPr="003E48C0" w:rsidR="00354555" w:rsidP="00F47403" w:rsidRDefault="00354555" w14:paraId="0727866B" w14:textId="77777777">
      <w:pPr>
        <w:pStyle w:val="Quote1"/>
        <w:numPr>
          <w:ilvl w:val="2"/>
          <w:numId w:val="11"/>
        </w:numPr>
        <w:spacing w:before="0" w:after="120"/>
        <w:ind w:right="1440"/>
        <w:rPr>
          <w:szCs w:val="26"/>
        </w:rPr>
      </w:pPr>
      <w:r w:rsidRPr="003E48C0">
        <w:rPr>
          <w:szCs w:val="26"/>
        </w:rPr>
        <w:t>Customer(s) to be served;</w:t>
      </w:r>
    </w:p>
    <w:p w:rsidRPr="003E48C0" w:rsidR="00354555" w:rsidP="00F47403" w:rsidRDefault="00354555" w14:paraId="125C7C7C" w14:textId="77777777">
      <w:pPr>
        <w:pStyle w:val="Quote1"/>
        <w:numPr>
          <w:ilvl w:val="2"/>
          <w:numId w:val="11"/>
        </w:numPr>
        <w:spacing w:before="0" w:after="120"/>
        <w:ind w:right="1440"/>
        <w:rPr>
          <w:szCs w:val="26"/>
        </w:rPr>
      </w:pPr>
      <w:r w:rsidRPr="003E48C0">
        <w:rPr>
          <w:szCs w:val="26"/>
        </w:rPr>
        <w:t>The precise location of the proposed construction project; and</w:t>
      </w:r>
    </w:p>
    <w:p w:rsidRPr="003E48C0" w:rsidR="00354555" w:rsidP="00F47403" w:rsidRDefault="00354555" w14:paraId="01204AB6" w14:textId="77777777">
      <w:pPr>
        <w:pStyle w:val="Quote1"/>
        <w:numPr>
          <w:ilvl w:val="2"/>
          <w:numId w:val="11"/>
        </w:numPr>
        <w:spacing w:before="0" w:after="120"/>
        <w:ind w:right="1440"/>
        <w:rPr>
          <w:szCs w:val="26"/>
        </w:rPr>
      </w:pPr>
      <w:r w:rsidRPr="003E48C0">
        <w:rPr>
          <w:szCs w:val="26"/>
        </w:rPr>
        <w:t>Regional and local site maps.</w:t>
      </w:r>
    </w:p>
    <w:p w:rsidRPr="003E48C0" w:rsidR="00354555" w:rsidP="00F47403" w:rsidRDefault="00354555" w14:paraId="4EDEDB4B" w14:textId="77777777">
      <w:pPr>
        <w:pStyle w:val="Quote1"/>
        <w:numPr>
          <w:ilvl w:val="1"/>
          <w:numId w:val="11"/>
        </w:numPr>
        <w:spacing w:before="0" w:after="120"/>
        <w:ind w:right="1440"/>
        <w:rPr>
          <w:szCs w:val="26"/>
        </w:rPr>
      </w:pPr>
      <w:r w:rsidRPr="003E48C0">
        <w:rPr>
          <w:szCs w:val="26"/>
        </w:rPr>
        <w:t>A description of the environmental setting, to include at a minimum:</w:t>
      </w:r>
    </w:p>
    <w:p w:rsidRPr="003E48C0" w:rsidR="00354555" w:rsidP="00F47403" w:rsidRDefault="00354555" w14:paraId="568FA868" w14:textId="77777777">
      <w:pPr>
        <w:pStyle w:val="Quote1"/>
        <w:numPr>
          <w:ilvl w:val="2"/>
          <w:numId w:val="11"/>
        </w:numPr>
        <w:spacing w:before="0" w:after="120"/>
        <w:ind w:right="1440"/>
        <w:rPr>
          <w:szCs w:val="26"/>
        </w:rPr>
      </w:pPr>
      <w:r w:rsidRPr="003E48C0">
        <w:rPr>
          <w:szCs w:val="26"/>
        </w:rPr>
        <w:t>Cultural, historical, and paleontological resources;</w:t>
      </w:r>
    </w:p>
    <w:p w:rsidRPr="003E48C0" w:rsidR="00354555" w:rsidP="00F47403" w:rsidRDefault="00354555" w14:paraId="603C931E" w14:textId="77777777">
      <w:pPr>
        <w:pStyle w:val="Quote1"/>
        <w:numPr>
          <w:ilvl w:val="2"/>
          <w:numId w:val="11"/>
        </w:numPr>
        <w:spacing w:before="0" w:after="120"/>
        <w:ind w:right="1440"/>
        <w:rPr>
          <w:szCs w:val="26"/>
        </w:rPr>
      </w:pPr>
      <w:r w:rsidRPr="003E48C0">
        <w:rPr>
          <w:szCs w:val="26"/>
        </w:rPr>
        <w:t>Biological resources; and</w:t>
      </w:r>
    </w:p>
    <w:p w:rsidRPr="003E48C0" w:rsidR="00354555" w:rsidP="00F47403" w:rsidRDefault="00354555" w14:paraId="0EE4D0F9" w14:textId="77777777">
      <w:pPr>
        <w:pStyle w:val="Quote1"/>
        <w:numPr>
          <w:ilvl w:val="2"/>
          <w:numId w:val="11"/>
        </w:numPr>
        <w:spacing w:before="0" w:after="120"/>
        <w:ind w:right="1440"/>
        <w:rPr>
          <w:szCs w:val="26"/>
        </w:rPr>
      </w:pPr>
      <w:r w:rsidRPr="003E48C0">
        <w:rPr>
          <w:szCs w:val="26"/>
        </w:rPr>
        <w:t>Current land use and zoning.</w:t>
      </w:r>
    </w:p>
    <w:p w:rsidRPr="003E48C0" w:rsidR="00354555" w:rsidP="00F47403" w:rsidRDefault="00354555" w14:paraId="7B31A995" w14:textId="77777777">
      <w:pPr>
        <w:pStyle w:val="Quote1"/>
        <w:numPr>
          <w:ilvl w:val="1"/>
          <w:numId w:val="11"/>
        </w:numPr>
        <w:spacing w:before="0" w:after="120"/>
        <w:ind w:right="1440"/>
        <w:rPr>
          <w:szCs w:val="26"/>
        </w:rPr>
      </w:pPr>
      <w:r w:rsidRPr="003E48C0">
        <w:rPr>
          <w:szCs w:val="26"/>
        </w:rPr>
        <w:t>A construction workplan, to include:</w:t>
      </w:r>
    </w:p>
    <w:p w:rsidRPr="003E48C0" w:rsidR="00354555" w:rsidP="00F47403" w:rsidRDefault="00354555" w14:paraId="3B43C41F" w14:textId="77777777">
      <w:pPr>
        <w:pStyle w:val="Quote1"/>
        <w:numPr>
          <w:ilvl w:val="2"/>
          <w:numId w:val="11"/>
        </w:numPr>
        <w:spacing w:before="0" w:after="120"/>
        <w:ind w:right="1440"/>
        <w:rPr>
          <w:szCs w:val="26"/>
        </w:rPr>
      </w:pPr>
      <w:r w:rsidRPr="003E48C0">
        <w:rPr>
          <w:szCs w:val="26"/>
        </w:rPr>
        <w:t>Commission Preconstruction Survey Checklist—Archaeological Resources;</w:t>
      </w:r>
    </w:p>
    <w:p w:rsidRPr="003E48C0" w:rsidR="00354555" w:rsidP="00F47403" w:rsidRDefault="00354555" w14:paraId="31C7B101" w14:textId="77777777">
      <w:pPr>
        <w:pStyle w:val="Quote1"/>
        <w:numPr>
          <w:ilvl w:val="2"/>
          <w:numId w:val="11"/>
        </w:numPr>
        <w:spacing w:before="0" w:after="120"/>
        <w:ind w:right="1440"/>
        <w:rPr>
          <w:szCs w:val="26"/>
        </w:rPr>
      </w:pPr>
      <w:r w:rsidRPr="003E48C0">
        <w:rPr>
          <w:szCs w:val="26"/>
        </w:rPr>
        <w:t>Commission Preconstruction Survey Checklist—Biological Resources;</w:t>
      </w:r>
    </w:p>
    <w:p w:rsidRPr="003E48C0" w:rsidR="00354555" w:rsidP="00F47403" w:rsidRDefault="00354555" w14:paraId="54DE41BD" w14:textId="77777777">
      <w:pPr>
        <w:pStyle w:val="Quote1"/>
        <w:numPr>
          <w:ilvl w:val="2"/>
          <w:numId w:val="11"/>
        </w:numPr>
        <w:spacing w:before="0" w:after="120"/>
        <w:ind w:right="1440"/>
        <w:rPr>
          <w:szCs w:val="26"/>
        </w:rPr>
      </w:pPr>
      <w:r w:rsidRPr="003E48C0">
        <w:rPr>
          <w:szCs w:val="26"/>
        </w:rPr>
        <w:t>A detailed schedule of construction activities, including site restoration activities;</w:t>
      </w:r>
    </w:p>
    <w:p w:rsidRPr="003E48C0" w:rsidR="00354555" w:rsidP="00F47403" w:rsidRDefault="00354555" w14:paraId="6D8CC959" w14:textId="77777777">
      <w:pPr>
        <w:pStyle w:val="Quote1"/>
        <w:numPr>
          <w:ilvl w:val="2"/>
          <w:numId w:val="11"/>
        </w:numPr>
        <w:spacing w:before="0" w:after="120"/>
        <w:ind w:right="1440"/>
        <w:rPr>
          <w:szCs w:val="26"/>
        </w:rPr>
      </w:pPr>
      <w:r w:rsidRPr="003E48C0">
        <w:rPr>
          <w:szCs w:val="26"/>
        </w:rPr>
        <w:t>A description of construction/installation techniques;</w:t>
      </w:r>
      <w:r>
        <w:rPr>
          <w:szCs w:val="26"/>
        </w:rPr>
        <w:t xml:space="preserve"> and</w:t>
      </w:r>
    </w:p>
    <w:p w:rsidRPr="003E48C0" w:rsidR="00354555" w:rsidP="00F47403" w:rsidRDefault="00354555" w14:paraId="4D15456E" w14:textId="77777777">
      <w:pPr>
        <w:pStyle w:val="Quote1"/>
        <w:numPr>
          <w:ilvl w:val="2"/>
          <w:numId w:val="11"/>
        </w:numPr>
        <w:spacing w:before="0" w:after="120"/>
        <w:ind w:right="1440"/>
        <w:rPr>
          <w:szCs w:val="26"/>
        </w:rPr>
      </w:pPr>
      <w:r w:rsidRPr="003E48C0">
        <w:rPr>
          <w:szCs w:val="26"/>
        </w:rPr>
        <w:lastRenderedPageBreak/>
        <w:t>A list of other agencies contacted with respect to siting, land use planning, and environmental resource issues, including contact information</w:t>
      </w:r>
      <w:r>
        <w:rPr>
          <w:szCs w:val="26"/>
        </w:rPr>
        <w:t>.</w:t>
      </w:r>
    </w:p>
    <w:p w:rsidRPr="003E48C0" w:rsidR="00354555" w:rsidP="00F47403" w:rsidRDefault="00354555" w14:paraId="44156E98" w14:textId="77777777">
      <w:pPr>
        <w:pStyle w:val="Quote1"/>
        <w:numPr>
          <w:ilvl w:val="2"/>
          <w:numId w:val="11"/>
        </w:numPr>
        <w:spacing w:before="0" w:after="120"/>
        <w:ind w:right="1440"/>
        <w:rPr>
          <w:szCs w:val="26"/>
        </w:rPr>
      </w:pPr>
      <w:r w:rsidRPr="003E48C0">
        <w:rPr>
          <w:szCs w:val="26"/>
        </w:rPr>
        <w:t>A list of permits required for the proposed project</w:t>
      </w:r>
      <w:r>
        <w:rPr>
          <w:szCs w:val="26"/>
        </w:rPr>
        <w:t>;</w:t>
      </w:r>
    </w:p>
    <w:p w:rsidRPr="003E48C0" w:rsidR="00354555" w:rsidP="00F47403" w:rsidRDefault="00354555" w14:paraId="05408AB3" w14:textId="77777777">
      <w:pPr>
        <w:pStyle w:val="Quote1"/>
        <w:numPr>
          <w:ilvl w:val="1"/>
          <w:numId w:val="11"/>
        </w:numPr>
        <w:spacing w:before="0" w:after="120"/>
        <w:ind w:right="1440"/>
        <w:rPr>
          <w:szCs w:val="26"/>
        </w:rPr>
      </w:pPr>
      <w:r w:rsidRPr="003E48C0">
        <w:rPr>
          <w:szCs w:val="26"/>
        </w:rPr>
        <w:t>A statement of the CEQA exemption(s) applicable to the proposed project; and</w:t>
      </w:r>
    </w:p>
    <w:p w:rsidRPr="003E48C0" w:rsidR="00354555" w:rsidP="00F47403" w:rsidRDefault="00354555" w14:paraId="1815A176" w14:textId="77777777">
      <w:pPr>
        <w:pStyle w:val="Quote1"/>
        <w:numPr>
          <w:ilvl w:val="1"/>
          <w:numId w:val="11"/>
        </w:numPr>
        <w:spacing w:before="0" w:after="120"/>
        <w:ind w:right="1440"/>
        <w:rPr>
          <w:szCs w:val="26"/>
        </w:rPr>
      </w:pPr>
      <w:r w:rsidRPr="003E48C0">
        <w:rPr>
          <w:szCs w:val="26"/>
        </w:rPr>
        <w:t>Documentation and factual evidence sufficient to support a finding that the claimed exemption(s) is (are) applicable.</w:t>
      </w:r>
    </w:p>
    <w:p w:rsidRPr="003E48C0" w:rsidR="00354555" w:rsidP="00354555" w:rsidRDefault="00354555" w14:paraId="10DFFAB2" w14:textId="1EED2B85">
      <w:pPr>
        <w:pStyle w:val="Quote1"/>
        <w:tabs>
          <w:tab w:val="left" w:pos="990"/>
        </w:tabs>
        <w:spacing w:before="0" w:after="120"/>
        <w:ind w:left="0" w:right="1440"/>
        <w:rPr>
          <w:szCs w:val="26"/>
        </w:rPr>
      </w:pPr>
      <w:r w:rsidRPr="003E48C0">
        <w:rPr>
          <w:szCs w:val="26"/>
        </w:rPr>
        <w:t xml:space="preserve">The </w:t>
      </w:r>
      <w:r w:rsidR="008650F5">
        <w:rPr>
          <w:szCs w:val="26"/>
        </w:rPr>
        <w:t>Energy Division</w:t>
      </w:r>
      <w:r w:rsidRPr="003E48C0">
        <w:rPr>
          <w:szCs w:val="26"/>
        </w:rPr>
        <w:t xml:space="preserve"> will review </w:t>
      </w:r>
      <w:r>
        <w:rPr>
          <w:szCs w:val="26"/>
        </w:rPr>
        <w:t xml:space="preserve">the </w:t>
      </w:r>
      <w:r w:rsidRPr="002E3DDC">
        <w:rPr>
          <w:bCs/>
          <w:szCs w:val="26"/>
        </w:rPr>
        <w:t>utility</w:t>
      </w:r>
      <w:r w:rsidR="00893D67">
        <w:rPr>
          <w:bCs/>
          <w:szCs w:val="26"/>
        </w:rPr>
        <w:t>’</w:t>
      </w:r>
      <w:r>
        <w:rPr>
          <w:bCs/>
          <w:szCs w:val="26"/>
        </w:rPr>
        <w:t>s</w:t>
      </w:r>
      <w:r w:rsidRPr="002E3DDC">
        <w:rPr>
          <w:szCs w:val="26"/>
        </w:rPr>
        <w:t xml:space="preserve"> </w:t>
      </w:r>
      <w:r w:rsidRPr="003E48C0">
        <w:rPr>
          <w:szCs w:val="26"/>
        </w:rPr>
        <w:t>submission for the proposed project to confirm that the claimed exemption(s) from CEQA are applicable</w:t>
      </w:r>
      <w:r>
        <w:rPr>
          <w:szCs w:val="26"/>
        </w:rPr>
        <w:t>; and</w:t>
      </w:r>
    </w:p>
    <w:p w:rsidRPr="003E48C0" w:rsidR="00354555" w:rsidP="00354555" w:rsidRDefault="00354555" w14:paraId="7BA1356F" w14:textId="44BBF397">
      <w:pPr>
        <w:pStyle w:val="Quote1"/>
        <w:tabs>
          <w:tab w:val="left" w:pos="990"/>
        </w:tabs>
        <w:spacing w:before="0" w:after="120"/>
        <w:ind w:left="0" w:right="1440"/>
        <w:rPr>
          <w:szCs w:val="26"/>
        </w:rPr>
      </w:pPr>
      <w:r w:rsidRPr="003E48C0">
        <w:rPr>
          <w:szCs w:val="26"/>
        </w:rPr>
        <w:t>Within 21</w:t>
      </w:r>
      <w:r>
        <w:rPr>
          <w:szCs w:val="26"/>
        </w:rPr>
        <w:t> </w:t>
      </w:r>
      <w:r w:rsidRPr="003E48C0">
        <w:rPr>
          <w:szCs w:val="26"/>
        </w:rPr>
        <w:t xml:space="preserve">days from the date of </w:t>
      </w:r>
      <w:r>
        <w:rPr>
          <w:szCs w:val="26"/>
        </w:rPr>
        <w:t xml:space="preserve">the </w:t>
      </w:r>
      <w:r w:rsidRPr="002E3DDC">
        <w:rPr>
          <w:bCs/>
          <w:szCs w:val="26"/>
        </w:rPr>
        <w:t>utility</w:t>
      </w:r>
      <w:r w:rsidR="00893D67">
        <w:rPr>
          <w:bCs/>
          <w:szCs w:val="26"/>
        </w:rPr>
        <w:t>’</w:t>
      </w:r>
      <w:r>
        <w:rPr>
          <w:bCs/>
          <w:szCs w:val="26"/>
        </w:rPr>
        <w:t>s</w:t>
      </w:r>
      <w:r w:rsidRPr="002E3DDC">
        <w:rPr>
          <w:szCs w:val="26"/>
        </w:rPr>
        <w:t xml:space="preserve"> </w:t>
      </w:r>
      <w:r w:rsidRPr="003E48C0">
        <w:rPr>
          <w:szCs w:val="26"/>
        </w:rPr>
        <w:t xml:space="preserve">submittal, the </w:t>
      </w:r>
      <w:r w:rsidR="008650F5">
        <w:rPr>
          <w:szCs w:val="26"/>
        </w:rPr>
        <w:t>Energy Division</w:t>
      </w:r>
      <w:r w:rsidRPr="003E48C0">
        <w:rPr>
          <w:szCs w:val="26"/>
        </w:rPr>
        <w:t xml:space="preserve"> will issue either:</w:t>
      </w:r>
    </w:p>
    <w:p w:rsidR="00354555" w:rsidRDefault="00354555" w14:paraId="728BDB0F" w14:textId="6E46EDB6">
      <w:pPr>
        <w:pStyle w:val="Quote1"/>
        <w:numPr>
          <w:ilvl w:val="1"/>
          <w:numId w:val="34"/>
        </w:numPr>
        <w:spacing w:before="0" w:after="120"/>
        <w:ind w:left="1440" w:right="1440"/>
        <w:rPr>
          <w:szCs w:val="26"/>
        </w:rPr>
      </w:pPr>
      <w:r w:rsidRPr="003E48C0">
        <w:rPr>
          <w:szCs w:val="26"/>
        </w:rPr>
        <w:t>A Notice to Proceed (NTP) and file a Notice of Exemption with the State Clearinghouse, Office of Planning and Research</w:t>
      </w:r>
      <w:r>
        <w:rPr>
          <w:szCs w:val="26"/>
        </w:rPr>
        <w:t>;</w:t>
      </w:r>
      <w:r w:rsidRPr="003E48C0">
        <w:rPr>
          <w:szCs w:val="26"/>
        </w:rPr>
        <w:t xml:space="preserve"> or</w:t>
      </w:r>
    </w:p>
    <w:p w:rsidRPr="001C7C69" w:rsidR="00354555" w:rsidRDefault="00354555" w14:paraId="7A5FB27A" w14:textId="26A5B5F9">
      <w:pPr>
        <w:pStyle w:val="Quote1"/>
        <w:numPr>
          <w:ilvl w:val="1"/>
          <w:numId w:val="34"/>
        </w:numPr>
        <w:spacing w:before="0" w:after="120"/>
        <w:ind w:left="1440" w:right="1440"/>
        <w:rPr>
          <w:szCs w:val="26"/>
        </w:rPr>
      </w:pPr>
      <w:r w:rsidRPr="00274971">
        <w:rPr>
          <w:szCs w:val="26"/>
        </w:rPr>
        <w:t>A letter of denial stating the specific reasons why the claimed exemption(s)are not applicable to the proposed project.</w:t>
      </w:r>
    </w:p>
    <w:p w:rsidRPr="00E1304C" w:rsidR="00354555" w:rsidP="001C7C69" w:rsidRDefault="00354555" w14:paraId="77FD5388" w14:textId="4863FAAD">
      <w:pPr>
        <w:pStyle w:val="Standard"/>
      </w:pPr>
      <w:r w:rsidRPr="00274971">
        <w:t xml:space="preserve">The </w:t>
      </w:r>
      <w:r w:rsidRPr="00274971" w:rsidR="008650F5">
        <w:t>Energy Division</w:t>
      </w:r>
      <w:r w:rsidRPr="00274971">
        <w:t xml:space="preserve"> will also notify </w:t>
      </w:r>
      <w:r w:rsidRPr="001C7C69">
        <w:t>the provider</w:t>
      </w:r>
      <w:r w:rsidRPr="00274971">
        <w:t xml:space="preserve"> of either its approval or its denial of then review within 21 days from the time that </w:t>
      </w:r>
      <w:r w:rsidRPr="001C7C69" w:rsidR="00274971">
        <w:t>utility’s</w:t>
      </w:r>
      <w:r w:rsidRPr="00274971">
        <w:t xml:space="preserve"> submittal is complete.</w:t>
      </w:r>
    </w:p>
    <w:p w:rsidRPr="00E71CC6" w:rsidR="00354555" w:rsidP="001C7C69" w:rsidRDefault="00354555" w14:paraId="1C93C2CB" w14:textId="00B09499">
      <w:pPr>
        <w:pStyle w:val="Standard"/>
      </w:pPr>
      <w:r w:rsidRPr="00E71CC6">
        <w:t xml:space="preserve">If the </w:t>
      </w:r>
      <w:r w:rsidRPr="00E71CC6" w:rsidR="008650F5">
        <w:t>Energy Division</w:t>
      </w:r>
      <w:r w:rsidRPr="00E71CC6">
        <w:t xml:space="preserve"> disapproves </w:t>
      </w:r>
      <w:r w:rsidRPr="001C7C69">
        <w:t>a CPCN holder</w:t>
      </w:r>
      <w:r w:rsidRPr="001C7C69" w:rsidR="00893D67">
        <w:t>’</w:t>
      </w:r>
      <w:r w:rsidRPr="001C7C69">
        <w:t xml:space="preserve">s </w:t>
      </w:r>
      <w:r w:rsidRPr="00E71CC6">
        <w:t>claimed CEQA exemptions, the staff shall issue</w:t>
      </w:r>
      <w:r w:rsidRPr="001C7C69">
        <w:t xml:space="preserve"> </w:t>
      </w:r>
      <w:r w:rsidRPr="00E71CC6">
        <w:t>a letter</w:t>
      </w:r>
      <w:r w:rsidR="00E71CC6">
        <w:t xml:space="preserve"> to the utility</w:t>
      </w:r>
      <w:r w:rsidRPr="00E71CC6">
        <w:t xml:space="preserve"> which states the specific reasons that the claimed CEQA exemptions do not apply to the proposed project.</w:t>
      </w:r>
    </w:p>
    <w:p w:rsidRPr="00E71CC6" w:rsidR="00354555" w:rsidP="005B7BD3" w:rsidRDefault="00354555" w14:paraId="72C45D52" w14:textId="52A06CCA">
      <w:pPr>
        <w:pStyle w:val="Standard"/>
        <w:keepNext/>
      </w:pPr>
      <w:r w:rsidRPr="00E71CC6">
        <w:t xml:space="preserve">If the </w:t>
      </w:r>
      <w:r w:rsidRPr="00E71CC6" w:rsidR="008650F5">
        <w:t>Energy Division</w:t>
      </w:r>
      <w:r w:rsidRPr="00E71CC6">
        <w:t xml:space="preserve"> </w:t>
      </w:r>
      <w:r w:rsidRPr="001C7C69">
        <w:t>disapproves a CPCN holder</w:t>
      </w:r>
      <w:r w:rsidRPr="001C7C69" w:rsidR="00893D67">
        <w:t>’</w:t>
      </w:r>
      <w:r w:rsidRPr="001C7C69">
        <w:t xml:space="preserve">s claimed CEQA exemption(s), the CPCN holder </w:t>
      </w:r>
      <w:r w:rsidRPr="00E71CC6">
        <w:t>shall either re</w:t>
      </w:r>
      <w:r w:rsidR="006951D5">
        <w:noBreakHyphen/>
      </w:r>
      <w:r w:rsidRPr="00E71CC6">
        <w:t xml:space="preserve">design the specific project and facilities and then reapply for a finding of exemption from CEQA, or file a formal </w:t>
      </w:r>
      <w:r w:rsidRPr="00E71CC6">
        <w:lastRenderedPageBreak/>
        <w:t xml:space="preserve">application with the Commission seeking the requisite approval and full CEQA review, before commencing any </w:t>
      </w:r>
      <w:r w:rsidRPr="00E71CC6" w:rsidR="00295036">
        <w:t>full faci</w:t>
      </w:r>
      <w:r w:rsidRPr="00E71CC6">
        <w:t>lities</w:t>
      </w:r>
      <w:r w:rsidR="006951D5">
        <w:noBreakHyphen/>
      </w:r>
      <w:r w:rsidRPr="00E71CC6">
        <w:t>based construction activities.</w:t>
      </w:r>
    </w:p>
    <w:p w:rsidR="006B60CF" w:rsidP="005B7BD3" w:rsidRDefault="006B60CF" w14:paraId="6C6CF9C1" w14:textId="77777777">
      <w:pPr>
        <w:pStyle w:val="Standard"/>
        <w:keepNext/>
        <w:ind w:firstLine="0"/>
      </w:pPr>
    </w:p>
    <w:p w:rsidR="00927464" w:rsidP="005B7BD3" w:rsidRDefault="00927464" w14:paraId="4639ACC0" w14:textId="77777777">
      <w:pPr>
        <w:pStyle w:val="Standard"/>
        <w:keepNext/>
        <w:ind w:firstLine="0"/>
      </w:pPr>
    </w:p>
    <w:p w:rsidRPr="006B60CF" w:rsidR="00927464" w:rsidP="006B60CF" w:rsidRDefault="00927464" w14:paraId="05A2DF17" w14:textId="77777777">
      <w:pPr>
        <w:pStyle w:val="Standard"/>
        <w:keepNext/>
        <w:ind w:firstLine="0"/>
      </w:pPr>
    </w:p>
    <w:p w:rsidRPr="00714CF2" w:rsidR="009C13BE" w:rsidP="006B60CF" w:rsidRDefault="006B60CF" w14:paraId="4C561B0B" w14:textId="521DD058">
      <w:pPr>
        <w:pStyle w:val="Standard"/>
        <w:keepNext/>
        <w:ind w:firstLine="0"/>
        <w:jc w:val="center"/>
      </w:pPr>
      <w:r>
        <w:rPr>
          <w:b/>
          <w:bCs/>
        </w:rPr>
        <w:t>(</w:t>
      </w:r>
      <w:r w:rsidR="00D774AC">
        <w:rPr>
          <w:b/>
          <w:bCs/>
        </w:rPr>
        <w:t xml:space="preserve">END OF </w:t>
      </w:r>
      <w:r w:rsidR="000B593D">
        <w:rPr>
          <w:b/>
          <w:bCs/>
        </w:rPr>
        <w:t>APPENDIX H</w:t>
      </w:r>
      <w:r>
        <w:rPr>
          <w:b/>
          <w:bCs/>
        </w:rPr>
        <w:t>)</w:t>
      </w:r>
    </w:p>
    <w:sectPr w:rsidRPr="00714CF2" w:rsidR="009C13BE" w:rsidSect="00977FD1">
      <w:footerReference w:type="default" r:id="rId45"/>
      <w:pgSz w:w="12240" w:h="15840"/>
      <w:pgMar w:top="1728" w:right="1440" w:bottom="1440" w:left="1440" w:header="720" w:footer="720" w:gutter="0"/>
      <w:pgNumType w:start="1"/>
      <w:cols w:space="720"/>
      <w:docGrid w:linePitch="360"/>
    </w:sectPr>
    <w:p>
      <w:r>
        <w:t xml:space="preserve"/>
      </w:r>
    </w:p>
    <w:p>
      <w:r>
        <w:t xml:space="preserve">Attachment 1: </w:t>
      </w:r>
    </w:p>
    <w:p>
      <w:hyperlink w:history="true" r:id="Rc714d636ba97483d">
        <w:r w:rsidRPr="00CB1292">
          <w:rPr>
            <w:rStyle w:val="Hyperlink"/>
            <w:color w:val="2E74B5" w:themeColor="accent1" w:themeShade="BF"/>
            <w:u w:val="single"/>
          </w:rPr>
          <w:t>R2208008 Appendix A Rev1</w:t>
        </w:r>
      </w:hyperlink>
    </w:p>
    <w:p>
      <w:r>
        <w:t xml:space="preserve"/>
      </w:r>
    </w:p>
    <w:p>
      <w:r>
        <w:t xml:space="preserve">Attachment 2: </w:t>
      </w:r>
    </w:p>
    <w:p>
      <w:hyperlink w:history="true" r:id="Re2c20def7644419e">
        <w:r w:rsidRPr="00CB1292">
          <w:rPr>
            <w:rStyle w:val="Hyperlink"/>
            <w:color w:val="2E74B5" w:themeColor="accent1" w:themeShade="BF"/>
            <w:u w:val="single"/>
          </w:rPr>
          <w:t>R2208008 Appendix B Rev1</w:t>
        </w:r>
      </w:hyperlink>
    </w:p>
    <w:p>
      <w:r>
        <w:t xml:space="preserve"/>
      </w:r>
    </w:p>
    <w:p>
      <w:r>
        <w:t xml:space="preserve">Attachment 3: </w:t>
      </w:r>
    </w:p>
    <w:p>
      <w:hyperlink w:history="true" r:id="R5bc08ff155b04479">
        <w:r w:rsidRPr="00CB1292">
          <w:rPr>
            <w:rStyle w:val="Hyperlink"/>
            <w:color w:val="2E74B5" w:themeColor="accent1" w:themeShade="BF"/>
            <w:u w:val="single"/>
          </w:rPr>
          <w:t>R2208008 Appendix C Rev1</w:t>
        </w:r>
      </w:hyperlink>
    </w:p>
    <w:p>
      <w:r>
        <w:t xml:space="preserve"/>
      </w:r>
    </w:p>
    <w:p>
      <w:r>
        <w:t xml:space="preserve">Attachment 4: </w:t>
      </w:r>
    </w:p>
    <w:p>
      <w:hyperlink w:history="true" r:id="R0a8fd64070c24d7e">
        <w:r w:rsidRPr="00CB1292">
          <w:rPr>
            <w:rStyle w:val="Hyperlink"/>
            <w:color w:val="2E74B5" w:themeColor="accent1" w:themeShade="BF"/>
            <w:u w:val="single"/>
          </w:rPr>
          <w:t>R2208008 JR5 Rev 1 Agenda ID #22926_REDLINED VERSION</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9108" w14:textId="77777777" w:rsidR="005E7976" w:rsidRDefault="005E7976" w:rsidP="0098138E">
      <w:pPr>
        <w:spacing w:line="240" w:lineRule="auto"/>
      </w:pPr>
      <w:r>
        <w:separator/>
      </w:r>
    </w:p>
  </w:endnote>
  <w:endnote w:type="continuationSeparator" w:id="0">
    <w:p w14:paraId="4359033B" w14:textId="77777777" w:rsidR="005E7976" w:rsidRDefault="005E7976" w:rsidP="0098138E">
      <w:pPr>
        <w:spacing w:line="240" w:lineRule="auto"/>
      </w:pPr>
      <w:r>
        <w:continuationSeparator/>
      </w:r>
    </w:p>
  </w:endnote>
  <w:endnote w:type="continuationNotice" w:id="1">
    <w:p w14:paraId="7E33C44A" w14:textId="77777777" w:rsidR="005E7976" w:rsidRDefault="005E79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4D"/>
    <w:family w:val="auto"/>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F060E" w14:textId="677BDE89" w:rsidR="00F92385" w:rsidRDefault="006951D5" w:rsidP="006B6AD9">
    <w:pPr>
      <w:spacing w:line="240" w:lineRule="auto"/>
      <w:ind w:firstLine="0"/>
      <w:jc w:val="center"/>
    </w:pPr>
    <w:r>
      <w:noBreakHyphen/>
    </w:r>
    <w:r w:rsidR="006B6AD9">
      <w:t xml:space="preserve"> </w:t>
    </w:r>
    <w:sdt>
      <w:sdtPr>
        <w:id w:val="-1472208903"/>
        <w:docPartObj>
          <w:docPartGallery w:val="Page Numbers (Bottom of Page)"/>
          <w:docPartUnique/>
        </w:docPartObj>
      </w:sdtPr>
      <w:sdtEndPr>
        <w:rPr>
          <w:noProof/>
        </w:rPr>
      </w:sdtEndPr>
      <w:sdtContent>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r w:rsidR="006B6AD9">
          <w:rPr>
            <w:noProof/>
          </w:rPr>
          <w:t xml:space="preserve"> </w:t>
        </w:r>
        <w:r>
          <w:rPr>
            <w:noProof/>
          </w:rPr>
          <w:noBreakHyphen/>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30F3" w14:textId="31BA2D2C" w:rsidR="006B6AD9" w:rsidRPr="008C7BD0" w:rsidRDefault="006B6AD9" w:rsidP="00EB5405">
    <w:pPr>
      <w:pStyle w:val="Footer"/>
      <w:ind w:firstLine="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255524"/>
      <w:docPartObj>
        <w:docPartGallery w:val="Page Numbers (Bottom of Page)"/>
        <w:docPartUnique/>
      </w:docPartObj>
    </w:sdtPr>
    <w:sdtEndPr>
      <w:rPr>
        <w:noProof/>
      </w:rPr>
    </w:sdtEndPr>
    <w:sdtContent>
      <w:p w14:paraId="5519B4F7" w14:textId="6A664691" w:rsidR="001F203D" w:rsidRPr="008C7BD0" w:rsidRDefault="006951D5" w:rsidP="00EB5405">
        <w:pPr>
          <w:pStyle w:val="Footer"/>
          <w:ind w:firstLine="0"/>
          <w:jc w:val="center"/>
        </w:pPr>
        <w:r>
          <w:noBreakHyphen/>
        </w:r>
        <w:r w:rsidR="00EB5405">
          <w:t xml:space="preserve"> </w:t>
        </w:r>
        <w:r w:rsidR="00EB5405">
          <w:fldChar w:fldCharType="begin"/>
        </w:r>
        <w:r w:rsidR="00EB5405">
          <w:instrText xml:space="preserve"> PAGE   \* MERGEFORMAT </w:instrText>
        </w:r>
        <w:r w:rsidR="00EB5405">
          <w:fldChar w:fldCharType="separate"/>
        </w:r>
        <w:r w:rsidR="00EB5405">
          <w:t>1</w:t>
        </w:r>
        <w:r w:rsidR="00EB5405">
          <w:rPr>
            <w:noProof/>
          </w:rPr>
          <w:fldChar w:fldCharType="end"/>
        </w:r>
        <w:r w:rsidR="00EB5405">
          <w:rPr>
            <w:noProof/>
          </w:rPr>
          <w:t xml:space="preserve"> </w:t>
        </w:r>
        <w:r>
          <w:rPr>
            <w:noProof/>
          </w:rPr>
          <w:noBreakHyphen/>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E4535" w14:textId="06FE6D3C" w:rsidR="006B6AD9" w:rsidRPr="008C7BD0" w:rsidRDefault="006B6AD9" w:rsidP="00EB5405">
    <w:pPr>
      <w:pStyle w:val="Footer"/>
      <w:ind w:firstLine="0"/>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74898"/>
      <w:docPartObj>
        <w:docPartGallery w:val="Page Numbers (Bottom of Page)"/>
        <w:docPartUnique/>
      </w:docPartObj>
    </w:sdtPr>
    <w:sdtEndPr>
      <w:rPr>
        <w:noProof/>
      </w:rPr>
    </w:sdtEndPr>
    <w:sdtContent>
      <w:p w14:paraId="1C8CA1F8" w14:textId="7D8B79D7" w:rsidR="00860D44" w:rsidRPr="008C7BD0" w:rsidRDefault="006951D5" w:rsidP="00EB5405">
        <w:pPr>
          <w:pStyle w:val="Footer"/>
          <w:ind w:firstLine="0"/>
          <w:jc w:val="center"/>
        </w:pPr>
        <w:r>
          <w:noBreakHyphen/>
        </w:r>
        <w:r w:rsidR="00EB5405">
          <w:t xml:space="preserve"> </w:t>
        </w:r>
        <w:r w:rsidR="00EB5405">
          <w:fldChar w:fldCharType="begin"/>
        </w:r>
        <w:r w:rsidR="00EB5405">
          <w:instrText xml:space="preserve"> PAGE   \* MERGEFORMAT </w:instrText>
        </w:r>
        <w:r w:rsidR="00EB5405">
          <w:fldChar w:fldCharType="separate"/>
        </w:r>
        <w:r w:rsidR="00EB5405">
          <w:t>1</w:t>
        </w:r>
        <w:r w:rsidR="00EB5405">
          <w:rPr>
            <w:noProof/>
          </w:rPr>
          <w:fldChar w:fldCharType="end"/>
        </w:r>
        <w:r w:rsidR="00EB5405">
          <w:rPr>
            <w:noProof/>
          </w:rPr>
          <w:t xml:space="preserve"> </w:t>
        </w:r>
        <w:r>
          <w:rPr>
            <w:noProof/>
          </w:rPr>
          <w:noBreakHyphen/>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19616" w14:textId="180AF208" w:rsidR="006B6AD9" w:rsidRPr="008C7BD0" w:rsidRDefault="006B6AD9" w:rsidP="00EB5405">
    <w:pPr>
      <w:pStyle w:val="Footer"/>
      <w:ind w:firstLine="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497876"/>
      <w:docPartObj>
        <w:docPartGallery w:val="Page Numbers (Bottom of Page)"/>
        <w:docPartUnique/>
      </w:docPartObj>
    </w:sdtPr>
    <w:sdtEndPr>
      <w:rPr>
        <w:noProof/>
      </w:rPr>
    </w:sdtEndPr>
    <w:sdtContent>
      <w:p w14:paraId="4991BB1C" w14:textId="54FACEC0" w:rsidR="001648E7" w:rsidRPr="008C7BD0" w:rsidRDefault="006951D5" w:rsidP="00EB5405">
        <w:pPr>
          <w:pStyle w:val="Footer"/>
          <w:ind w:firstLine="0"/>
          <w:jc w:val="center"/>
        </w:pPr>
        <w:r>
          <w:noBreakHyphen/>
        </w:r>
        <w:r w:rsidR="00EB5405">
          <w:t xml:space="preserve"> </w:t>
        </w:r>
        <w:r w:rsidR="00EB5405">
          <w:fldChar w:fldCharType="begin"/>
        </w:r>
        <w:r w:rsidR="00EB5405">
          <w:instrText xml:space="preserve"> PAGE   \* MERGEFORMAT </w:instrText>
        </w:r>
        <w:r w:rsidR="00EB5405">
          <w:fldChar w:fldCharType="separate"/>
        </w:r>
        <w:r w:rsidR="00EB5405">
          <w:t>1</w:t>
        </w:r>
        <w:r w:rsidR="00EB5405">
          <w:rPr>
            <w:noProof/>
          </w:rPr>
          <w:fldChar w:fldCharType="end"/>
        </w:r>
        <w:r w:rsidR="00EB5405">
          <w:rPr>
            <w:noProof/>
          </w:rPr>
          <w:t xml:space="preserve"> </w:t>
        </w:r>
        <w:r>
          <w:rPr>
            <w:noProof/>
          </w:rPr>
          <w:noBreakHyphen/>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66E93" w14:textId="23228195" w:rsidR="006B6AD9" w:rsidRPr="008C7BD0" w:rsidRDefault="006B6AD9" w:rsidP="00EB5405">
    <w:pPr>
      <w:pStyle w:val="Footer"/>
      <w:ind w:firstLine="0"/>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078775"/>
      <w:docPartObj>
        <w:docPartGallery w:val="Page Numbers (Bottom of Page)"/>
        <w:docPartUnique/>
      </w:docPartObj>
    </w:sdtPr>
    <w:sdtEndPr>
      <w:rPr>
        <w:noProof/>
      </w:rPr>
    </w:sdtEndPr>
    <w:sdtContent>
      <w:p w14:paraId="7B9A517F" w14:textId="6BE2EF75" w:rsidR="0094197E" w:rsidRPr="008C7BD0" w:rsidRDefault="006951D5" w:rsidP="00EB5405">
        <w:pPr>
          <w:pStyle w:val="Footer"/>
          <w:ind w:firstLine="0"/>
          <w:jc w:val="center"/>
        </w:pPr>
        <w:r>
          <w:noBreakHyphen/>
        </w:r>
        <w:r w:rsidR="00EB5405">
          <w:t xml:space="preserve"> </w:t>
        </w:r>
        <w:r w:rsidR="00EB5405">
          <w:fldChar w:fldCharType="begin"/>
        </w:r>
        <w:r w:rsidR="00EB5405">
          <w:instrText xml:space="preserve"> PAGE   \* MERGEFORMAT </w:instrText>
        </w:r>
        <w:r w:rsidR="00EB5405">
          <w:fldChar w:fldCharType="separate"/>
        </w:r>
        <w:r w:rsidR="00EB5405">
          <w:t>1</w:t>
        </w:r>
        <w:r w:rsidR="00EB5405">
          <w:rPr>
            <w:noProof/>
          </w:rPr>
          <w:fldChar w:fldCharType="end"/>
        </w:r>
        <w:r w:rsidR="00EB5405">
          <w:rPr>
            <w:noProof/>
          </w:rPr>
          <w:t xml:space="preserve"> </w:t>
        </w:r>
        <w:r>
          <w:rPr>
            <w:noProof/>
          </w:rPr>
          <w:noBreakHyphen/>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BCBE6" w14:textId="45F2FA5C" w:rsidR="006B6AD9" w:rsidRPr="008C7BD0" w:rsidRDefault="006B6AD9" w:rsidP="00EB5405">
    <w:pPr>
      <w:pStyle w:val="Footer"/>
      <w:ind w:firstLine="0"/>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7E2C7" w14:textId="72EA3E58" w:rsidR="00E23CBB" w:rsidRDefault="006951D5" w:rsidP="00EB5405">
    <w:pPr>
      <w:pStyle w:val="Footer"/>
      <w:ind w:firstLine="0"/>
      <w:jc w:val="center"/>
    </w:pPr>
    <w:r>
      <w:noBreakHyphen/>
    </w:r>
    <w:sdt>
      <w:sdtPr>
        <w:id w:val="-1034043401"/>
        <w:docPartObj>
          <w:docPartGallery w:val="Page Numbers (Bottom of Page)"/>
          <w:docPartUnique/>
        </w:docPartObj>
      </w:sdtPr>
      <w:sdtEndPr>
        <w:rPr>
          <w:noProof/>
        </w:rPr>
      </w:sdtEndPr>
      <w:sdtContent>
        <w:r w:rsidR="00EE4315">
          <w:t xml:space="preserve"> </w:t>
        </w:r>
        <w:r w:rsidR="00E23CBB">
          <w:fldChar w:fldCharType="begin"/>
        </w:r>
        <w:r w:rsidR="00E23CBB">
          <w:instrText xml:space="preserve"> PAGE   \* MERGEFORMAT </w:instrText>
        </w:r>
        <w:r w:rsidR="00E23CBB">
          <w:fldChar w:fldCharType="separate"/>
        </w:r>
        <w:r w:rsidR="00E23CBB">
          <w:rPr>
            <w:noProof/>
          </w:rPr>
          <w:t>2</w:t>
        </w:r>
        <w:r w:rsidR="00E23CBB">
          <w:rPr>
            <w:noProof/>
          </w:rPr>
          <w:fldChar w:fldCharType="end"/>
        </w:r>
        <w:r w:rsidR="00EE4315">
          <w:rPr>
            <w:noProof/>
          </w:rPr>
          <w:t xml:space="preserve"> </w:t>
        </w:r>
        <w:r>
          <w:rPr>
            <w:noProof/>
          </w:rPr>
          <w:noBreakHyphen/>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AFFB" w14:textId="00AE58FC" w:rsidR="00632207" w:rsidRDefault="00000000" w:rsidP="00EB5405">
    <w:pPr>
      <w:tabs>
        <w:tab w:val="center" w:pos="4680"/>
      </w:tabs>
      <w:spacing w:line="240" w:lineRule="auto"/>
      <w:ind w:firstLine="0"/>
      <w:rPr>
        <w:noProof/>
      </w:rPr>
    </w:pPr>
    <w:sdt>
      <w:sdtPr>
        <w:id w:val="-1352874971"/>
        <w:docPartObj>
          <w:docPartGallery w:val="Page Numbers (Bottom of Page)"/>
          <w:docPartUnique/>
        </w:docPartObj>
      </w:sdtPr>
      <w:sdtEndPr>
        <w:rPr>
          <w:noProof/>
        </w:rPr>
      </w:sdtEndPr>
      <w:sdtContent>
        <w:r w:rsidR="00B73D9B" w:rsidRPr="00645D56">
          <w:rPr>
            <w:sz w:val="16"/>
            <w:szCs w:val="16"/>
          </w:rPr>
          <w:t>545635768</w:t>
        </w:r>
        <w:r w:rsidR="00632207">
          <w:rPr>
            <w:rFonts w:ascii="Arial" w:hAnsi="Arial" w:cs="Arial"/>
            <w:sz w:val="16"/>
            <w:szCs w:val="16"/>
          </w:rPr>
          <w:tab/>
        </w:r>
        <w:r w:rsidR="006951D5">
          <w:noBreakHyphen/>
        </w:r>
        <w:r w:rsidR="00EE4315">
          <w:t xml:space="preserve"> </w:t>
        </w:r>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sdtContent>
    </w:sdt>
    <w:r w:rsidR="00EE4315">
      <w:rPr>
        <w:noProof/>
      </w:rPr>
      <w:t xml:space="preserve"> </w:t>
    </w:r>
    <w:r w:rsidR="006951D5">
      <w:rPr>
        <w:noProof/>
      </w:rPr>
      <w:noBreak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245300"/>
      <w:docPartObj>
        <w:docPartGallery w:val="Page Numbers (Bottom of Page)"/>
        <w:docPartUnique/>
      </w:docPartObj>
    </w:sdtPr>
    <w:sdtEndPr>
      <w:rPr>
        <w:noProof/>
      </w:rPr>
    </w:sdtEndPr>
    <w:sdtContent>
      <w:p w14:paraId="658A3339" w14:textId="710FEAF3" w:rsidR="009C13BE" w:rsidRPr="008C7BD0" w:rsidRDefault="006951D5" w:rsidP="00EB5405">
        <w:pPr>
          <w:pStyle w:val="Footer"/>
          <w:ind w:firstLine="0"/>
          <w:jc w:val="center"/>
        </w:pPr>
        <w:r>
          <w:noBreakHyphen/>
        </w:r>
        <w:r w:rsidR="00EB5405">
          <w:t xml:space="preserve"> </w:t>
        </w:r>
        <w:r w:rsidR="004A728F">
          <w:fldChar w:fldCharType="begin"/>
        </w:r>
        <w:r w:rsidR="004A728F">
          <w:instrText xml:space="preserve"> PAGE   \* MERGEFORMAT </w:instrText>
        </w:r>
        <w:r w:rsidR="004A728F">
          <w:fldChar w:fldCharType="separate"/>
        </w:r>
        <w:r w:rsidR="004A728F">
          <w:rPr>
            <w:noProof/>
          </w:rPr>
          <w:t>2</w:t>
        </w:r>
        <w:r w:rsidR="004A728F">
          <w:rPr>
            <w:noProof/>
          </w:rPr>
          <w:fldChar w:fldCharType="end"/>
        </w:r>
        <w:r w:rsidR="00EB5405">
          <w:rPr>
            <w:noProof/>
          </w:rPr>
          <w:t xml:space="preserve"> </w:t>
        </w:r>
        <w:r>
          <w:rPr>
            <w:noProof/>
          </w:rPr>
          <w:noBreakHyphen/>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12FF0" w14:textId="0BE16B4A" w:rsidR="006B6AD9" w:rsidRPr="008C7BD0" w:rsidRDefault="006B6AD9" w:rsidP="00EB5405">
    <w:pPr>
      <w:pStyle w:val="Footer"/>
      <w:ind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F50C" w14:textId="7D3DC199" w:rsidR="00EB5405" w:rsidRPr="008C7BD0" w:rsidRDefault="00EB5405" w:rsidP="00EB5405">
    <w:pPr>
      <w:pStyle w:val="Footer"/>
      <w:ind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352DF" w14:textId="3403317F" w:rsidR="006B6AD9" w:rsidRPr="008C7BD0" w:rsidRDefault="006B6AD9" w:rsidP="00EB5405">
    <w:pPr>
      <w:pStyle w:val="Footer"/>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7B9F" w14:textId="2DFAB54F" w:rsidR="00273EDC" w:rsidRPr="00EB5405" w:rsidRDefault="00273EDC" w:rsidP="00EB5405">
    <w:pPr>
      <w:pStyle w:val="Footer"/>
      <w:ind w:firstLine="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027E3" w14:textId="54226182" w:rsidR="006B6AD9" w:rsidRPr="00EB5405" w:rsidRDefault="006B6AD9" w:rsidP="00EB5405">
    <w:pPr>
      <w:pStyle w:val="Footer"/>
      <w:ind w:firstLine="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17FF" w14:textId="295E9951" w:rsidR="00366B32" w:rsidRPr="008C7BD0" w:rsidRDefault="00366B32" w:rsidP="00EB5405">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AF135" w14:textId="77777777" w:rsidR="005E7976" w:rsidRDefault="005E7976" w:rsidP="00DF58E7">
      <w:pPr>
        <w:spacing w:line="240" w:lineRule="auto"/>
        <w:ind w:firstLine="0"/>
      </w:pPr>
      <w:r>
        <w:separator/>
      </w:r>
    </w:p>
  </w:footnote>
  <w:footnote w:type="continuationSeparator" w:id="0">
    <w:p w14:paraId="5A30B999" w14:textId="77777777" w:rsidR="005E7976" w:rsidRDefault="005E7976" w:rsidP="00DF58E7">
      <w:pPr>
        <w:spacing w:line="240" w:lineRule="auto"/>
        <w:ind w:firstLine="0"/>
      </w:pPr>
      <w:r>
        <w:continuationSeparator/>
      </w:r>
    </w:p>
  </w:footnote>
  <w:footnote w:type="continuationNotice" w:id="1">
    <w:p w14:paraId="17C71E09" w14:textId="77777777" w:rsidR="005E7976" w:rsidRPr="00DF58E7" w:rsidRDefault="005E7976" w:rsidP="00DF58E7">
      <w:pPr>
        <w:spacing w:line="240" w:lineRule="auto"/>
        <w:ind w:firstLine="0"/>
        <w:jc w:val="right"/>
        <w:rPr>
          <w:i/>
          <w:sz w:val="22"/>
        </w:rPr>
      </w:pPr>
    </w:p>
  </w:footnote>
  <w:footnote w:id="2">
    <w:p w14:paraId="4ADC60CB" w14:textId="773C0792" w:rsidR="0015337A" w:rsidRDefault="0015337A" w:rsidP="0015337A">
      <w:pPr>
        <w:pStyle w:val="FootnoteText"/>
      </w:pPr>
      <w:r>
        <w:rPr>
          <w:rStyle w:val="FootnoteReference"/>
        </w:rPr>
        <w:footnoteRef/>
      </w:r>
      <w:r>
        <w:t xml:space="preserve"> </w:t>
      </w:r>
      <w:r w:rsidRPr="00B15CE3">
        <w:rPr>
          <w:i/>
          <w:iCs/>
          <w:lang w:val="en-ZW"/>
        </w:rPr>
        <w:t xml:space="preserve">VoIP Letter Notice for </w:t>
      </w:r>
      <w:r w:rsidR="00284AAF">
        <w:rPr>
          <w:i/>
          <w:iCs/>
          <w:lang w:val="en-ZW"/>
        </w:rPr>
        <w:t>AB </w:t>
      </w:r>
      <w:r w:rsidRPr="00B15CE3">
        <w:rPr>
          <w:i/>
          <w:iCs/>
          <w:lang w:val="en-ZW"/>
        </w:rPr>
        <w:t>841</w:t>
      </w:r>
      <w:r>
        <w:rPr>
          <w:lang w:val="en-ZW"/>
        </w:rPr>
        <w:t xml:space="preserve"> from Paul </w:t>
      </w:r>
      <w:proofErr w:type="spellStart"/>
      <w:r>
        <w:rPr>
          <w:lang w:val="en-ZW"/>
        </w:rPr>
        <w:t>Clanon</w:t>
      </w:r>
      <w:proofErr w:type="spellEnd"/>
      <w:r>
        <w:rPr>
          <w:lang w:val="en-ZW"/>
        </w:rPr>
        <w:t xml:space="preserve">, Commission Executive Director, directing Interconnected VoIP service providers to register with the Commission, </w:t>
      </w:r>
      <w:r w:rsidR="00424385">
        <w:rPr>
          <w:lang w:val="en-ZW"/>
        </w:rPr>
        <w:t>November </w:t>
      </w:r>
      <w:r>
        <w:rPr>
          <w:lang w:val="en-ZW"/>
        </w:rPr>
        <w:t>9, 2011.</w:t>
      </w:r>
      <w:r w:rsidR="00821EDB">
        <w:rPr>
          <w:lang w:val="en-ZW"/>
        </w:rPr>
        <w:t xml:space="preserve"> </w:t>
      </w:r>
      <w:r w:rsidR="00B7078A">
        <w:rPr>
          <w:lang w:val="en-ZW"/>
        </w:rPr>
        <w:t>Interconnected VoIP</w:t>
      </w:r>
      <w:r w:rsidR="00AD6780">
        <w:rPr>
          <w:lang w:val="en-ZW"/>
        </w:rPr>
        <w:t xml:space="preserve"> service providers</w:t>
      </w:r>
      <w:r w:rsidR="00B7078A">
        <w:rPr>
          <w:lang w:val="en-ZW"/>
        </w:rPr>
        <w:t xml:space="preserve"> were</w:t>
      </w:r>
      <w:r w:rsidR="000B3CF3">
        <w:rPr>
          <w:lang w:val="en-ZW"/>
        </w:rPr>
        <w:t xml:space="preserve"> issued </w:t>
      </w:r>
      <w:r w:rsidR="00890EA1">
        <w:rPr>
          <w:lang w:val="en-ZW"/>
        </w:rPr>
        <w:t xml:space="preserve">utility type </w:t>
      </w:r>
      <w:r w:rsidR="00B7078A">
        <w:rPr>
          <w:lang w:val="en-ZW"/>
        </w:rPr>
        <w:t>D</w:t>
      </w:r>
      <w:r w:rsidR="00D04818">
        <w:rPr>
          <w:lang w:val="en-ZW"/>
        </w:rPr>
        <w:t xml:space="preserve">igital Voice Service </w:t>
      </w:r>
      <w:r w:rsidR="005B262F">
        <w:rPr>
          <w:lang w:val="en-ZW"/>
        </w:rPr>
        <w:t>(DVS)</w:t>
      </w:r>
      <w:r w:rsidR="00223659">
        <w:rPr>
          <w:lang w:val="en-ZW"/>
        </w:rPr>
        <w:t xml:space="preserve"> when registered</w:t>
      </w:r>
      <w:r w:rsidR="00631AE7">
        <w:rPr>
          <w:lang w:val="en-ZW"/>
        </w:rPr>
        <w:t>.</w:t>
      </w:r>
    </w:p>
  </w:footnote>
  <w:footnote w:id="3">
    <w:p w14:paraId="037A3819" w14:textId="4F7FFE60" w:rsidR="0015337A" w:rsidRDefault="0015337A" w:rsidP="0015337A">
      <w:pPr>
        <w:pStyle w:val="FootnoteText"/>
      </w:pPr>
      <w:r>
        <w:rPr>
          <w:rStyle w:val="FootnoteReference"/>
        </w:rPr>
        <w:footnoteRef/>
      </w:r>
      <w:r>
        <w:t xml:space="preserve"> Order Initiating Investigation</w:t>
      </w:r>
      <w:r w:rsidR="001D4062">
        <w:t> </w:t>
      </w:r>
      <w:r>
        <w:t>04</w:t>
      </w:r>
      <w:r w:rsidR="006951D5">
        <w:noBreakHyphen/>
      </w:r>
      <w:r>
        <w:t>02</w:t>
      </w:r>
      <w:r w:rsidR="006951D5">
        <w:noBreakHyphen/>
      </w:r>
      <w:r>
        <w:t>007</w:t>
      </w:r>
      <w:r w:rsidR="007551DD">
        <w:t xml:space="preserve"> </w:t>
      </w:r>
      <w:r w:rsidR="0076372A">
        <w:t>(OII)</w:t>
      </w:r>
      <w:r w:rsidR="00C95B0B">
        <w:t xml:space="preserve"> </w:t>
      </w:r>
      <w:r w:rsidR="007551DD">
        <w:t>at </w:t>
      </w:r>
      <w:r>
        <w:t>1</w:t>
      </w:r>
      <w:r w:rsidR="006951D5">
        <w:noBreakHyphen/>
      </w:r>
      <w:r>
        <w:t>2.</w:t>
      </w:r>
    </w:p>
  </w:footnote>
  <w:footnote w:id="4">
    <w:p w14:paraId="48AED8D7" w14:textId="62E60F64" w:rsidR="0082729C" w:rsidRDefault="0082729C">
      <w:pPr>
        <w:pStyle w:val="FootnoteText"/>
      </w:pPr>
      <w:r>
        <w:rPr>
          <w:rStyle w:val="FootnoteReference"/>
        </w:rPr>
        <w:footnoteRef/>
      </w:r>
      <w:r>
        <w:t xml:space="preserve"> ‘Local exchange’ </w:t>
      </w:r>
      <w:r w:rsidRPr="00AA1504">
        <w:t xml:space="preserve">is </w:t>
      </w:r>
      <w:r w:rsidRPr="00470922">
        <w:t xml:space="preserve">known </w:t>
      </w:r>
      <w:r w:rsidR="005149D8">
        <w:t xml:space="preserve">generally </w:t>
      </w:r>
      <w:r>
        <w:t>as ‘local service’.</w:t>
      </w:r>
    </w:p>
  </w:footnote>
  <w:footnote w:id="5">
    <w:p w14:paraId="02C6BD39" w14:textId="6BAE9001" w:rsidR="0015337A" w:rsidRDefault="0015337A" w:rsidP="0015337A">
      <w:pPr>
        <w:pStyle w:val="FootnoteText"/>
      </w:pPr>
      <w:r>
        <w:rPr>
          <w:rStyle w:val="FootnoteReference"/>
        </w:rPr>
        <w:footnoteRef/>
      </w:r>
      <w:r>
        <w:t xml:space="preserve"> OII</w:t>
      </w:r>
      <w:r w:rsidR="007551DD">
        <w:t xml:space="preserve"> at </w:t>
      </w:r>
      <w:r>
        <w:t>1</w:t>
      </w:r>
      <w:r w:rsidR="006951D5">
        <w:noBreakHyphen/>
      </w:r>
      <w:r>
        <w:t>2.</w:t>
      </w:r>
    </w:p>
  </w:footnote>
  <w:footnote w:id="6">
    <w:p w14:paraId="1D55F8A5" w14:textId="391A07D9" w:rsidR="0015337A" w:rsidRDefault="0015337A" w:rsidP="0015337A">
      <w:pPr>
        <w:pStyle w:val="FootnoteText"/>
      </w:pPr>
      <w:r>
        <w:rPr>
          <w:rStyle w:val="FootnoteReference"/>
        </w:rPr>
        <w:footnoteRef/>
      </w:r>
      <w:r>
        <w:t xml:space="preserve"> D.06</w:t>
      </w:r>
      <w:r w:rsidR="006951D5">
        <w:noBreakHyphen/>
      </w:r>
      <w:r>
        <w:t>06</w:t>
      </w:r>
      <w:r w:rsidR="006951D5">
        <w:noBreakHyphen/>
      </w:r>
      <w:r>
        <w:t>010</w:t>
      </w:r>
      <w:r w:rsidR="007551DD">
        <w:t xml:space="preserve"> at </w:t>
      </w:r>
      <w:r>
        <w:t>2</w:t>
      </w:r>
      <w:r w:rsidR="006951D5">
        <w:noBreakHyphen/>
      </w:r>
      <w:r>
        <w:t>3.</w:t>
      </w:r>
    </w:p>
  </w:footnote>
  <w:footnote w:id="7">
    <w:p w14:paraId="0630899F" w14:textId="1660950F" w:rsidR="0015337A" w:rsidRDefault="0015337A" w:rsidP="0015337A">
      <w:pPr>
        <w:pStyle w:val="FootnoteText"/>
      </w:pPr>
      <w:r>
        <w:rPr>
          <w:rStyle w:val="FootnoteReference"/>
        </w:rPr>
        <w:footnoteRef/>
      </w:r>
      <w:r>
        <w:t xml:space="preserve"> All </w:t>
      </w:r>
      <w:r w:rsidR="004C414B">
        <w:t xml:space="preserve">section </w:t>
      </w:r>
      <w:r>
        <w:t xml:space="preserve">references are to the </w:t>
      </w:r>
      <w:r w:rsidR="007E4707">
        <w:t>Public Utilities</w:t>
      </w:r>
      <w:r>
        <w:t xml:space="preserve"> Code unless otherwise indicated.</w:t>
      </w:r>
    </w:p>
  </w:footnote>
  <w:footnote w:id="8">
    <w:p w14:paraId="0F1C3B4F" w14:textId="2EB07D4C" w:rsidR="0015337A" w:rsidRDefault="0015337A" w:rsidP="0015337A">
      <w:pPr>
        <w:pStyle w:val="FootnoteText"/>
      </w:pPr>
      <w:r>
        <w:rPr>
          <w:rStyle w:val="FootnoteReference"/>
        </w:rPr>
        <w:footnoteRef/>
      </w:r>
      <w:r>
        <w:t xml:space="preserve"> </w:t>
      </w:r>
      <w:r w:rsidR="004C414B">
        <w:t>Section </w:t>
      </w:r>
      <w:r>
        <w:t>776 addresses backup power systems located on the customer</w:t>
      </w:r>
      <w:r w:rsidR="00893D67">
        <w:t>’</w:t>
      </w:r>
      <w:r>
        <w:t xml:space="preserve">s premises and </w:t>
      </w:r>
      <w:r w:rsidR="004C414B">
        <w:t>Section </w:t>
      </w:r>
      <w:r>
        <w:t>2892.1 addresses backup power systems not located on the customers</w:t>
      </w:r>
      <w:r w:rsidR="00893D67">
        <w:t>’</w:t>
      </w:r>
      <w:r>
        <w:t xml:space="preserve"> premises.</w:t>
      </w:r>
    </w:p>
  </w:footnote>
  <w:footnote w:id="9">
    <w:p w14:paraId="491BEF0F" w14:textId="6F1F8B4B" w:rsidR="0015337A" w:rsidRDefault="0015337A" w:rsidP="0015337A">
      <w:pPr>
        <w:pStyle w:val="FootnoteText"/>
      </w:pPr>
      <w:r>
        <w:rPr>
          <w:rStyle w:val="FootnoteReference"/>
        </w:rPr>
        <w:footnoteRef/>
      </w:r>
      <w:r>
        <w:t xml:space="preserve"> The Commission implemented AB</w:t>
      </w:r>
      <w:r w:rsidR="006A569C">
        <w:t> </w:t>
      </w:r>
      <w:r>
        <w:t>2393 in R.07</w:t>
      </w:r>
      <w:r w:rsidR="006951D5">
        <w:noBreakHyphen/>
      </w:r>
      <w:r>
        <w:t>04</w:t>
      </w:r>
      <w:r w:rsidR="006951D5">
        <w:noBreakHyphen/>
      </w:r>
      <w:r>
        <w:t>015</w:t>
      </w:r>
      <w:r w:rsidR="00752A76">
        <w:t xml:space="preserve"> with the</w:t>
      </w:r>
      <w:r>
        <w:t xml:space="preserve"> issu</w:t>
      </w:r>
      <w:r w:rsidR="00752A76">
        <w:t>ance of</w:t>
      </w:r>
      <w:r>
        <w:t xml:space="preserve"> D.08</w:t>
      </w:r>
      <w:r w:rsidR="006951D5">
        <w:noBreakHyphen/>
      </w:r>
      <w:r>
        <w:t>09</w:t>
      </w:r>
      <w:r w:rsidR="006951D5">
        <w:noBreakHyphen/>
      </w:r>
      <w:r>
        <w:t>014 addressing the above matters and finding that a customer education program regarding backup power was needed.</w:t>
      </w:r>
      <w:r w:rsidR="00CD0E2A">
        <w:t xml:space="preserve"> </w:t>
      </w:r>
      <w:r>
        <w:t>In addition, the Commission determined that the proceeding should remain open for further investigation into the need for standards for backup power located on the customer</w:t>
      </w:r>
      <w:r w:rsidR="00893D67">
        <w:t>’</w:t>
      </w:r>
      <w:r>
        <w:t>s premises.</w:t>
      </w:r>
      <w:r w:rsidR="00CD0E2A">
        <w:t xml:space="preserve"> </w:t>
      </w:r>
      <w:r w:rsidR="00C813FF">
        <w:t>Attachment </w:t>
      </w:r>
      <w:r>
        <w:t>A to D.08</w:t>
      </w:r>
      <w:r w:rsidR="006951D5">
        <w:noBreakHyphen/>
      </w:r>
      <w:r>
        <w:t>09</w:t>
      </w:r>
      <w:r w:rsidR="006951D5">
        <w:noBreakHyphen/>
      </w:r>
      <w:r>
        <w:t>014 is the Final Analysis Report prepared by the Commission</w:t>
      </w:r>
      <w:r w:rsidR="00893D67">
        <w:t>’</w:t>
      </w:r>
      <w:r>
        <w:t>s Communications Division which constitutes the Commission</w:t>
      </w:r>
      <w:r w:rsidR="00893D67">
        <w:t>’</w:t>
      </w:r>
      <w:r>
        <w:t>s required report to the Legislature.</w:t>
      </w:r>
    </w:p>
  </w:footnote>
  <w:footnote w:id="10">
    <w:p w14:paraId="4FAEF67A" w14:textId="00C004EA" w:rsidR="0015337A" w:rsidRDefault="0015337A" w:rsidP="0015337A">
      <w:pPr>
        <w:pStyle w:val="FootnoteText"/>
      </w:pPr>
      <w:r>
        <w:rPr>
          <w:rStyle w:val="FootnoteReference"/>
        </w:rPr>
        <w:footnoteRef/>
      </w:r>
      <w:r>
        <w:t xml:space="preserve"> D.10</w:t>
      </w:r>
      <w:r w:rsidR="006951D5">
        <w:noBreakHyphen/>
      </w:r>
      <w:r>
        <w:t>01</w:t>
      </w:r>
      <w:r w:rsidR="006951D5">
        <w:noBreakHyphen/>
      </w:r>
      <w:r>
        <w:t>026</w:t>
      </w:r>
      <w:r w:rsidR="007551DD">
        <w:t xml:space="preserve"> at </w:t>
      </w:r>
      <w:r>
        <w:t>18</w:t>
      </w:r>
      <w:r w:rsidR="006951D5">
        <w:noBreakHyphen/>
      </w:r>
      <w:r>
        <w:t xml:space="preserve">21, </w:t>
      </w:r>
      <w:r w:rsidR="00FA5A5E">
        <w:t>Finding of Fact (</w:t>
      </w:r>
      <w:proofErr w:type="spellStart"/>
      <w:r>
        <w:t>FoF</w:t>
      </w:r>
      <w:proofErr w:type="spellEnd"/>
      <w:r w:rsidR="00FA5A5E">
        <w:t>)</w:t>
      </w:r>
      <w:r w:rsidR="005948A0">
        <w:t> </w:t>
      </w:r>
      <w:r>
        <w:t xml:space="preserve">34, </w:t>
      </w:r>
      <w:proofErr w:type="spellStart"/>
      <w:r w:rsidR="005948A0">
        <w:t>FoF</w:t>
      </w:r>
      <w:proofErr w:type="spellEnd"/>
      <w:r w:rsidR="005948A0">
        <w:t> </w:t>
      </w:r>
      <w:r>
        <w:t xml:space="preserve">40, </w:t>
      </w:r>
      <w:r w:rsidR="00522476">
        <w:t xml:space="preserve">and </w:t>
      </w:r>
      <w:r w:rsidR="00FA5A5E">
        <w:t>Conclusion of Law (</w:t>
      </w:r>
      <w:proofErr w:type="spellStart"/>
      <w:r>
        <w:t>CoL</w:t>
      </w:r>
      <w:proofErr w:type="spellEnd"/>
      <w:r w:rsidR="00FA5A5E">
        <w:t>)</w:t>
      </w:r>
      <w:r w:rsidR="005948A0">
        <w:t> </w:t>
      </w:r>
      <w:r>
        <w:t>27</w:t>
      </w:r>
      <w:r w:rsidR="006951D5">
        <w:noBreakHyphen/>
      </w:r>
      <w:r>
        <w:t>36.</w:t>
      </w:r>
    </w:p>
  </w:footnote>
  <w:footnote w:id="11">
    <w:p w14:paraId="063292F8" w14:textId="5B57F399" w:rsidR="0015337A" w:rsidRDefault="0015337A" w:rsidP="0015337A">
      <w:pPr>
        <w:pStyle w:val="FootnoteText"/>
      </w:pPr>
      <w:r>
        <w:rPr>
          <w:rStyle w:val="FootnoteReference"/>
        </w:rPr>
        <w:footnoteRef/>
      </w:r>
      <w:r>
        <w:t xml:space="preserve"> D.13</w:t>
      </w:r>
      <w:r w:rsidR="006951D5">
        <w:noBreakHyphen/>
      </w:r>
      <w:r>
        <w:t>02</w:t>
      </w:r>
      <w:r w:rsidR="006951D5">
        <w:noBreakHyphen/>
      </w:r>
      <w:r>
        <w:t>022</w:t>
      </w:r>
      <w:r w:rsidR="007551DD">
        <w:t xml:space="preserve"> at </w:t>
      </w:r>
      <w:r>
        <w:t>2.</w:t>
      </w:r>
    </w:p>
  </w:footnote>
  <w:footnote w:id="12">
    <w:p w14:paraId="5D3CF61B" w14:textId="3BE42258" w:rsidR="0015337A" w:rsidRDefault="0015337A" w:rsidP="0015337A">
      <w:pPr>
        <w:pStyle w:val="FootnoteText"/>
      </w:pPr>
      <w:r>
        <w:rPr>
          <w:rStyle w:val="FootnoteReference"/>
        </w:rPr>
        <w:footnoteRef/>
      </w:r>
      <w:r>
        <w:t xml:space="preserve"> The definition of </w:t>
      </w:r>
      <w:r w:rsidR="00D84D6F">
        <w:t>interconnected VoIP</w:t>
      </w:r>
      <w:r>
        <w:t xml:space="preserve"> service in </w:t>
      </w:r>
      <w:r w:rsidR="004C414B">
        <w:t>Section </w:t>
      </w:r>
      <w:r>
        <w:t xml:space="preserve">9.3 of </w:t>
      </w:r>
      <w:r w:rsidR="00B47779">
        <w:t>Title </w:t>
      </w:r>
      <w:r>
        <w:t>47 of the Code of Federal Regulations</w:t>
      </w:r>
      <w:r w:rsidR="00A30DE3">
        <w:t xml:space="preserve"> (CFR)</w:t>
      </w:r>
      <w:r>
        <w:t xml:space="preserve"> referenced in </w:t>
      </w:r>
      <w:r w:rsidR="004C414B">
        <w:t>Section </w:t>
      </w:r>
      <w:r>
        <w:t xml:space="preserve">285(a) to was revised by Federal Communications Commission (FCC) on </w:t>
      </w:r>
      <w:r w:rsidR="00400BB6">
        <w:t>August </w:t>
      </w:r>
      <w:r w:rsidRPr="00F306CF">
        <w:t>2, 2019</w:t>
      </w:r>
      <w:r>
        <w:t xml:space="preserve">. </w:t>
      </w:r>
      <w:r w:rsidR="008B7306">
        <w:t>(</w:t>
      </w:r>
      <w:r>
        <w:rPr>
          <w:i/>
          <w:iCs/>
        </w:rPr>
        <w:t>See</w:t>
      </w:r>
      <w:r w:rsidRPr="00F306CF">
        <w:t xml:space="preserve"> </w:t>
      </w:r>
      <w:r>
        <w:t xml:space="preserve">Report </w:t>
      </w:r>
      <w:r w:rsidRPr="00E54305">
        <w:rPr>
          <w:iCs/>
        </w:rPr>
        <w:t>and Order</w:t>
      </w:r>
      <w:r w:rsidRPr="00F306CF">
        <w:t xml:space="preserve"> </w:t>
      </w:r>
      <w:r w:rsidR="001D088C">
        <w:t>FCC 1</w:t>
      </w:r>
      <w:r w:rsidRPr="00F306CF">
        <w:t>9</w:t>
      </w:r>
      <w:r w:rsidR="006951D5">
        <w:noBreakHyphen/>
      </w:r>
      <w:r w:rsidRPr="00F306CF">
        <w:t>76</w:t>
      </w:r>
      <w:r>
        <w:t xml:space="preserve"> </w:t>
      </w:r>
      <w:r w:rsidRPr="00421971">
        <w:rPr>
          <w:rFonts w:ascii="Times New Roman" w:hAnsi="Times New Roman" w:cs="Times New Roman"/>
          <w:i/>
          <w:iCs/>
        </w:rPr>
        <w:t xml:space="preserve">Inquiry Concerning 911 Access, Routing, and Location in Enterprise Communications Systems; Amending the Definition of Interconnected VoIP Service in </w:t>
      </w:r>
      <w:r w:rsidR="004C414B">
        <w:rPr>
          <w:rFonts w:ascii="Times New Roman" w:hAnsi="Times New Roman" w:cs="Times New Roman"/>
          <w:i/>
          <w:iCs/>
        </w:rPr>
        <w:t>Section </w:t>
      </w:r>
      <w:r w:rsidRPr="00421971">
        <w:rPr>
          <w:rFonts w:ascii="Times New Roman" w:hAnsi="Times New Roman" w:cs="Times New Roman"/>
          <w:i/>
          <w:iCs/>
        </w:rPr>
        <w:t>9.3 of the Commission</w:t>
      </w:r>
      <w:r w:rsidR="00893D67">
        <w:rPr>
          <w:rFonts w:ascii="Times New Roman" w:hAnsi="Times New Roman" w:cs="Times New Roman"/>
          <w:i/>
          <w:iCs/>
        </w:rPr>
        <w:t>’</w:t>
      </w:r>
      <w:r w:rsidRPr="00421971">
        <w:rPr>
          <w:rFonts w:ascii="Times New Roman" w:hAnsi="Times New Roman" w:cs="Times New Roman"/>
          <w:i/>
          <w:iCs/>
        </w:rPr>
        <w:t>s Rules</w:t>
      </w:r>
      <w:r>
        <w:t xml:space="preserve"> implementing 2018 </w:t>
      </w:r>
      <w:r w:rsidRPr="00E54305">
        <w:rPr>
          <w:rFonts w:ascii="Times New Roman" w:hAnsi="Times New Roman" w:cs="Times New Roman"/>
        </w:rPr>
        <w:t>fede</w:t>
      </w:r>
      <w:r>
        <w:rPr>
          <w:rFonts w:ascii="Times New Roman" w:hAnsi="Times New Roman" w:cs="Times New Roman"/>
        </w:rPr>
        <w:t xml:space="preserve">ral legislation </w:t>
      </w:r>
      <w:r w:rsidR="004C414B">
        <w:rPr>
          <w:rFonts w:ascii="Times New Roman" w:hAnsi="Times New Roman" w:cs="Times New Roman"/>
          <w:i/>
          <w:iCs/>
        </w:rPr>
        <w:t>Section </w:t>
      </w:r>
      <w:r w:rsidRPr="00E54305">
        <w:rPr>
          <w:rFonts w:ascii="Times New Roman" w:hAnsi="Times New Roman" w:cs="Times New Roman"/>
          <w:i/>
          <w:iCs/>
        </w:rPr>
        <w:t>506 of RAY BAUM</w:t>
      </w:r>
      <w:r w:rsidR="00893D67">
        <w:rPr>
          <w:rFonts w:ascii="Times New Roman" w:hAnsi="Times New Roman" w:cs="Times New Roman"/>
          <w:i/>
          <w:iCs/>
        </w:rPr>
        <w:t>’</w:t>
      </w:r>
      <w:r w:rsidRPr="00E54305">
        <w:rPr>
          <w:rFonts w:ascii="Times New Roman" w:hAnsi="Times New Roman" w:cs="Times New Roman"/>
          <w:i/>
          <w:iCs/>
        </w:rPr>
        <w:t>S Act</w:t>
      </w:r>
      <w:r w:rsidRPr="00C32B82">
        <w:rPr>
          <w:rFonts w:ascii="Times New Roman" w:hAnsi="Times New Roman" w:cs="Times New Roman"/>
        </w:rPr>
        <w:t>.</w:t>
      </w:r>
      <w:r w:rsidR="008B7306" w:rsidRPr="00C32B82">
        <w:rPr>
          <w:rFonts w:ascii="Times New Roman" w:hAnsi="Times New Roman" w:cs="Times New Roman"/>
        </w:rPr>
        <w:t>)</w:t>
      </w:r>
    </w:p>
  </w:footnote>
  <w:footnote w:id="13">
    <w:p w14:paraId="06BA44A0" w14:textId="3055C309" w:rsidR="0015337A" w:rsidRPr="00481BBE" w:rsidRDefault="0015337A" w:rsidP="007E5205">
      <w:pPr>
        <w:pStyle w:val="FootnoteText"/>
      </w:pPr>
      <w:r>
        <w:rPr>
          <w:rStyle w:val="FootnoteReference"/>
        </w:rPr>
        <w:footnoteRef/>
      </w:r>
      <w:r>
        <w:t xml:space="preserve"> </w:t>
      </w:r>
      <w:r w:rsidR="004C414B">
        <w:t>Section </w:t>
      </w:r>
      <w:r w:rsidRPr="00C90D65">
        <w:t xml:space="preserve">710 expired on </w:t>
      </w:r>
      <w:r w:rsidR="00400BB6">
        <w:t>January </w:t>
      </w:r>
      <w:r w:rsidRPr="00C90D65">
        <w:t xml:space="preserve">1, 2020. </w:t>
      </w:r>
      <w:r w:rsidR="00D8452D">
        <w:t>Subsection </w:t>
      </w:r>
      <w:r w:rsidRPr="00481BBE">
        <w:t xml:space="preserve">c of </w:t>
      </w:r>
      <w:r w:rsidR="004C414B">
        <w:t>Section </w:t>
      </w:r>
      <w:r w:rsidRPr="00481BBE">
        <w:t>710</w:t>
      </w:r>
      <w:r>
        <w:t xml:space="preserve"> stated</w:t>
      </w:r>
      <w:r w:rsidR="00295854">
        <w:t>,</w:t>
      </w:r>
      <w:r w:rsidRPr="00481BBE">
        <w:t xml:space="preserve"> </w:t>
      </w:r>
      <w:r w:rsidR="00893D67">
        <w:t>“</w:t>
      </w:r>
      <w:r w:rsidRPr="00481BBE">
        <w:t xml:space="preserve">This </w:t>
      </w:r>
      <w:r w:rsidR="003960A8">
        <w:t>Section</w:t>
      </w:r>
      <w:r w:rsidRPr="00481BBE">
        <w:t xml:space="preserve"> does not affect or supersede any of the following:</w:t>
      </w:r>
    </w:p>
    <w:p w14:paraId="32E7674C" w14:textId="26B8B5A7" w:rsidR="0015337A" w:rsidRPr="00481BBE" w:rsidRDefault="0015337A" w:rsidP="007E5205">
      <w:pPr>
        <w:pStyle w:val="FootnoteText"/>
        <w:ind w:left="720" w:right="1440"/>
      </w:pPr>
      <w:r w:rsidRPr="00481BBE">
        <w:t>(1) The Emergency Telephone Users Surcharge Law (</w:t>
      </w:r>
      <w:r w:rsidR="00D8452D">
        <w:t>Part </w:t>
      </w:r>
      <w:r w:rsidRPr="00481BBE">
        <w:t xml:space="preserve">20 (commencing with </w:t>
      </w:r>
      <w:r w:rsidR="004C414B">
        <w:t>Section </w:t>
      </w:r>
      <w:r w:rsidRPr="00481BBE">
        <w:t xml:space="preserve">41001) of </w:t>
      </w:r>
      <w:r w:rsidR="000A548C">
        <w:t>Division 2</w:t>
      </w:r>
      <w:r w:rsidRPr="00481BBE">
        <w:t xml:space="preserve"> of the Revenue and Taxation Code) and the state</w:t>
      </w:r>
      <w:r w:rsidR="00893D67">
        <w:t>’</w:t>
      </w:r>
      <w:r w:rsidRPr="00481BBE">
        <w:t>s universal service programs (</w:t>
      </w:r>
      <w:r w:rsidR="004C414B">
        <w:t>Section </w:t>
      </w:r>
      <w:r w:rsidRPr="00481BBE">
        <w:t>285).</w:t>
      </w:r>
    </w:p>
    <w:p w14:paraId="727298C9" w14:textId="659ED759" w:rsidR="0015337A" w:rsidRPr="00481BBE" w:rsidRDefault="0015337A" w:rsidP="007E5205">
      <w:pPr>
        <w:pStyle w:val="FootnoteText"/>
        <w:ind w:left="720" w:right="1440"/>
      </w:pPr>
      <w:r w:rsidRPr="00481BBE">
        <w:t>(2) The Digital Infrastructure and Video Competition Act of 2006 (</w:t>
      </w:r>
      <w:r w:rsidR="000A548C">
        <w:t>Division 2</w:t>
      </w:r>
      <w:r w:rsidRPr="00481BBE">
        <w:t xml:space="preserve">.5 (commencing with </w:t>
      </w:r>
      <w:r w:rsidR="004C414B">
        <w:t>Section </w:t>
      </w:r>
      <w:r w:rsidRPr="00481BBE">
        <w:t xml:space="preserve">5800)) or a franchise granted by a local franchising entity, as those terms are defined in </w:t>
      </w:r>
      <w:r w:rsidR="004C414B">
        <w:t>Section </w:t>
      </w:r>
      <w:r w:rsidRPr="00481BBE">
        <w:t>5830.</w:t>
      </w:r>
    </w:p>
    <w:p w14:paraId="315C507B" w14:textId="07B7AF25" w:rsidR="0015337A" w:rsidRPr="00481BBE" w:rsidRDefault="0015337A" w:rsidP="007E5205">
      <w:pPr>
        <w:pStyle w:val="FootnoteText"/>
        <w:ind w:left="720" w:right="1440"/>
      </w:pPr>
      <w:r w:rsidRPr="00481BBE">
        <w:t>(3) The commission</w:t>
      </w:r>
      <w:r w:rsidR="00893D67">
        <w:t>’</w:t>
      </w:r>
      <w:r w:rsidRPr="00481BBE">
        <w:t>s authority to implement and enforce Sections</w:t>
      </w:r>
      <w:r w:rsidR="00296BCD">
        <w:t> </w:t>
      </w:r>
      <w:r w:rsidRPr="00481BBE">
        <w:t>251 and 252 of the federal Communications Act of 1934, as amended (47</w:t>
      </w:r>
      <w:r w:rsidR="00877D37">
        <w:t> U.S.</w:t>
      </w:r>
      <w:r w:rsidR="00E57178">
        <w:t>C.</w:t>
      </w:r>
      <w:r w:rsidRPr="00481BBE">
        <w:t xml:space="preserve"> Secs.</w:t>
      </w:r>
      <w:r w:rsidR="00F724B3">
        <w:t> </w:t>
      </w:r>
      <w:r w:rsidRPr="00481BBE">
        <w:t>251 and 252).</w:t>
      </w:r>
    </w:p>
    <w:p w14:paraId="3D884318" w14:textId="44F2FF5E" w:rsidR="0015337A" w:rsidRPr="00481BBE" w:rsidRDefault="0015337A" w:rsidP="007E5205">
      <w:pPr>
        <w:pStyle w:val="FootnoteText"/>
        <w:ind w:left="720" w:right="1440"/>
      </w:pPr>
      <w:r w:rsidRPr="00481BBE">
        <w:t>(4) The commission</w:t>
      </w:r>
      <w:r w:rsidR="00893D67">
        <w:t>’</w:t>
      </w:r>
      <w:r w:rsidRPr="00481BBE">
        <w:t xml:space="preserve">s authority to require data and other information pursuant to </w:t>
      </w:r>
      <w:r w:rsidR="004C414B">
        <w:t>Section </w:t>
      </w:r>
      <w:r w:rsidRPr="00481BBE">
        <w:t>716.</w:t>
      </w:r>
    </w:p>
    <w:p w14:paraId="2F82C357" w14:textId="3F79CEF3" w:rsidR="0015337A" w:rsidRPr="00481BBE" w:rsidRDefault="0015337A" w:rsidP="007E5205">
      <w:pPr>
        <w:pStyle w:val="FootnoteText"/>
        <w:ind w:left="720" w:right="1440"/>
      </w:pPr>
      <w:r w:rsidRPr="00481BBE">
        <w:t>(5) The commission</w:t>
      </w:r>
      <w:r w:rsidR="00893D67">
        <w:t>’</w:t>
      </w:r>
      <w:r w:rsidRPr="00481BBE">
        <w:t>s authority to address or affect the resolution of disputes regarding intercarrier compensation, including for the exchange of traffic that originated, terminated, or was translated at any point into Internet Protocol format.</w:t>
      </w:r>
    </w:p>
    <w:p w14:paraId="468CAF5B" w14:textId="52E12D1D" w:rsidR="0015337A" w:rsidRPr="00481BBE" w:rsidRDefault="0015337A" w:rsidP="007E5205">
      <w:pPr>
        <w:pStyle w:val="FootnoteText"/>
        <w:ind w:left="720" w:right="1440"/>
      </w:pPr>
      <w:r w:rsidRPr="00481BBE">
        <w:t>(6) The commission</w:t>
      </w:r>
      <w:r w:rsidR="00893D67">
        <w:t>’</w:t>
      </w:r>
      <w:r w:rsidRPr="00481BBE">
        <w:t>s authority to enforce existing requirements regarding backup power systems established in Decision 10</w:t>
      </w:r>
      <w:r w:rsidR="006951D5">
        <w:noBreakHyphen/>
      </w:r>
      <w:r w:rsidRPr="00481BBE">
        <w:t>01</w:t>
      </w:r>
      <w:r w:rsidR="006951D5">
        <w:noBreakHyphen/>
      </w:r>
      <w:r w:rsidRPr="00481BBE">
        <w:t xml:space="preserve">026, adopted pursuant to </w:t>
      </w:r>
      <w:r w:rsidR="004C414B">
        <w:t>Section </w:t>
      </w:r>
      <w:r w:rsidRPr="00481BBE">
        <w:t>2892.1.</w:t>
      </w:r>
    </w:p>
    <w:p w14:paraId="1E300C3B" w14:textId="34015CA4" w:rsidR="0015337A" w:rsidRPr="00481BBE" w:rsidRDefault="0015337A" w:rsidP="007E5205">
      <w:pPr>
        <w:pStyle w:val="FootnoteText"/>
        <w:ind w:left="720" w:right="1440"/>
      </w:pPr>
      <w:r w:rsidRPr="00481BBE">
        <w:t>(7) The commission</w:t>
      </w:r>
      <w:r w:rsidR="00893D67">
        <w:t>’</w:t>
      </w:r>
      <w:r w:rsidRPr="00481BBE">
        <w:t xml:space="preserve">s authority relative to access to support structures, including pole attachments, or to the construction and maintenance of facilities pursuant to commission </w:t>
      </w:r>
      <w:r w:rsidR="00053CBF">
        <w:t>General Order 9</w:t>
      </w:r>
      <w:r w:rsidRPr="00481BBE">
        <w:t xml:space="preserve">5 and </w:t>
      </w:r>
      <w:r w:rsidR="00053CBF">
        <w:t>General Order 1</w:t>
      </w:r>
      <w:r w:rsidRPr="00481BBE">
        <w:t>28.</w:t>
      </w:r>
    </w:p>
    <w:p w14:paraId="3451E291" w14:textId="5BE27F00" w:rsidR="0015337A" w:rsidRDefault="0015337A" w:rsidP="007E5205">
      <w:pPr>
        <w:pStyle w:val="FootnoteText"/>
        <w:ind w:left="720" w:right="1440"/>
      </w:pPr>
      <w:r w:rsidRPr="00481BBE">
        <w:t>(8) The Warren</w:t>
      </w:r>
      <w:r w:rsidR="006951D5">
        <w:noBreakHyphen/>
      </w:r>
      <w:r w:rsidRPr="00481BBE">
        <w:t>911</w:t>
      </w:r>
      <w:r w:rsidR="006951D5">
        <w:noBreakHyphen/>
      </w:r>
      <w:r w:rsidRPr="00481BBE">
        <w:t>Emergency Assistance Act (</w:t>
      </w:r>
      <w:r w:rsidR="00502806">
        <w:t>Article </w:t>
      </w:r>
      <w:r w:rsidRPr="00481BBE">
        <w:t xml:space="preserve">6 (commencing with </w:t>
      </w:r>
      <w:r w:rsidR="004C414B">
        <w:t>Section </w:t>
      </w:r>
      <w:r w:rsidRPr="00481BBE">
        <w:t xml:space="preserve">53100) of </w:t>
      </w:r>
      <w:r w:rsidR="00BA1063">
        <w:t>Chapter </w:t>
      </w:r>
      <w:r w:rsidRPr="00481BBE">
        <w:t xml:space="preserve">1.5 of </w:t>
      </w:r>
      <w:r w:rsidR="00D8452D">
        <w:t>Part </w:t>
      </w:r>
      <w:r w:rsidRPr="00481BBE">
        <w:t xml:space="preserve">1 of </w:t>
      </w:r>
      <w:r w:rsidR="000A548C">
        <w:t>Division 2</w:t>
      </w:r>
      <w:r w:rsidRPr="00481BBE">
        <w:t xml:space="preserve"> of </w:t>
      </w:r>
      <w:r w:rsidR="00B47779">
        <w:t>Title </w:t>
      </w:r>
      <w:r w:rsidRPr="00481BBE">
        <w:t>5 of the Government Code).</w:t>
      </w:r>
    </w:p>
  </w:footnote>
  <w:footnote w:id="14">
    <w:p w14:paraId="446D91D1" w14:textId="72338491" w:rsidR="0015337A" w:rsidRPr="00314D6B" w:rsidRDefault="0015337A" w:rsidP="0015337A">
      <w:pPr>
        <w:pStyle w:val="FootnoteText"/>
        <w:rPr>
          <w:lang w:val="en-ZW"/>
        </w:rPr>
      </w:pPr>
      <w:r>
        <w:rPr>
          <w:rStyle w:val="FootnoteReference"/>
        </w:rPr>
        <w:footnoteRef/>
      </w:r>
      <w:r>
        <w:t xml:space="preserve"> </w:t>
      </w:r>
      <w:r w:rsidRPr="00B15CE3">
        <w:rPr>
          <w:i/>
          <w:iCs/>
          <w:lang w:val="en-ZW"/>
        </w:rPr>
        <w:t xml:space="preserve">VoIP Letter Notice for </w:t>
      </w:r>
      <w:r w:rsidR="00284AAF">
        <w:rPr>
          <w:i/>
          <w:iCs/>
          <w:lang w:val="en-ZW"/>
        </w:rPr>
        <w:t>AB </w:t>
      </w:r>
      <w:r w:rsidRPr="00B15CE3">
        <w:rPr>
          <w:i/>
          <w:iCs/>
          <w:lang w:val="en-ZW"/>
        </w:rPr>
        <w:t>841</w:t>
      </w:r>
      <w:r>
        <w:rPr>
          <w:lang w:val="en-ZW"/>
        </w:rPr>
        <w:t xml:space="preserve"> from Paul </w:t>
      </w:r>
      <w:proofErr w:type="spellStart"/>
      <w:r>
        <w:rPr>
          <w:lang w:val="en-ZW"/>
        </w:rPr>
        <w:t>Clanon</w:t>
      </w:r>
      <w:proofErr w:type="spellEnd"/>
      <w:r>
        <w:rPr>
          <w:lang w:val="en-ZW"/>
        </w:rPr>
        <w:t xml:space="preserve">, Executive Director, to </w:t>
      </w:r>
      <w:r w:rsidR="00D84D6F">
        <w:rPr>
          <w:lang w:val="en-ZW"/>
        </w:rPr>
        <w:t>i</w:t>
      </w:r>
      <w:r>
        <w:rPr>
          <w:lang w:val="en-ZW"/>
        </w:rPr>
        <w:t xml:space="preserve">nterconnected VoIP service providers that are providing service in California, </w:t>
      </w:r>
      <w:r w:rsidR="00424385">
        <w:rPr>
          <w:lang w:val="en-ZW"/>
        </w:rPr>
        <w:t>November </w:t>
      </w:r>
      <w:r>
        <w:rPr>
          <w:lang w:val="en-ZW"/>
        </w:rPr>
        <w:t>9, 2011.</w:t>
      </w:r>
    </w:p>
  </w:footnote>
  <w:footnote w:id="15">
    <w:p w14:paraId="3A7FE128" w14:textId="48D2FF82" w:rsidR="0015337A" w:rsidRDefault="0015337A" w:rsidP="0015337A">
      <w:pPr>
        <w:pStyle w:val="FootnoteText"/>
      </w:pPr>
      <w:r>
        <w:rPr>
          <w:rStyle w:val="FootnoteReference"/>
        </w:rPr>
        <w:footnoteRef/>
      </w:r>
      <w:r>
        <w:t xml:space="preserve"> D.13</w:t>
      </w:r>
      <w:r w:rsidR="006951D5">
        <w:noBreakHyphen/>
      </w:r>
      <w:r>
        <w:t>02</w:t>
      </w:r>
      <w:r w:rsidR="006951D5">
        <w:noBreakHyphen/>
      </w:r>
      <w:r>
        <w:t>022</w:t>
      </w:r>
      <w:r w:rsidR="007551DD">
        <w:t xml:space="preserve"> at </w:t>
      </w:r>
      <w:proofErr w:type="spellStart"/>
      <w:r>
        <w:t>FoF</w:t>
      </w:r>
      <w:proofErr w:type="spellEnd"/>
      <w:r>
        <w:t xml:space="preserve"> 2.</w:t>
      </w:r>
    </w:p>
  </w:footnote>
  <w:footnote w:id="16">
    <w:p w14:paraId="56ED9A64" w14:textId="33107366" w:rsidR="0015337A" w:rsidRDefault="0015337A" w:rsidP="0015337A">
      <w:pPr>
        <w:pStyle w:val="FootnoteText"/>
      </w:pPr>
      <w:r>
        <w:rPr>
          <w:rStyle w:val="FootnoteReference"/>
        </w:rPr>
        <w:footnoteRef/>
      </w:r>
      <w:r>
        <w:t xml:space="preserve"> D.13</w:t>
      </w:r>
      <w:r w:rsidR="006951D5">
        <w:noBreakHyphen/>
      </w:r>
      <w:r>
        <w:t>02</w:t>
      </w:r>
      <w:r w:rsidR="006951D5">
        <w:noBreakHyphen/>
      </w:r>
      <w:r>
        <w:t>022</w:t>
      </w:r>
      <w:r w:rsidR="007551DD">
        <w:t xml:space="preserve"> at </w:t>
      </w:r>
      <w:proofErr w:type="spellStart"/>
      <w:r>
        <w:t>FoF</w:t>
      </w:r>
      <w:proofErr w:type="spellEnd"/>
      <w:r>
        <w:t xml:space="preserve"> 4.</w:t>
      </w:r>
    </w:p>
  </w:footnote>
  <w:footnote w:id="17">
    <w:p w14:paraId="7448C684" w14:textId="4FC90A1B" w:rsidR="0015337A" w:rsidRDefault="0015337A" w:rsidP="0015337A">
      <w:pPr>
        <w:pStyle w:val="FootnoteText"/>
      </w:pPr>
      <w:r>
        <w:rPr>
          <w:rStyle w:val="FootnoteReference"/>
        </w:rPr>
        <w:footnoteRef/>
      </w:r>
      <w:r>
        <w:t xml:space="preserve"> D.13</w:t>
      </w:r>
      <w:r w:rsidR="006951D5">
        <w:noBreakHyphen/>
      </w:r>
      <w:r>
        <w:t>02</w:t>
      </w:r>
      <w:r w:rsidR="006951D5">
        <w:noBreakHyphen/>
      </w:r>
      <w:r>
        <w:t xml:space="preserve">022 at </w:t>
      </w:r>
      <w:r w:rsidR="00976709">
        <w:t>Ordering Paragraph (</w:t>
      </w:r>
      <w:r>
        <w:t>OP</w:t>
      </w:r>
      <w:r w:rsidR="00976709">
        <w:t>)</w:t>
      </w:r>
      <w:r w:rsidR="00657A32">
        <w:t> </w:t>
      </w:r>
      <w:r>
        <w:t>2.</w:t>
      </w:r>
    </w:p>
  </w:footnote>
  <w:footnote w:id="18">
    <w:p w14:paraId="26F4AE24" w14:textId="6F74005A" w:rsidR="0015337A" w:rsidRDefault="0015337A" w:rsidP="0015337A">
      <w:pPr>
        <w:pStyle w:val="FootnoteText"/>
      </w:pPr>
      <w:r>
        <w:rPr>
          <w:rStyle w:val="FootnoteReference"/>
        </w:rPr>
        <w:footnoteRef/>
      </w:r>
      <w:r>
        <w:t xml:space="preserve"> D.13</w:t>
      </w:r>
      <w:r w:rsidR="006951D5">
        <w:noBreakHyphen/>
      </w:r>
      <w:r>
        <w:t>05</w:t>
      </w:r>
      <w:r w:rsidR="006951D5">
        <w:noBreakHyphen/>
      </w:r>
      <w:r>
        <w:t>035</w:t>
      </w:r>
      <w:r w:rsidR="007551DD">
        <w:t xml:space="preserve"> at </w:t>
      </w:r>
      <w:r>
        <w:t>10</w:t>
      </w:r>
      <w:r w:rsidR="006951D5">
        <w:noBreakHyphen/>
      </w:r>
      <w:r>
        <w:t>11.</w:t>
      </w:r>
    </w:p>
  </w:footnote>
  <w:footnote w:id="19">
    <w:p w14:paraId="0D6BE59F" w14:textId="35F0BA59" w:rsidR="00155E59" w:rsidRDefault="00155E59" w:rsidP="00155E59">
      <w:pPr>
        <w:pStyle w:val="FootnoteText"/>
      </w:pPr>
      <w:r>
        <w:rPr>
          <w:rStyle w:val="FootnoteReference"/>
        </w:rPr>
        <w:footnoteRef/>
      </w:r>
      <w:r>
        <w:t xml:space="preserve"> On </w:t>
      </w:r>
      <w:r w:rsidR="00400BB6">
        <w:t>March </w:t>
      </w:r>
      <w:r>
        <w:t xml:space="preserve">13, 2023, the California </w:t>
      </w:r>
      <w:r w:rsidRPr="00AC4F8C">
        <w:t>Cable</w:t>
      </w:r>
      <w:r w:rsidR="001A3189" w:rsidRPr="00AC4F8C">
        <w:t xml:space="preserve"> &amp; </w:t>
      </w:r>
      <w:r w:rsidRPr="00AC4F8C">
        <w:t>Telecommunications Association filed a notice of name change to the California Broadband and Video Association.</w:t>
      </w:r>
    </w:p>
  </w:footnote>
  <w:footnote w:id="20">
    <w:p w14:paraId="7F54CCEA" w14:textId="5977B927" w:rsidR="00155E59" w:rsidRDefault="00155E59" w:rsidP="00155E59">
      <w:pPr>
        <w:pStyle w:val="FootnoteText"/>
      </w:pPr>
      <w:r>
        <w:rPr>
          <w:rStyle w:val="FootnoteReference"/>
        </w:rPr>
        <w:footnoteRef/>
      </w:r>
      <w:r>
        <w:t xml:space="preserve"> On </w:t>
      </w:r>
      <w:r w:rsidR="00424385">
        <w:t>November </w:t>
      </w:r>
      <w:r>
        <w:t>1, 2022, Small Business filed a motion requesting permission to late</w:t>
      </w:r>
      <w:r w:rsidR="006951D5">
        <w:noBreakHyphen/>
      </w:r>
      <w:r>
        <w:t xml:space="preserve">file reply comments on the OIR. The </w:t>
      </w:r>
      <w:r w:rsidR="00AA1B26">
        <w:t>Administrative Law Judge (</w:t>
      </w:r>
      <w:r>
        <w:t>ALJ</w:t>
      </w:r>
      <w:r w:rsidR="00AA1B26">
        <w:t>)</w:t>
      </w:r>
      <w:r>
        <w:t xml:space="preserve"> granted the Small Business motion in a ruling issued </w:t>
      </w:r>
      <w:r w:rsidR="00400BB6">
        <w:t>January </w:t>
      </w:r>
      <w:r>
        <w:t>13, 2023.</w:t>
      </w:r>
    </w:p>
  </w:footnote>
  <w:footnote w:id="21">
    <w:p w14:paraId="20B4F020" w14:textId="77777777" w:rsidR="00EE7BDB" w:rsidRDefault="00EE7BDB" w:rsidP="00EE7BDB">
      <w:pPr>
        <w:pStyle w:val="FootnoteText"/>
      </w:pPr>
      <w:r>
        <w:rPr>
          <w:rStyle w:val="FootnoteReference"/>
        </w:rPr>
        <w:footnoteRef/>
      </w:r>
      <w:r>
        <w:t xml:space="preserve"> Reporter’s Transcript of Prehearing Conference (RT) 76:5-12.</w:t>
      </w:r>
    </w:p>
  </w:footnote>
  <w:footnote w:id="22">
    <w:p w14:paraId="586CBC49" w14:textId="77777777" w:rsidR="00EE7BDB" w:rsidRDefault="00EE7BDB" w:rsidP="00EE7BDB">
      <w:pPr>
        <w:pStyle w:val="FootnoteText"/>
      </w:pPr>
      <w:r>
        <w:rPr>
          <w:rStyle w:val="FootnoteReference"/>
        </w:rPr>
        <w:footnoteRef/>
      </w:r>
      <w:r>
        <w:t xml:space="preserve"> Small Business Opening Comments on the Scoping Memo at 17-18, Joint Consumers Reply Comments on the Scoping Memo at 17-18.</w:t>
      </w:r>
    </w:p>
  </w:footnote>
  <w:footnote w:id="23">
    <w:p w14:paraId="5E80335B" w14:textId="77777777" w:rsidR="00EE7BDB" w:rsidRDefault="00EE7BDB" w:rsidP="00EE7BDB">
      <w:pPr>
        <w:pStyle w:val="FootnoteText"/>
      </w:pPr>
      <w:r>
        <w:rPr>
          <w:rStyle w:val="FootnoteReference"/>
        </w:rPr>
        <w:footnoteRef/>
      </w:r>
      <w:r>
        <w:t xml:space="preserve"> Cal Broadband Opening Comments on the Scoping Memo at 32 and Reply Comments on the Scoping Memo at 14, AT&amp;T Opening Comments on the Scoping Memo at 16.</w:t>
      </w:r>
    </w:p>
  </w:footnote>
  <w:footnote w:id="24">
    <w:p w14:paraId="773F070B" w14:textId="77777777" w:rsidR="00EE7BDB" w:rsidRDefault="00EE7BDB" w:rsidP="00EE7BDB">
      <w:pPr>
        <w:pStyle w:val="FootnoteText"/>
      </w:pPr>
      <w:r>
        <w:rPr>
          <w:rStyle w:val="FootnoteReference"/>
        </w:rPr>
        <w:footnoteRef/>
      </w:r>
      <w:r>
        <w:t>With the exception of Cal Broadband, industry parties primarily raised jurisdictional preemption issues and gave less attention to addressing proposals for the regulatory framework As noted in Joint Consumers Opening Comments on the Scoping Memo at 1 and 18.</w:t>
      </w:r>
    </w:p>
  </w:footnote>
  <w:footnote w:id="25">
    <w:p w14:paraId="47FE1ACB" w14:textId="77777777" w:rsidR="00EE7BDB" w:rsidRDefault="00EE7BDB" w:rsidP="00EE7BDB">
      <w:pPr>
        <w:pStyle w:val="FootnoteText"/>
      </w:pPr>
      <w:r>
        <w:rPr>
          <w:rStyle w:val="FootnoteReference"/>
        </w:rPr>
        <w:footnoteRef/>
      </w:r>
      <w:r>
        <w:t xml:space="preserve"> In opening and reply comments on the Proposed Decision, the following parties call for workshops: AT&amp;T Opening at 4-5, Cal Broadband Opening at 5, 7-9, CCA at 3. </w:t>
      </w:r>
    </w:p>
  </w:footnote>
  <w:footnote w:id="26">
    <w:p w14:paraId="607324FA" w14:textId="4673AF15" w:rsidR="00AA1504" w:rsidRDefault="00AA1504">
      <w:pPr>
        <w:pStyle w:val="FootnoteText"/>
      </w:pPr>
      <w:r>
        <w:rPr>
          <w:rStyle w:val="FootnoteReference"/>
        </w:rPr>
        <w:footnoteRef/>
      </w:r>
      <w:r>
        <w:t xml:space="preserve"> </w:t>
      </w:r>
      <w:r w:rsidR="00470922">
        <w:t>‘I</w:t>
      </w:r>
      <w:r w:rsidR="00470922" w:rsidRPr="00AA1504">
        <w:t>nterexchange</w:t>
      </w:r>
      <w:r w:rsidR="000D5684">
        <w:t xml:space="preserve"> service</w:t>
      </w:r>
      <w:r w:rsidR="00470922">
        <w:t xml:space="preserve">’ </w:t>
      </w:r>
      <w:r w:rsidRPr="00AA1504">
        <w:t xml:space="preserve">is </w:t>
      </w:r>
      <w:r w:rsidR="00470922" w:rsidRPr="00470922">
        <w:t xml:space="preserve">known </w:t>
      </w:r>
      <w:r w:rsidR="005149D8">
        <w:t xml:space="preserve">generally </w:t>
      </w:r>
      <w:r w:rsidR="00470922">
        <w:t>as ‘l</w:t>
      </w:r>
      <w:r w:rsidR="00470922" w:rsidRPr="00AA1504">
        <w:t>ong</w:t>
      </w:r>
      <w:r w:rsidR="006951D5">
        <w:noBreakHyphen/>
      </w:r>
      <w:r w:rsidR="00470922" w:rsidRPr="00AA1504">
        <w:t>distance</w:t>
      </w:r>
      <w:r w:rsidR="000D5684">
        <w:t xml:space="preserve"> service</w:t>
      </w:r>
      <w:r w:rsidR="00470922">
        <w:t>’.</w:t>
      </w:r>
    </w:p>
  </w:footnote>
  <w:footnote w:id="27">
    <w:p w14:paraId="6CA9BAE1" w14:textId="6306BD16" w:rsidR="00AB07F5" w:rsidRDefault="00AB07F5" w:rsidP="00AB07F5">
      <w:pPr>
        <w:pStyle w:val="FootnoteText"/>
      </w:pPr>
      <w:r>
        <w:rPr>
          <w:rStyle w:val="FootnoteReference"/>
        </w:rPr>
        <w:footnoteRef/>
      </w:r>
      <w:r>
        <w:t xml:space="preserve"> </w:t>
      </w:r>
      <w:r>
        <w:rPr>
          <w:i/>
          <w:iCs/>
          <w:szCs w:val="22"/>
        </w:rPr>
        <w:t xml:space="preserve">See </w:t>
      </w:r>
      <w:r>
        <w:rPr>
          <w:szCs w:val="22"/>
        </w:rPr>
        <w:t xml:space="preserve">Cal. Const., </w:t>
      </w:r>
      <w:r w:rsidR="00CD2FDD">
        <w:rPr>
          <w:szCs w:val="22"/>
        </w:rPr>
        <w:t>Art. </w:t>
      </w:r>
      <w:r>
        <w:rPr>
          <w:szCs w:val="22"/>
        </w:rPr>
        <w:t xml:space="preserve">XII, </w:t>
      </w:r>
      <w:r w:rsidR="00646044">
        <w:rPr>
          <w:szCs w:val="22"/>
        </w:rPr>
        <w:t>§§ </w:t>
      </w:r>
      <w:r>
        <w:rPr>
          <w:szCs w:val="22"/>
        </w:rPr>
        <w:t>1</w:t>
      </w:r>
      <w:r w:rsidR="006951D5">
        <w:rPr>
          <w:szCs w:val="22"/>
        </w:rPr>
        <w:noBreakHyphen/>
      </w:r>
      <w:r>
        <w:rPr>
          <w:szCs w:val="22"/>
        </w:rPr>
        <w:t xml:space="preserve">6; </w:t>
      </w:r>
      <w:r w:rsidR="00C04D12">
        <w:rPr>
          <w:szCs w:val="22"/>
        </w:rPr>
        <w:t>Pub. Util.</w:t>
      </w:r>
      <w:r>
        <w:rPr>
          <w:szCs w:val="22"/>
        </w:rPr>
        <w:t xml:space="preserve"> Code </w:t>
      </w:r>
      <w:r w:rsidR="00646044">
        <w:rPr>
          <w:szCs w:val="22"/>
        </w:rPr>
        <w:t>§ </w:t>
      </w:r>
      <w:r>
        <w:rPr>
          <w:szCs w:val="22"/>
        </w:rPr>
        <w:t>701.</w:t>
      </w:r>
    </w:p>
  </w:footnote>
  <w:footnote w:id="28">
    <w:p w14:paraId="67FC6FE7" w14:textId="77777777" w:rsidR="00267DEA" w:rsidRDefault="00267DEA" w:rsidP="00267DEA">
      <w:pPr>
        <w:pStyle w:val="FootnoteText"/>
      </w:pPr>
      <w:r>
        <w:rPr>
          <w:rStyle w:val="FootnoteReference"/>
        </w:rPr>
        <w:footnoteRef/>
      </w:r>
      <w:r>
        <w:t xml:space="preserve"> Pub. Util. Code, § 451.</w:t>
      </w:r>
    </w:p>
  </w:footnote>
  <w:footnote w:id="29">
    <w:p w14:paraId="46732F0B" w14:textId="1369C6E6" w:rsidR="00AB07F5" w:rsidRDefault="00AB07F5" w:rsidP="00AB07F5">
      <w:pPr>
        <w:pStyle w:val="FootnoteText"/>
      </w:pPr>
      <w:r>
        <w:rPr>
          <w:rStyle w:val="FootnoteReference"/>
        </w:rPr>
        <w:footnoteRef/>
      </w:r>
      <w:r>
        <w:t xml:space="preserve"> </w:t>
      </w:r>
      <w:r w:rsidR="00C04D12">
        <w:t>Pub. Util.</w:t>
      </w:r>
      <w:r>
        <w:t xml:space="preserve"> Code </w:t>
      </w:r>
      <w:r w:rsidR="00646044">
        <w:t>§ </w:t>
      </w:r>
      <w:r>
        <w:t>216.</w:t>
      </w:r>
    </w:p>
  </w:footnote>
  <w:footnote w:id="30">
    <w:p w14:paraId="4BE082A6" w14:textId="0A2C20D3" w:rsidR="00AB07F5" w:rsidRDefault="00AB07F5" w:rsidP="00AB07F5">
      <w:pPr>
        <w:pStyle w:val="FootnoteText"/>
      </w:pPr>
      <w:r>
        <w:rPr>
          <w:rStyle w:val="FootnoteReference"/>
        </w:rPr>
        <w:footnoteRef/>
      </w:r>
      <w:r>
        <w:t xml:space="preserve"> </w:t>
      </w:r>
      <w:r w:rsidR="00C04D12">
        <w:t>Pub. Util.</w:t>
      </w:r>
      <w:r>
        <w:t xml:space="preserve"> Code </w:t>
      </w:r>
      <w:r w:rsidR="00646044">
        <w:t>§ </w:t>
      </w:r>
      <w:r>
        <w:t>234.</w:t>
      </w:r>
    </w:p>
  </w:footnote>
  <w:footnote w:id="31">
    <w:p w14:paraId="7F010958" w14:textId="7EA26D66" w:rsidR="00AB07F5" w:rsidRDefault="00AB07F5" w:rsidP="00AB07F5">
      <w:pPr>
        <w:pStyle w:val="FootnoteText"/>
      </w:pPr>
      <w:r>
        <w:rPr>
          <w:rStyle w:val="FootnoteReference"/>
        </w:rPr>
        <w:footnoteRef/>
      </w:r>
      <w:r>
        <w:t xml:space="preserve"> </w:t>
      </w:r>
      <w:r w:rsidR="00C04D12">
        <w:t>Pub. Util.</w:t>
      </w:r>
      <w:r>
        <w:t xml:space="preserve"> Code </w:t>
      </w:r>
      <w:r w:rsidR="00646044">
        <w:t>§ </w:t>
      </w:r>
      <w:r>
        <w:t>233.</w:t>
      </w:r>
    </w:p>
  </w:footnote>
  <w:footnote w:id="32">
    <w:p w14:paraId="65D07C83" w14:textId="4E474206" w:rsidR="00AB07F5" w:rsidRDefault="00AB07F5" w:rsidP="00AB07F5">
      <w:pPr>
        <w:pStyle w:val="FootnoteText"/>
      </w:pPr>
      <w:r>
        <w:rPr>
          <w:rStyle w:val="FootnoteReference"/>
        </w:rPr>
        <w:footnoteRef/>
      </w:r>
      <w:r>
        <w:t xml:space="preserve"> </w:t>
      </w:r>
      <w:r w:rsidRPr="00CB0792">
        <w:t xml:space="preserve">Cal. Const., </w:t>
      </w:r>
      <w:r w:rsidR="00CD2FDD">
        <w:t>Art. </w:t>
      </w:r>
      <w:r w:rsidRPr="00CB0792">
        <w:t xml:space="preserve">XII, </w:t>
      </w:r>
      <w:r w:rsidR="00646044">
        <w:t>§ </w:t>
      </w:r>
      <w:r w:rsidRPr="00CB0792">
        <w:t>3</w:t>
      </w:r>
      <w:r w:rsidR="00825627">
        <w:t xml:space="preserve">; </w:t>
      </w:r>
      <w:r w:rsidR="00825627" w:rsidRPr="00825627">
        <w:t xml:space="preserve">see also </w:t>
      </w:r>
      <w:r w:rsidR="00825627" w:rsidRPr="00825627">
        <w:rPr>
          <w:i/>
          <w:iCs/>
        </w:rPr>
        <w:t>Commercial Communications, Inc. v. Pub. Util. Com.</w:t>
      </w:r>
      <w:r w:rsidR="00825627" w:rsidRPr="00825627">
        <w:t xml:space="preserve"> (1958), 50 Cal. 2d 512, cert. den. (1959) 359 U.S. 341.</w:t>
      </w:r>
    </w:p>
  </w:footnote>
  <w:footnote w:id="33">
    <w:p w14:paraId="6FAAC1B6" w14:textId="77777777" w:rsidR="00B022C4" w:rsidRDefault="00B022C4" w:rsidP="00B022C4">
      <w:pPr>
        <w:pStyle w:val="FootnoteText"/>
      </w:pPr>
      <w:r>
        <w:rPr>
          <w:rStyle w:val="FootnoteReference"/>
        </w:rPr>
        <w:footnoteRef/>
      </w:r>
      <w:r>
        <w:t xml:space="preserve"> </w:t>
      </w:r>
      <w:r w:rsidRPr="003F4A88">
        <w:rPr>
          <w:i/>
          <w:iCs/>
        </w:rPr>
        <w:t xml:space="preserve">Commercial Communications, </w:t>
      </w:r>
      <w:r>
        <w:rPr>
          <w:i/>
          <w:iCs/>
        </w:rPr>
        <w:t>supra</w:t>
      </w:r>
      <w:r>
        <w:t xml:space="preserve">, </w:t>
      </w:r>
      <w:r w:rsidRPr="00D83A94">
        <w:t xml:space="preserve">50 Cal. </w:t>
      </w:r>
      <w:r>
        <w:t>2d at p. 512.</w:t>
      </w:r>
    </w:p>
  </w:footnote>
  <w:footnote w:id="34">
    <w:p w14:paraId="1534E4F9" w14:textId="77777777" w:rsidR="001B558C" w:rsidRDefault="001B558C" w:rsidP="001B558C">
      <w:pPr>
        <w:pStyle w:val="FootnoteText"/>
      </w:pPr>
      <w:r>
        <w:rPr>
          <w:rStyle w:val="FootnoteReference"/>
        </w:rPr>
        <w:footnoteRef/>
      </w:r>
      <w:r>
        <w:t xml:space="preserve"> </w:t>
      </w:r>
      <w:r w:rsidRPr="003F4A88">
        <w:rPr>
          <w:i/>
        </w:rPr>
        <w:t>Id</w:t>
      </w:r>
      <w:r>
        <w:t>. at p. 522.</w:t>
      </w:r>
    </w:p>
  </w:footnote>
  <w:footnote w:id="35">
    <w:p w14:paraId="2940DB28" w14:textId="77777777" w:rsidR="001B558C" w:rsidRDefault="001B558C" w:rsidP="001B558C">
      <w:pPr>
        <w:pStyle w:val="FootnoteText"/>
      </w:pPr>
      <w:r>
        <w:rPr>
          <w:rStyle w:val="FootnoteReference"/>
        </w:rPr>
        <w:footnoteRef/>
      </w:r>
      <w:r>
        <w:t xml:space="preserve"> </w:t>
      </w:r>
      <w:r w:rsidRPr="003F4A88">
        <w:rPr>
          <w:i/>
          <w:iCs/>
        </w:rPr>
        <w:t>Id</w:t>
      </w:r>
      <w:r>
        <w:t>. at p. 523.</w:t>
      </w:r>
    </w:p>
  </w:footnote>
  <w:footnote w:id="36">
    <w:p w14:paraId="0A459E10" w14:textId="2EB513EC" w:rsidR="00AB07F5" w:rsidRDefault="00AB07F5" w:rsidP="00AB07F5">
      <w:pPr>
        <w:pStyle w:val="FootnoteText"/>
      </w:pPr>
      <w:r>
        <w:rPr>
          <w:rStyle w:val="FootnoteReference"/>
        </w:rPr>
        <w:footnoteRef/>
      </w:r>
      <w:r>
        <w:t xml:space="preserve"> VoIP OIR</w:t>
      </w:r>
      <w:r w:rsidR="007551DD">
        <w:t xml:space="preserve"> at </w:t>
      </w:r>
      <w:r>
        <w:t xml:space="preserve">2; </w:t>
      </w:r>
      <w:r w:rsidRPr="005838DE">
        <w:rPr>
          <w:i/>
          <w:iCs/>
        </w:rPr>
        <w:t>see also</w:t>
      </w:r>
      <w:r>
        <w:t xml:space="preserve"> </w:t>
      </w:r>
      <w:r w:rsidRPr="005838DE">
        <w:rPr>
          <w:i/>
          <w:iCs/>
        </w:rPr>
        <w:t>e.g.</w:t>
      </w:r>
      <w:r>
        <w:t xml:space="preserve">, </w:t>
      </w:r>
      <w:r>
        <w:rPr>
          <w:i/>
          <w:iCs/>
        </w:rPr>
        <w:t xml:space="preserve">Order Modifying </w:t>
      </w:r>
      <w:r w:rsidR="002B7508">
        <w:rPr>
          <w:i/>
          <w:iCs/>
        </w:rPr>
        <w:t>D.1</w:t>
      </w:r>
      <w:r>
        <w:rPr>
          <w:i/>
          <w:iCs/>
        </w:rPr>
        <w:t>9</w:t>
      </w:r>
      <w:r w:rsidR="006951D5">
        <w:rPr>
          <w:i/>
          <w:iCs/>
        </w:rPr>
        <w:noBreakHyphen/>
      </w:r>
      <w:r>
        <w:rPr>
          <w:i/>
          <w:iCs/>
        </w:rPr>
        <w:t>08</w:t>
      </w:r>
      <w:r w:rsidR="006951D5">
        <w:rPr>
          <w:i/>
          <w:iCs/>
        </w:rPr>
        <w:noBreakHyphen/>
      </w:r>
      <w:r>
        <w:rPr>
          <w:i/>
          <w:iCs/>
        </w:rPr>
        <w:t xml:space="preserve">025, and Denying Rehearing of Decision, as </w:t>
      </w:r>
      <w:r w:rsidRPr="00F6446B">
        <w:rPr>
          <w:i/>
          <w:iCs/>
        </w:rPr>
        <w:t>Modified</w:t>
      </w:r>
      <w:r>
        <w:t xml:space="preserve">, </w:t>
      </w:r>
      <w:r w:rsidRPr="00F6446B">
        <w:t>D</w:t>
      </w:r>
      <w:r>
        <w:t>.20</w:t>
      </w:r>
      <w:r w:rsidR="006951D5">
        <w:noBreakHyphen/>
      </w:r>
      <w:r>
        <w:t>09</w:t>
      </w:r>
      <w:r w:rsidR="006951D5">
        <w:noBreakHyphen/>
      </w:r>
      <w:r>
        <w:t xml:space="preserve">012, </w:t>
      </w:r>
      <w:r w:rsidRPr="00E673F3">
        <w:rPr>
          <w:i/>
          <w:iCs/>
        </w:rPr>
        <w:t>Slip</w:t>
      </w:r>
      <w:r>
        <w:t xml:space="preserve"> </w:t>
      </w:r>
      <w:r w:rsidRPr="00E673F3">
        <w:rPr>
          <w:i/>
          <w:iCs/>
        </w:rPr>
        <w:t>Op</w:t>
      </w:r>
      <w:r>
        <w:t>.</w:t>
      </w:r>
      <w:r w:rsidR="007551DD">
        <w:t xml:space="preserve"> at </w:t>
      </w:r>
      <w:r>
        <w:t xml:space="preserve">35 citing </w:t>
      </w:r>
      <w:r w:rsidRPr="00877D37">
        <w:rPr>
          <w:i/>
          <w:iCs/>
        </w:rPr>
        <w:t>City of Huntington Beach</w:t>
      </w:r>
      <w:r w:rsidR="00877D37">
        <w:rPr>
          <w:i/>
          <w:iCs/>
        </w:rPr>
        <w:t xml:space="preserve"> v. </w:t>
      </w:r>
      <w:r w:rsidR="00C04D12">
        <w:rPr>
          <w:i/>
          <w:iCs/>
        </w:rPr>
        <w:t>Pub. Util</w:t>
      </w:r>
      <w:r w:rsidRPr="00877D37">
        <w:rPr>
          <w:i/>
          <w:iCs/>
        </w:rPr>
        <w:t xml:space="preserve"> </w:t>
      </w:r>
      <w:r w:rsidR="00FC6EA7" w:rsidRPr="00FC6EA7">
        <w:rPr>
          <w:i/>
          <w:iCs/>
        </w:rPr>
        <w:t>. Com. (2013) 214 Cal. App. 4th 566, 585</w:t>
      </w:r>
      <w:r w:rsidR="00FC6EA7" w:rsidRPr="00FC6EA7">
        <w:rPr>
          <w:i/>
          <w:iCs/>
        </w:rPr>
        <w:noBreakHyphen/>
        <w:t>586 (“[T]he phrase to ‘facilitate communication by telephone’ encompasses services beyond traditional landline service if the service facilitates ‘two way communication by speaking as well as listening,” regardless of the ‘[e]</w:t>
      </w:r>
      <w:proofErr w:type="spellStart"/>
      <w:r w:rsidR="00FC6EA7" w:rsidRPr="00FC6EA7">
        <w:rPr>
          <w:i/>
          <w:iCs/>
        </w:rPr>
        <w:t>xact</w:t>
      </w:r>
      <w:proofErr w:type="spellEnd"/>
      <w:r w:rsidR="00FC6EA7" w:rsidRPr="00FC6EA7">
        <w:rPr>
          <w:i/>
          <w:iCs/>
        </w:rPr>
        <w:t xml:space="preserve"> form or shape of the transmitter and the receiver or the medium over which the communication can be effected.”).</w:t>
      </w:r>
    </w:p>
  </w:footnote>
  <w:footnote w:id="37">
    <w:p w14:paraId="2BCD7194" w14:textId="73CA1F8B" w:rsidR="00AB07F5" w:rsidRDefault="00AB07F5" w:rsidP="00AB07F5">
      <w:pPr>
        <w:pStyle w:val="FootnoteText"/>
      </w:pPr>
      <w:r>
        <w:rPr>
          <w:rStyle w:val="FootnoteReference"/>
        </w:rPr>
        <w:footnoteRef/>
      </w:r>
      <w:r>
        <w:t xml:space="preserve"> </w:t>
      </w:r>
      <w:r w:rsidRPr="005838DE">
        <w:rPr>
          <w:i/>
          <w:iCs/>
        </w:rPr>
        <w:t>Ibid</w:t>
      </w:r>
      <w:r w:rsidR="000643DF">
        <w:t>;</w:t>
      </w:r>
      <w:r w:rsidR="00C75092" w:rsidRPr="00C75092">
        <w:rPr>
          <w:i/>
          <w:sz w:val="26"/>
          <w:szCs w:val="22"/>
        </w:rPr>
        <w:t xml:space="preserve"> </w:t>
      </w:r>
      <w:r w:rsidR="00C75092" w:rsidRPr="00C75092">
        <w:rPr>
          <w:i/>
        </w:rPr>
        <w:t>see also</w:t>
      </w:r>
      <w:r w:rsidR="00C75092" w:rsidRPr="00C75092">
        <w:rPr>
          <w:i/>
          <w:iCs/>
        </w:rPr>
        <w:t xml:space="preserve"> Decision Updating the Mechanism for Surcharges to Support Public Purpose Programs</w:t>
      </w:r>
      <w:r w:rsidR="00C75092" w:rsidRPr="00C75092">
        <w:t>,</w:t>
      </w:r>
      <w:r w:rsidR="00C75092" w:rsidRPr="00C75092">
        <w:rPr>
          <w:i/>
          <w:iCs/>
        </w:rPr>
        <w:t xml:space="preserve"> </w:t>
      </w:r>
      <w:r w:rsidR="00C75092" w:rsidRPr="00C75092">
        <w:t xml:space="preserve">D.22-10-021, </w:t>
      </w:r>
      <w:r w:rsidR="00C75092" w:rsidRPr="00C75092">
        <w:rPr>
          <w:i/>
          <w:iCs/>
        </w:rPr>
        <w:t>Slip</w:t>
      </w:r>
      <w:r w:rsidR="00C75092" w:rsidRPr="00C75092">
        <w:t xml:space="preserve">. </w:t>
      </w:r>
      <w:r w:rsidR="00C75092" w:rsidRPr="00C75092">
        <w:rPr>
          <w:i/>
          <w:iCs/>
        </w:rPr>
        <w:t>Op</w:t>
      </w:r>
      <w:r w:rsidR="00C75092" w:rsidRPr="00C75092">
        <w:t>., at 68</w:t>
      </w:r>
      <w:r w:rsidR="00CA169D">
        <w:t>.</w:t>
      </w:r>
    </w:p>
  </w:footnote>
  <w:footnote w:id="38">
    <w:p w14:paraId="038B033A" w14:textId="3C844942" w:rsidR="00AB07F5" w:rsidRDefault="00AB07F5" w:rsidP="00AB07F5">
      <w:pPr>
        <w:pStyle w:val="FootnoteText"/>
      </w:pPr>
      <w:r>
        <w:rPr>
          <w:rStyle w:val="FootnoteReference"/>
        </w:rPr>
        <w:footnoteRef/>
      </w:r>
      <w:r>
        <w:t xml:space="preserve"> </w:t>
      </w:r>
      <w:r w:rsidR="00C04D12">
        <w:t>Pub. Util.</w:t>
      </w:r>
      <w:r>
        <w:t xml:space="preserve"> Code </w:t>
      </w:r>
      <w:r w:rsidR="00646044">
        <w:t>§ </w:t>
      </w:r>
      <w:r>
        <w:t>239(a)(1).</w:t>
      </w:r>
    </w:p>
  </w:footnote>
  <w:footnote w:id="39">
    <w:p w14:paraId="07076DFD" w14:textId="78EB6A53" w:rsidR="00AB07F5" w:rsidRDefault="00AB07F5" w:rsidP="00AB07F5">
      <w:pPr>
        <w:pStyle w:val="FootnoteText"/>
      </w:pPr>
      <w:r>
        <w:rPr>
          <w:rStyle w:val="FootnoteReference"/>
        </w:rPr>
        <w:footnoteRef/>
      </w:r>
      <w:r>
        <w:t xml:space="preserve"> </w:t>
      </w:r>
      <w:r w:rsidR="00C04D12">
        <w:t>Pub. Util.</w:t>
      </w:r>
      <w:r>
        <w:t xml:space="preserve"> Code </w:t>
      </w:r>
      <w:r w:rsidR="00646044">
        <w:t>§ </w:t>
      </w:r>
      <w:r>
        <w:t>239(b).</w:t>
      </w:r>
    </w:p>
  </w:footnote>
  <w:footnote w:id="40">
    <w:p w14:paraId="431332F0" w14:textId="291ED675" w:rsidR="00AB07F5" w:rsidRDefault="00AB07F5" w:rsidP="00AB07F5">
      <w:pPr>
        <w:pStyle w:val="FootnoteText"/>
        <w:rPr>
          <w:highlight w:val="yellow"/>
        </w:rPr>
      </w:pPr>
      <w:r>
        <w:rPr>
          <w:rStyle w:val="FootnoteReference"/>
        </w:rPr>
        <w:footnoteRef/>
      </w:r>
      <w:r>
        <w:t xml:space="preserve"> </w:t>
      </w:r>
      <w:r w:rsidRPr="0027012C">
        <w:t xml:space="preserve">In 2019, the FCC amended the definition of </w:t>
      </w:r>
      <w:r w:rsidR="00893D67">
        <w:t>“</w:t>
      </w:r>
      <w:r w:rsidRPr="0027012C">
        <w:t>interconnected VoIP</w:t>
      </w:r>
      <w:r w:rsidR="00893D67">
        <w:t>”</w:t>
      </w:r>
      <w:r w:rsidRPr="0027012C">
        <w:t xml:space="preserve"> for the purpose of </w:t>
      </w:r>
      <w:r w:rsidR="00693075">
        <w:t>9</w:t>
      </w:r>
      <w:r w:rsidR="006951D5">
        <w:noBreakHyphen/>
      </w:r>
      <w:r w:rsidR="00693075">
        <w:t>1</w:t>
      </w:r>
      <w:r w:rsidR="006951D5">
        <w:noBreakHyphen/>
      </w:r>
      <w:r w:rsidR="00693075">
        <w:t>1</w:t>
      </w:r>
      <w:r w:rsidRPr="0027012C">
        <w:t xml:space="preserve"> calls only to include outbound</w:t>
      </w:r>
      <w:r w:rsidR="006951D5">
        <w:noBreakHyphen/>
      </w:r>
      <w:r w:rsidRPr="0027012C">
        <w:t>only calls.</w:t>
      </w:r>
      <w:r w:rsidR="00CD0E2A">
        <w:t xml:space="preserve"> </w:t>
      </w:r>
      <w:r w:rsidRPr="0027012C">
        <w:t>(</w:t>
      </w:r>
      <w:r w:rsidRPr="0027012C">
        <w:rPr>
          <w:i/>
          <w:iCs/>
        </w:rPr>
        <w:t>In re Implementing Kari</w:t>
      </w:r>
      <w:r w:rsidR="00893D67">
        <w:rPr>
          <w:i/>
          <w:iCs/>
        </w:rPr>
        <w:t>’</w:t>
      </w:r>
      <w:r w:rsidRPr="0027012C">
        <w:rPr>
          <w:i/>
          <w:iCs/>
        </w:rPr>
        <w:t xml:space="preserve">s Law and </w:t>
      </w:r>
      <w:r w:rsidR="004C414B">
        <w:rPr>
          <w:i/>
          <w:iCs/>
        </w:rPr>
        <w:t>Section </w:t>
      </w:r>
      <w:r w:rsidRPr="0027012C">
        <w:rPr>
          <w:i/>
          <w:iCs/>
        </w:rPr>
        <w:t>506 of RAY BAUM</w:t>
      </w:r>
      <w:r w:rsidR="00893D67">
        <w:rPr>
          <w:i/>
          <w:iCs/>
        </w:rPr>
        <w:t>’</w:t>
      </w:r>
      <w:r w:rsidRPr="0027012C">
        <w:rPr>
          <w:i/>
          <w:iCs/>
        </w:rPr>
        <w:t xml:space="preserve">S Act </w:t>
      </w:r>
      <w:r w:rsidRPr="0027012C">
        <w:t xml:space="preserve">at </w:t>
      </w:r>
      <w:r w:rsidR="00842468">
        <w:t>¶ </w:t>
      </w:r>
      <w:r w:rsidRPr="0027012C">
        <w:t>183.)</w:t>
      </w:r>
    </w:p>
  </w:footnote>
  <w:footnote w:id="41">
    <w:p w14:paraId="52960B96" w14:textId="0DF6800C" w:rsidR="00AB07F5" w:rsidRDefault="00AB07F5" w:rsidP="00AB07F5">
      <w:pPr>
        <w:pStyle w:val="FootnoteText"/>
      </w:pPr>
      <w:r>
        <w:rPr>
          <w:rStyle w:val="FootnoteReference"/>
        </w:rPr>
        <w:footnoteRef/>
      </w:r>
      <w:r>
        <w:t xml:space="preserve"> </w:t>
      </w:r>
      <w:r w:rsidRPr="005838DE">
        <w:rPr>
          <w:i/>
        </w:rPr>
        <w:t>See</w:t>
      </w:r>
      <w:r>
        <w:t xml:space="preserve"> </w:t>
      </w:r>
      <w:r w:rsidR="00C04D12">
        <w:t>Pub. Util.</w:t>
      </w:r>
      <w:r>
        <w:t xml:space="preserve"> Code </w:t>
      </w:r>
      <w:r w:rsidR="00646044">
        <w:t>§§ </w:t>
      </w:r>
      <w:r>
        <w:t>216, 233</w:t>
      </w:r>
      <w:r w:rsidR="006951D5">
        <w:noBreakHyphen/>
      </w:r>
      <w:r>
        <w:t xml:space="preserve">234; </w:t>
      </w:r>
      <w:r w:rsidRPr="000F35F1">
        <w:rPr>
          <w:i/>
          <w:iCs/>
        </w:rPr>
        <w:t>see also</w:t>
      </w:r>
      <w:r>
        <w:t xml:space="preserve"> D.19</w:t>
      </w:r>
      <w:r w:rsidR="006951D5">
        <w:noBreakHyphen/>
      </w:r>
      <w:r>
        <w:t>08</w:t>
      </w:r>
      <w:r w:rsidR="006951D5">
        <w:noBreakHyphen/>
      </w:r>
      <w:r>
        <w:t>025</w:t>
      </w:r>
      <w:r w:rsidR="006406C1">
        <w:t xml:space="preserve"> at </w:t>
      </w:r>
      <w:proofErr w:type="spellStart"/>
      <w:r w:rsidR="00DA08E0">
        <w:t>CoL</w:t>
      </w:r>
      <w:proofErr w:type="spellEnd"/>
      <w:r w:rsidR="00DA08E0">
        <w:t> </w:t>
      </w:r>
      <w:r>
        <w:t>17, as affirmed in D.20</w:t>
      </w:r>
      <w:r w:rsidR="006951D5">
        <w:noBreakHyphen/>
      </w:r>
      <w:r>
        <w:t>09</w:t>
      </w:r>
      <w:r w:rsidR="006951D5">
        <w:noBreakHyphen/>
      </w:r>
      <w:r>
        <w:t>012</w:t>
      </w:r>
      <w:r w:rsidR="007551DD">
        <w:t xml:space="preserve"> at </w:t>
      </w:r>
      <w:r>
        <w:t>30</w:t>
      </w:r>
      <w:r w:rsidR="006951D5">
        <w:noBreakHyphen/>
      </w:r>
      <w:r>
        <w:t>39; see also D.22</w:t>
      </w:r>
      <w:r w:rsidR="006951D5">
        <w:noBreakHyphen/>
      </w:r>
      <w:r>
        <w:t>10</w:t>
      </w:r>
      <w:r w:rsidR="006951D5">
        <w:noBreakHyphen/>
      </w:r>
      <w:r>
        <w:t>021</w:t>
      </w:r>
      <w:r w:rsidR="007551DD">
        <w:t xml:space="preserve"> at </w:t>
      </w:r>
      <w:r w:rsidR="00D67B19">
        <w:t>68</w:t>
      </w:r>
      <w:r w:rsidR="006951D5">
        <w:noBreakHyphen/>
      </w:r>
      <w:r w:rsidR="00D67B19">
        <w:t>69</w:t>
      </w:r>
      <w:r>
        <w:t>.</w:t>
      </w:r>
    </w:p>
  </w:footnote>
  <w:footnote w:id="42">
    <w:p w14:paraId="614750A2" w14:textId="0149D87A" w:rsidR="00AB07F5" w:rsidRDefault="00AB07F5" w:rsidP="00AB07F5">
      <w:pPr>
        <w:pStyle w:val="FootnoteText"/>
      </w:pPr>
      <w:r>
        <w:rPr>
          <w:rStyle w:val="FootnoteReference"/>
        </w:rPr>
        <w:footnoteRef/>
      </w:r>
      <w:r>
        <w:t xml:space="preserve"> </w:t>
      </w:r>
      <w:r>
        <w:rPr>
          <w:i/>
          <w:iCs/>
        </w:rPr>
        <w:t>Order Modifying Decision (D.)</w:t>
      </w:r>
      <w:r w:rsidR="000B22DF">
        <w:rPr>
          <w:i/>
          <w:iCs/>
        </w:rPr>
        <w:t> </w:t>
      </w:r>
      <w:r>
        <w:rPr>
          <w:i/>
          <w:iCs/>
        </w:rPr>
        <w:t>19</w:t>
      </w:r>
      <w:r w:rsidR="006951D5">
        <w:rPr>
          <w:i/>
          <w:iCs/>
        </w:rPr>
        <w:noBreakHyphen/>
      </w:r>
      <w:r>
        <w:rPr>
          <w:i/>
          <w:iCs/>
        </w:rPr>
        <w:t>08</w:t>
      </w:r>
      <w:r w:rsidR="006951D5">
        <w:rPr>
          <w:i/>
          <w:iCs/>
        </w:rPr>
        <w:noBreakHyphen/>
      </w:r>
      <w:r>
        <w:rPr>
          <w:i/>
          <w:iCs/>
        </w:rPr>
        <w:t xml:space="preserve">025, and Denying Rehearing of Decision, as </w:t>
      </w:r>
      <w:r w:rsidRPr="00F6446B">
        <w:rPr>
          <w:i/>
          <w:iCs/>
        </w:rPr>
        <w:t>Modified</w:t>
      </w:r>
      <w:r>
        <w:t xml:space="preserve">, </w:t>
      </w:r>
      <w:r w:rsidRPr="00F6446B">
        <w:t>D</w:t>
      </w:r>
      <w:r>
        <w:t>.20</w:t>
      </w:r>
      <w:r w:rsidR="006951D5">
        <w:noBreakHyphen/>
      </w:r>
      <w:r>
        <w:t>09</w:t>
      </w:r>
      <w:r w:rsidR="006951D5">
        <w:noBreakHyphen/>
      </w:r>
      <w:r>
        <w:t xml:space="preserve">012, </w:t>
      </w:r>
      <w:r w:rsidRPr="005838DE">
        <w:rPr>
          <w:i/>
          <w:iCs/>
        </w:rPr>
        <w:t>Slip</w:t>
      </w:r>
      <w:r>
        <w:t xml:space="preserve"> </w:t>
      </w:r>
      <w:r w:rsidRPr="005838DE">
        <w:rPr>
          <w:i/>
          <w:iCs/>
        </w:rPr>
        <w:t>Op</w:t>
      </w:r>
      <w:r>
        <w:t>.</w:t>
      </w:r>
      <w:r w:rsidR="007551DD">
        <w:t xml:space="preserve"> at </w:t>
      </w:r>
      <w:r>
        <w:t>36.</w:t>
      </w:r>
    </w:p>
  </w:footnote>
  <w:footnote w:id="43">
    <w:p w14:paraId="07ED3A36" w14:textId="0A252BC0" w:rsidR="00AB07F5" w:rsidRDefault="00AB07F5" w:rsidP="00AB07F5">
      <w:pPr>
        <w:pStyle w:val="FootnoteText"/>
      </w:pPr>
      <w:r>
        <w:rPr>
          <w:rStyle w:val="FootnoteReference"/>
        </w:rPr>
        <w:footnoteRef/>
      </w:r>
      <w:r>
        <w:t xml:space="preserve"> </w:t>
      </w:r>
      <w:r w:rsidRPr="00F6446B">
        <w:t>D</w:t>
      </w:r>
      <w:r>
        <w:t>.20</w:t>
      </w:r>
      <w:r w:rsidR="006951D5">
        <w:noBreakHyphen/>
      </w:r>
      <w:r>
        <w:t>09</w:t>
      </w:r>
      <w:r w:rsidR="006951D5">
        <w:noBreakHyphen/>
      </w:r>
      <w:r>
        <w:t xml:space="preserve">012, </w:t>
      </w:r>
      <w:r w:rsidRPr="00E673F3">
        <w:rPr>
          <w:i/>
          <w:iCs/>
        </w:rPr>
        <w:t>Slip</w:t>
      </w:r>
      <w:r>
        <w:t xml:space="preserve"> </w:t>
      </w:r>
      <w:r w:rsidRPr="00E673F3">
        <w:rPr>
          <w:i/>
          <w:iCs/>
        </w:rPr>
        <w:t>Op</w:t>
      </w:r>
      <w:r>
        <w:t>.</w:t>
      </w:r>
      <w:r w:rsidR="007551DD">
        <w:t xml:space="preserve"> at </w:t>
      </w:r>
      <w:r w:rsidRPr="00A5443D">
        <w:t>3</w:t>
      </w:r>
      <w:r w:rsidRPr="005838DE">
        <w:t>7</w:t>
      </w:r>
      <w:r w:rsidRPr="00A5443D">
        <w:t>.</w:t>
      </w:r>
    </w:p>
  </w:footnote>
  <w:footnote w:id="44">
    <w:p w14:paraId="32DED78D" w14:textId="77777777" w:rsidR="00AB07F5" w:rsidRDefault="00AB07F5" w:rsidP="00AB07F5">
      <w:pPr>
        <w:pStyle w:val="FootnoteText"/>
      </w:pPr>
      <w:r>
        <w:rPr>
          <w:rStyle w:val="FootnoteReference"/>
        </w:rPr>
        <w:footnoteRef/>
      </w:r>
      <w:r>
        <w:t xml:space="preserve"> </w:t>
      </w:r>
      <w:r w:rsidRPr="005838DE">
        <w:rPr>
          <w:i/>
          <w:iCs/>
        </w:rPr>
        <w:t>Ibid</w:t>
      </w:r>
      <w:r>
        <w:t>.</w:t>
      </w:r>
    </w:p>
  </w:footnote>
  <w:footnote w:id="45">
    <w:p w14:paraId="6CA68D72" w14:textId="77777777" w:rsidR="00B60CDE" w:rsidRDefault="00B60CDE" w:rsidP="00B60CDE">
      <w:pPr>
        <w:pStyle w:val="FootnoteText"/>
      </w:pPr>
      <w:r>
        <w:rPr>
          <w:rStyle w:val="FootnoteReference"/>
        </w:rPr>
        <w:footnoteRef/>
      </w:r>
      <w:r>
        <w:t xml:space="preserve"> See, </w:t>
      </w:r>
      <w:r w:rsidRPr="00AB5F17">
        <w:rPr>
          <w:i/>
        </w:rPr>
        <w:t>e.g.</w:t>
      </w:r>
      <w:r>
        <w:t>, Opening Comments on the OIR: AT&amp;T at 2, Small LECs at p. 1, CCIA at 2–3.</w:t>
      </w:r>
    </w:p>
  </w:footnote>
  <w:footnote w:id="46">
    <w:p w14:paraId="2DC35B0D" w14:textId="0B2CF135" w:rsidR="00AB07F5" w:rsidRDefault="00AB07F5" w:rsidP="00AB07F5">
      <w:pPr>
        <w:pStyle w:val="FootnoteText"/>
      </w:pPr>
      <w:r>
        <w:rPr>
          <w:rStyle w:val="FootnoteReference"/>
        </w:rPr>
        <w:footnoteRef/>
      </w:r>
      <w:r>
        <w:t xml:space="preserve"> </w:t>
      </w:r>
      <w:r w:rsidR="00C04D12">
        <w:t>Pub. Util.</w:t>
      </w:r>
      <w:r>
        <w:t xml:space="preserve"> Code </w:t>
      </w:r>
      <w:r w:rsidR="00646044">
        <w:t>§ </w:t>
      </w:r>
      <w:r>
        <w:t>1013(a).</w:t>
      </w:r>
    </w:p>
  </w:footnote>
  <w:footnote w:id="47">
    <w:p w14:paraId="3A88D186" w14:textId="4758CC09" w:rsidR="00AB07F5" w:rsidRDefault="00AB07F5" w:rsidP="00AB07F5">
      <w:pPr>
        <w:pStyle w:val="FootnoteText"/>
        <w:tabs>
          <w:tab w:val="left" w:pos="720"/>
        </w:tabs>
      </w:pPr>
      <w:r>
        <w:rPr>
          <w:rStyle w:val="FootnoteReference"/>
        </w:rPr>
        <w:footnoteRef/>
      </w:r>
      <w:r>
        <w:t xml:space="preserve"> </w:t>
      </w:r>
      <w:r w:rsidRPr="00F93F90">
        <w:rPr>
          <w:i/>
          <w:iCs/>
        </w:rPr>
        <w:t>See</w:t>
      </w:r>
      <w:r>
        <w:t xml:space="preserve"> </w:t>
      </w:r>
      <w:r w:rsidR="00C04D12">
        <w:t>Pub. Util.</w:t>
      </w:r>
      <w:r>
        <w:t xml:space="preserve"> Code </w:t>
      </w:r>
      <w:r w:rsidR="00646044">
        <w:t>§ </w:t>
      </w:r>
      <w:r>
        <w:t xml:space="preserve">1013(m); </w:t>
      </w:r>
      <w:r w:rsidRPr="00651EF9">
        <w:rPr>
          <w:i/>
          <w:iCs/>
        </w:rPr>
        <w:t>see also</w:t>
      </w:r>
      <w:r>
        <w:t xml:space="preserve"> 47</w:t>
      </w:r>
      <w:r w:rsidR="00877D37">
        <w:t> U.S.</w:t>
      </w:r>
      <w:r w:rsidR="00E57178">
        <w:t>C.</w:t>
      </w:r>
      <w:r>
        <w:t xml:space="preserve"> </w:t>
      </w:r>
      <w:r w:rsidR="00646044">
        <w:t>§ </w:t>
      </w:r>
      <w:r>
        <w:t>332(c)(3)(A).</w:t>
      </w:r>
    </w:p>
  </w:footnote>
  <w:footnote w:id="48">
    <w:p w14:paraId="534D309C" w14:textId="22ED8838" w:rsidR="00A537B1" w:rsidRDefault="00A537B1" w:rsidP="00A537B1">
      <w:pPr>
        <w:pStyle w:val="FootnoteText"/>
      </w:pPr>
      <w:r>
        <w:rPr>
          <w:rStyle w:val="FootnoteReference"/>
        </w:rPr>
        <w:footnoteRef/>
      </w:r>
      <w:r>
        <w:t xml:space="preserve"> D.94</w:t>
      </w:r>
      <w:r w:rsidR="006951D5">
        <w:noBreakHyphen/>
      </w:r>
      <w:r>
        <w:t>10</w:t>
      </w:r>
      <w:r w:rsidR="006951D5">
        <w:noBreakHyphen/>
      </w:r>
      <w:r>
        <w:t>031</w:t>
      </w:r>
      <w:r w:rsidR="00096EA2">
        <w:t>;</w:t>
      </w:r>
      <w:r>
        <w:t xml:space="preserve"> D.13</w:t>
      </w:r>
      <w:r w:rsidR="006951D5">
        <w:noBreakHyphen/>
      </w:r>
      <w:r>
        <w:t>05</w:t>
      </w:r>
      <w:r w:rsidR="006951D5">
        <w:noBreakHyphen/>
      </w:r>
      <w:r>
        <w:t>035</w:t>
      </w:r>
      <w:r w:rsidR="00096EA2">
        <w:t>;</w:t>
      </w:r>
      <w:r>
        <w:t xml:space="preserve"> D.95</w:t>
      </w:r>
      <w:r w:rsidR="006951D5">
        <w:noBreakHyphen/>
      </w:r>
      <w:r>
        <w:t>10</w:t>
      </w:r>
      <w:r w:rsidR="006951D5">
        <w:noBreakHyphen/>
      </w:r>
      <w:r>
        <w:t>032</w:t>
      </w:r>
      <w:r w:rsidR="000573D9">
        <w:t>.</w:t>
      </w:r>
    </w:p>
  </w:footnote>
  <w:footnote w:id="49">
    <w:p w14:paraId="6083D915" w14:textId="77777777" w:rsidR="00A11567" w:rsidRDefault="00A11567" w:rsidP="00A11567">
      <w:pPr>
        <w:pStyle w:val="FootnoteText"/>
      </w:pPr>
      <w:r>
        <w:rPr>
          <w:rStyle w:val="FootnoteReference"/>
        </w:rPr>
        <w:footnoteRef/>
      </w:r>
      <w:r>
        <w:t xml:space="preserve"> See FCC Frequently Asked Questions-Dispatchable Location found at </w:t>
      </w:r>
      <w:hyperlink r:id="rId1" w:history="1">
        <w:r w:rsidRPr="00900F73">
          <w:rPr>
            <w:rStyle w:val="Hyperlink"/>
          </w:rPr>
          <w:t>Dispatchable Location for 911 Calls from Fixed Telephony, Interconnected VoIP, TRS, and Mobile Text Service | Federal Communications Commission</w:t>
        </w:r>
      </w:hyperlink>
      <w:r>
        <w:t xml:space="preserve">. </w:t>
      </w:r>
    </w:p>
  </w:footnote>
  <w:footnote w:id="50">
    <w:p w14:paraId="3CF6D397" w14:textId="686B104B" w:rsidR="00AB07F5" w:rsidRDefault="00AB07F5" w:rsidP="00AB07F5">
      <w:pPr>
        <w:pStyle w:val="FootnoteText"/>
      </w:pPr>
      <w:r>
        <w:rPr>
          <w:rStyle w:val="FootnoteReference"/>
        </w:rPr>
        <w:footnoteRef/>
      </w:r>
      <w:r>
        <w:t xml:space="preserve"> </w:t>
      </w:r>
      <w:r w:rsidRPr="005838DE">
        <w:rPr>
          <w:i/>
          <w:iCs/>
        </w:rPr>
        <w:t>See Vonage Order</w:t>
      </w:r>
      <w:r w:rsidRPr="00E73120">
        <w:t xml:space="preserve"> at </w:t>
      </w:r>
      <w:r w:rsidR="00842468">
        <w:t>¶ </w:t>
      </w:r>
      <w:r w:rsidRPr="00E73120">
        <w:t xml:space="preserve">22, </w:t>
      </w:r>
      <w:r w:rsidR="00842468" w:rsidRPr="00E73120">
        <w:t>¶</w:t>
      </w:r>
      <w:r w:rsidR="00842468">
        <w:t> </w:t>
      </w:r>
      <w:r w:rsidRPr="00E73120">
        <w:t>46</w:t>
      </w:r>
      <w:r w:rsidR="00F72051">
        <w:t>;</w:t>
      </w:r>
      <w:r w:rsidRPr="00E73120">
        <w:t xml:space="preserve"> and </w:t>
      </w:r>
      <w:r w:rsidRPr="005838DE">
        <w:rPr>
          <w:i/>
          <w:iCs/>
        </w:rPr>
        <w:t>In re Universal Serv. Contribution Methodology</w:t>
      </w:r>
      <w:r w:rsidRPr="00E73120">
        <w:t xml:space="preserve"> at </w:t>
      </w:r>
      <w:r w:rsidR="00475CE6">
        <w:t>¶ </w:t>
      </w:r>
      <w:r w:rsidRPr="00E73120">
        <w:t>23.</w:t>
      </w:r>
    </w:p>
  </w:footnote>
  <w:footnote w:id="51">
    <w:p w14:paraId="64200A3D" w14:textId="11583D73" w:rsidR="00AB07F5" w:rsidRDefault="00AB07F5" w:rsidP="00AB07F5">
      <w:pPr>
        <w:pStyle w:val="FootnoteText"/>
      </w:pPr>
      <w:r>
        <w:rPr>
          <w:rStyle w:val="FootnoteReference"/>
        </w:rPr>
        <w:footnoteRef/>
      </w:r>
      <w:r>
        <w:t xml:space="preserve"> Vonage Order at </w:t>
      </w:r>
      <w:r w:rsidR="00475CE6">
        <w:t>¶ </w:t>
      </w:r>
      <w:r>
        <w:t>4</w:t>
      </w:r>
      <w:r w:rsidR="00842468">
        <w:t xml:space="preserve">, </w:t>
      </w:r>
      <w:r w:rsidR="00475CE6">
        <w:t>¶ </w:t>
      </w:r>
      <w:r>
        <w:t>23.</w:t>
      </w:r>
    </w:p>
  </w:footnote>
  <w:footnote w:id="52">
    <w:p w14:paraId="5EA49D9D" w14:textId="5D7BC00E" w:rsidR="00230D0F" w:rsidRPr="00230D0F" w:rsidRDefault="00230D0F">
      <w:pPr>
        <w:pStyle w:val="FootnoteText"/>
      </w:pPr>
      <w:r>
        <w:rPr>
          <w:rStyle w:val="FootnoteReference"/>
        </w:rPr>
        <w:footnoteRef/>
      </w:r>
      <w:r>
        <w:t xml:space="preserve"> </w:t>
      </w:r>
      <w:r>
        <w:rPr>
          <w:i/>
          <w:iCs/>
        </w:rPr>
        <w:t>Id.</w:t>
      </w:r>
      <w:r>
        <w:t xml:space="preserve"> at ¶ 5.</w:t>
      </w:r>
    </w:p>
  </w:footnote>
  <w:footnote w:id="53">
    <w:p w14:paraId="06D93966" w14:textId="482EE5B7" w:rsidR="006E0CBB" w:rsidRDefault="006E0CBB" w:rsidP="006E0CBB">
      <w:pPr>
        <w:pStyle w:val="FootnoteText"/>
      </w:pPr>
      <w:r>
        <w:rPr>
          <w:rStyle w:val="FootnoteReference"/>
        </w:rPr>
        <w:footnoteRef/>
      </w:r>
      <w:r>
        <w:t xml:space="preserve"> </w:t>
      </w:r>
      <w:r w:rsidRPr="003F4A88">
        <w:rPr>
          <w:i/>
          <w:iCs/>
        </w:rPr>
        <w:t>Id</w:t>
      </w:r>
      <w:r w:rsidR="002209F5">
        <w:rPr>
          <w:i/>
          <w:iCs/>
        </w:rPr>
        <w:t>.</w:t>
      </w:r>
      <w:r>
        <w:t xml:space="preserve"> at ¶ 6.</w:t>
      </w:r>
    </w:p>
  </w:footnote>
  <w:footnote w:id="54">
    <w:p w14:paraId="6D6AF0F4" w14:textId="413108C2" w:rsidR="002209F5" w:rsidRDefault="002209F5">
      <w:pPr>
        <w:pStyle w:val="FootnoteText"/>
      </w:pPr>
      <w:r>
        <w:rPr>
          <w:rStyle w:val="FootnoteReference"/>
        </w:rPr>
        <w:footnoteRef/>
      </w:r>
      <w:r>
        <w:t xml:space="preserve"> </w:t>
      </w:r>
      <w:r w:rsidRPr="003F4A88">
        <w:rPr>
          <w:i/>
          <w:iCs/>
        </w:rPr>
        <w:t>Id</w:t>
      </w:r>
      <w:r>
        <w:t xml:space="preserve"> at ¶ 7 - </w:t>
      </w:r>
      <w:r w:rsidR="0025366F">
        <w:t>8</w:t>
      </w:r>
      <w:r>
        <w:t>.</w:t>
      </w:r>
    </w:p>
  </w:footnote>
  <w:footnote w:id="55">
    <w:p w14:paraId="3C35C3D1" w14:textId="5A884F03" w:rsidR="00AB07F5" w:rsidRDefault="00AB07F5" w:rsidP="00AB07F5">
      <w:pPr>
        <w:pStyle w:val="FootnoteText"/>
      </w:pPr>
      <w:r>
        <w:rPr>
          <w:rStyle w:val="FootnoteReference"/>
        </w:rPr>
        <w:footnoteRef/>
      </w:r>
      <w:r>
        <w:t xml:space="preserve"> </w:t>
      </w:r>
      <w:r w:rsidR="00BE720E" w:rsidRPr="005838DE">
        <w:rPr>
          <w:i/>
          <w:iCs/>
        </w:rPr>
        <w:t>Id</w:t>
      </w:r>
      <w:r w:rsidR="00BE720E">
        <w:t>.</w:t>
      </w:r>
      <w:r>
        <w:rPr>
          <w:i/>
        </w:rPr>
        <w:t xml:space="preserve"> </w:t>
      </w:r>
      <w:r>
        <w:t xml:space="preserve">at </w:t>
      </w:r>
      <w:r w:rsidR="00475CE6">
        <w:t>¶¶ </w:t>
      </w:r>
      <w:r>
        <w:t>5</w:t>
      </w:r>
      <w:r w:rsidR="006951D5">
        <w:noBreakHyphen/>
      </w:r>
      <w:r>
        <w:t>9, VON Coalition Opening Comments on Scoping Memo</w:t>
      </w:r>
      <w:r w:rsidR="007551DD">
        <w:t xml:space="preserve"> at </w:t>
      </w:r>
      <w:r>
        <w:t>3.</w:t>
      </w:r>
    </w:p>
  </w:footnote>
  <w:footnote w:id="56">
    <w:p w14:paraId="75A5F3DA" w14:textId="2507F5F3" w:rsidR="00AB07F5" w:rsidRDefault="00AB07F5" w:rsidP="00AB07F5">
      <w:pPr>
        <w:pStyle w:val="FootnoteText"/>
      </w:pPr>
      <w:r>
        <w:rPr>
          <w:rStyle w:val="FootnoteReference"/>
        </w:rPr>
        <w:footnoteRef/>
      </w:r>
      <w:r w:rsidR="00CD0E2A">
        <w:t xml:space="preserve"> </w:t>
      </w:r>
      <w:r>
        <w:t xml:space="preserve">Vonage Order at </w:t>
      </w:r>
      <w:r w:rsidR="00475CE6">
        <w:t>¶ </w:t>
      </w:r>
      <w:r>
        <w:t>5.</w:t>
      </w:r>
    </w:p>
  </w:footnote>
  <w:footnote w:id="57">
    <w:p w14:paraId="7A88E49C" w14:textId="55A53607" w:rsidR="00AB07F5" w:rsidRDefault="00AB07F5" w:rsidP="00AB07F5">
      <w:pPr>
        <w:pStyle w:val="FootnoteText"/>
      </w:pPr>
      <w:r>
        <w:rPr>
          <w:rStyle w:val="FootnoteReference"/>
        </w:rPr>
        <w:footnoteRef/>
      </w:r>
      <w:r>
        <w:t xml:space="preserve"> </w:t>
      </w:r>
      <w:r w:rsidR="00BE720E" w:rsidRPr="005838DE">
        <w:rPr>
          <w:i/>
          <w:iCs/>
        </w:rPr>
        <w:t>Id</w:t>
      </w:r>
      <w:r w:rsidR="00BE720E">
        <w:t>.</w:t>
      </w:r>
      <w:r>
        <w:t xml:space="preserve"> at </w:t>
      </w:r>
      <w:r w:rsidR="00475CE6">
        <w:t>¶ </w:t>
      </w:r>
      <w:r>
        <w:t>9.</w:t>
      </w:r>
    </w:p>
  </w:footnote>
  <w:footnote w:id="58">
    <w:p w14:paraId="70B71C98" w14:textId="6711B287" w:rsidR="00AB07F5" w:rsidRDefault="00AB07F5" w:rsidP="00AB07F5">
      <w:pPr>
        <w:pStyle w:val="FootnoteText"/>
      </w:pPr>
      <w:r>
        <w:rPr>
          <w:rStyle w:val="FootnoteReference"/>
        </w:rPr>
        <w:footnoteRef/>
      </w:r>
      <w:r>
        <w:t xml:space="preserve"> Vonage Order at ¶</w:t>
      </w:r>
      <w:r w:rsidR="00475CE6">
        <w:t> </w:t>
      </w:r>
      <w:r>
        <w:t>23</w:t>
      </w:r>
      <w:r w:rsidR="00475CE6">
        <w:t>, ¶ </w:t>
      </w:r>
      <w:r>
        <w:t>25.</w:t>
      </w:r>
    </w:p>
  </w:footnote>
  <w:footnote w:id="59">
    <w:p w14:paraId="3BD0F106" w14:textId="2FEEB6EC" w:rsidR="00AB07F5" w:rsidRDefault="00AB07F5" w:rsidP="00AB07F5">
      <w:pPr>
        <w:pStyle w:val="FootnoteText"/>
      </w:pPr>
      <w:r>
        <w:rPr>
          <w:rStyle w:val="FootnoteReference"/>
        </w:rPr>
        <w:footnoteRef/>
      </w:r>
      <w:r>
        <w:t xml:space="preserve"> </w:t>
      </w:r>
      <w:r w:rsidR="00A82A31" w:rsidRPr="005838DE">
        <w:rPr>
          <w:i/>
          <w:iCs/>
        </w:rPr>
        <w:t>Id</w:t>
      </w:r>
      <w:r w:rsidR="00A82A31">
        <w:t>.</w:t>
      </w:r>
      <w:r w:rsidR="00D67D0D">
        <w:t xml:space="preserve"> </w:t>
      </w:r>
      <w:r w:rsidRPr="004A188A">
        <w:t xml:space="preserve">at </w:t>
      </w:r>
      <w:r w:rsidR="00475CE6">
        <w:t>¶ </w:t>
      </w:r>
      <w:r w:rsidRPr="004A188A">
        <w:t>23.</w:t>
      </w:r>
    </w:p>
  </w:footnote>
  <w:footnote w:id="60">
    <w:p w14:paraId="59BB4C1E" w14:textId="4B59C88F" w:rsidR="00AB07F5" w:rsidRDefault="00AB07F5" w:rsidP="00AB07F5">
      <w:pPr>
        <w:pStyle w:val="FootnoteText"/>
      </w:pPr>
      <w:r>
        <w:rPr>
          <w:rStyle w:val="FootnoteReference"/>
        </w:rPr>
        <w:footnoteRef/>
      </w:r>
      <w:r>
        <w:t xml:space="preserve"> </w:t>
      </w:r>
      <w:r w:rsidR="00A82A31" w:rsidRPr="005838DE">
        <w:rPr>
          <w:i/>
          <w:iCs/>
        </w:rPr>
        <w:t>Id</w:t>
      </w:r>
      <w:r w:rsidR="00A82A31">
        <w:t>.</w:t>
      </w:r>
      <w:r w:rsidRPr="004A188A">
        <w:t xml:space="preserve"> at </w:t>
      </w:r>
      <w:r w:rsidR="00475CE6">
        <w:t>¶ </w:t>
      </w:r>
      <w:r w:rsidRPr="004A188A">
        <w:t>2</w:t>
      </w:r>
      <w:r>
        <w:t>0</w:t>
      </w:r>
      <w:r w:rsidRPr="004A188A">
        <w:t>.</w:t>
      </w:r>
    </w:p>
  </w:footnote>
  <w:footnote w:id="61">
    <w:p w14:paraId="01640C0B" w14:textId="37716881" w:rsidR="00AB07F5" w:rsidRDefault="00AB07F5" w:rsidP="00AB07F5">
      <w:pPr>
        <w:pStyle w:val="FootnoteText"/>
      </w:pPr>
      <w:r>
        <w:rPr>
          <w:rStyle w:val="FootnoteReference"/>
        </w:rPr>
        <w:footnoteRef/>
      </w:r>
      <w:r>
        <w:t xml:space="preserve"> </w:t>
      </w:r>
      <w:r w:rsidR="00A82A31" w:rsidRPr="005838DE">
        <w:rPr>
          <w:i/>
          <w:iCs/>
        </w:rPr>
        <w:t>Id</w:t>
      </w:r>
      <w:r w:rsidR="00A82A31">
        <w:t>.</w:t>
      </w:r>
      <w:r>
        <w:t xml:space="preserve"> at </w:t>
      </w:r>
      <w:r w:rsidR="00475CE6">
        <w:t>¶ </w:t>
      </w:r>
      <w:r>
        <w:t>21.</w:t>
      </w:r>
    </w:p>
  </w:footnote>
  <w:footnote w:id="62">
    <w:p w14:paraId="762EC01C" w14:textId="6C15095C" w:rsidR="00AB07F5" w:rsidRPr="00ED60B0" w:rsidRDefault="00AB07F5" w:rsidP="00AB07F5">
      <w:pPr>
        <w:pStyle w:val="FootnoteText"/>
        <w:rPr>
          <w:i/>
          <w:iCs/>
        </w:rPr>
      </w:pPr>
      <w:r>
        <w:rPr>
          <w:rStyle w:val="FootnoteReference"/>
        </w:rPr>
        <w:footnoteRef/>
      </w:r>
      <w:r>
        <w:t xml:space="preserve"> </w:t>
      </w:r>
      <w:r>
        <w:rPr>
          <w:i/>
          <w:iCs/>
        </w:rPr>
        <w:t>Ibid.</w:t>
      </w:r>
    </w:p>
  </w:footnote>
  <w:footnote w:id="63">
    <w:p w14:paraId="7A8CE243" w14:textId="45B7EF36" w:rsidR="00AB07F5" w:rsidRDefault="00AB07F5" w:rsidP="00AB07F5">
      <w:pPr>
        <w:pStyle w:val="FootnoteText"/>
      </w:pPr>
      <w:r>
        <w:rPr>
          <w:rStyle w:val="FootnoteReference"/>
        </w:rPr>
        <w:footnoteRef/>
      </w:r>
      <w:r>
        <w:t xml:space="preserve"> Cloud Reply Comments on Scoping Memo</w:t>
      </w:r>
      <w:r w:rsidR="007551DD">
        <w:t xml:space="preserve"> at </w:t>
      </w:r>
      <w:r>
        <w:t>4</w:t>
      </w:r>
      <w:r w:rsidR="006951D5">
        <w:noBreakHyphen/>
      </w:r>
      <w:r>
        <w:t>5</w:t>
      </w:r>
      <w:r w:rsidR="00CC35FE">
        <w:t xml:space="preserve"> (emphasis added)</w:t>
      </w:r>
      <w:r>
        <w:t>.</w:t>
      </w:r>
    </w:p>
  </w:footnote>
  <w:footnote w:id="64">
    <w:p w14:paraId="09D125E5" w14:textId="789B59DF" w:rsidR="00AB07F5" w:rsidRDefault="00AB07F5" w:rsidP="00AB07F5">
      <w:pPr>
        <w:pStyle w:val="FootnoteText"/>
      </w:pPr>
      <w:r>
        <w:rPr>
          <w:rStyle w:val="FootnoteReference"/>
        </w:rPr>
        <w:footnoteRef/>
      </w:r>
      <w:r>
        <w:t xml:space="preserve"> VON Opening Comments on Scoping Memo</w:t>
      </w:r>
      <w:r w:rsidR="007551DD">
        <w:t xml:space="preserve"> at </w:t>
      </w:r>
      <w:r>
        <w:t>2.</w:t>
      </w:r>
    </w:p>
  </w:footnote>
  <w:footnote w:id="65">
    <w:p w14:paraId="4542AEDA" w14:textId="28651106" w:rsidR="00C654F9" w:rsidRDefault="00C654F9" w:rsidP="00C654F9">
      <w:pPr>
        <w:pStyle w:val="FootnoteText"/>
      </w:pPr>
      <w:r>
        <w:rPr>
          <w:rStyle w:val="FootnoteReference"/>
        </w:rPr>
        <w:footnoteRef/>
      </w:r>
      <w:r>
        <w:t xml:space="preserve"> Cloud Response to ALJ Ruling</w:t>
      </w:r>
      <w:r w:rsidR="007551DD">
        <w:t xml:space="preserve"> at </w:t>
      </w:r>
      <w:r>
        <w:t>4.</w:t>
      </w:r>
    </w:p>
  </w:footnote>
  <w:footnote w:id="66">
    <w:p w14:paraId="2EB02EEA" w14:textId="14C47CFB" w:rsidR="00AB07F5" w:rsidRDefault="00AB07F5" w:rsidP="00AB07F5">
      <w:pPr>
        <w:pStyle w:val="FootnoteText"/>
      </w:pPr>
      <w:r>
        <w:rPr>
          <w:rStyle w:val="FootnoteReference"/>
        </w:rPr>
        <w:footnoteRef/>
      </w:r>
      <w:r>
        <w:t xml:space="preserve"> </w:t>
      </w:r>
      <w:r w:rsidR="0015028F">
        <w:t xml:space="preserve">Vonage Order at </w:t>
      </w:r>
      <w:r w:rsidR="00475CE6">
        <w:t>¶ </w:t>
      </w:r>
      <w:r w:rsidR="0015028F">
        <w:t>1</w:t>
      </w:r>
      <w:r w:rsidR="0017502E">
        <w:t>.</w:t>
      </w:r>
    </w:p>
  </w:footnote>
  <w:footnote w:id="67">
    <w:p w14:paraId="6C67B84C" w14:textId="3CEDADD9" w:rsidR="003B0B5D" w:rsidRPr="003E581E" w:rsidRDefault="003B0B5D">
      <w:pPr>
        <w:pStyle w:val="FootnoteText"/>
      </w:pPr>
      <w:r>
        <w:rPr>
          <w:rStyle w:val="FootnoteReference"/>
        </w:rPr>
        <w:footnoteRef/>
      </w:r>
      <w:r>
        <w:t xml:space="preserve"> </w:t>
      </w:r>
      <w:r w:rsidRPr="003B0B5D">
        <w:rPr>
          <w:u w:val="single"/>
        </w:rPr>
        <w:t> </w:t>
      </w:r>
      <w:r w:rsidRPr="00645D56">
        <w:t>ACA Connects v. Bonta, 24 F.4th 1233, 1243 (9th Cir. Jan. 28, 2022) rehearing denied, </w:t>
      </w:r>
      <w:proofErr w:type="spellStart"/>
      <w:r w:rsidRPr="00645D56">
        <w:t>en</w:t>
      </w:r>
      <w:proofErr w:type="spellEnd"/>
      <w:r w:rsidRPr="00645D56">
        <w:t> banc ACA Connects America’s Communs. </w:t>
      </w:r>
      <w:proofErr w:type="spellStart"/>
      <w:r w:rsidRPr="00645D56">
        <w:t>Assn’n</w:t>
      </w:r>
      <w:proofErr w:type="spellEnd"/>
      <w:r w:rsidRPr="00645D56">
        <w:t> v. Bonta, 2022 U.S. App LEXIS 10669 (9th Cir. Apr. 20, 2022).</w:t>
      </w:r>
    </w:p>
  </w:footnote>
  <w:footnote w:id="68">
    <w:p w14:paraId="380497DB" w14:textId="3C7C05CD" w:rsidR="00AB07F5" w:rsidRDefault="00AB07F5" w:rsidP="00AB07F5">
      <w:pPr>
        <w:pStyle w:val="FootnoteText"/>
      </w:pPr>
      <w:r>
        <w:rPr>
          <w:rStyle w:val="FootnoteReference"/>
        </w:rPr>
        <w:footnoteRef/>
      </w:r>
      <w:r>
        <w:t xml:space="preserve"> </w:t>
      </w:r>
      <w:r w:rsidRPr="005838DE">
        <w:rPr>
          <w:i/>
          <w:iCs/>
        </w:rPr>
        <w:t>In re IP</w:t>
      </w:r>
      <w:r w:rsidR="006951D5">
        <w:rPr>
          <w:i/>
          <w:iCs/>
        </w:rPr>
        <w:noBreakHyphen/>
      </w:r>
      <w:r w:rsidRPr="005838DE">
        <w:rPr>
          <w:i/>
          <w:iCs/>
        </w:rPr>
        <w:t>Enabled Services Proceeding, First Report and Order and NOPR</w:t>
      </w:r>
      <w:r w:rsidRPr="005159E6">
        <w:t xml:space="preserve"> (WC Docket </w:t>
      </w:r>
      <w:r w:rsidR="00536209">
        <w:t>No. </w:t>
      </w:r>
      <w:r w:rsidRPr="005159E6">
        <w:t>04</w:t>
      </w:r>
      <w:r w:rsidR="006951D5">
        <w:noBreakHyphen/>
      </w:r>
      <w:r w:rsidRPr="005159E6">
        <w:t>36) 2</w:t>
      </w:r>
      <w:r w:rsidR="007A588A">
        <w:t>0 FCC</w:t>
      </w:r>
      <w:r w:rsidRPr="005159E6">
        <w:t xml:space="preserve"> </w:t>
      </w:r>
      <w:proofErr w:type="spellStart"/>
      <w:r w:rsidRPr="005159E6">
        <w:t>Rcd</w:t>
      </w:r>
      <w:proofErr w:type="spellEnd"/>
      <w:r w:rsidRPr="005159E6">
        <w:t xml:space="preserve"> 10245.</w:t>
      </w:r>
    </w:p>
  </w:footnote>
  <w:footnote w:id="69">
    <w:p w14:paraId="23428606" w14:textId="36DE05F0" w:rsidR="00AB07F5" w:rsidRDefault="00AB07F5" w:rsidP="00AB07F5">
      <w:pPr>
        <w:pStyle w:val="FootnoteText"/>
      </w:pPr>
      <w:r>
        <w:rPr>
          <w:rStyle w:val="FootnoteReference"/>
        </w:rPr>
        <w:footnoteRef/>
      </w:r>
      <w:r>
        <w:t xml:space="preserve"> </w:t>
      </w:r>
      <w:r w:rsidRPr="005838DE">
        <w:rPr>
          <w:i/>
          <w:iCs/>
        </w:rPr>
        <w:t>Universal Service Contribution Methodology Proceeding, Report and Order of Proposed Rulemaking</w:t>
      </w:r>
      <w:r w:rsidRPr="00BB310C">
        <w:t xml:space="preserve"> (WC Docket </w:t>
      </w:r>
      <w:r w:rsidR="00536209">
        <w:t>No. </w:t>
      </w:r>
      <w:r w:rsidRPr="00BB310C">
        <w:t>06</w:t>
      </w:r>
      <w:r w:rsidR="006951D5">
        <w:noBreakHyphen/>
      </w:r>
      <w:r w:rsidRPr="00BB310C">
        <w:t>122) (2006) 2</w:t>
      </w:r>
      <w:r w:rsidR="007A588A">
        <w:t>1 FCC</w:t>
      </w:r>
      <w:r w:rsidRPr="00BB310C">
        <w:t xml:space="preserve"> </w:t>
      </w:r>
      <w:proofErr w:type="spellStart"/>
      <w:r w:rsidRPr="00BB310C">
        <w:t>Rcd</w:t>
      </w:r>
      <w:proofErr w:type="spellEnd"/>
      <w:r w:rsidRPr="00BB310C">
        <w:t xml:space="preserve"> 7518</w:t>
      </w:r>
      <w:r w:rsidR="00834144">
        <w:t xml:space="preserve"> at </w:t>
      </w:r>
      <w:r w:rsidR="00475CE6">
        <w:t>¶ </w:t>
      </w:r>
      <w:r w:rsidRPr="00BB310C">
        <w:t>2.</w:t>
      </w:r>
      <w:r w:rsidR="00CD0E2A">
        <w:t xml:space="preserve"> </w:t>
      </w:r>
      <w:r w:rsidRPr="00F826A2">
        <w:t>On appeal, the U.S. Court of Appeals for the District of Columbia upheld the FCC</w:t>
      </w:r>
      <w:r w:rsidR="00893D67">
        <w:t>’</w:t>
      </w:r>
      <w:r w:rsidRPr="00F826A2">
        <w:t xml:space="preserve">s statutory authority to require </w:t>
      </w:r>
      <w:r w:rsidR="00D84D6F">
        <w:t>interconnected VoIP</w:t>
      </w:r>
      <w:r w:rsidRPr="00F826A2">
        <w:t xml:space="preserve"> providers to make USF contributions and found that the FCC acted reasonably in analogizing </w:t>
      </w:r>
      <w:r w:rsidR="00D84D6F">
        <w:t>interconnected VoIP</w:t>
      </w:r>
      <w:r w:rsidRPr="00F826A2">
        <w:t xml:space="preserve"> to wireline toll service for purposes of setting the presumptive percentage of </w:t>
      </w:r>
      <w:r w:rsidR="00D84D6F">
        <w:t>interconnected VoIP</w:t>
      </w:r>
      <w:r w:rsidRPr="00F826A2">
        <w:t xml:space="preserve"> revenues generated interstate and internationally</w:t>
      </w:r>
      <w:r w:rsidRPr="00002896">
        <w:t>.</w:t>
      </w:r>
      <w:r w:rsidR="00CD0E2A">
        <w:t xml:space="preserve"> </w:t>
      </w:r>
      <w:r w:rsidR="00002896" w:rsidRPr="00002896">
        <w:t>(</w:t>
      </w:r>
      <w:r w:rsidRPr="005838DE">
        <w:rPr>
          <w:i/>
          <w:iCs/>
        </w:rPr>
        <w:t>Vonage Holdings Corp.</w:t>
      </w:r>
      <w:r w:rsidR="00877D37">
        <w:rPr>
          <w:i/>
          <w:iCs/>
        </w:rPr>
        <w:t xml:space="preserve"> v. </w:t>
      </w:r>
      <w:r w:rsidRPr="005838DE">
        <w:rPr>
          <w:i/>
          <w:iCs/>
        </w:rPr>
        <w:t>FCC</w:t>
      </w:r>
      <w:r w:rsidR="003C20B8">
        <w:t>,</w:t>
      </w:r>
      <w:r w:rsidRPr="00F826A2">
        <w:t xml:space="preserve"> 498</w:t>
      </w:r>
      <w:r w:rsidR="00002896">
        <w:t> F.3d</w:t>
      </w:r>
      <w:r w:rsidRPr="00F826A2">
        <w:t xml:space="preserve"> 1232</w:t>
      </w:r>
      <w:r w:rsidR="003C20B8">
        <w:t xml:space="preserve"> </w:t>
      </w:r>
      <w:r w:rsidR="003C20B8" w:rsidRPr="00F826A2">
        <w:t>(D.C. Cir. 2007)</w:t>
      </w:r>
      <w:r w:rsidRPr="00F826A2">
        <w:t>.</w:t>
      </w:r>
      <w:r w:rsidR="00002896">
        <w:t>)</w:t>
      </w:r>
    </w:p>
  </w:footnote>
  <w:footnote w:id="70">
    <w:p w14:paraId="4A1C695F" w14:textId="17DA4A0E" w:rsidR="00AB07F5" w:rsidRDefault="00AB07F5" w:rsidP="00AB07F5">
      <w:pPr>
        <w:pStyle w:val="FootnoteText"/>
      </w:pPr>
      <w:r>
        <w:rPr>
          <w:rStyle w:val="FootnoteReference"/>
        </w:rPr>
        <w:footnoteRef/>
      </w:r>
      <w:r>
        <w:t xml:space="preserve"> </w:t>
      </w:r>
      <w:r w:rsidRPr="005838DE">
        <w:rPr>
          <w:i/>
          <w:iCs/>
        </w:rPr>
        <w:t>Id</w:t>
      </w:r>
      <w:r>
        <w:t xml:space="preserve">. at </w:t>
      </w:r>
      <w:r w:rsidR="00475CE6">
        <w:t>¶ </w:t>
      </w:r>
      <w:r w:rsidRPr="0023483E">
        <w:t>56.</w:t>
      </w:r>
    </w:p>
  </w:footnote>
  <w:footnote w:id="71">
    <w:p w14:paraId="3F034F82" w14:textId="3EA1F004" w:rsidR="00AB07F5" w:rsidRDefault="00AB07F5" w:rsidP="00AB07F5">
      <w:pPr>
        <w:pStyle w:val="FootnoteText"/>
      </w:pPr>
      <w:r>
        <w:rPr>
          <w:rStyle w:val="FootnoteReference"/>
        </w:rPr>
        <w:footnoteRef/>
      </w:r>
      <w:r>
        <w:t xml:space="preserve"> </w:t>
      </w:r>
      <w:r w:rsidRPr="005838DE">
        <w:rPr>
          <w:i/>
          <w:iCs/>
        </w:rPr>
        <w:t>Id</w:t>
      </w:r>
      <w:r>
        <w:t xml:space="preserve">. </w:t>
      </w:r>
      <w:r w:rsidRPr="008C0E8A">
        <w:t xml:space="preserve">at </w:t>
      </w:r>
      <w:r w:rsidR="00475CE6">
        <w:t>¶ </w:t>
      </w:r>
      <w:r w:rsidRPr="008C0E8A">
        <w:t>38.</w:t>
      </w:r>
    </w:p>
  </w:footnote>
  <w:footnote w:id="72">
    <w:p w14:paraId="7D0DFA93" w14:textId="7251898B" w:rsidR="00AB07F5" w:rsidRDefault="00AB07F5" w:rsidP="00AB07F5">
      <w:pPr>
        <w:pStyle w:val="FootnoteText"/>
      </w:pPr>
      <w:r>
        <w:rPr>
          <w:rStyle w:val="FootnoteReference"/>
        </w:rPr>
        <w:footnoteRef/>
      </w:r>
      <w:r>
        <w:t xml:space="preserve"> </w:t>
      </w:r>
      <w:r w:rsidRPr="005838DE">
        <w:rPr>
          <w:i/>
          <w:iCs/>
        </w:rPr>
        <w:t>Id</w:t>
      </w:r>
      <w:r>
        <w:t xml:space="preserve">. at </w:t>
      </w:r>
      <w:r w:rsidR="00475CE6">
        <w:t>¶ </w:t>
      </w:r>
      <w:r>
        <w:t xml:space="preserve">2, quoting </w:t>
      </w:r>
      <w:r w:rsidRPr="057D5E1A">
        <w:rPr>
          <w:i/>
          <w:iCs/>
        </w:rPr>
        <w:t>CALEA First Report and Order</w:t>
      </w:r>
      <w:r>
        <w:t>, 2</w:t>
      </w:r>
      <w:r w:rsidR="007A588A">
        <w:t>0 FCC</w:t>
      </w:r>
      <w:r>
        <w:t xml:space="preserve"> </w:t>
      </w:r>
      <w:proofErr w:type="spellStart"/>
      <w:r>
        <w:t>Rcd</w:t>
      </w:r>
      <w:proofErr w:type="spellEnd"/>
      <w:r w:rsidR="007551DD">
        <w:t xml:space="preserve"> at </w:t>
      </w:r>
      <w:r>
        <w:t>15009</w:t>
      </w:r>
      <w:r w:rsidR="006951D5">
        <w:noBreakHyphen/>
      </w:r>
      <w:r>
        <w:t xml:space="preserve">10, </w:t>
      </w:r>
      <w:r w:rsidR="00475CE6">
        <w:t>¶ </w:t>
      </w:r>
      <w:r>
        <w:t>42.</w:t>
      </w:r>
    </w:p>
  </w:footnote>
  <w:footnote w:id="73">
    <w:p w14:paraId="43EA4D28" w14:textId="37907F8C" w:rsidR="000D69CB" w:rsidRDefault="000D69CB">
      <w:pPr>
        <w:pStyle w:val="FootnoteText"/>
      </w:pPr>
      <w:r>
        <w:rPr>
          <w:rStyle w:val="FootnoteReference"/>
        </w:rPr>
        <w:footnoteRef/>
      </w:r>
      <w:r>
        <w:t xml:space="preserve"> S</w:t>
      </w:r>
      <w:r w:rsidRPr="000D69CB">
        <w:rPr>
          <w:i/>
          <w:iCs/>
        </w:rPr>
        <w:t>ee e.g</w:t>
      </w:r>
      <w:r w:rsidRPr="000D69CB">
        <w:t>., Cloud Response to ALJ Ruling at</w:t>
      </w:r>
      <w:r w:rsidRPr="000D69CB">
        <w:rPr>
          <w:rFonts w:ascii="Times New Roman" w:hAnsi="Times New Roman" w:cs="Times New Roman"/>
        </w:rPr>
        <w:t> </w:t>
      </w:r>
      <w:r w:rsidRPr="000D69CB">
        <w:t>4.</w:t>
      </w:r>
    </w:p>
  </w:footnote>
  <w:footnote w:id="74">
    <w:p w14:paraId="31F9FB0E" w14:textId="66DDD681" w:rsidR="00AB07F5" w:rsidRDefault="00AB07F5" w:rsidP="00AB07F5">
      <w:pPr>
        <w:pStyle w:val="FootnoteText"/>
      </w:pPr>
      <w:r>
        <w:rPr>
          <w:rStyle w:val="FootnoteReference"/>
        </w:rPr>
        <w:footnoteRef/>
      </w:r>
      <w:r>
        <w:t xml:space="preserve"> Cal Broadband Opening Comments on the Scoping Memo</w:t>
      </w:r>
      <w:r w:rsidR="007551DD">
        <w:t xml:space="preserve"> at </w:t>
      </w:r>
      <w:r>
        <w:t>11.</w:t>
      </w:r>
    </w:p>
  </w:footnote>
  <w:footnote w:id="75">
    <w:p w14:paraId="156CF7A4" w14:textId="63CF967A" w:rsidR="00390591" w:rsidRPr="003E581E" w:rsidRDefault="00390591">
      <w:pPr>
        <w:pStyle w:val="FootnoteText"/>
      </w:pPr>
      <w:r w:rsidRPr="003E581E">
        <w:rPr>
          <w:rStyle w:val="FootnoteReference"/>
        </w:rPr>
        <w:footnoteRef/>
      </w:r>
      <w:r w:rsidRPr="003E581E">
        <w:t xml:space="preserve"> </w:t>
      </w:r>
      <w:r w:rsidRPr="00645D56">
        <w:rPr>
          <w:i/>
          <w:iCs/>
        </w:rPr>
        <w:t>See</w:t>
      </w:r>
      <w:r w:rsidRPr="00645D56">
        <w:t> e.g., AT&amp;T Order (In the Matter of Petition for Declaratory Ruling that AT&amp;T’s Phone-to-Phone IP Telephony Services are Exempt from Access Charges (2004) 19 FCC </w:t>
      </w:r>
      <w:proofErr w:type="spellStart"/>
      <w:r w:rsidRPr="00645D56">
        <w:t>Rcd</w:t>
      </w:r>
      <w:proofErr w:type="spellEnd"/>
      <w:r w:rsidRPr="00645D56">
        <w:t> 7457; also known as the “IP-in-the-Middle Order”).</w:t>
      </w:r>
      <w:r w:rsidRPr="003E581E">
        <w:t> </w:t>
      </w:r>
    </w:p>
  </w:footnote>
  <w:footnote w:id="76">
    <w:p w14:paraId="5E21072D" w14:textId="1E4E7DEA" w:rsidR="00AB07F5" w:rsidRDefault="00AB07F5" w:rsidP="00AB07F5">
      <w:pPr>
        <w:pStyle w:val="FootnoteText"/>
      </w:pPr>
      <w:r>
        <w:rPr>
          <w:rStyle w:val="FootnoteReference"/>
        </w:rPr>
        <w:footnoteRef/>
      </w:r>
      <w:r>
        <w:t xml:space="preserve"> Joint Consumers Response to ALJ Ruling</w:t>
      </w:r>
      <w:r w:rsidR="007551DD">
        <w:t xml:space="preserve"> at </w:t>
      </w:r>
      <w:r>
        <w:t>7</w:t>
      </w:r>
      <w:r w:rsidR="006951D5">
        <w:noBreakHyphen/>
      </w:r>
      <w:r>
        <w:t>12.</w:t>
      </w:r>
    </w:p>
  </w:footnote>
  <w:footnote w:id="77">
    <w:p w14:paraId="17459706" w14:textId="6BA3D139" w:rsidR="00BB1F25" w:rsidRDefault="00BB1F25" w:rsidP="00BB1F25">
      <w:pPr>
        <w:pStyle w:val="FootnoteText"/>
      </w:pPr>
      <w:r>
        <w:rPr>
          <w:rStyle w:val="FootnoteReference"/>
        </w:rPr>
        <w:footnoteRef/>
      </w:r>
      <w:r>
        <w:t xml:space="preserve"> VON Coalition Opening Comments on the proposed decision at 5.</w:t>
      </w:r>
    </w:p>
  </w:footnote>
  <w:footnote w:id="78">
    <w:p w14:paraId="63BF7FE5" w14:textId="4955A8B7" w:rsidR="00BB1F25" w:rsidRDefault="00BB1F25" w:rsidP="00BB1F25">
      <w:pPr>
        <w:pStyle w:val="FootnoteText"/>
      </w:pPr>
      <w:r>
        <w:rPr>
          <w:rStyle w:val="FootnoteReference"/>
        </w:rPr>
        <w:footnoteRef/>
      </w:r>
      <w:r>
        <w:t xml:space="preserve"> Cloud Opening Comments on the proposed decision at 2-5.</w:t>
      </w:r>
    </w:p>
  </w:footnote>
  <w:footnote w:id="79">
    <w:p w14:paraId="449A4F4E" w14:textId="646A7E32" w:rsidR="00BB1F25" w:rsidRDefault="00BB1F25" w:rsidP="00BB1F25">
      <w:pPr>
        <w:pStyle w:val="FootnoteText"/>
      </w:pPr>
      <w:r>
        <w:rPr>
          <w:rStyle w:val="FootnoteReference"/>
        </w:rPr>
        <w:footnoteRef/>
      </w:r>
      <w:r>
        <w:t xml:space="preserve"> Small LECs Opening Comments on the proposed decision at 6.</w:t>
      </w:r>
    </w:p>
  </w:footnote>
  <w:footnote w:id="80">
    <w:p w14:paraId="2BBC5C3E" w14:textId="77777777" w:rsidR="00B87311" w:rsidRDefault="00B87311" w:rsidP="00B87311">
      <w:pPr>
        <w:pStyle w:val="FootnoteText"/>
      </w:pPr>
      <w:r>
        <w:rPr>
          <w:rStyle w:val="FootnoteReference"/>
        </w:rPr>
        <w:footnoteRef/>
      </w:r>
      <w:r>
        <w:t xml:space="preserve"> D.07-04-024 at 2-3.</w:t>
      </w:r>
    </w:p>
  </w:footnote>
  <w:footnote w:id="81">
    <w:p w14:paraId="742B7622" w14:textId="77777777" w:rsidR="00B87311" w:rsidRDefault="00B87311" w:rsidP="00B87311">
      <w:pPr>
        <w:pStyle w:val="FootnoteText"/>
      </w:pPr>
      <w:r>
        <w:rPr>
          <w:rStyle w:val="FootnoteReference"/>
        </w:rPr>
        <w:footnoteRef/>
      </w:r>
      <w:r>
        <w:t xml:space="preserve"> OIR 94-02-003/OII 94-02-004 at 16.</w:t>
      </w:r>
    </w:p>
  </w:footnote>
  <w:footnote w:id="82">
    <w:p w14:paraId="425FFEB9" w14:textId="77777777" w:rsidR="00B87311" w:rsidRDefault="00B87311" w:rsidP="00B87311">
      <w:pPr>
        <w:pStyle w:val="FootnoteText"/>
      </w:pPr>
      <w:r>
        <w:rPr>
          <w:rStyle w:val="FootnoteReference"/>
        </w:rPr>
        <w:footnoteRef/>
      </w:r>
      <w:r>
        <w:t xml:space="preserve"> For example, Commission decisions in OII 83-06-01 addressed exemptions from section 851-854. Decisions in A.84-03-92 addressed exemptions from section 816-830. </w:t>
      </w:r>
    </w:p>
  </w:footnote>
  <w:footnote w:id="83">
    <w:p w14:paraId="77BBC928" w14:textId="77777777" w:rsidR="00B87311" w:rsidRPr="00AD1CFF" w:rsidRDefault="00B87311" w:rsidP="00B87311">
      <w:pPr>
        <w:pStyle w:val="FootnoteText"/>
      </w:pPr>
      <w:r>
        <w:rPr>
          <w:rStyle w:val="FootnoteReference"/>
        </w:rPr>
        <w:footnoteRef/>
      </w:r>
      <w:r>
        <w:t xml:space="preserve"> D.10-09-017 at 1, as updated by D.11-09-026, D.14-11-004.</w:t>
      </w:r>
    </w:p>
  </w:footnote>
  <w:footnote w:id="84">
    <w:p w14:paraId="63C49C09" w14:textId="3D71A849" w:rsidR="00966F23" w:rsidRDefault="00966F23" w:rsidP="00966F23">
      <w:pPr>
        <w:pStyle w:val="FootnoteText"/>
      </w:pPr>
      <w:r>
        <w:rPr>
          <w:rStyle w:val="FootnoteReference"/>
        </w:rPr>
        <w:footnoteRef/>
      </w:r>
      <w:r>
        <w:t xml:space="preserve"> AT&amp;T Opening Comments on the OIR</w:t>
      </w:r>
      <w:r w:rsidR="007551DD">
        <w:t xml:space="preserve"> at </w:t>
      </w:r>
      <w:r>
        <w:t>6</w:t>
      </w:r>
      <w:r w:rsidR="0058428F">
        <w:t xml:space="preserve">, </w:t>
      </w:r>
      <w:r w:rsidR="0003646D">
        <w:t xml:space="preserve">Joint Consumers Opening Comments on the Scoping Memo at 3, 16, and </w:t>
      </w:r>
      <w:r w:rsidR="0003646D">
        <w:rPr>
          <w:szCs w:val="22"/>
        </w:rPr>
        <w:t>CforAT and TURN’s Technological Methods Response filed March 9, 20203, at 3</w:t>
      </w:r>
      <w:r w:rsidR="006951D5">
        <w:rPr>
          <w:szCs w:val="22"/>
        </w:rPr>
        <w:noBreakHyphen/>
      </w:r>
      <w:r w:rsidR="0003646D">
        <w:rPr>
          <w:szCs w:val="22"/>
        </w:rPr>
        <w:t>7; Attachment A at A2</w:t>
      </w:r>
      <w:r w:rsidR="006951D5">
        <w:rPr>
          <w:szCs w:val="22"/>
        </w:rPr>
        <w:noBreakHyphen/>
      </w:r>
      <w:r w:rsidR="0003646D">
        <w:rPr>
          <w:szCs w:val="22"/>
        </w:rPr>
        <w:t>A5, A7, A10</w:t>
      </w:r>
      <w:r w:rsidR="006951D5">
        <w:rPr>
          <w:szCs w:val="22"/>
        </w:rPr>
        <w:noBreakHyphen/>
      </w:r>
      <w:r w:rsidR="0003646D">
        <w:rPr>
          <w:szCs w:val="22"/>
        </w:rPr>
        <w:t>A11, A13.</w:t>
      </w:r>
    </w:p>
  </w:footnote>
  <w:footnote w:id="85">
    <w:p w14:paraId="08A2FB96" w14:textId="4DB61C1F" w:rsidR="00966F23" w:rsidRDefault="00966F23" w:rsidP="00966F23">
      <w:pPr>
        <w:pStyle w:val="FootnoteText"/>
      </w:pPr>
      <w:r>
        <w:rPr>
          <w:rStyle w:val="FootnoteReference"/>
        </w:rPr>
        <w:footnoteRef/>
      </w:r>
      <w:r>
        <w:t xml:space="preserve"> Joint Consumers Response to ALJ Ruling</w:t>
      </w:r>
      <w:r w:rsidR="007551DD">
        <w:t xml:space="preserve"> at </w:t>
      </w:r>
      <w:r>
        <w:t>4</w:t>
      </w:r>
      <w:r w:rsidR="006951D5">
        <w:noBreakHyphen/>
      </w:r>
      <w:r>
        <w:t>7.</w:t>
      </w:r>
    </w:p>
  </w:footnote>
  <w:footnote w:id="86">
    <w:p w14:paraId="6F9A55B3" w14:textId="63BCF850" w:rsidR="00966F23" w:rsidRDefault="00966F23" w:rsidP="00966F23">
      <w:pPr>
        <w:pStyle w:val="FootnoteText"/>
      </w:pPr>
      <w:r>
        <w:rPr>
          <w:rStyle w:val="FootnoteReference"/>
        </w:rPr>
        <w:footnoteRef/>
      </w:r>
      <w:r>
        <w:t xml:space="preserve"> OIR</w:t>
      </w:r>
      <w:r w:rsidR="007551DD">
        <w:t xml:space="preserve"> at </w:t>
      </w:r>
      <w:r>
        <w:t>A</w:t>
      </w:r>
      <w:r w:rsidR="006951D5">
        <w:noBreakHyphen/>
      </w:r>
      <w:r>
        <w:t>2.</w:t>
      </w:r>
    </w:p>
  </w:footnote>
  <w:footnote w:id="87">
    <w:p w14:paraId="58F6C4F0" w14:textId="77777777" w:rsidR="009521F8" w:rsidRDefault="009521F8" w:rsidP="009521F8">
      <w:pPr>
        <w:pStyle w:val="FootnoteText"/>
      </w:pPr>
      <w:r>
        <w:rPr>
          <w:rStyle w:val="FootnoteReference"/>
        </w:rPr>
        <w:footnoteRef/>
      </w:r>
      <w:r>
        <w:t xml:space="preserve"> Frontier Opening Comments on the OIR at 1.</w:t>
      </w:r>
    </w:p>
  </w:footnote>
  <w:footnote w:id="88">
    <w:p w14:paraId="0DEE0495" w14:textId="77777777" w:rsidR="009521F8" w:rsidRDefault="009521F8" w:rsidP="009521F8">
      <w:pPr>
        <w:pStyle w:val="FootnoteText"/>
      </w:pPr>
      <w:r>
        <w:rPr>
          <w:rStyle w:val="FootnoteReference"/>
        </w:rPr>
        <w:footnoteRef/>
      </w:r>
      <w:r>
        <w:t xml:space="preserve"> Consolidated Opening Comments on the OIR at 1.</w:t>
      </w:r>
    </w:p>
  </w:footnote>
  <w:footnote w:id="89">
    <w:p w14:paraId="73D0FDB3" w14:textId="021E8FAA" w:rsidR="009521F8" w:rsidRPr="00E0524C" w:rsidRDefault="009521F8" w:rsidP="009521F8">
      <w:pPr>
        <w:pStyle w:val="FootnoteText"/>
      </w:pPr>
      <w:r>
        <w:rPr>
          <w:rStyle w:val="FootnoteReference"/>
        </w:rPr>
        <w:footnoteRef/>
      </w:r>
      <w:r>
        <w:t xml:space="preserve"> RT 36:18</w:t>
      </w:r>
      <w:r w:rsidR="006951D5">
        <w:noBreakHyphen/>
      </w:r>
      <w:r>
        <w:t>24.</w:t>
      </w:r>
    </w:p>
  </w:footnote>
  <w:footnote w:id="90">
    <w:p w14:paraId="4EA6B934" w14:textId="430E9EFA" w:rsidR="00A4318A" w:rsidRDefault="00A4318A" w:rsidP="00A4318A">
      <w:pPr>
        <w:pStyle w:val="FootnoteText"/>
      </w:pPr>
      <w:r>
        <w:rPr>
          <w:rStyle w:val="FootnoteReference"/>
        </w:rPr>
        <w:footnoteRef/>
      </w:r>
      <w:r>
        <w:t xml:space="preserve"> RT 36:18</w:t>
      </w:r>
      <w:r w:rsidR="006951D5">
        <w:noBreakHyphen/>
      </w:r>
      <w:r>
        <w:t>24 and RT </w:t>
      </w:r>
      <w:r w:rsidRPr="00C01C9B">
        <w:t>15:17</w:t>
      </w:r>
      <w:r w:rsidR="006951D5">
        <w:noBreakHyphen/>
      </w:r>
      <w:r w:rsidRPr="00C01C9B">
        <w:t>24</w:t>
      </w:r>
      <w:r>
        <w:t>.</w:t>
      </w:r>
    </w:p>
  </w:footnote>
  <w:footnote w:id="91">
    <w:p w14:paraId="11927AB7" w14:textId="32E2BBC1" w:rsidR="00E92D3C" w:rsidRDefault="00E92D3C" w:rsidP="00E92D3C">
      <w:pPr>
        <w:pStyle w:val="FootnoteText"/>
      </w:pPr>
      <w:r>
        <w:rPr>
          <w:rStyle w:val="FootnoteReference"/>
        </w:rPr>
        <w:footnoteRef/>
      </w:r>
      <w:r>
        <w:t xml:space="preserve"> Cox Response to ALJ Ruling</w:t>
      </w:r>
      <w:r w:rsidR="007551DD">
        <w:t xml:space="preserve"> at </w:t>
      </w:r>
      <w:r>
        <w:t xml:space="preserve">2 and </w:t>
      </w:r>
      <w:r w:rsidR="00256E52">
        <w:t>RT </w:t>
      </w:r>
      <w:r>
        <w:t>45:17</w:t>
      </w:r>
      <w:r w:rsidR="006951D5">
        <w:noBreakHyphen/>
      </w:r>
      <w:r>
        <w:t xml:space="preserve">25 and </w:t>
      </w:r>
      <w:r w:rsidR="00256E52">
        <w:t>RT </w:t>
      </w:r>
      <w:r>
        <w:t>46:1</w:t>
      </w:r>
      <w:r w:rsidR="006951D5">
        <w:noBreakHyphen/>
      </w:r>
      <w:r>
        <w:t>3.</w:t>
      </w:r>
    </w:p>
  </w:footnote>
  <w:footnote w:id="92">
    <w:p w14:paraId="64BD26CD" w14:textId="6F6EBA53" w:rsidR="00E92D3C" w:rsidRDefault="00E92D3C" w:rsidP="00E92D3C">
      <w:pPr>
        <w:pStyle w:val="FootnoteText"/>
      </w:pPr>
      <w:r>
        <w:rPr>
          <w:rStyle w:val="FootnoteReference"/>
        </w:rPr>
        <w:footnoteRef/>
      </w:r>
      <w:r>
        <w:t xml:space="preserve"> </w:t>
      </w:r>
      <w:r w:rsidR="00701EC0">
        <w:t>Small LEC Response to ALJ Ruling</w:t>
      </w:r>
      <w:r w:rsidR="00EF4D88">
        <w:t xml:space="preserve"> at</w:t>
      </w:r>
      <w:r w:rsidR="00844EAF">
        <w:t> </w:t>
      </w:r>
      <w:r w:rsidR="00701EC0">
        <w:t>3</w:t>
      </w:r>
      <w:r w:rsidR="00844EAF">
        <w:noBreakHyphen/>
      </w:r>
      <w:r w:rsidR="00701EC0">
        <w:t xml:space="preserve">4, 7, and </w:t>
      </w:r>
      <w:r w:rsidR="00256E52">
        <w:t>RT </w:t>
      </w:r>
      <w:r>
        <w:t>40:24</w:t>
      </w:r>
      <w:r w:rsidR="006951D5">
        <w:noBreakHyphen/>
      </w:r>
      <w:r>
        <w:t xml:space="preserve">25; </w:t>
      </w:r>
      <w:r w:rsidR="00256E52">
        <w:t>RT </w:t>
      </w:r>
      <w:r>
        <w:t>41:1</w:t>
      </w:r>
      <w:r w:rsidR="006951D5">
        <w:noBreakHyphen/>
      </w:r>
      <w:r>
        <w:t>5.</w:t>
      </w:r>
    </w:p>
  </w:footnote>
  <w:footnote w:id="93">
    <w:p w14:paraId="1E85AA27" w14:textId="00416AFA" w:rsidR="00E92D3C" w:rsidRDefault="00E92D3C" w:rsidP="00E92D3C">
      <w:pPr>
        <w:pStyle w:val="FootnoteText"/>
      </w:pPr>
      <w:r>
        <w:rPr>
          <w:rStyle w:val="FootnoteReference"/>
        </w:rPr>
        <w:footnoteRef/>
      </w:r>
      <w:r>
        <w:t xml:space="preserve"> </w:t>
      </w:r>
      <w:r w:rsidR="00256E52">
        <w:t>RT </w:t>
      </w:r>
      <w:r>
        <w:t>41:18</w:t>
      </w:r>
      <w:r w:rsidR="006951D5">
        <w:noBreakHyphen/>
      </w:r>
      <w:r>
        <w:t xml:space="preserve">25; </w:t>
      </w:r>
      <w:r w:rsidR="00637D9E">
        <w:t>RT </w:t>
      </w:r>
      <w:r>
        <w:t>42:1</w:t>
      </w:r>
      <w:r w:rsidR="006951D5">
        <w:noBreakHyphen/>
      </w:r>
      <w:r>
        <w:t>17.</w:t>
      </w:r>
    </w:p>
  </w:footnote>
  <w:footnote w:id="94">
    <w:p w14:paraId="08DD6F11" w14:textId="56CAE115" w:rsidR="00E92D3C" w:rsidRDefault="00E92D3C" w:rsidP="00E92D3C">
      <w:pPr>
        <w:pStyle w:val="FootnoteText"/>
      </w:pPr>
      <w:r>
        <w:rPr>
          <w:rStyle w:val="FootnoteReference"/>
        </w:rPr>
        <w:footnoteRef/>
      </w:r>
      <w:r>
        <w:t xml:space="preserve"> RT</w:t>
      </w:r>
      <w:r w:rsidR="00534B2F">
        <w:t> </w:t>
      </w:r>
      <w:r>
        <w:t>14:10</w:t>
      </w:r>
      <w:r w:rsidR="006951D5">
        <w:noBreakHyphen/>
      </w:r>
      <w:r>
        <w:t>24</w:t>
      </w:r>
      <w:r w:rsidR="0068185E">
        <w:t xml:space="preserve"> and Comcast</w:t>
      </w:r>
      <w:r w:rsidR="0066442E">
        <w:t xml:space="preserve"> Response to ALJ Ruling</w:t>
      </w:r>
      <w:r w:rsidR="007551DD">
        <w:t xml:space="preserve"> at </w:t>
      </w:r>
      <w:r w:rsidR="00783B54">
        <w:t>5</w:t>
      </w:r>
      <w:r w:rsidR="006951D5">
        <w:noBreakHyphen/>
      </w:r>
      <w:r w:rsidR="009C61DC">
        <w:t>14.</w:t>
      </w:r>
    </w:p>
  </w:footnote>
  <w:footnote w:id="95">
    <w:p w14:paraId="1D03C88B" w14:textId="2D725C57" w:rsidR="008B1A18" w:rsidRDefault="008B1A18">
      <w:pPr>
        <w:pStyle w:val="FootnoteText"/>
      </w:pPr>
      <w:r>
        <w:rPr>
          <w:rStyle w:val="FootnoteReference"/>
        </w:rPr>
        <w:footnoteRef/>
      </w:r>
      <w:r>
        <w:t xml:space="preserve"> Comcast Response to ALJ Ruling</w:t>
      </w:r>
      <w:r w:rsidR="007551DD">
        <w:t xml:space="preserve"> at </w:t>
      </w:r>
      <w:r w:rsidR="00E218EC">
        <w:t>14</w:t>
      </w:r>
      <w:r w:rsidR="00A564B9">
        <w:t xml:space="preserve"> (footnote</w:t>
      </w:r>
      <w:r w:rsidR="008B47FB">
        <w:t> </w:t>
      </w:r>
      <w:r w:rsidR="00A564B9">
        <w:t>13).</w:t>
      </w:r>
    </w:p>
  </w:footnote>
  <w:footnote w:id="96">
    <w:p w14:paraId="1D3AA40B" w14:textId="1E6EFF67" w:rsidR="00E164C9" w:rsidRDefault="00E164C9" w:rsidP="00E164C9">
      <w:pPr>
        <w:pStyle w:val="FootnoteText"/>
      </w:pPr>
      <w:r>
        <w:rPr>
          <w:rStyle w:val="FootnoteReference"/>
        </w:rPr>
        <w:footnoteRef/>
      </w:r>
      <w:r>
        <w:t xml:space="preserve"> US Telecom Opening Comments on Scoping Memo</w:t>
      </w:r>
      <w:r w:rsidR="007551DD">
        <w:t xml:space="preserve"> at </w:t>
      </w:r>
      <w:r>
        <w:t>1</w:t>
      </w:r>
      <w:r w:rsidR="006951D5">
        <w:noBreakHyphen/>
      </w:r>
      <w:r>
        <w:t>3.</w:t>
      </w:r>
    </w:p>
  </w:footnote>
  <w:footnote w:id="97">
    <w:p w14:paraId="6DB3EA79" w14:textId="08A20F72" w:rsidR="00E164C9" w:rsidRDefault="00E164C9" w:rsidP="00E164C9">
      <w:pPr>
        <w:pStyle w:val="FootnoteText"/>
      </w:pPr>
      <w:r>
        <w:rPr>
          <w:rStyle w:val="FootnoteReference"/>
        </w:rPr>
        <w:footnoteRef/>
      </w:r>
      <w:r>
        <w:t xml:space="preserve"> Cloud Reply Comments on Scoping Memo</w:t>
      </w:r>
      <w:r w:rsidR="007551DD">
        <w:t xml:space="preserve"> at </w:t>
      </w:r>
      <w:r>
        <w:t>5.</w:t>
      </w:r>
    </w:p>
  </w:footnote>
  <w:footnote w:id="98">
    <w:p w14:paraId="2A3711CE" w14:textId="66D9A81C" w:rsidR="00E164C9" w:rsidRPr="00EE7333" w:rsidRDefault="00E164C9" w:rsidP="00E164C9">
      <w:pPr>
        <w:pStyle w:val="FootnoteText"/>
        <w:rPr>
          <w:i/>
          <w:iCs/>
        </w:rPr>
      </w:pPr>
      <w:r>
        <w:rPr>
          <w:rStyle w:val="FootnoteReference"/>
        </w:rPr>
        <w:footnoteRef/>
      </w:r>
      <w:r>
        <w:t xml:space="preserve"> </w:t>
      </w:r>
      <w:r w:rsidR="00EE7333">
        <w:rPr>
          <w:i/>
          <w:iCs/>
        </w:rPr>
        <w:t>Ibid.</w:t>
      </w:r>
    </w:p>
  </w:footnote>
  <w:footnote w:id="99">
    <w:p w14:paraId="1DB2CA67" w14:textId="7D1E55B7" w:rsidR="00E164C9" w:rsidRDefault="00E164C9" w:rsidP="00E164C9">
      <w:pPr>
        <w:pStyle w:val="FootnoteText"/>
      </w:pPr>
      <w:r>
        <w:rPr>
          <w:rStyle w:val="FootnoteReference"/>
        </w:rPr>
        <w:footnoteRef/>
      </w:r>
      <w:r>
        <w:t xml:space="preserve"> Joint Consumers Opening Comments on the Scoping Memo</w:t>
      </w:r>
      <w:r w:rsidR="007551DD">
        <w:t xml:space="preserve"> at </w:t>
      </w:r>
      <w:r>
        <w:t>3.</w:t>
      </w:r>
    </w:p>
  </w:footnote>
  <w:footnote w:id="100">
    <w:p w14:paraId="6F0B9E97" w14:textId="16C4C3E0" w:rsidR="00E164C9" w:rsidRDefault="00E164C9" w:rsidP="00E164C9">
      <w:pPr>
        <w:pStyle w:val="FootnoteText"/>
      </w:pPr>
      <w:r>
        <w:rPr>
          <w:rStyle w:val="FootnoteReference"/>
        </w:rPr>
        <w:footnoteRef/>
      </w:r>
      <w:r>
        <w:t xml:space="preserve"> Joint Consumers Opening Comments on the Scoping Memo</w:t>
      </w:r>
      <w:r w:rsidR="007551DD">
        <w:t xml:space="preserve"> at </w:t>
      </w:r>
      <w:r>
        <w:t xml:space="preserve">3, 16, and </w:t>
      </w:r>
      <w:r>
        <w:rPr>
          <w:szCs w:val="22"/>
        </w:rPr>
        <w:t>CforAT and TURN</w:t>
      </w:r>
      <w:r w:rsidR="00893D67">
        <w:rPr>
          <w:szCs w:val="22"/>
        </w:rPr>
        <w:t>’</w:t>
      </w:r>
      <w:r>
        <w:rPr>
          <w:szCs w:val="22"/>
        </w:rPr>
        <w:t xml:space="preserve">s Technological Methods Response filed </w:t>
      </w:r>
      <w:r w:rsidR="00400BB6">
        <w:rPr>
          <w:szCs w:val="22"/>
        </w:rPr>
        <w:t>March </w:t>
      </w:r>
      <w:r>
        <w:rPr>
          <w:szCs w:val="22"/>
        </w:rPr>
        <w:t>9, 20203,</w:t>
      </w:r>
      <w:r w:rsidR="007551DD">
        <w:rPr>
          <w:szCs w:val="22"/>
        </w:rPr>
        <w:t xml:space="preserve"> at </w:t>
      </w:r>
      <w:r>
        <w:rPr>
          <w:szCs w:val="22"/>
        </w:rPr>
        <w:t>3</w:t>
      </w:r>
      <w:r w:rsidR="006951D5">
        <w:rPr>
          <w:szCs w:val="22"/>
        </w:rPr>
        <w:noBreakHyphen/>
      </w:r>
      <w:r>
        <w:rPr>
          <w:szCs w:val="22"/>
        </w:rPr>
        <w:t xml:space="preserve">7; </w:t>
      </w:r>
      <w:r w:rsidR="00C813FF">
        <w:rPr>
          <w:szCs w:val="22"/>
        </w:rPr>
        <w:t>Attachment </w:t>
      </w:r>
      <w:r>
        <w:rPr>
          <w:szCs w:val="22"/>
        </w:rPr>
        <w:t>A</w:t>
      </w:r>
      <w:r w:rsidR="007551DD">
        <w:rPr>
          <w:szCs w:val="22"/>
        </w:rPr>
        <w:t xml:space="preserve"> at </w:t>
      </w:r>
      <w:r>
        <w:rPr>
          <w:szCs w:val="22"/>
        </w:rPr>
        <w:t>A2</w:t>
      </w:r>
      <w:r w:rsidR="006951D5">
        <w:rPr>
          <w:szCs w:val="22"/>
        </w:rPr>
        <w:noBreakHyphen/>
      </w:r>
      <w:r>
        <w:rPr>
          <w:szCs w:val="22"/>
        </w:rPr>
        <w:t>A5</w:t>
      </w:r>
      <w:r w:rsidR="007551DD">
        <w:rPr>
          <w:szCs w:val="22"/>
        </w:rPr>
        <w:t>,</w:t>
      </w:r>
      <w:r>
        <w:rPr>
          <w:szCs w:val="22"/>
        </w:rPr>
        <w:t xml:space="preserve"> A7</w:t>
      </w:r>
      <w:r w:rsidR="007551DD">
        <w:rPr>
          <w:szCs w:val="22"/>
        </w:rPr>
        <w:t>,</w:t>
      </w:r>
      <w:r>
        <w:rPr>
          <w:szCs w:val="22"/>
        </w:rPr>
        <w:t xml:space="preserve"> A10</w:t>
      </w:r>
      <w:r w:rsidR="006951D5">
        <w:rPr>
          <w:szCs w:val="22"/>
        </w:rPr>
        <w:noBreakHyphen/>
      </w:r>
      <w:r>
        <w:rPr>
          <w:szCs w:val="22"/>
        </w:rPr>
        <w:t>A11</w:t>
      </w:r>
      <w:r w:rsidR="007551DD">
        <w:rPr>
          <w:szCs w:val="22"/>
        </w:rPr>
        <w:t>,</w:t>
      </w:r>
      <w:r>
        <w:rPr>
          <w:szCs w:val="22"/>
        </w:rPr>
        <w:t xml:space="preserve"> A13.</w:t>
      </w:r>
    </w:p>
  </w:footnote>
  <w:footnote w:id="101">
    <w:p w14:paraId="6DB8B5F3" w14:textId="6AD29BAD" w:rsidR="009810CC" w:rsidRDefault="009810CC" w:rsidP="009810CC">
      <w:pPr>
        <w:pStyle w:val="FootnoteText"/>
      </w:pPr>
      <w:r>
        <w:rPr>
          <w:rStyle w:val="FootnoteReference"/>
        </w:rPr>
        <w:footnoteRef/>
      </w:r>
      <w:r>
        <w:t xml:space="preserve"> Sonic Opening Comments on the proposed decision at 3.</w:t>
      </w:r>
    </w:p>
  </w:footnote>
  <w:footnote w:id="102">
    <w:p w14:paraId="2BD00A82" w14:textId="79465A59" w:rsidR="00E164C9" w:rsidRDefault="00E164C9" w:rsidP="00E164C9">
      <w:pPr>
        <w:pStyle w:val="FootnoteText"/>
      </w:pPr>
      <w:r>
        <w:rPr>
          <w:rStyle w:val="FootnoteReference"/>
        </w:rPr>
        <w:footnoteRef/>
      </w:r>
      <w:r>
        <w:t xml:space="preserve"> Cal Broadband Reply Comments on the OIR</w:t>
      </w:r>
      <w:r w:rsidR="007551DD">
        <w:t xml:space="preserve"> at </w:t>
      </w:r>
      <w:r>
        <w:t>7, Opening Comments on the OIR</w:t>
      </w:r>
      <w:r w:rsidR="004E3961">
        <w:t xml:space="preserve">:  </w:t>
      </w:r>
      <w:r>
        <w:rPr>
          <w:szCs w:val="22"/>
        </w:rPr>
        <w:t>Small LECs</w:t>
      </w:r>
      <w:r w:rsidR="007551DD">
        <w:rPr>
          <w:szCs w:val="22"/>
        </w:rPr>
        <w:t xml:space="preserve"> at </w:t>
      </w:r>
      <w:r>
        <w:rPr>
          <w:szCs w:val="22"/>
        </w:rPr>
        <w:t>7, AT&amp;T</w:t>
      </w:r>
      <w:r w:rsidR="007551DD">
        <w:rPr>
          <w:szCs w:val="22"/>
        </w:rPr>
        <w:t xml:space="preserve"> at </w:t>
      </w:r>
      <w:r>
        <w:rPr>
          <w:szCs w:val="22"/>
        </w:rPr>
        <w:t>16; Consolidated</w:t>
      </w:r>
      <w:r w:rsidR="007551DD">
        <w:rPr>
          <w:szCs w:val="22"/>
        </w:rPr>
        <w:t xml:space="preserve"> at </w:t>
      </w:r>
      <w:r>
        <w:rPr>
          <w:szCs w:val="22"/>
        </w:rPr>
        <w:t>5</w:t>
      </w:r>
      <w:r w:rsidR="006951D5">
        <w:rPr>
          <w:szCs w:val="22"/>
        </w:rPr>
        <w:noBreakHyphen/>
      </w:r>
      <w:r>
        <w:rPr>
          <w:szCs w:val="22"/>
        </w:rPr>
        <w:t>6; Frontier</w:t>
      </w:r>
      <w:r w:rsidR="007551DD">
        <w:rPr>
          <w:szCs w:val="22"/>
        </w:rPr>
        <w:t xml:space="preserve"> at </w:t>
      </w:r>
      <w:r>
        <w:rPr>
          <w:szCs w:val="22"/>
        </w:rPr>
        <w:t>8.</w:t>
      </w:r>
    </w:p>
  </w:footnote>
  <w:footnote w:id="103">
    <w:p w14:paraId="672FD63F" w14:textId="3E11C52E" w:rsidR="00E164C9" w:rsidRDefault="00E164C9" w:rsidP="003E581E">
      <w:pPr>
        <w:pStyle w:val="FootnoteText"/>
        <w:spacing w:before="120"/>
      </w:pPr>
      <w:r>
        <w:rPr>
          <w:rStyle w:val="FootnoteReference"/>
        </w:rPr>
        <w:footnoteRef/>
      </w:r>
      <w:r>
        <w:t xml:space="preserve"> Cal Broadband Reply Comments on the OIR</w:t>
      </w:r>
      <w:r w:rsidR="007551DD">
        <w:t xml:space="preserve"> at </w:t>
      </w:r>
      <w:r>
        <w:t xml:space="preserve">5, citing Opening Comments on the OIR of </w:t>
      </w:r>
      <w:r w:rsidR="00536FD9">
        <w:t>(</w:t>
      </w:r>
      <w:r>
        <w:t>1)</w:t>
      </w:r>
      <w:r w:rsidR="00536FD9">
        <w:t> </w:t>
      </w:r>
      <w:r>
        <w:rPr>
          <w:szCs w:val="22"/>
        </w:rPr>
        <w:t>Consolidated Communications</w:t>
      </w:r>
      <w:r w:rsidR="007551DD">
        <w:rPr>
          <w:szCs w:val="22"/>
        </w:rPr>
        <w:t xml:space="preserve"> at </w:t>
      </w:r>
      <w:r>
        <w:rPr>
          <w:szCs w:val="22"/>
        </w:rPr>
        <w:t>5 (</w:t>
      </w:r>
      <w:r w:rsidR="00893D67">
        <w:rPr>
          <w:szCs w:val="22"/>
        </w:rPr>
        <w:t>“</w:t>
      </w:r>
      <w:r>
        <w:rPr>
          <w:szCs w:val="22"/>
        </w:rPr>
        <w:t xml:space="preserve">The Commission should not deem interconnected VoIP service a </w:t>
      </w:r>
      <w:r w:rsidR="00893D67">
        <w:rPr>
          <w:szCs w:val="22"/>
        </w:rPr>
        <w:t>‘</w:t>
      </w:r>
      <w:r>
        <w:rPr>
          <w:szCs w:val="22"/>
        </w:rPr>
        <w:t>competitive local exchange</w:t>
      </w:r>
      <w:r w:rsidR="00893D67">
        <w:rPr>
          <w:szCs w:val="22"/>
        </w:rPr>
        <w:t>’</w:t>
      </w:r>
      <w:r>
        <w:rPr>
          <w:szCs w:val="22"/>
        </w:rPr>
        <w:t xml:space="preserve"> or </w:t>
      </w:r>
      <w:r w:rsidR="00893D67">
        <w:rPr>
          <w:szCs w:val="22"/>
        </w:rPr>
        <w:t>‘</w:t>
      </w:r>
      <w:r>
        <w:rPr>
          <w:szCs w:val="22"/>
        </w:rPr>
        <w:t>interexchange</w:t>
      </w:r>
      <w:r w:rsidR="00893D67">
        <w:rPr>
          <w:szCs w:val="22"/>
        </w:rPr>
        <w:t>’</w:t>
      </w:r>
      <w:r>
        <w:rPr>
          <w:szCs w:val="22"/>
        </w:rPr>
        <w:t xml:space="preserve"> service; it should identify interconnected VoIP providers according to their own designation.</w:t>
      </w:r>
      <w:r w:rsidR="00893D67">
        <w:rPr>
          <w:szCs w:val="22"/>
        </w:rPr>
        <w:t>”</w:t>
      </w:r>
      <w:r>
        <w:rPr>
          <w:szCs w:val="22"/>
        </w:rPr>
        <w:t xml:space="preserve">); </w:t>
      </w:r>
      <w:r w:rsidR="00536FD9">
        <w:rPr>
          <w:szCs w:val="22"/>
        </w:rPr>
        <w:t>(</w:t>
      </w:r>
      <w:r>
        <w:rPr>
          <w:szCs w:val="22"/>
        </w:rPr>
        <w:t>2)</w:t>
      </w:r>
      <w:r w:rsidR="00536FD9">
        <w:rPr>
          <w:szCs w:val="22"/>
        </w:rPr>
        <w:t> </w:t>
      </w:r>
      <w:r>
        <w:rPr>
          <w:szCs w:val="22"/>
        </w:rPr>
        <w:t>Frontier</w:t>
      </w:r>
      <w:r w:rsidR="007551DD">
        <w:rPr>
          <w:szCs w:val="22"/>
        </w:rPr>
        <w:t xml:space="preserve"> at </w:t>
      </w:r>
      <w:r>
        <w:rPr>
          <w:szCs w:val="22"/>
        </w:rPr>
        <w:t>7 (</w:t>
      </w:r>
      <w:r w:rsidR="00893D67">
        <w:rPr>
          <w:szCs w:val="22"/>
        </w:rPr>
        <w:t>“</w:t>
      </w:r>
      <w:r>
        <w:rPr>
          <w:szCs w:val="22"/>
        </w:rPr>
        <w:t xml:space="preserve">[T]he Commission should not deem interconnected VoIP service a </w:t>
      </w:r>
      <w:r w:rsidR="00893D67">
        <w:rPr>
          <w:szCs w:val="22"/>
        </w:rPr>
        <w:t>‘</w:t>
      </w:r>
      <w:r>
        <w:rPr>
          <w:szCs w:val="22"/>
        </w:rPr>
        <w:t>competitive local exchange</w:t>
      </w:r>
      <w:r w:rsidR="00893D67">
        <w:rPr>
          <w:szCs w:val="22"/>
        </w:rPr>
        <w:t>’</w:t>
      </w:r>
      <w:r>
        <w:rPr>
          <w:szCs w:val="22"/>
        </w:rPr>
        <w:t xml:space="preserve"> or an </w:t>
      </w:r>
      <w:r w:rsidR="00893D67">
        <w:rPr>
          <w:szCs w:val="22"/>
        </w:rPr>
        <w:t>‘</w:t>
      </w:r>
      <w:r>
        <w:rPr>
          <w:szCs w:val="22"/>
        </w:rPr>
        <w:t>interexchange</w:t>
      </w:r>
      <w:r w:rsidR="00893D67">
        <w:rPr>
          <w:szCs w:val="22"/>
        </w:rPr>
        <w:t>’</w:t>
      </w:r>
      <w:r>
        <w:rPr>
          <w:szCs w:val="22"/>
        </w:rPr>
        <w:t xml:space="preserve"> service… [but instead] identify interconnected VoIP providers according to their own designation.</w:t>
      </w:r>
      <w:r w:rsidR="00893D67">
        <w:rPr>
          <w:szCs w:val="22"/>
        </w:rPr>
        <w:t>”</w:t>
      </w:r>
      <w:r>
        <w:rPr>
          <w:szCs w:val="22"/>
        </w:rPr>
        <w:t xml:space="preserve">); </w:t>
      </w:r>
      <w:r w:rsidR="00536FD9">
        <w:rPr>
          <w:szCs w:val="22"/>
        </w:rPr>
        <w:t>(</w:t>
      </w:r>
      <w:r>
        <w:rPr>
          <w:szCs w:val="22"/>
        </w:rPr>
        <w:t>3)</w:t>
      </w:r>
      <w:r w:rsidR="00536FD9">
        <w:rPr>
          <w:szCs w:val="22"/>
        </w:rPr>
        <w:t> </w:t>
      </w:r>
      <w:r>
        <w:rPr>
          <w:szCs w:val="22"/>
        </w:rPr>
        <w:t>US</w:t>
      </w:r>
      <w:r w:rsidR="0080311E">
        <w:rPr>
          <w:szCs w:val="22"/>
        </w:rPr>
        <w:t xml:space="preserve"> </w:t>
      </w:r>
      <w:r>
        <w:rPr>
          <w:szCs w:val="22"/>
        </w:rPr>
        <w:t>Telecom</w:t>
      </w:r>
      <w:r w:rsidR="007551DD">
        <w:rPr>
          <w:szCs w:val="22"/>
        </w:rPr>
        <w:t xml:space="preserve"> at </w:t>
      </w:r>
      <w:r>
        <w:rPr>
          <w:szCs w:val="22"/>
        </w:rPr>
        <w:t>3 (</w:t>
      </w:r>
      <w:r w:rsidR="00893D67">
        <w:rPr>
          <w:szCs w:val="22"/>
        </w:rPr>
        <w:t>“</w:t>
      </w:r>
      <w:r>
        <w:rPr>
          <w:szCs w:val="22"/>
        </w:rPr>
        <w:t>[T]he CPUC should not impose the same CPCN and registration requirements on interconnected VoIP providers as it does for telecommunications providers such as CLECs.</w:t>
      </w:r>
      <w:r w:rsidR="00893D67">
        <w:rPr>
          <w:szCs w:val="22"/>
        </w:rPr>
        <w:t>”</w:t>
      </w:r>
      <w:r>
        <w:rPr>
          <w:szCs w:val="22"/>
        </w:rPr>
        <w:t>)</w:t>
      </w:r>
      <w:r w:rsidR="0017121B">
        <w:rPr>
          <w:szCs w:val="22"/>
        </w:rPr>
        <w:t>;</w:t>
      </w:r>
      <w:r>
        <w:rPr>
          <w:szCs w:val="22"/>
        </w:rPr>
        <w:t xml:space="preserve"> and </w:t>
      </w:r>
      <w:r w:rsidR="00CE0451">
        <w:rPr>
          <w:szCs w:val="22"/>
        </w:rPr>
        <w:t>(</w:t>
      </w:r>
      <w:r>
        <w:rPr>
          <w:szCs w:val="22"/>
        </w:rPr>
        <w:t>4)</w:t>
      </w:r>
      <w:r w:rsidR="00CE0451">
        <w:rPr>
          <w:szCs w:val="22"/>
        </w:rPr>
        <w:t> </w:t>
      </w:r>
      <w:r>
        <w:t>Cal Broadband Opening</w:t>
      </w:r>
      <w:r w:rsidR="007551DD">
        <w:t xml:space="preserve"> at </w:t>
      </w:r>
      <w:r>
        <w:t>12</w:t>
      </w:r>
      <w:r w:rsidR="006951D5">
        <w:noBreakHyphen/>
      </w:r>
      <w:r>
        <w:t xml:space="preserve">13. </w:t>
      </w:r>
      <w:r>
        <w:rPr>
          <w:i/>
          <w:iCs/>
        </w:rPr>
        <w:t xml:space="preserve">Also see </w:t>
      </w:r>
      <w:r w:rsidR="00D818EC">
        <w:t>Sangoma Reply Comments on the OIR</w:t>
      </w:r>
      <w:r w:rsidR="00EF4D88">
        <w:t xml:space="preserve"> at</w:t>
      </w:r>
      <w:r w:rsidR="00844EAF">
        <w:t> </w:t>
      </w:r>
      <w:r w:rsidR="00D818EC">
        <w:t>4</w:t>
      </w:r>
      <w:r w:rsidR="00844EAF">
        <w:noBreakHyphen/>
      </w:r>
      <w:r w:rsidR="00D818EC">
        <w:t xml:space="preserve">5; </w:t>
      </w:r>
      <w:r>
        <w:t>Cloud Reply Comments on the Scoping Memo</w:t>
      </w:r>
      <w:r w:rsidR="007551DD">
        <w:t xml:space="preserve"> at </w:t>
      </w:r>
      <w:r>
        <w:t>2</w:t>
      </w:r>
      <w:r w:rsidR="006951D5">
        <w:noBreakHyphen/>
      </w:r>
      <w:r>
        <w:t>3; VON Coalition Opening Comments on Scoping Memo</w:t>
      </w:r>
      <w:r w:rsidR="007551DD">
        <w:t xml:space="preserve"> at </w:t>
      </w:r>
      <w:r>
        <w:t>5.</w:t>
      </w:r>
    </w:p>
  </w:footnote>
  <w:footnote w:id="104">
    <w:p w14:paraId="313B117E" w14:textId="75A04CC7" w:rsidR="00E164C9" w:rsidRPr="00535378" w:rsidRDefault="00E164C9" w:rsidP="00E164C9">
      <w:pPr>
        <w:pStyle w:val="FootnoteText"/>
      </w:pPr>
      <w:r>
        <w:rPr>
          <w:rStyle w:val="FootnoteReference"/>
        </w:rPr>
        <w:footnoteRef/>
      </w:r>
      <w:r>
        <w:t xml:space="preserve"> Cal Broadband Opening Comments on the OIR</w:t>
      </w:r>
      <w:r w:rsidR="007551DD">
        <w:t xml:space="preserve"> at </w:t>
      </w:r>
      <w:r>
        <w:t xml:space="preserve">11 referencing </w:t>
      </w:r>
      <w:r>
        <w:rPr>
          <w:i/>
          <w:iCs/>
        </w:rPr>
        <w:t>e.g.,</w:t>
      </w:r>
      <w:r>
        <w:t xml:space="preserve"> D.88</w:t>
      </w:r>
      <w:r w:rsidR="006951D5">
        <w:noBreakHyphen/>
      </w:r>
      <w:r>
        <w:t>09</w:t>
      </w:r>
      <w:r w:rsidR="006951D5">
        <w:noBreakHyphen/>
      </w:r>
      <w:r>
        <w:t>059 (classifications of LECs and IECs), D.88</w:t>
      </w:r>
      <w:r w:rsidR="006951D5">
        <w:noBreakHyphen/>
      </w:r>
      <w:r>
        <w:t>05</w:t>
      </w:r>
      <w:r w:rsidR="006951D5">
        <w:noBreakHyphen/>
      </w:r>
      <w:r>
        <w:t>067 (classifications of CMRS, RTUs, paging companies)</w:t>
      </w:r>
      <w:r w:rsidR="00F8246F">
        <w:t>,</w:t>
      </w:r>
      <w:r>
        <w:t xml:space="preserve"> and D.95</w:t>
      </w:r>
      <w:r w:rsidR="006951D5">
        <w:noBreakHyphen/>
      </w:r>
      <w:r>
        <w:t>07</w:t>
      </w:r>
      <w:r w:rsidR="006951D5">
        <w:noBreakHyphen/>
      </w:r>
      <w:r>
        <w:t>054 (classifications of CLCs).</w:t>
      </w:r>
    </w:p>
  </w:footnote>
  <w:footnote w:id="105">
    <w:p w14:paraId="111F30CD" w14:textId="369A21CE" w:rsidR="00AD71BB" w:rsidRPr="00DA4CF6" w:rsidRDefault="00AD71BB" w:rsidP="00AD71BB">
      <w:pPr>
        <w:pStyle w:val="FootnoteText"/>
      </w:pPr>
      <w:r>
        <w:rPr>
          <w:rStyle w:val="FootnoteReference"/>
        </w:rPr>
        <w:footnoteRef/>
      </w:r>
      <w:r>
        <w:t xml:space="preserve"> </w:t>
      </w:r>
      <w:r w:rsidRPr="00DA4CF6">
        <w:t>The Commission opened the interexchange (long</w:t>
      </w:r>
      <w:r w:rsidR="006951D5">
        <w:noBreakHyphen/>
      </w:r>
      <w:r w:rsidRPr="00DA4CF6">
        <w:t>distance) market to competition in 1985. The Commission made different rules for exemptions to whether to require applications for mergers and acquisitions depending on the ownership of the facilities. In D.85</w:t>
      </w:r>
      <w:r w:rsidR="006951D5">
        <w:noBreakHyphen/>
      </w:r>
      <w:r w:rsidRPr="00DA4CF6">
        <w:t>06</w:t>
      </w:r>
      <w:r w:rsidR="006951D5">
        <w:noBreakHyphen/>
      </w:r>
      <w:r w:rsidRPr="00DA4CF6">
        <w:t>115, the Commission determined:</w:t>
      </w:r>
    </w:p>
    <w:p w14:paraId="749FE1DD" w14:textId="4C51CADE" w:rsidR="00AD71BB" w:rsidRPr="00DA4CF6" w:rsidRDefault="00AD71BB" w:rsidP="00AD71BB">
      <w:pPr>
        <w:pStyle w:val="FootnoteText"/>
        <w:ind w:left="720" w:right="1440"/>
      </w:pPr>
      <w:r w:rsidRPr="00DA4CF6">
        <w:t>A reseller is public utility which resells telecommunications services to the public, or a segment of the public, under a certificate issued to it by this Commission for that purpose, but which, while it may have its own switches to access its customers to the network, does not have transmission capability on the network side of the switches.</w:t>
      </w:r>
      <w:r>
        <w:t xml:space="preserve"> </w:t>
      </w:r>
      <w:r w:rsidRPr="00DA4CF6">
        <w:t>(D.85</w:t>
      </w:r>
      <w:r w:rsidR="006951D5">
        <w:noBreakHyphen/>
      </w:r>
      <w:r w:rsidRPr="00DA4CF6">
        <w:t>06</w:t>
      </w:r>
      <w:r w:rsidR="006951D5">
        <w:noBreakHyphen/>
      </w:r>
      <w:r w:rsidRPr="00DA4CF6">
        <w:t>115</w:t>
      </w:r>
      <w:r>
        <w:t xml:space="preserve"> at </w:t>
      </w:r>
      <w:r w:rsidRPr="00DA4CF6">
        <w:t>128</w:t>
      </w:r>
      <w:r w:rsidR="006951D5">
        <w:noBreakHyphen/>
      </w:r>
      <w:r w:rsidRPr="00DA4CF6">
        <w:t>132.)</w:t>
      </w:r>
    </w:p>
    <w:p w14:paraId="34A8E0BC" w14:textId="5BD4A798" w:rsidR="00AD71BB" w:rsidRPr="00DA4CF6" w:rsidRDefault="00AD71BB" w:rsidP="00AD71BB">
      <w:pPr>
        <w:pStyle w:val="FootnoteText"/>
      </w:pPr>
      <w:r w:rsidRPr="00DA4CF6">
        <w:t xml:space="preserve">Later that year, the Commission clarified, </w:t>
      </w:r>
      <w:r>
        <w:t>“</w:t>
      </w:r>
      <w:r w:rsidRPr="00DA4CF6">
        <w:t>nondominant interexchange telecommunications carriers in California include both pure resellers and carriers who have some network transmission capability.</w:t>
      </w:r>
      <w:r>
        <w:t xml:space="preserve">” </w:t>
      </w:r>
      <w:r w:rsidRPr="00DA4CF6">
        <w:t xml:space="preserve">Today, we consider this type of ownership of facilities as </w:t>
      </w:r>
      <w:r>
        <w:t>“</w:t>
      </w:r>
      <w:r w:rsidRPr="00DA4CF6">
        <w:t>limited facilities</w:t>
      </w:r>
      <w:r w:rsidR="006951D5">
        <w:noBreakHyphen/>
      </w:r>
      <w:r w:rsidRPr="00DA4CF6">
        <w:t>based.</w:t>
      </w:r>
      <w:r>
        <w:t>”</w:t>
      </w:r>
    </w:p>
    <w:p w14:paraId="4DC2531B" w14:textId="7339EC58" w:rsidR="00AD71BB" w:rsidRPr="00DA4CF6" w:rsidRDefault="00AD71BB" w:rsidP="00AD71BB">
      <w:pPr>
        <w:pStyle w:val="FootnoteText"/>
      </w:pPr>
      <w:r w:rsidRPr="00DA4CF6">
        <w:t>In opening the market to local exchange competition, the Commission defined facilities</w:t>
      </w:r>
      <w:r w:rsidR="006951D5">
        <w:noBreakHyphen/>
      </w:r>
      <w:r w:rsidRPr="00DA4CF6">
        <w:t xml:space="preserve">based providers by way of reference to the statutory definition in </w:t>
      </w:r>
      <w:r>
        <w:t>Section </w:t>
      </w:r>
      <w:r w:rsidRPr="00DA4CF6">
        <w:t>233:</w:t>
      </w:r>
    </w:p>
    <w:p w14:paraId="2BB71FCA" w14:textId="523D2255" w:rsidR="00415EBE" w:rsidRDefault="00AD71BB" w:rsidP="00AD71BB">
      <w:pPr>
        <w:pStyle w:val="FootnoteText"/>
        <w:ind w:left="720" w:right="1440"/>
      </w:pPr>
      <w:r w:rsidRPr="00DA4CF6">
        <w:t xml:space="preserve">L. </w:t>
      </w:r>
      <w:r>
        <w:t>Non</w:t>
      </w:r>
      <w:r w:rsidR="00844EAF">
        <w:noBreakHyphen/>
      </w:r>
      <w:r>
        <w:t>fac</w:t>
      </w:r>
      <w:r w:rsidRPr="00DA4CF6">
        <w:t>ilities</w:t>
      </w:r>
      <w:r w:rsidR="006951D5">
        <w:noBreakHyphen/>
      </w:r>
      <w:r w:rsidRPr="00DA4CF6">
        <w:t>based CLCs are those which do not directly own, control, operate, or manage conduits, ducts, poles, wires, cables, instruments, switches, appurtenances, or appliances in connection with or to facilitate communications within the local exchange portion of the public switched network.</w:t>
      </w:r>
    </w:p>
    <w:p w14:paraId="32FAFF3D" w14:textId="78E07206" w:rsidR="00AD71BB" w:rsidRPr="00DA4CF6" w:rsidRDefault="00AD71BB" w:rsidP="00AD71BB">
      <w:pPr>
        <w:pStyle w:val="FootnoteText"/>
        <w:ind w:left="720" w:right="1440"/>
      </w:pPr>
      <w:r w:rsidRPr="00DA4CF6">
        <w:t>M. Facilities</w:t>
      </w:r>
      <w:r w:rsidR="006951D5">
        <w:noBreakHyphen/>
      </w:r>
      <w:r w:rsidRPr="00DA4CF6">
        <w:t>based CLCs are those which directly own, control, operate, or manage conduits, ducts, poles, wires, cables, instruments, switches, appurtenances, or appliances in connection with or to facilitate communications within the local exchange portion of the public switched network. (D.95</w:t>
      </w:r>
      <w:r w:rsidR="006951D5">
        <w:noBreakHyphen/>
      </w:r>
      <w:r w:rsidRPr="00DA4CF6">
        <w:t>07</w:t>
      </w:r>
      <w:r w:rsidR="006951D5">
        <w:noBreakHyphen/>
      </w:r>
      <w:r w:rsidRPr="00DA4CF6">
        <w:t xml:space="preserve">054, </w:t>
      </w:r>
      <w:r w:rsidR="00C04D12">
        <w:t>Appendix </w:t>
      </w:r>
      <w:r w:rsidRPr="00DA4CF6">
        <w:t>A</w:t>
      </w:r>
      <w:r>
        <w:t xml:space="preserve"> at </w:t>
      </w:r>
      <w:r w:rsidRPr="00DA4CF6">
        <w:t>3</w:t>
      </w:r>
      <w:r w:rsidR="000F6383">
        <w:t>.</w:t>
      </w:r>
      <w:r w:rsidRPr="00DA4CF6">
        <w:t>)</w:t>
      </w:r>
    </w:p>
    <w:p w14:paraId="621E8520" w14:textId="3EC1B6ED" w:rsidR="00AD71BB" w:rsidRDefault="00AD71BB" w:rsidP="00AD71BB">
      <w:pPr>
        <w:pStyle w:val="FootnoteText"/>
      </w:pPr>
      <w:r>
        <w:t>In 1999, the Commission introduced the status of “limited facilities</w:t>
      </w:r>
      <w:r w:rsidR="006951D5">
        <w:noBreakHyphen/>
      </w:r>
      <w:r>
        <w:t>based” providers, which was defined in order for the Commission to fulfill its responsibility with regard to the California Environmental Quality Act (CEQA) for public utility telephone corporations. Limited facilities</w:t>
      </w:r>
      <w:r w:rsidR="006951D5">
        <w:noBreakHyphen/>
      </w:r>
      <w:r>
        <w:t>based refers to equipment installed within</w:t>
      </w:r>
      <w:r w:rsidR="00415EBE">
        <w:t xml:space="preserve"> or on</w:t>
      </w:r>
      <w:r>
        <w:t xml:space="preserve"> existing structures.</w:t>
      </w:r>
    </w:p>
  </w:footnote>
  <w:footnote w:id="106">
    <w:p w14:paraId="71C72AAD" w14:textId="44BFF0B1" w:rsidR="003A5F28" w:rsidRDefault="003A5F28" w:rsidP="003A5F28">
      <w:pPr>
        <w:pStyle w:val="FootnoteText"/>
      </w:pPr>
      <w:r>
        <w:rPr>
          <w:rStyle w:val="FootnoteReference"/>
        </w:rPr>
        <w:footnoteRef/>
      </w:r>
      <w:r>
        <w:t xml:space="preserve"> Cloud Opening Comments on the proposed decision at  3.</w:t>
      </w:r>
    </w:p>
  </w:footnote>
  <w:footnote w:id="107">
    <w:p w14:paraId="027F349D" w14:textId="3C59FF9F" w:rsidR="00554277" w:rsidRDefault="00554277" w:rsidP="00AC4F8C">
      <w:pPr>
        <w:pStyle w:val="FootnoteText"/>
      </w:pPr>
      <w:r>
        <w:rPr>
          <w:rStyle w:val="FootnoteReference"/>
        </w:rPr>
        <w:footnoteRef/>
      </w:r>
      <w:r>
        <w:t xml:space="preserve"> </w:t>
      </w:r>
      <w:r w:rsidRPr="00E40EFA">
        <w:t>By CEQA</w:t>
      </w:r>
      <w:r w:rsidR="00A96FBD">
        <w:t xml:space="preserve"> (</w:t>
      </w:r>
      <w:r w:rsidRPr="00E40EFA">
        <w:t xml:space="preserve">Public Resources Code </w:t>
      </w:r>
      <w:r w:rsidR="00646044">
        <w:t>§ </w:t>
      </w:r>
      <w:r w:rsidRPr="00E40EFA">
        <w:t>21000</w:t>
      </w:r>
      <w:r w:rsidR="00A96FBD">
        <w:t>,</w:t>
      </w:r>
      <w:r w:rsidRPr="00E40EFA">
        <w:t xml:space="preserve"> </w:t>
      </w:r>
      <w:r w:rsidR="00A96FBD">
        <w:rPr>
          <w:i/>
          <w:iCs/>
        </w:rPr>
        <w:t>et seq.</w:t>
      </w:r>
      <w:r w:rsidRPr="00E40EFA">
        <w:t xml:space="preserve">), public agencies approving projects (in this case, the Commission) must </w:t>
      </w:r>
      <w:r w:rsidR="00893D67">
        <w:t>“</w:t>
      </w:r>
      <w:r w:rsidRPr="00E40EFA">
        <w:t>inform governmental decision</w:t>
      </w:r>
      <w:r w:rsidR="006951D5">
        <w:noBreakHyphen/>
      </w:r>
      <w:r w:rsidRPr="00E40EFA">
        <w:t>makers and the public about the potential significant environmental effects of the proposed activities.</w:t>
      </w:r>
      <w:r w:rsidR="00893D67">
        <w:t>”</w:t>
      </w:r>
    </w:p>
  </w:footnote>
  <w:footnote w:id="108">
    <w:p w14:paraId="5DC79450" w14:textId="721243E1" w:rsidR="00A33B5A" w:rsidRDefault="00A33B5A" w:rsidP="00A33B5A">
      <w:pPr>
        <w:pStyle w:val="FootnoteText"/>
      </w:pPr>
      <w:r>
        <w:rPr>
          <w:rStyle w:val="FootnoteReference"/>
        </w:rPr>
        <w:footnoteRef/>
      </w:r>
      <w:r>
        <w:t xml:space="preserve"> D.13</w:t>
      </w:r>
      <w:r w:rsidR="006951D5">
        <w:noBreakHyphen/>
      </w:r>
      <w:r>
        <w:t>05</w:t>
      </w:r>
      <w:r w:rsidR="006951D5">
        <w:noBreakHyphen/>
      </w:r>
      <w:r>
        <w:t>035</w:t>
      </w:r>
      <w:r w:rsidR="00E64FCD">
        <w:t>.</w:t>
      </w:r>
    </w:p>
  </w:footnote>
  <w:footnote w:id="109">
    <w:p w14:paraId="79FD6F3D" w14:textId="2194FEC4" w:rsidR="009328A7" w:rsidRPr="00E52317" w:rsidRDefault="009328A7">
      <w:pPr>
        <w:pStyle w:val="FootnoteText"/>
        <w:rPr>
          <w:lang w:val="en-ZW"/>
        </w:rPr>
      </w:pPr>
      <w:r>
        <w:rPr>
          <w:rStyle w:val="FootnoteReference"/>
        </w:rPr>
        <w:footnoteRef/>
      </w:r>
      <w:r>
        <w:t xml:space="preserve"> </w:t>
      </w:r>
      <w:r w:rsidRPr="00CB3978">
        <w:t xml:space="preserve">U.S. Bureau of Labor Statistics Website, CPI Inflation Calculator, (Last visited Aug. 22, 2024), </w:t>
      </w:r>
      <w:hyperlink r:id="rId2" w:history="1">
        <w:r w:rsidRPr="003E581E">
          <w:rPr>
            <w:rStyle w:val="Hyperlink"/>
          </w:rPr>
          <w:t>https://www.bls.gov/data/inflation_calculator.htm?ss=P</w:t>
        </w:r>
      </w:hyperlink>
      <w:r w:rsidRPr="00BF3382">
        <w:t>.</w:t>
      </w:r>
    </w:p>
  </w:footnote>
  <w:footnote w:id="110">
    <w:p w14:paraId="0FC53EE3" w14:textId="5583460A" w:rsidR="00AB1E93" w:rsidRPr="00E52317" w:rsidRDefault="00AB1E93">
      <w:pPr>
        <w:pStyle w:val="FootnoteText"/>
        <w:rPr>
          <w:lang w:val="en-ZW"/>
        </w:rPr>
      </w:pPr>
      <w:r>
        <w:rPr>
          <w:rStyle w:val="FootnoteReference"/>
        </w:rPr>
        <w:footnoteRef/>
      </w:r>
      <w:r>
        <w:t xml:space="preserve"> </w:t>
      </w:r>
      <w:r>
        <w:rPr>
          <w:lang w:val="en-ZW"/>
        </w:rPr>
        <w:t xml:space="preserve">Draft </w:t>
      </w:r>
      <w:r w:rsidR="00424385">
        <w:rPr>
          <w:lang w:val="en-ZW"/>
        </w:rPr>
        <w:t>Res. </w:t>
      </w:r>
      <w:r>
        <w:rPr>
          <w:lang w:val="en-ZW"/>
        </w:rPr>
        <w:t>ALJ</w:t>
      </w:r>
      <w:r w:rsidR="00844EAF">
        <w:rPr>
          <w:lang w:val="en-ZW"/>
        </w:rPr>
        <w:noBreakHyphen/>
      </w:r>
      <w:r>
        <w:rPr>
          <w:lang w:val="en-ZW"/>
        </w:rPr>
        <w:t xml:space="preserve">464 was issued on </w:t>
      </w:r>
      <w:r w:rsidR="00424385">
        <w:rPr>
          <w:lang w:val="en-ZW"/>
        </w:rPr>
        <w:t>August</w:t>
      </w:r>
      <w:r w:rsidR="00844EAF">
        <w:rPr>
          <w:lang w:val="en-ZW"/>
        </w:rPr>
        <w:t> </w:t>
      </w:r>
      <w:r>
        <w:rPr>
          <w:lang w:val="en-ZW"/>
        </w:rPr>
        <w:t>20, 2024</w:t>
      </w:r>
      <w:r w:rsidR="00424385">
        <w:rPr>
          <w:lang w:val="en-ZW"/>
        </w:rPr>
        <w:t>,</w:t>
      </w:r>
      <w:r w:rsidR="00C82322">
        <w:rPr>
          <w:lang w:val="en-ZW"/>
        </w:rPr>
        <w:t xml:space="preserve"> and is currently under consideration by the Commission</w:t>
      </w:r>
      <w:r>
        <w:rPr>
          <w:lang w:val="en-ZW"/>
        </w:rPr>
        <w:t>.</w:t>
      </w:r>
    </w:p>
  </w:footnote>
  <w:footnote w:id="111">
    <w:p w14:paraId="38E5DEC7" w14:textId="2822E332" w:rsidR="00411CC7" w:rsidRDefault="00411CC7" w:rsidP="00411CC7">
      <w:pPr>
        <w:pStyle w:val="FootnoteText"/>
      </w:pPr>
      <w:r>
        <w:rPr>
          <w:rStyle w:val="FootnoteReference"/>
        </w:rPr>
        <w:footnoteRef/>
      </w:r>
      <w:r>
        <w:t xml:space="preserve"> Scoping Memo issues 1</w:t>
      </w:r>
      <w:r w:rsidR="00F965EC">
        <w:noBreakHyphen/>
      </w:r>
      <w:r>
        <w:t>3.</w:t>
      </w:r>
    </w:p>
  </w:footnote>
  <w:footnote w:id="112">
    <w:p w14:paraId="04520188" w14:textId="4FB2D2C7" w:rsidR="00375FB6" w:rsidRDefault="00375FB6" w:rsidP="00375FB6">
      <w:pPr>
        <w:pStyle w:val="FootnoteText"/>
      </w:pPr>
      <w:r>
        <w:rPr>
          <w:rStyle w:val="FootnoteReference"/>
        </w:rPr>
        <w:footnoteRef/>
      </w:r>
      <w:r>
        <w:t xml:space="preserve"> Scoping Memo</w:t>
      </w:r>
      <w:r w:rsidR="007551DD">
        <w:t xml:space="preserve"> at </w:t>
      </w:r>
      <w:r>
        <w:t>1</w:t>
      </w:r>
      <w:r w:rsidR="005F6060">
        <w:t>3</w:t>
      </w:r>
      <w:r w:rsidR="00645351" w:rsidRPr="00645351">
        <w:rPr>
          <w:i/>
          <w:iCs/>
        </w:rPr>
        <w:t xml:space="preserve"> </w:t>
      </w:r>
      <w:r w:rsidR="00D90869">
        <w:t>(</w:t>
      </w:r>
      <w:r w:rsidR="00893D67">
        <w:t>“</w:t>
      </w:r>
      <w:r w:rsidR="00FA051F">
        <w:t>...e</w:t>
      </w:r>
      <w:r w:rsidR="00645351">
        <w:t>xisting or potential rules, regulations, requirements, or penalties related to or concerning</w:t>
      </w:r>
      <w:r w:rsidR="004E3961">
        <w:t xml:space="preserve">:  </w:t>
      </w:r>
      <w:r w:rsidR="00645351">
        <w:t>(</w:t>
      </w:r>
      <w:proofErr w:type="spellStart"/>
      <w:r w:rsidR="00645351">
        <w:t>i</w:t>
      </w:r>
      <w:proofErr w:type="spellEnd"/>
      <w:r w:rsidR="00645351">
        <w:t>)</w:t>
      </w:r>
      <w:r w:rsidR="00717F02">
        <w:t> </w:t>
      </w:r>
      <w:r w:rsidR="00645351">
        <w:t>licensing (</w:t>
      </w:r>
      <w:r w:rsidR="004A120D" w:rsidRPr="004A120D">
        <w:rPr>
          <w:i/>
          <w:iCs/>
        </w:rPr>
        <w:t>e.g.</w:t>
      </w:r>
      <w:r w:rsidR="00645351">
        <w:t xml:space="preserve">, </w:t>
      </w:r>
      <w:r w:rsidR="00C04D12">
        <w:t>Pub. Util.</w:t>
      </w:r>
      <w:r w:rsidR="00645351">
        <w:t xml:space="preserve"> Code </w:t>
      </w:r>
      <w:r w:rsidR="00646044">
        <w:t>§ </w:t>
      </w:r>
      <w:r w:rsidR="00645351">
        <w:t xml:space="preserve">1001 and </w:t>
      </w:r>
      <w:r w:rsidR="00646044">
        <w:t>§ </w:t>
      </w:r>
      <w:r w:rsidR="00645351">
        <w:t>1013), registration, or other operating authority requirements, such as performance bonds</w:t>
      </w:r>
      <w:r w:rsidR="00893D67">
        <w:t>”</w:t>
      </w:r>
      <w:r w:rsidR="000A3651">
        <w:t>).</w:t>
      </w:r>
    </w:p>
  </w:footnote>
  <w:footnote w:id="113">
    <w:p w14:paraId="633E36B1" w14:textId="18738B6D" w:rsidR="00411CC7" w:rsidRDefault="00411CC7" w:rsidP="00411CC7">
      <w:pPr>
        <w:pStyle w:val="FootnoteText"/>
      </w:pPr>
      <w:r>
        <w:rPr>
          <w:rStyle w:val="FootnoteReference"/>
        </w:rPr>
        <w:footnoteRef/>
      </w:r>
      <w:r>
        <w:t xml:space="preserve"> AT&amp;T Opening Comments on the Scoping Memo</w:t>
      </w:r>
      <w:r w:rsidR="00EF4D88">
        <w:t xml:space="preserve"> at</w:t>
      </w:r>
      <w:r w:rsidR="00844EAF">
        <w:t> </w:t>
      </w:r>
      <w:r>
        <w:t>11, 16; US Telecom Opening Comments on the Scoping Memo</w:t>
      </w:r>
      <w:r w:rsidR="00EF4D88">
        <w:t xml:space="preserve"> at</w:t>
      </w:r>
      <w:r w:rsidR="00844EAF">
        <w:t> </w:t>
      </w:r>
      <w:r>
        <w:t>3</w:t>
      </w:r>
      <w:r w:rsidR="00F965EC">
        <w:noBreakHyphen/>
      </w:r>
      <w:r>
        <w:t>5; Cloud Communications Reply Comments on the Scoping Memo</w:t>
      </w:r>
      <w:r w:rsidR="00EF4D88">
        <w:t xml:space="preserve"> at</w:t>
      </w:r>
      <w:r w:rsidR="00844EAF">
        <w:t> </w:t>
      </w:r>
      <w:r>
        <w:t>2</w:t>
      </w:r>
      <w:r w:rsidR="00F965EC">
        <w:noBreakHyphen/>
      </w:r>
      <w:r>
        <w:t>4.</w:t>
      </w:r>
    </w:p>
  </w:footnote>
  <w:footnote w:id="114">
    <w:p w14:paraId="1FA5FD83" w14:textId="10A38050" w:rsidR="009C2B7D" w:rsidRDefault="009C2B7D" w:rsidP="009C2B7D">
      <w:pPr>
        <w:pStyle w:val="FootnoteText"/>
      </w:pPr>
      <w:r>
        <w:rPr>
          <w:rStyle w:val="FootnoteReference"/>
        </w:rPr>
        <w:footnoteRef/>
      </w:r>
      <w:r>
        <w:t xml:space="preserve"> Small Business Opening Comments on the Scoping Memo</w:t>
      </w:r>
      <w:r w:rsidR="00EF4D88">
        <w:t xml:space="preserve"> at</w:t>
      </w:r>
      <w:r w:rsidR="00844EAF">
        <w:t> </w:t>
      </w:r>
      <w:r>
        <w:t>3.</w:t>
      </w:r>
    </w:p>
  </w:footnote>
  <w:footnote w:id="115">
    <w:p w14:paraId="794D0396" w14:textId="23B893FD" w:rsidR="00411CC7" w:rsidRDefault="00411CC7" w:rsidP="00411CC7">
      <w:pPr>
        <w:pStyle w:val="FootnoteText"/>
      </w:pPr>
      <w:r>
        <w:rPr>
          <w:rStyle w:val="FootnoteReference"/>
        </w:rPr>
        <w:footnoteRef/>
      </w:r>
      <w:r>
        <w:t xml:space="preserve"> Cal Broadband Opening Comments on the Scoping Memo</w:t>
      </w:r>
      <w:r w:rsidR="00EF4D88">
        <w:t xml:space="preserve"> at</w:t>
      </w:r>
      <w:r w:rsidR="00844EAF">
        <w:t> </w:t>
      </w:r>
      <w:r>
        <w:t>16</w:t>
      </w:r>
      <w:r w:rsidR="00F965EC">
        <w:noBreakHyphen/>
      </w:r>
      <w:r>
        <w:t>22.</w:t>
      </w:r>
    </w:p>
  </w:footnote>
  <w:footnote w:id="116">
    <w:p w14:paraId="0BB84EE2" w14:textId="0F5A3C1A" w:rsidR="00375FB6" w:rsidRDefault="00375FB6" w:rsidP="00375FB6">
      <w:pPr>
        <w:pStyle w:val="FootnoteText"/>
      </w:pPr>
      <w:r>
        <w:rPr>
          <w:rStyle w:val="FootnoteReference"/>
        </w:rPr>
        <w:footnoteRef/>
      </w:r>
      <w:r>
        <w:t xml:space="preserve"> CCTA Opening Comments on the OIR</w:t>
      </w:r>
      <w:r w:rsidR="007551DD">
        <w:t xml:space="preserve"> at </w:t>
      </w:r>
      <w:r>
        <w:t>29, Reply</w:t>
      </w:r>
      <w:r w:rsidR="007551DD">
        <w:t xml:space="preserve"> at </w:t>
      </w:r>
      <w:r>
        <w:t>9.</w:t>
      </w:r>
    </w:p>
  </w:footnote>
  <w:footnote w:id="117">
    <w:p w14:paraId="3CE50FF5" w14:textId="1A649E3E" w:rsidR="004C6CDD" w:rsidRDefault="004C6CDD" w:rsidP="004C6CDD">
      <w:pPr>
        <w:pStyle w:val="FootnoteText"/>
      </w:pPr>
      <w:r>
        <w:rPr>
          <w:rStyle w:val="FootnoteReference"/>
        </w:rPr>
        <w:footnoteRef/>
      </w:r>
      <w:r>
        <w:t xml:space="preserve"> </w:t>
      </w:r>
      <w:r w:rsidR="002D08B0">
        <w:t xml:space="preserve">The </w:t>
      </w:r>
      <w:r w:rsidR="004C414B">
        <w:t>Section </w:t>
      </w:r>
      <w:r w:rsidR="002D08B0">
        <w:t>1013 registration process was established in</w:t>
      </w:r>
      <w:r w:rsidR="00F6440A">
        <w:t xml:space="preserve"> R.94</w:t>
      </w:r>
      <w:r w:rsidR="006951D5">
        <w:noBreakHyphen/>
      </w:r>
      <w:r w:rsidR="00F6440A">
        <w:t>02</w:t>
      </w:r>
      <w:r w:rsidR="006951D5">
        <w:noBreakHyphen/>
      </w:r>
      <w:r w:rsidR="00F6440A">
        <w:t>003/Investigation 94</w:t>
      </w:r>
      <w:r w:rsidR="006951D5">
        <w:noBreakHyphen/>
      </w:r>
      <w:r w:rsidR="00F6440A">
        <w:t>02</w:t>
      </w:r>
      <w:r w:rsidR="006951D5">
        <w:noBreakHyphen/>
      </w:r>
      <w:r w:rsidR="00F6440A">
        <w:t>004</w:t>
      </w:r>
      <w:r w:rsidR="00BB148B">
        <w:t xml:space="preserve">. </w:t>
      </w:r>
      <w:r w:rsidR="00860FB1">
        <w:t>(</w:t>
      </w:r>
      <w:r w:rsidR="00BB148B" w:rsidRPr="00860FB1">
        <w:rPr>
          <w:i/>
          <w:iCs/>
        </w:rPr>
        <w:t>See</w:t>
      </w:r>
      <w:r w:rsidR="00BB148B">
        <w:t xml:space="preserve"> </w:t>
      </w:r>
      <w:r w:rsidR="002D08B0">
        <w:t>D.97</w:t>
      </w:r>
      <w:r w:rsidR="006951D5">
        <w:noBreakHyphen/>
      </w:r>
      <w:r w:rsidR="002D08B0">
        <w:t>06</w:t>
      </w:r>
      <w:r w:rsidR="006951D5">
        <w:noBreakHyphen/>
      </w:r>
      <w:r w:rsidR="002D08B0">
        <w:t>107 as modified by D.97</w:t>
      </w:r>
      <w:r w:rsidR="006951D5">
        <w:noBreakHyphen/>
      </w:r>
      <w:r w:rsidR="002D08B0">
        <w:t>08</w:t>
      </w:r>
      <w:r w:rsidR="006951D5">
        <w:noBreakHyphen/>
      </w:r>
      <w:r w:rsidR="002D08B0">
        <w:t>050, D.</w:t>
      </w:r>
      <w:r w:rsidR="005E5D3A">
        <w:t>97</w:t>
      </w:r>
      <w:r w:rsidR="006951D5">
        <w:noBreakHyphen/>
      </w:r>
      <w:r w:rsidR="005E5D3A">
        <w:t>09</w:t>
      </w:r>
      <w:r w:rsidR="006951D5">
        <w:noBreakHyphen/>
      </w:r>
      <w:r w:rsidR="005E5D3A">
        <w:t xml:space="preserve">035, </w:t>
      </w:r>
      <w:r w:rsidR="002D08B0">
        <w:t>D.10</w:t>
      </w:r>
      <w:r w:rsidR="006951D5">
        <w:noBreakHyphen/>
      </w:r>
      <w:r w:rsidR="002D08B0">
        <w:t>09</w:t>
      </w:r>
      <w:r w:rsidR="006951D5">
        <w:noBreakHyphen/>
      </w:r>
      <w:r w:rsidR="002D08B0">
        <w:t>017, D.11</w:t>
      </w:r>
      <w:r w:rsidR="006951D5">
        <w:noBreakHyphen/>
      </w:r>
      <w:r w:rsidR="002D08B0">
        <w:t>09</w:t>
      </w:r>
      <w:r w:rsidR="006951D5">
        <w:noBreakHyphen/>
      </w:r>
      <w:r w:rsidR="002D08B0">
        <w:t>026</w:t>
      </w:r>
      <w:r w:rsidR="00722F5B">
        <w:t>,</w:t>
      </w:r>
      <w:r w:rsidR="002D08B0">
        <w:t xml:space="preserve"> and D.14</w:t>
      </w:r>
      <w:r w:rsidR="006951D5">
        <w:noBreakHyphen/>
      </w:r>
      <w:r w:rsidR="002D08B0">
        <w:t>11</w:t>
      </w:r>
      <w:r w:rsidR="006951D5">
        <w:noBreakHyphen/>
      </w:r>
      <w:r w:rsidR="002D08B0">
        <w:t>004.</w:t>
      </w:r>
      <w:r w:rsidR="00860FB1">
        <w:t>)</w:t>
      </w:r>
    </w:p>
  </w:footnote>
  <w:footnote w:id="118">
    <w:p w14:paraId="523A3CC3" w14:textId="58A16FBF" w:rsidR="00B02FE5" w:rsidRDefault="00B02FE5" w:rsidP="00B02FE5">
      <w:pPr>
        <w:pStyle w:val="FootnoteText"/>
      </w:pPr>
      <w:r>
        <w:rPr>
          <w:rStyle w:val="FootnoteReference"/>
        </w:rPr>
        <w:footnoteRef/>
      </w:r>
      <w:r>
        <w:t xml:space="preserve"> Cal Broadband Opening Comments on the OIR</w:t>
      </w:r>
      <w:r w:rsidR="007551DD">
        <w:t xml:space="preserve"> at </w:t>
      </w:r>
      <w:r>
        <w:t>21.</w:t>
      </w:r>
    </w:p>
  </w:footnote>
  <w:footnote w:id="119">
    <w:p w14:paraId="132DA044" w14:textId="200DFFDD" w:rsidR="00B02FE5" w:rsidRDefault="00B02FE5" w:rsidP="00B02FE5">
      <w:pPr>
        <w:pStyle w:val="FootnoteText"/>
      </w:pPr>
      <w:r>
        <w:rPr>
          <w:rStyle w:val="FootnoteReference"/>
        </w:rPr>
        <w:footnoteRef/>
      </w:r>
      <w:r>
        <w:t xml:space="preserve"> </w:t>
      </w:r>
      <w:r w:rsidR="00CD339A">
        <w:rPr>
          <w:i/>
          <w:iCs/>
        </w:rPr>
        <w:t>Ibid.</w:t>
      </w:r>
    </w:p>
  </w:footnote>
  <w:footnote w:id="120">
    <w:p w14:paraId="12A9D3F3" w14:textId="0DB1A623" w:rsidR="008962B6" w:rsidRDefault="008962B6" w:rsidP="008962B6">
      <w:pPr>
        <w:pStyle w:val="FootnoteText"/>
      </w:pPr>
      <w:r>
        <w:rPr>
          <w:rStyle w:val="FootnoteReference"/>
        </w:rPr>
        <w:footnoteRef/>
      </w:r>
      <w:r>
        <w:t xml:space="preserve"> D.95</w:t>
      </w:r>
      <w:r w:rsidR="00844EAF">
        <w:noBreakHyphen/>
      </w:r>
      <w:r>
        <w:t>07</w:t>
      </w:r>
      <w:r w:rsidR="00844EAF">
        <w:noBreakHyphen/>
      </w:r>
      <w:r>
        <w:t>054, D.95</w:t>
      </w:r>
      <w:r w:rsidR="00844EAF">
        <w:noBreakHyphen/>
      </w:r>
      <w:r>
        <w:t>12</w:t>
      </w:r>
      <w:r w:rsidR="00844EAF">
        <w:noBreakHyphen/>
      </w:r>
      <w:r>
        <w:t>056 pertain to CLECs and D.97</w:t>
      </w:r>
      <w:r w:rsidR="00844EAF">
        <w:noBreakHyphen/>
      </w:r>
      <w:r>
        <w:t>006</w:t>
      </w:r>
      <w:r w:rsidR="00844EAF">
        <w:noBreakHyphen/>
      </w:r>
      <w:r>
        <w:t>107, D.10</w:t>
      </w:r>
      <w:r w:rsidR="00844EAF">
        <w:noBreakHyphen/>
      </w:r>
      <w:r>
        <w:t>09</w:t>
      </w:r>
      <w:r w:rsidR="00844EAF">
        <w:noBreakHyphen/>
      </w:r>
      <w:r>
        <w:t>017, D.11</w:t>
      </w:r>
      <w:r w:rsidR="00844EAF">
        <w:noBreakHyphen/>
      </w:r>
      <w:r>
        <w:t>09</w:t>
      </w:r>
      <w:r w:rsidR="00844EAF">
        <w:noBreakHyphen/>
      </w:r>
      <w:r>
        <w:t>026, D.14</w:t>
      </w:r>
      <w:r w:rsidR="00844EAF">
        <w:noBreakHyphen/>
      </w:r>
      <w:r>
        <w:t>11</w:t>
      </w:r>
      <w:r w:rsidR="00844EAF">
        <w:noBreakHyphen/>
      </w:r>
      <w:r>
        <w:t>004 pertain to IECs.</w:t>
      </w:r>
    </w:p>
  </w:footnote>
  <w:footnote w:id="121">
    <w:p w14:paraId="1834DA69" w14:textId="1A285F09" w:rsidR="008962B6" w:rsidRDefault="008962B6" w:rsidP="008962B6">
      <w:pPr>
        <w:pStyle w:val="FootnoteText"/>
      </w:pPr>
      <w:r>
        <w:rPr>
          <w:rStyle w:val="FootnoteReference"/>
        </w:rPr>
        <w:footnoteRef/>
      </w:r>
      <w:r>
        <w:t xml:space="preserve"> </w:t>
      </w:r>
      <w:r w:rsidR="006951D5">
        <w:t>Rule</w:t>
      </w:r>
      <w:r w:rsidR="00844EAF">
        <w:t> </w:t>
      </w:r>
      <w:r>
        <w:t>3.1(f) and (j)</w:t>
      </w:r>
      <w:r w:rsidR="00084B42">
        <w:t xml:space="preserve"> </w:t>
      </w:r>
      <w:r w:rsidR="00084B42" w:rsidRPr="00084B42">
        <w:t>of the Commission’s Rules of Practice and Procedure (Rules)</w:t>
      </w:r>
      <w:r w:rsidR="00084B42">
        <w:t>.</w:t>
      </w:r>
    </w:p>
  </w:footnote>
  <w:footnote w:id="122">
    <w:p w14:paraId="3EABAC69" w14:textId="7B121E02" w:rsidR="008962B6" w:rsidRDefault="008962B6" w:rsidP="008962B6">
      <w:pPr>
        <w:pStyle w:val="FootnoteText"/>
      </w:pPr>
      <w:r>
        <w:rPr>
          <w:rStyle w:val="FootnoteReference"/>
        </w:rPr>
        <w:footnoteRef/>
      </w:r>
      <w:r>
        <w:t xml:space="preserve"> </w:t>
      </w:r>
      <w:r w:rsidRPr="00FA20DE">
        <w:rPr>
          <w:i/>
          <w:iCs/>
        </w:rPr>
        <w:t>See</w:t>
      </w:r>
      <w:r>
        <w:t xml:space="preserve"> D.97</w:t>
      </w:r>
      <w:r w:rsidR="00844EAF">
        <w:noBreakHyphen/>
      </w:r>
      <w:r>
        <w:t>09</w:t>
      </w:r>
      <w:r w:rsidR="00844EAF">
        <w:noBreakHyphen/>
      </w:r>
      <w:r>
        <w:t>035</w:t>
      </w:r>
      <w:r w:rsidR="00EF4D88">
        <w:t xml:space="preserve"> at</w:t>
      </w:r>
      <w:r w:rsidR="00844EAF">
        <w:t> </w:t>
      </w:r>
      <w:r>
        <w:t>1.</w:t>
      </w:r>
    </w:p>
  </w:footnote>
  <w:footnote w:id="123">
    <w:p w14:paraId="5B020FCF" w14:textId="3A8D7C2F" w:rsidR="008962B6" w:rsidRPr="00DB424F" w:rsidRDefault="008962B6" w:rsidP="008962B6">
      <w:pPr>
        <w:pStyle w:val="FootnoteText"/>
        <w:rPr>
          <w:szCs w:val="22"/>
        </w:rPr>
      </w:pPr>
      <w:r w:rsidRPr="00BF1E02">
        <w:rPr>
          <w:rStyle w:val="FootnoteReference"/>
          <w:szCs w:val="22"/>
        </w:rPr>
        <w:footnoteRef/>
      </w:r>
      <w:r w:rsidR="00CE4A2B">
        <w:rPr>
          <w:szCs w:val="22"/>
        </w:rPr>
        <w:t xml:space="preserve"> </w:t>
      </w:r>
      <w:r w:rsidRPr="00D11DDA">
        <w:rPr>
          <w:i/>
        </w:rPr>
        <w:t>See</w:t>
      </w:r>
      <w:r w:rsidRPr="00BF1E02">
        <w:rPr>
          <w:szCs w:val="22"/>
        </w:rPr>
        <w:t xml:space="preserve"> D.17</w:t>
      </w:r>
      <w:r w:rsidR="00844EAF">
        <w:rPr>
          <w:szCs w:val="22"/>
        </w:rPr>
        <w:noBreakHyphen/>
      </w:r>
      <w:r w:rsidRPr="00BF1E02">
        <w:rPr>
          <w:szCs w:val="22"/>
        </w:rPr>
        <w:t>09</w:t>
      </w:r>
      <w:r w:rsidR="00844EAF">
        <w:rPr>
          <w:szCs w:val="22"/>
        </w:rPr>
        <w:noBreakHyphen/>
      </w:r>
      <w:r w:rsidRPr="00BF1E02">
        <w:rPr>
          <w:szCs w:val="22"/>
        </w:rPr>
        <w:t>023</w:t>
      </w:r>
      <w:r w:rsidR="00F965EC">
        <w:rPr>
          <w:szCs w:val="22"/>
        </w:rPr>
        <w:t xml:space="preserve"> at</w:t>
      </w:r>
      <w:r w:rsidR="00844EAF">
        <w:rPr>
          <w:szCs w:val="22"/>
        </w:rPr>
        <w:t> </w:t>
      </w:r>
      <w:r w:rsidRPr="00BF1E02">
        <w:rPr>
          <w:szCs w:val="22"/>
        </w:rPr>
        <w:t>11</w:t>
      </w:r>
      <w:r w:rsidR="00844EAF">
        <w:rPr>
          <w:szCs w:val="22"/>
        </w:rPr>
        <w:noBreakHyphen/>
      </w:r>
      <w:r w:rsidRPr="00BF1E02">
        <w:rPr>
          <w:szCs w:val="22"/>
        </w:rPr>
        <w:t>12, 14</w:t>
      </w:r>
      <w:r w:rsidRPr="005F2FA8">
        <w:rPr>
          <w:szCs w:val="22"/>
        </w:rPr>
        <w:t xml:space="preserve">; </w:t>
      </w:r>
      <w:r w:rsidRPr="00D11DDA">
        <w:rPr>
          <w:i/>
        </w:rPr>
        <w:t>see</w:t>
      </w:r>
      <w:r w:rsidRPr="00641762">
        <w:rPr>
          <w:szCs w:val="22"/>
        </w:rPr>
        <w:t xml:space="preserve"> also D.20</w:t>
      </w:r>
      <w:r w:rsidR="00844EAF">
        <w:rPr>
          <w:szCs w:val="22"/>
        </w:rPr>
        <w:noBreakHyphen/>
      </w:r>
      <w:r w:rsidRPr="00641762">
        <w:rPr>
          <w:szCs w:val="22"/>
        </w:rPr>
        <w:t>03</w:t>
      </w:r>
      <w:r w:rsidR="00844EAF">
        <w:rPr>
          <w:szCs w:val="22"/>
        </w:rPr>
        <w:noBreakHyphen/>
      </w:r>
      <w:r w:rsidRPr="00641762">
        <w:rPr>
          <w:szCs w:val="22"/>
        </w:rPr>
        <w:t>014</w:t>
      </w:r>
      <w:r w:rsidR="00F965EC">
        <w:rPr>
          <w:szCs w:val="22"/>
        </w:rPr>
        <w:t xml:space="preserve"> at</w:t>
      </w:r>
      <w:r w:rsidR="00844EAF">
        <w:rPr>
          <w:szCs w:val="22"/>
        </w:rPr>
        <w:t> </w:t>
      </w:r>
      <w:r w:rsidRPr="00641762">
        <w:rPr>
          <w:szCs w:val="22"/>
        </w:rPr>
        <w:t>22</w:t>
      </w:r>
      <w:r w:rsidR="00844EAF">
        <w:rPr>
          <w:szCs w:val="22"/>
        </w:rPr>
        <w:noBreakHyphen/>
      </w:r>
      <w:r w:rsidRPr="00641762">
        <w:rPr>
          <w:szCs w:val="22"/>
        </w:rPr>
        <w:t>23</w:t>
      </w:r>
      <w:r w:rsidRPr="00D073E4">
        <w:rPr>
          <w:szCs w:val="22"/>
        </w:rPr>
        <w:t xml:space="preserve"> (</w:t>
      </w:r>
      <w:r w:rsidRPr="007364CB">
        <w:rPr>
          <w:szCs w:val="22"/>
        </w:rPr>
        <w:t xml:space="preserve">“Because of the need to promote greater transparency by providing more public access to Commission proceedings and the related documents developed therein, on </w:t>
      </w:r>
      <w:r w:rsidR="00424385">
        <w:rPr>
          <w:szCs w:val="22"/>
        </w:rPr>
        <w:t>November</w:t>
      </w:r>
      <w:r w:rsidR="00844EAF">
        <w:rPr>
          <w:szCs w:val="22"/>
        </w:rPr>
        <w:t> </w:t>
      </w:r>
      <w:r w:rsidRPr="007364CB">
        <w:rPr>
          <w:szCs w:val="22"/>
        </w:rPr>
        <w:t>14, 2014, the C</w:t>
      </w:r>
      <w:r w:rsidRPr="000E4FE8">
        <w:rPr>
          <w:szCs w:val="22"/>
        </w:rPr>
        <w:t>ommission opened Rulemaking (R.) 14</w:t>
      </w:r>
      <w:r w:rsidR="00844EAF">
        <w:rPr>
          <w:szCs w:val="22"/>
        </w:rPr>
        <w:noBreakHyphen/>
      </w:r>
      <w:r w:rsidRPr="000E4FE8">
        <w:rPr>
          <w:szCs w:val="22"/>
        </w:rPr>
        <w:t>11</w:t>
      </w:r>
      <w:r w:rsidR="00844EAF">
        <w:rPr>
          <w:szCs w:val="22"/>
        </w:rPr>
        <w:noBreakHyphen/>
      </w:r>
      <w:r w:rsidRPr="000E4FE8">
        <w:rPr>
          <w:szCs w:val="22"/>
        </w:rPr>
        <w:t>001 [fn. omitted] “to increase public access to records furnished to the Commission by entities we regulate, while ensuring that information truly deserving of confidential status retains that protection.” [fn. 56 cit</w:t>
      </w:r>
      <w:r w:rsidRPr="002C41F0">
        <w:rPr>
          <w:szCs w:val="22"/>
        </w:rPr>
        <w:t>es R.14</w:t>
      </w:r>
      <w:r w:rsidR="00844EAF">
        <w:rPr>
          <w:szCs w:val="22"/>
        </w:rPr>
        <w:noBreakHyphen/>
      </w:r>
      <w:r w:rsidRPr="002C41F0">
        <w:rPr>
          <w:szCs w:val="22"/>
        </w:rPr>
        <w:t>11</w:t>
      </w:r>
      <w:r w:rsidR="00844EAF">
        <w:rPr>
          <w:szCs w:val="22"/>
        </w:rPr>
        <w:noBreakHyphen/>
      </w:r>
      <w:r w:rsidRPr="002C41F0">
        <w:rPr>
          <w:szCs w:val="22"/>
        </w:rPr>
        <w:t>001</w:t>
      </w:r>
      <w:r w:rsidR="00F965EC">
        <w:rPr>
          <w:szCs w:val="22"/>
        </w:rPr>
        <w:t xml:space="preserve"> at</w:t>
      </w:r>
      <w:r w:rsidR="00844EAF">
        <w:rPr>
          <w:szCs w:val="22"/>
        </w:rPr>
        <w:t> </w:t>
      </w:r>
      <w:r w:rsidRPr="002C41F0">
        <w:rPr>
          <w:szCs w:val="22"/>
        </w:rPr>
        <w:t>1.]</w:t>
      </w:r>
      <w:r w:rsidRPr="00D66CFF">
        <w:rPr>
          <w:szCs w:val="22"/>
        </w:rPr>
        <w:t>.)</w:t>
      </w:r>
    </w:p>
  </w:footnote>
  <w:footnote w:id="124">
    <w:p w14:paraId="792565F7" w14:textId="38091708" w:rsidR="008962B6" w:rsidRPr="00E15234" w:rsidRDefault="008962B6" w:rsidP="008962B6">
      <w:pPr>
        <w:pStyle w:val="FootnoteText"/>
        <w:rPr>
          <w:szCs w:val="22"/>
        </w:rPr>
      </w:pPr>
      <w:r w:rsidRPr="00BF1E02">
        <w:rPr>
          <w:rStyle w:val="FootnoteReference"/>
          <w:szCs w:val="22"/>
        </w:rPr>
        <w:footnoteRef/>
      </w:r>
      <w:r w:rsidR="00CE4A2B">
        <w:rPr>
          <w:szCs w:val="22"/>
        </w:rPr>
        <w:t xml:space="preserve"> </w:t>
      </w:r>
      <w:r w:rsidRPr="004526F1">
        <w:rPr>
          <w:i/>
        </w:rPr>
        <w:t>See</w:t>
      </w:r>
      <w:r w:rsidR="002C7C42" w:rsidRPr="00670566">
        <w:rPr>
          <w:i/>
        </w:rPr>
        <w:t>,</w:t>
      </w:r>
      <w:r w:rsidRPr="00670566">
        <w:rPr>
          <w:i/>
        </w:rPr>
        <w:t xml:space="preserve"> e.g.,</w:t>
      </w:r>
      <w:r w:rsidRPr="00641762">
        <w:rPr>
          <w:szCs w:val="22"/>
        </w:rPr>
        <w:t xml:space="preserve"> D.20</w:t>
      </w:r>
      <w:r w:rsidR="00844EAF">
        <w:rPr>
          <w:szCs w:val="22"/>
        </w:rPr>
        <w:noBreakHyphen/>
      </w:r>
      <w:r w:rsidRPr="00641762">
        <w:rPr>
          <w:szCs w:val="22"/>
        </w:rPr>
        <w:t>03</w:t>
      </w:r>
      <w:r w:rsidR="00844EAF">
        <w:rPr>
          <w:szCs w:val="22"/>
        </w:rPr>
        <w:noBreakHyphen/>
      </w:r>
      <w:r w:rsidRPr="00641762">
        <w:rPr>
          <w:szCs w:val="22"/>
        </w:rPr>
        <w:t xml:space="preserve">014, </w:t>
      </w:r>
      <w:r w:rsidRPr="00D073E4">
        <w:rPr>
          <w:i/>
          <w:iCs/>
          <w:szCs w:val="22"/>
        </w:rPr>
        <w:t xml:space="preserve">Decision on Data </w:t>
      </w:r>
      <w:r w:rsidRPr="007364CB">
        <w:rPr>
          <w:i/>
          <w:iCs/>
        </w:rPr>
        <w:t>C</w:t>
      </w:r>
      <w:r w:rsidRPr="000E4FE8">
        <w:rPr>
          <w:i/>
          <w:iCs/>
          <w:szCs w:val="22"/>
        </w:rPr>
        <w:t>onfidentiality Issues Track 3</w:t>
      </w:r>
      <w:r w:rsidR="00F965EC">
        <w:rPr>
          <w:szCs w:val="22"/>
        </w:rPr>
        <w:t xml:space="preserve"> at</w:t>
      </w:r>
      <w:r w:rsidR="00844EAF">
        <w:rPr>
          <w:szCs w:val="22"/>
        </w:rPr>
        <w:t> </w:t>
      </w:r>
      <w:r w:rsidRPr="002C41F0">
        <w:rPr>
          <w:szCs w:val="22"/>
        </w:rPr>
        <w:t>10</w:t>
      </w:r>
      <w:r w:rsidR="00844EAF">
        <w:rPr>
          <w:szCs w:val="22"/>
        </w:rPr>
        <w:noBreakHyphen/>
      </w:r>
      <w:r w:rsidRPr="002C41F0">
        <w:rPr>
          <w:szCs w:val="22"/>
        </w:rPr>
        <w:t>13;</w:t>
      </w:r>
      <w:r w:rsidRPr="00D66CFF">
        <w:rPr>
          <w:szCs w:val="22"/>
        </w:rPr>
        <w:t xml:space="preserve"> </w:t>
      </w:r>
      <w:r w:rsidRPr="004526F1">
        <w:rPr>
          <w:i/>
        </w:rPr>
        <w:t>see</w:t>
      </w:r>
      <w:r w:rsidRPr="00D66CFF">
        <w:rPr>
          <w:szCs w:val="22"/>
        </w:rPr>
        <w:t xml:space="preserve"> also D.17</w:t>
      </w:r>
      <w:r w:rsidR="00844EAF">
        <w:rPr>
          <w:szCs w:val="22"/>
        </w:rPr>
        <w:noBreakHyphen/>
      </w:r>
      <w:r w:rsidRPr="00D66CFF">
        <w:rPr>
          <w:szCs w:val="22"/>
        </w:rPr>
        <w:t>09</w:t>
      </w:r>
      <w:r w:rsidR="00844EAF">
        <w:rPr>
          <w:szCs w:val="22"/>
        </w:rPr>
        <w:noBreakHyphen/>
      </w:r>
      <w:r w:rsidRPr="00D66CFF">
        <w:rPr>
          <w:szCs w:val="22"/>
        </w:rPr>
        <w:t>023,</w:t>
      </w:r>
      <w:r w:rsidRPr="00DD345D">
        <w:rPr>
          <w:szCs w:val="22"/>
        </w:rPr>
        <w:t xml:space="preserve"> </w:t>
      </w:r>
      <w:r w:rsidRPr="00DB424F">
        <w:rPr>
          <w:i/>
          <w:iCs/>
          <w:szCs w:val="22"/>
        </w:rPr>
        <w:t>Phase 2A Decision Ado</w:t>
      </w:r>
      <w:r w:rsidRPr="00810648">
        <w:rPr>
          <w:i/>
          <w:iCs/>
          <w:szCs w:val="22"/>
        </w:rPr>
        <w:t xml:space="preserve">pting </w:t>
      </w:r>
      <w:r w:rsidR="006E0735">
        <w:rPr>
          <w:i/>
          <w:iCs/>
          <w:szCs w:val="22"/>
        </w:rPr>
        <w:t>General Order</w:t>
      </w:r>
      <w:r w:rsidR="00844EAF">
        <w:rPr>
          <w:i/>
          <w:iCs/>
          <w:szCs w:val="22"/>
        </w:rPr>
        <w:t> </w:t>
      </w:r>
      <w:r w:rsidRPr="006B069E">
        <w:rPr>
          <w:i/>
          <w:iCs/>
          <w:szCs w:val="22"/>
        </w:rPr>
        <w:t>66</w:t>
      </w:r>
      <w:r w:rsidR="00844EAF">
        <w:rPr>
          <w:i/>
          <w:iCs/>
          <w:szCs w:val="22"/>
        </w:rPr>
        <w:noBreakHyphen/>
      </w:r>
      <w:r w:rsidRPr="006B069E">
        <w:rPr>
          <w:i/>
          <w:iCs/>
          <w:szCs w:val="22"/>
        </w:rPr>
        <w:t xml:space="preserve">D </w:t>
      </w:r>
      <w:r w:rsidRPr="008F225D">
        <w:rPr>
          <w:i/>
          <w:iCs/>
          <w:szCs w:val="22"/>
        </w:rPr>
        <w:t>an</w:t>
      </w:r>
      <w:r>
        <w:rPr>
          <w:i/>
          <w:iCs/>
          <w:szCs w:val="22"/>
        </w:rPr>
        <w:t>d</w:t>
      </w:r>
      <w:r w:rsidRPr="00A269DF">
        <w:rPr>
          <w:i/>
          <w:iCs/>
          <w:szCs w:val="22"/>
        </w:rPr>
        <w:t xml:space="preserve"> Administrative Processes for Submission </w:t>
      </w:r>
      <w:r w:rsidRPr="008F225D">
        <w:rPr>
          <w:i/>
          <w:iCs/>
          <w:szCs w:val="22"/>
        </w:rPr>
        <w:t>an</w:t>
      </w:r>
      <w:r w:rsidRPr="000502BC">
        <w:rPr>
          <w:i/>
          <w:iCs/>
          <w:szCs w:val="22"/>
        </w:rPr>
        <w:t>d</w:t>
      </w:r>
      <w:r w:rsidRPr="0080543D">
        <w:rPr>
          <w:i/>
          <w:iCs/>
          <w:szCs w:val="22"/>
        </w:rPr>
        <w:t xml:space="preserve"> Release of Potentially Confidential Information</w:t>
      </w:r>
      <w:r w:rsidR="00F965EC">
        <w:rPr>
          <w:szCs w:val="22"/>
        </w:rPr>
        <w:t xml:space="preserve"> at</w:t>
      </w:r>
      <w:r w:rsidR="00844EAF">
        <w:rPr>
          <w:szCs w:val="22"/>
        </w:rPr>
        <w:t> </w:t>
      </w:r>
      <w:r w:rsidRPr="00646EDE">
        <w:rPr>
          <w:szCs w:val="22"/>
        </w:rPr>
        <w:t>2</w:t>
      </w:r>
      <w:r w:rsidR="00844EAF">
        <w:rPr>
          <w:szCs w:val="22"/>
        </w:rPr>
        <w:noBreakHyphen/>
      </w:r>
      <w:r w:rsidRPr="00646EDE">
        <w:rPr>
          <w:szCs w:val="22"/>
        </w:rPr>
        <w:t>3, 9</w:t>
      </w:r>
      <w:r w:rsidR="00844EAF">
        <w:rPr>
          <w:szCs w:val="22"/>
        </w:rPr>
        <w:noBreakHyphen/>
      </w:r>
      <w:r w:rsidRPr="00646EDE">
        <w:rPr>
          <w:szCs w:val="22"/>
        </w:rPr>
        <w:t>12.</w:t>
      </w:r>
    </w:p>
  </w:footnote>
  <w:footnote w:id="125">
    <w:p w14:paraId="7E535FA3" w14:textId="4FC555FD" w:rsidR="008962B6" w:rsidRPr="007364CB" w:rsidRDefault="008962B6" w:rsidP="008962B6">
      <w:pPr>
        <w:pStyle w:val="FootnoteText"/>
        <w:rPr>
          <w:szCs w:val="22"/>
        </w:rPr>
      </w:pPr>
      <w:r w:rsidRPr="00BF1E02">
        <w:rPr>
          <w:szCs w:val="22"/>
          <w:vertAlign w:val="superscript"/>
        </w:rPr>
        <w:footnoteRef/>
      </w:r>
      <w:r w:rsidR="00CE4A2B">
        <w:rPr>
          <w:szCs w:val="22"/>
        </w:rPr>
        <w:t xml:space="preserve"> </w:t>
      </w:r>
      <w:r w:rsidRPr="005F2FA8">
        <w:rPr>
          <w:i/>
          <w:szCs w:val="22"/>
        </w:rPr>
        <w:t>I</w:t>
      </w:r>
      <w:r w:rsidRPr="00D073E4">
        <w:rPr>
          <w:i/>
          <w:szCs w:val="22"/>
        </w:rPr>
        <w:t>d.</w:t>
      </w:r>
    </w:p>
  </w:footnote>
  <w:footnote w:id="126">
    <w:p w14:paraId="5F88FBBB" w14:textId="06DC3A47" w:rsidR="008962B6" w:rsidRPr="000901BF" w:rsidRDefault="008962B6" w:rsidP="008962B6">
      <w:pPr>
        <w:pStyle w:val="FootnoteText"/>
        <w:rPr>
          <w:szCs w:val="22"/>
        </w:rPr>
      </w:pPr>
      <w:r w:rsidRPr="00BF1E02">
        <w:rPr>
          <w:szCs w:val="22"/>
          <w:vertAlign w:val="superscript"/>
        </w:rPr>
        <w:footnoteRef/>
      </w:r>
      <w:r w:rsidR="00CE4A2B">
        <w:rPr>
          <w:szCs w:val="22"/>
        </w:rPr>
        <w:t xml:space="preserve"> </w:t>
      </w:r>
      <w:r w:rsidRPr="005F2FA8">
        <w:rPr>
          <w:i/>
          <w:szCs w:val="22"/>
        </w:rPr>
        <w:t>Roberts v. City of Palmdale</w:t>
      </w:r>
      <w:r w:rsidRPr="00641762">
        <w:rPr>
          <w:szCs w:val="22"/>
        </w:rPr>
        <w:t xml:space="preserve"> (1993) 5 Cal.4th 363, 370</w:t>
      </w:r>
      <w:r w:rsidRPr="00D073E4">
        <w:rPr>
          <w:szCs w:val="22"/>
        </w:rPr>
        <w:t xml:space="preserve"> (</w:t>
      </w:r>
      <w:r w:rsidRPr="007364CB">
        <w:rPr>
          <w:szCs w:val="22"/>
        </w:rPr>
        <w:t>“The Public Records Act</w:t>
      </w:r>
      <w:r w:rsidR="00844EAF">
        <w:rPr>
          <w:szCs w:val="22"/>
        </w:rPr>
        <w:t> </w:t>
      </w:r>
      <w:r w:rsidR="002C7C42">
        <w:rPr>
          <w:szCs w:val="22"/>
        </w:rPr>
        <w:t>.</w:t>
      </w:r>
      <w:r w:rsidR="000E292D">
        <w:rPr>
          <w:szCs w:val="22"/>
        </w:rPr>
        <w:t> </w:t>
      </w:r>
      <w:r w:rsidR="002C7C42">
        <w:rPr>
          <w:szCs w:val="22"/>
        </w:rPr>
        <w:t>.</w:t>
      </w:r>
      <w:r w:rsidR="000E292D">
        <w:rPr>
          <w:szCs w:val="22"/>
        </w:rPr>
        <w:t> </w:t>
      </w:r>
      <w:r w:rsidR="002C7C42">
        <w:rPr>
          <w:szCs w:val="22"/>
        </w:rPr>
        <w:t>.</w:t>
      </w:r>
      <w:r w:rsidRPr="002C41F0">
        <w:rPr>
          <w:szCs w:val="22"/>
        </w:rPr>
        <w:t xml:space="preserve"> was enacted in 1968 and provides that </w:t>
      </w:r>
      <w:r w:rsidR="00E30A91">
        <w:rPr>
          <w:szCs w:val="22"/>
        </w:rPr>
        <w:t>‘</w:t>
      </w:r>
      <w:r w:rsidRPr="002C41F0">
        <w:rPr>
          <w:szCs w:val="22"/>
        </w:rPr>
        <w:t>every person has a right to inspect any public record, except as hereafter provided</w:t>
      </w:r>
      <w:r w:rsidR="00E30A91" w:rsidRPr="00DD345D">
        <w:rPr>
          <w:szCs w:val="22"/>
        </w:rPr>
        <w:t>.</w:t>
      </w:r>
      <w:r w:rsidR="00E30A91">
        <w:rPr>
          <w:szCs w:val="22"/>
        </w:rPr>
        <w:t>’</w:t>
      </w:r>
      <w:r w:rsidR="00CE4A2B">
        <w:rPr>
          <w:szCs w:val="22"/>
        </w:rPr>
        <w:t xml:space="preserve"> </w:t>
      </w:r>
      <w:r w:rsidRPr="00DD345D">
        <w:rPr>
          <w:szCs w:val="22"/>
        </w:rPr>
        <w:t xml:space="preserve">We have explained that the act was adopted for the explicit purpose of </w:t>
      </w:r>
      <w:r w:rsidR="00E30A91" w:rsidRPr="00DD345D">
        <w:rPr>
          <w:szCs w:val="22"/>
        </w:rPr>
        <w:t>increa</w:t>
      </w:r>
      <w:r w:rsidR="00E30A91" w:rsidRPr="00DB424F">
        <w:rPr>
          <w:szCs w:val="22"/>
        </w:rPr>
        <w:t xml:space="preserve">sing </w:t>
      </w:r>
      <w:r w:rsidRPr="00DB424F">
        <w:rPr>
          <w:szCs w:val="22"/>
        </w:rPr>
        <w:t>freedom of information</w:t>
      </w:r>
      <w:r w:rsidRPr="006E39A1">
        <w:rPr>
          <w:szCs w:val="22"/>
        </w:rPr>
        <w:t xml:space="preserve"> by giving the public </w:t>
      </w:r>
      <w:r w:rsidR="00E30A91" w:rsidRPr="006E39A1">
        <w:rPr>
          <w:szCs w:val="22"/>
        </w:rPr>
        <w:t xml:space="preserve">access </w:t>
      </w:r>
      <w:r w:rsidRPr="006E39A1">
        <w:rPr>
          <w:szCs w:val="22"/>
        </w:rPr>
        <w:t>to information in possession of public agencies.</w:t>
      </w:r>
      <w:r w:rsidRPr="009B0542">
        <w:rPr>
          <w:szCs w:val="22"/>
        </w:rPr>
        <w:t>”</w:t>
      </w:r>
      <w:r w:rsidRPr="00E15234">
        <w:rPr>
          <w:szCs w:val="22"/>
        </w:rPr>
        <w:t>)</w:t>
      </w:r>
      <w:r w:rsidR="00CD4F6A">
        <w:rPr>
          <w:szCs w:val="22"/>
        </w:rPr>
        <w:t xml:space="preserve"> (internal citations and quotation marks omitted).</w:t>
      </w:r>
    </w:p>
  </w:footnote>
  <w:footnote w:id="127">
    <w:p w14:paraId="252E172B" w14:textId="2B735401" w:rsidR="008962B6" w:rsidRPr="00D66CFF" w:rsidRDefault="008962B6" w:rsidP="008962B6">
      <w:pPr>
        <w:pStyle w:val="FootnoteText"/>
        <w:rPr>
          <w:szCs w:val="22"/>
        </w:rPr>
      </w:pPr>
      <w:r w:rsidRPr="00BF1E02">
        <w:rPr>
          <w:szCs w:val="22"/>
          <w:vertAlign w:val="superscript"/>
        </w:rPr>
        <w:footnoteRef/>
      </w:r>
      <w:r w:rsidR="00CE4A2B">
        <w:rPr>
          <w:szCs w:val="22"/>
        </w:rPr>
        <w:t xml:space="preserve"> </w:t>
      </w:r>
      <w:r w:rsidRPr="00194269">
        <w:rPr>
          <w:i/>
        </w:rPr>
        <w:t>See</w:t>
      </w:r>
      <w:r w:rsidR="002C7C42">
        <w:rPr>
          <w:iCs/>
        </w:rPr>
        <w:t>,</w:t>
      </w:r>
      <w:r w:rsidRPr="00815647">
        <w:rPr>
          <w:iCs/>
        </w:rPr>
        <w:t xml:space="preserve"> </w:t>
      </w:r>
      <w:r w:rsidRPr="00564A6B">
        <w:rPr>
          <w:i/>
        </w:rPr>
        <w:t>e.g</w:t>
      </w:r>
      <w:r w:rsidRPr="00815647">
        <w:rPr>
          <w:iCs/>
        </w:rPr>
        <w:t>.,</w:t>
      </w:r>
      <w:r w:rsidRPr="007364CB">
        <w:rPr>
          <w:szCs w:val="22"/>
        </w:rPr>
        <w:t xml:space="preserve"> </w:t>
      </w:r>
      <w:r w:rsidRPr="000E4FE8">
        <w:rPr>
          <w:i/>
          <w:szCs w:val="22"/>
        </w:rPr>
        <w:t>Cal. State University v. Superior Court</w:t>
      </w:r>
      <w:r w:rsidRPr="002C41F0">
        <w:rPr>
          <w:szCs w:val="22"/>
        </w:rPr>
        <w:t xml:space="preserve"> (2001) 90 Cal.App.4th 810, 825.</w:t>
      </w:r>
    </w:p>
  </w:footnote>
  <w:footnote w:id="128">
    <w:p w14:paraId="743B851D" w14:textId="49228A4C" w:rsidR="008962B6" w:rsidRPr="00D073E4" w:rsidRDefault="008962B6" w:rsidP="008962B6">
      <w:pPr>
        <w:pStyle w:val="FootnoteText"/>
        <w:rPr>
          <w:szCs w:val="22"/>
        </w:rPr>
      </w:pPr>
      <w:r w:rsidRPr="00BF1E02">
        <w:rPr>
          <w:szCs w:val="22"/>
          <w:vertAlign w:val="superscript"/>
        </w:rPr>
        <w:footnoteRef/>
      </w:r>
      <w:r w:rsidRPr="00BF1E02">
        <w:rPr>
          <w:szCs w:val="22"/>
        </w:rPr>
        <w:t xml:space="preserve"> </w:t>
      </w:r>
      <w:r w:rsidRPr="009B3A19">
        <w:rPr>
          <w:i/>
        </w:rPr>
        <w:t xml:space="preserve">See </w:t>
      </w:r>
      <w:r w:rsidRPr="00641762">
        <w:rPr>
          <w:szCs w:val="22"/>
        </w:rPr>
        <w:t xml:space="preserve">Gov. Code </w:t>
      </w:r>
      <w:r w:rsidR="00646044">
        <w:rPr>
          <w:szCs w:val="22"/>
        </w:rPr>
        <w:t>§ </w:t>
      </w:r>
      <w:r w:rsidRPr="00641762">
        <w:rPr>
          <w:szCs w:val="22"/>
        </w:rPr>
        <w:t>6252</w:t>
      </w:r>
      <w:r w:rsidR="002C7C42">
        <w:rPr>
          <w:szCs w:val="22"/>
        </w:rPr>
        <w:t xml:space="preserve">, subd. </w:t>
      </w:r>
      <w:r w:rsidRPr="00641762">
        <w:rPr>
          <w:szCs w:val="22"/>
        </w:rPr>
        <w:t>(e).</w:t>
      </w:r>
    </w:p>
  </w:footnote>
  <w:footnote w:id="129">
    <w:p w14:paraId="2A6EA817" w14:textId="59598345" w:rsidR="008962B6" w:rsidRPr="002C41F0" w:rsidRDefault="008962B6" w:rsidP="008962B6">
      <w:pPr>
        <w:pStyle w:val="FootnoteText"/>
        <w:rPr>
          <w:szCs w:val="22"/>
        </w:rPr>
      </w:pPr>
      <w:r w:rsidRPr="00BF1E02">
        <w:rPr>
          <w:rStyle w:val="FootnoteReference"/>
          <w:szCs w:val="22"/>
        </w:rPr>
        <w:footnoteRef/>
      </w:r>
      <w:r w:rsidR="00CE4A2B">
        <w:rPr>
          <w:szCs w:val="22"/>
        </w:rPr>
        <w:t xml:space="preserve"> </w:t>
      </w:r>
      <w:r w:rsidRPr="00BF1E02">
        <w:rPr>
          <w:szCs w:val="22"/>
        </w:rPr>
        <w:t xml:space="preserve">Gov. Code </w:t>
      </w:r>
      <w:r w:rsidR="00646044">
        <w:rPr>
          <w:szCs w:val="22"/>
        </w:rPr>
        <w:t>§ </w:t>
      </w:r>
      <w:r w:rsidRPr="00BF1E02">
        <w:rPr>
          <w:szCs w:val="22"/>
        </w:rPr>
        <w:t>6253.4</w:t>
      </w:r>
      <w:r w:rsidR="002C7C42">
        <w:rPr>
          <w:szCs w:val="22"/>
        </w:rPr>
        <w:t xml:space="preserve">, subd. </w:t>
      </w:r>
      <w:r w:rsidRPr="00BF1E02">
        <w:rPr>
          <w:szCs w:val="22"/>
        </w:rPr>
        <w:t>(b)</w:t>
      </w:r>
      <w:r w:rsidRPr="005F2FA8">
        <w:rPr>
          <w:szCs w:val="22"/>
        </w:rPr>
        <w:t xml:space="preserve"> (</w:t>
      </w:r>
      <w:r w:rsidRPr="00641762">
        <w:rPr>
          <w:szCs w:val="22"/>
        </w:rPr>
        <w:t>“Guidelines and regulations adopted pursuant to this section shall be consistent with all other sections of this chapter and shall reflect the intention of the Legislature to make the records accessible to the public.</w:t>
      </w:r>
      <w:r w:rsidRPr="00D073E4">
        <w:rPr>
          <w:szCs w:val="22"/>
        </w:rPr>
        <w:t>”</w:t>
      </w:r>
      <w:r w:rsidRPr="007364CB">
        <w:rPr>
          <w:szCs w:val="22"/>
        </w:rPr>
        <w:t>).</w:t>
      </w:r>
    </w:p>
  </w:footnote>
  <w:footnote w:id="130">
    <w:p w14:paraId="4A56DE24" w14:textId="61725625" w:rsidR="00F20BF4" w:rsidRDefault="00F20BF4" w:rsidP="00F20BF4">
      <w:pPr>
        <w:pStyle w:val="FootnoteText"/>
      </w:pPr>
      <w:r>
        <w:rPr>
          <w:rStyle w:val="FootnoteReference"/>
        </w:rPr>
        <w:footnoteRef/>
      </w:r>
      <w:r>
        <w:t xml:space="preserve"> GO 66</w:t>
      </w:r>
      <w:r w:rsidR="00844EAF">
        <w:noBreakHyphen/>
      </w:r>
      <w:r>
        <w:t xml:space="preserve">D </w:t>
      </w:r>
      <w:r w:rsidR="00646044">
        <w:t>§ </w:t>
      </w:r>
      <w:r>
        <w:t>3.4</w:t>
      </w:r>
      <w:r w:rsidR="00CD4F6A">
        <w:t xml:space="preserve">, subd. </w:t>
      </w:r>
      <w:r>
        <w:t>(b).</w:t>
      </w:r>
    </w:p>
  </w:footnote>
  <w:footnote w:id="131">
    <w:p w14:paraId="72334C40" w14:textId="52418EF9" w:rsidR="008962B6" w:rsidRDefault="008962B6" w:rsidP="008962B6">
      <w:pPr>
        <w:pStyle w:val="FootnoteText"/>
      </w:pPr>
      <w:r>
        <w:rPr>
          <w:rStyle w:val="FootnoteReference"/>
        </w:rPr>
        <w:footnoteRef/>
      </w:r>
      <w:r>
        <w:t xml:space="preserve"> </w:t>
      </w:r>
      <w:bookmarkStart w:id="90" w:name="_Hlk175779346"/>
      <w:r>
        <w:t>T</w:t>
      </w:r>
      <w:r w:rsidRPr="00C25ADF">
        <w:rPr>
          <w:szCs w:val="22"/>
        </w:rPr>
        <w:t xml:space="preserve">he </w:t>
      </w:r>
      <w:r>
        <w:rPr>
          <w:szCs w:val="22"/>
        </w:rPr>
        <w:t>list of financial instruments required for applicants was originally issued in D.95</w:t>
      </w:r>
      <w:r w:rsidR="00844EAF">
        <w:rPr>
          <w:szCs w:val="22"/>
        </w:rPr>
        <w:noBreakHyphen/>
      </w:r>
      <w:r>
        <w:rPr>
          <w:szCs w:val="22"/>
        </w:rPr>
        <w:t>07</w:t>
      </w:r>
      <w:r w:rsidR="00844EAF">
        <w:rPr>
          <w:szCs w:val="22"/>
        </w:rPr>
        <w:noBreakHyphen/>
      </w:r>
      <w:r>
        <w:rPr>
          <w:szCs w:val="22"/>
        </w:rPr>
        <w:t xml:space="preserve">054, reissued in </w:t>
      </w:r>
      <w:r w:rsidRPr="00C25ADF">
        <w:rPr>
          <w:szCs w:val="22"/>
        </w:rPr>
        <w:t>D.95</w:t>
      </w:r>
      <w:r w:rsidR="006951D5">
        <w:rPr>
          <w:szCs w:val="22"/>
        </w:rPr>
        <w:noBreakHyphen/>
      </w:r>
      <w:r w:rsidRPr="00C25ADF">
        <w:rPr>
          <w:szCs w:val="22"/>
        </w:rPr>
        <w:t>12</w:t>
      </w:r>
      <w:r w:rsidR="006951D5">
        <w:rPr>
          <w:szCs w:val="22"/>
        </w:rPr>
        <w:noBreakHyphen/>
      </w:r>
      <w:r w:rsidRPr="00C25ADF">
        <w:rPr>
          <w:szCs w:val="22"/>
        </w:rPr>
        <w:t xml:space="preserve">056, </w:t>
      </w:r>
      <w:r w:rsidR="00C04D12">
        <w:rPr>
          <w:szCs w:val="22"/>
        </w:rPr>
        <w:t>Appendix </w:t>
      </w:r>
      <w:r w:rsidRPr="00C25ADF">
        <w:rPr>
          <w:szCs w:val="22"/>
        </w:rPr>
        <w:t>C</w:t>
      </w:r>
      <w:r>
        <w:rPr>
          <w:szCs w:val="22"/>
        </w:rPr>
        <w:t xml:space="preserve"> and upheld in D.13</w:t>
      </w:r>
      <w:r w:rsidR="00844EAF">
        <w:rPr>
          <w:szCs w:val="22"/>
        </w:rPr>
        <w:noBreakHyphen/>
      </w:r>
      <w:r>
        <w:rPr>
          <w:szCs w:val="22"/>
        </w:rPr>
        <w:t>05</w:t>
      </w:r>
      <w:r w:rsidR="00844EAF">
        <w:rPr>
          <w:szCs w:val="22"/>
        </w:rPr>
        <w:noBreakHyphen/>
      </w:r>
      <w:r>
        <w:rPr>
          <w:szCs w:val="22"/>
        </w:rPr>
        <w:t>035 and D.20</w:t>
      </w:r>
      <w:r w:rsidR="00844EAF">
        <w:rPr>
          <w:szCs w:val="22"/>
        </w:rPr>
        <w:noBreakHyphen/>
      </w:r>
      <w:r>
        <w:rPr>
          <w:szCs w:val="22"/>
        </w:rPr>
        <w:t>08</w:t>
      </w:r>
      <w:r w:rsidR="00844EAF">
        <w:rPr>
          <w:szCs w:val="22"/>
        </w:rPr>
        <w:noBreakHyphen/>
      </w:r>
      <w:r>
        <w:rPr>
          <w:szCs w:val="22"/>
        </w:rPr>
        <w:t xml:space="preserve">011. </w:t>
      </w:r>
      <w:r w:rsidRPr="00C25ADF">
        <w:rPr>
          <w:szCs w:val="22"/>
        </w:rPr>
        <w:t xml:space="preserve">The </w:t>
      </w:r>
      <w:r>
        <w:rPr>
          <w:szCs w:val="22"/>
        </w:rPr>
        <w:t xml:space="preserve">same list </w:t>
      </w:r>
      <w:r w:rsidRPr="00C25ADF">
        <w:rPr>
          <w:szCs w:val="22"/>
        </w:rPr>
        <w:t xml:space="preserve">for </w:t>
      </w:r>
      <w:r w:rsidR="00BD1168">
        <w:rPr>
          <w:szCs w:val="22"/>
        </w:rPr>
        <w:t>Section</w:t>
      </w:r>
      <w:r w:rsidR="00844EAF">
        <w:rPr>
          <w:szCs w:val="22"/>
        </w:rPr>
        <w:t> </w:t>
      </w:r>
      <w:r>
        <w:rPr>
          <w:szCs w:val="22"/>
        </w:rPr>
        <w:t>1013 applicants</w:t>
      </w:r>
      <w:r w:rsidRPr="00C25ADF">
        <w:rPr>
          <w:szCs w:val="22"/>
        </w:rPr>
        <w:t xml:space="preserve"> is contained in D.</w:t>
      </w:r>
      <w:r>
        <w:rPr>
          <w:szCs w:val="22"/>
        </w:rPr>
        <w:t>14</w:t>
      </w:r>
      <w:r w:rsidR="006951D5">
        <w:rPr>
          <w:szCs w:val="22"/>
        </w:rPr>
        <w:noBreakHyphen/>
      </w:r>
      <w:r>
        <w:rPr>
          <w:szCs w:val="22"/>
        </w:rPr>
        <w:t>11</w:t>
      </w:r>
      <w:r w:rsidR="006951D5">
        <w:rPr>
          <w:szCs w:val="22"/>
        </w:rPr>
        <w:noBreakHyphen/>
      </w:r>
      <w:r>
        <w:rPr>
          <w:szCs w:val="22"/>
        </w:rPr>
        <w:t>004</w:t>
      </w:r>
      <w:r w:rsidRPr="00C25ADF">
        <w:rPr>
          <w:szCs w:val="22"/>
        </w:rPr>
        <w:t>.</w:t>
      </w:r>
      <w:bookmarkEnd w:id="90"/>
    </w:p>
  </w:footnote>
  <w:footnote w:id="132">
    <w:p w14:paraId="3501218C" w14:textId="5ECA3387" w:rsidR="008962B6" w:rsidRDefault="008962B6" w:rsidP="008962B6">
      <w:pPr>
        <w:pStyle w:val="FootnoteText"/>
      </w:pPr>
      <w:r>
        <w:rPr>
          <w:rStyle w:val="FootnoteReference"/>
        </w:rPr>
        <w:footnoteRef/>
      </w:r>
      <w:r>
        <w:t xml:space="preserve"> </w:t>
      </w:r>
      <w:r w:rsidR="006951D5">
        <w:t>Rule</w:t>
      </w:r>
      <w:r w:rsidR="00844EAF">
        <w:t> </w:t>
      </w:r>
      <w:r>
        <w:t>3.2</w:t>
      </w:r>
      <w:r w:rsidR="00EA3182">
        <w:t>, subd</w:t>
      </w:r>
      <w:r w:rsidR="00A97C7A">
        <w:t>s</w:t>
      </w:r>
      <w:r w:rsidR="005E260F">
        <w:t>.</w:t>
      </w:r>
      <w:r w:rsidR="00EA3182">
        <w:t xml:space="preserve"> </w:t>
      </w:r>
      <w:r>
        <w:t>(</w:t>
      </w:r>
      <w:proofErr w:type="spellStart"/>
      <w:r>
        <w:t>i</w:t>
      </w:r>
      <w:proofErr w:type="spellEnd"/>
      <w:r>
        <w:t>) and (j).</w:t>
      </w:r>
    </w:p>
  </w:footnote>
  <w:footnote w:id="133">
    <w:p w14:paraId="0B189FB8" w14:textId="73F95250" w:rsidR="000E43F2" w:rsidRDefault="000E43F2">
      <w:pPr>
        <w:pStyle w:val="FootnoteText"/>
      </w:pPr>
      <w:r>
        <w:rPr>
          <w:rStyle w:val="FootnoteReference"/>
        </w:rPr>
        <w:footnoteRef/>
      </w:r>
      <w:r>
        <w:t xml:space="preserve"> </w:t>
      </w:r>
      <w:r w:rsidRPr="007B41A1">
        <w:t>Our analysis</w:t>
      </w:r>
      <w:r w:rsidR="00844EAF">
        <w:t xml:space="preserve"> </w:t>
      </w:r>
      <w:r w:rsidRPr="007B41A1">
        <w:t>here does not turn on</w:t>
      </w:r>
      <w:r w:rsidR="00844EAF">
        <w:t xml:space="preserve"> </w:t>
      </w:r>
      <w:r w:rsidRPr="007B41A1">
        <w:t>the</w:t>
      </w:r>
      <w:r w:rsidR="00844EAF">
        <w:t xml:space="preserve"> </w:t>
      </w:r>
      <w:r w:rsidRPr="007B41A1">
        <w:t>information</w:t>
      </w:r>
      <w:r w:rsidR="00844EAF">
        <w:t xml:space="preserve"> </w:t>
      </w:r>
      <w:r w:rsidRPr="007B41A1">
        <w:t>at issue falling under the trade secret exemption.</w:t>
      </w:r>
      <w:r w:rsidR="00844EAF">
        <w:t xml:space="preserve"> </w:t>
      </w:r>
      <w:r w:rsidRPr="007B41A1">
        <w:t>That</w:t>
      </w:r>
      <w:r w:rsidR="00844EAF">
        <w:t xml:space="preserve"> </w:t>
      </w:r>
      <w:r w:rsidRPr="007B41A1">
        <w:t>exemption is driven by the specific facts</w:t>
      </w:r>
      <w:r w:rsidR="00844EAF">
        <w:t xml:space="preserve"> </w:t>
      </w:r>
      <w:r w:rsidRPr="007B41A1">
        <w:t>pled</w:t>
      </w:r>
      <w:r w:rsidR="00844EAF">
        <w:t xml:space="preserve"> </w:t>
      </w:r>
      <w:r w:rsidRPr="007B41A1">
        <w:t>by the entity seeking confidentiality protection.</w:t>
      </w:r>
      <w:r w:rsidR="00844EAF">
        <w:t xml:space="preserve"> </w:t>
      </w:r>
      <w:r w:rsidRPr="007B41A1">
        <w:t xml:space="preserve">The public interest balancing test, set forth in Cal. Gov. Code </w:t>
      </w:r>
      <w:r w:rsidR="00646044">
        <w:t>§ </w:t>
      </w:r>
      <w:r w:rsidRPr="007B41A1">
        <w:t>7922.000,</w:t>
      </w:r>
      <w:r w:rsidR="00844EAF">
        <w:t xml:space="preserve"> </w:t>
      </w:r>
      <w:r w:rsidRPr="007B41A1">
        <w:t>drives</w:t>
      </w:r>
      <w:r w:rsidR="00844EAF">
        <w:t xml:space="preserve"> </w:t>
      </w:r>
      <w:r w:rsidRPr="007B41A1">
        <w:t>our confidentiality determinations here.</w:t>
      </w:r>
    </w:p>
  </w:footnote>
  <w:footnote w:id="134">
    <w:p w14:paraId="0770B9BA" w14:textId="773AEB11" w:rsidR="008962B6" w:rsidRDefault="008962B6" w:rsidP="008962B6">
      <w:pPr>
        <w:pStyle w:val="FootnoteText"/>
      </w:pPr>
      <w:r>
        <w:rPr>
          <w:rStyle w:val="FootnoteReference"/>
        </w:rPr>
        <w:footnoteRef/>
      </w:r>
      <w:r>
        <w:t xml:space="preserve"> </w:t>
      </w:r>
      <w:r w:rsidRPr="00DF1879">
        <w:t xml:space="preserve">Cal. Gov. Code </w:t>
      </w:r>
      <w:r w:rsidR="00646044">
        <w:t>§ </w:t>
      </w:r>
      <w:r w:rsidRPr="00DF1879">
        <w:t>7922.000; see Michaelis, Montanari &amp; Johnson v. Superior Court</w:t>
      </w:r>
      <w:r w:rsidR="006D7D15">
        <w:t xml:space="preserve"> (2006)</w:t>
      </w:r>
      <w:r w:rsidRPr="00DF1879">
        <w:t xml:space="preserve"> 38 Cal. 4th 1065, 1073 (ruling that, under </w:t>
      </w:r>
      <w:r w:rsidR="00BD1168">
        <w:t>Section</w:t>
      </w:r>
      <w:r w:rsidR="00844EAF">
        <w:t> </w:t>
      </w:r>
      <w:r w:rsidRPr="00DF1879">
        <w:t xml:space="preserve">6255 (recodified as </w:t>
      </w:r>
      <w:r w:rsidR="00BD1168">
        <w:t>Section</w:t>
      </w:r>
      <w:r w:rsidR="00844EAF">
        <w:t> </w:t>
      </w:r>
      <w:r w:rsidRPr="00DF1879">
        <w:t>7922.000), proposals for lease of hangar facility at public airport were exempt from disclosure during negotiation period to ensure benefits of competition which “assure the best social, environmental, and economic result for the public”).</w:t>
      </w:r>
    </w:p>
  </w:footnote>
  <w:footnote w:id="135">
    <w:p w14:paraId="5B370754" w14:textId="237C1FD2" w:rsidR="007E5208" w:rsidRDefault="007E5208" w:rsidP="007E5208">
      <w:pPr>
        <w:pStyle w:val="FootnoteText"/>
      </w:pPr>
      <w:r>
        <w:rPr>
          <w:rStyle w:val="FootnoteReference"/>
        </w:rPr>
        <w:footnoteRef/>
      </w:r>
      <w:r w:rsidR="00CD0E2A">
        <w:t xml:space="preserve"> </w:t>
      </w:r>
      <w:r w:rsidRPr="00C25ADF">
        <w:rPr>
          <w:szCs w:val="22"/>
        </w:rPr>
        <w:t xml:space="preserve">The </w:t>
      </w:r>
      <w:r w:rsidR="00EB3129">
        <w:rPr>
          <w:szCs w:val="22"/>
        </w:rPr>
        <w:t xml:space="preserve">list of financial instruments required for applicants is contained </w:t>
      </w:r>
      <w:r w:rsidRPr="00C25ADF">
        <w:rPr>
          <w:szCs w:val="22"/>
        </w:rPr>
        <w:t xml:space="preserve">in </w:t>
      </w:r>
      <w:r>
        <w:rPr>
          <w:szCs w:val="22"/>
        </w:rPr>
        <w:t>D.13</w:t>
      </w:r>
      <w:r w:rsidR="006951D5">
        <w:rPr>
          <w:szCs w:val="22"/>
        </w:rPr>
        <w:noBreakHyphen/>
      </w:r>
      <w:r>
        <w:rPr>
          <w:szCs w:val="22"/>
        </w:rPr>
        <w:t>05</w:t>
      </w:r>
      <w:r w:rsidR="006951D5">
        <w:rPr>
          <w:szCs w:val="22"/>
        </w:rPr>
        <w:noBreakHyphen/>
      </w:r>
      <w:r>
        <w:rPr>
          <w:szCs w:val="22"/>
        </w:rPr>
        <w:t xml:space="preserve">035 and </w:t>
      </w:r>
      <w:r w:rsidRPr="00C25ADF">
        <w:rPr>
          <w:szCs w:val="22"/>
        </w:rPr>
        <w:t>D.95</w:t>
      </w:r>
      <w:r w:rsidR="006951D5">
        <w:rPr>
          <w:szCs w:val="22"/>
        </w:rPr>
        <w:noBreakHyphen/>
      </w:r>
      <w:r w:rsidRPr="00C25ADF">
        <w:rPr>
          <w:szCs w:val="22"/>
        </w:rPr>
        <w:t>12</w:t>
      </w:r>
      <w:r w:rsidR="006951D5">
        <w:rPr>
          <w:szCs w:val="22"/>
        </w:rPr>
        <w:noBreakHyphen/>
      </w:r>
      <w:r w:rsidRPr="00C25ADF">
        <w:rPr>
          <w:szCs w:val="22"/>
        </w:rPr>
        <w:t xml:space="preserve">056, </w:t>
      </w:r>
      <w:r w:rsidR="00C04D12">
        <w:rPr>
          <w:szCs w:val="22"/>
        </w:rPr>
        <w:t>Appendix </w:t>
      </w:r>
      <w:r w:rsidRPr="00C25ADF">
        <w:rPr>
          <w:szCs w:val="22"/>
        </w:rPr>
        <w:t>C</w:t>
      </w:r>
      <w:r w:rsidR="00EA1524">
        <w:rPr>
          <w:szCs w:val="22"/>
        </w:rPr>
        <w:t xml:space="preserve"> and was originally listed in D.95</w:t>
      </w:r>
      <w:r w:rsidR="00844EAF">
        <w:rPr>
          <w:szCs w:val="22"/>
        </w:rPr>
        <w:noBreakHyphen/>
      </w:r>
      <w:r w:rsidR="00EA1524">
        <w:rPr>
          <w:szCs w:val="22"/>
        </w:rPr>
        <w:t>07</w:t>
      </w:r>
      <w:r w:rsidR="00844EAF">
        <w:rPr>
          <w:szCs w:val="22"/>
        </w:rPr>
        <w:noBreakHyphen/>
      </w:r>
      <w:r w:rsidR="00EA1524">
        <w:rPr>
          <w:szCs w:val="22"/>
        </w:rPr>
        <w:t>054</w:t>
      </w:r>
      <w:r w:rsidR="008B4CD4">
        <w:rPr>
          <w:szCs w:val="22"/>
        </w:rPr>
        <w:t>.</w:t>
      </w:r>
      <w:r w:rsidR="00CD0E2A">
        <w:rPr>
          <w:szCs w:val="22"/>
        </w:rPr>
        <w:t xml:space="preserve"> </w:t>
      </w:r>
      <w:r w:rsidRPr="00C25ADF">
        <w:rPr>
          <w:szCs w:val="22"/>
        </w:rPr>
        <w:t xml:space="preserve">The financial requirement for </w:t>
      </w:r>
      <w:r w:rsidR="00575D93">
        <w:rPr>
          <w:szCs w:val="22"/>
        </w:rPr>
        <w:t>NDIECs</w:t>
      </w:r>
      <w:r w:rsidRPr="00C25ADF">
        <w:rPr>
          <w:szCs w:val="22"/>
        </w:rPr>
        <w:t xml:space="preserve"> is contained in D.</w:t>
      </w:r>
      <w:r>
        <w:rPr>
          <w:szCs w:val="22"/>
        </w:rPr>
        <w:t>14</w:t>
      </w:r>
      <w:r w:rsidR="006951D5">
        <w:rPr>
          <w:szCs w:val="22"/>
        </w:rPr>
        <w:noBreakHyphen/>
      </w:r>
      <w:r>
        <w:rPr>
          <w:szCs w:val="22"/>
        </w:rPr>
        <w:t>11</w:t>
      </w:r>
      <w:r w:rsidR="006951D5">
        <w:rPr>
          <w:szCs w:val="22"/>
        </w:rPr>
        <w:noBreakHyphen/>
      </w:r>
      <w:r>
        <w:rPr>
          <w:szCs w:val="22"/>
        </w:rPr>
        <w:t>004</w:t>
      </w:r>
      <w:r w:rsidRPr="00C25ADF">
        <w:rPr>
          <w:szCs w:val="22"/>
        </w:rPr>
        <w:t>.</w:t>
      </w:r>
    </w:p>
  </w:footnote>
  <w:footnote w:id="136">
    <w:p w14:paraId="5129BDA9" w14:textId="2A58D0EE" w:rsidR="008201D6" w:rsidRPr="001C7C69" w:rsidRDefault="008201D6">
      <w:pPr>
        <w:pStyle w:val="FootnoteText"/>
        <w:rPr>
          <w:lang w:val="en-ZW"/>
        </w:rPr>
      </w:pPr>
      <w:r>
        <w:rPr>
          <w:rStyle w:val="FootnoteReference"/>
        </w:rPr>
        <w:footnoteRef/>
      </w:r>
      <w:r>
        <w:t xml:space="preserve"> </w:t>
      </w:r>
      <w:r w:rsidRPr="008201D6">
        <w:t>Public Resources Code </w:t>
      </w:r>
      <w:r w:rsidR="00646044">
        <w:t>§ </w:t>
      </w:r>
      <w:r w:rsidRPr="008201D6">
        <w:t xml:space="preserve">21000 </w:t>
      </w:r>
      <w:r w:rsidRPr="008201D6">
        <w:rPr>
          <w:i/>
        </w:rPr>
        <w:t>et seq</w:t>
      </w:r>
      <w:r w:rsidRPr="008201D6">
        <w:t>.</w:t>
      </w:r>
    </w:p>
  </w:footnote>
  <w:footnote w:id="137">
    <w:p w14:paraId="32724522" w14:textId="0CDC4D83" w:rsidR="008201D6" w:rsidRDefault="008201D6" w:rsidP="008201D6">
      <w:pPr>
        <w:pStyle w:val="FootnoteText"/>
      </w:pPr>
      <w:r>
        <w:rPr>
          <w:rStyle w:val="FootnoteReference"/>
        </w:rPr>
        <w:footnoteRef/>
      </w:r>
      <w:r>
        <w:t xml:space="preserve"> D.99</w:t>
      </w:r>
      <w:r w:rsidR="006951D5">
        <w:noBreakHyphen/>
      </w:r>
      <w:r>
        <w:t>10</w:t>
      </w:r>
      <w:r w:rsidR="006951D5">
        <w:noBreakHyphen/>
      </w:r>
      <w:r>
        <w:t>025.</w:t>
      </w:r>
    </w:p>
  </w:footnote>
  <w:footnote w:id="138">
    <w:p w14:paraId="2BD87A73" w14:textId="21CC546C" w:rsidR="00625C96" w:rsidRDefault="00625C96">
      <w:pPr>
        <w:pStyle w:val="FootnoteText"/>
      </w:pPr>
      <w:r>
        <w:rPr>
          <w:rStyle w:val="FootnoteReference"/>
        </w:rPr>
        <w:footnoteRef/>
      </w:r>
      <w:r>
        <w:t xml:space="preserve"> The decision to require full facilities</w:t>
      </w:r>
      <w:r w:rsidR="00844EAF">
        <w:noBreakHyphen/>
      </w:r>
      <w:r>
        <w:t>based CPCN applicants to utilize the Energy Division’s 21</w:t>
      </w:r>
      <w:r w:rsidR="00844EAF">
        <w:noBreakHyphen/>
      </w:r>
      <w:r>
        <w:t>day expedited CEQA review process is also consistent with D.21</w:t>
      </w:r>
      <w:r w:rsidR="00844EAF">
        <w:noBreakHyphen/>
      </w:r>
      <w:r>
        <w:t>04</w:t>
      </w:r>
      <w:r w:rsidR="00844EAF">
        <w:noBreakHyphen/>
      </w:r>
      <w:r>
        <w:t>006.</w:t>
      </w:r>
    </w:p>
  </w:footnote>
  <w:footnote w:id="139">
    <w:p w14:paraId="19844DA9" w14:textId="23FC5E55" w:rsidR="00003922" w:rsidRDefault="00003922" w:rsidP="00003922">
      <w:pPr>
        <w:pStyle w:val="FootnoteText"/>
      </w:pPr>
      <w:r>
        <w:rPr>
          <w:rStyle w:val="FootnoteReference"/>
        </w:rPr>
        <w:footnoteRef/>
      </w:r>
      <w:r>
        <w:t xml:space="preserve"> </w:t>
      </w:r>
      <w:r w:rsidR="00F859FB">
        <w:rPr>
          <w:i/>
          <w:iCs/>
        </w:rPr>
        <w:t xml:space="preserve">See </w:t>
      </w:r>
      <w:r w:rsidRPr="00035E6B">
        <w:t>D.97</w:t>
      </w:r>
      <w:r w:rsidR="006951D5">
        <w:noBreakHyphen/>
      </w:r>
      <w:r w:rsidRPr="00035E6B">
        <w:t>06</w:t>
      </w:r>
      <w:r w:rsidR="006951D5">
        <w:noBreakHyphen/>
      </w:r>
      <w:r w:rsidRPr="00035E6B">
        <w:t>107</w:t>
      </w:r>
      <w:r w:rsidR="007551DD">
        <w:t xml:space="preserve"> at </w:t>
      </w:r>
      <w:r w:rsidRPr="00035E6B">
        <w:t>9</w:t>
      </w:r>
      <w:r w:rsidR="00F859FB">
        <w:t xml:space="preserve"> and </w:t>
      </w:r>
      <w:r w:rsidR="00F859FB" w:rsidRPr="00444A8D">
        <w:t>D.95</w:t>
      </w:r>
      <w:r w:rsidR="006951D5">
        <w:noBreakHyphen/>
      </w:r>
      <w:r w:rsidR="00F859FB" w:rsidRPr="00444A8D">
        <w:t>10</w:t>
      </w:r>
      <w:r w:rsidR="006951D5">
        <w:noBreakHyphen/>
      </w:r>
      <w:r w:rsidR="00F859FB" w:rsidRPr="00444A8D">
        <w:t>032</w:t>
      </w:r>
      <w:r w:rsidR="007551DD">
        <w:t xml:space="preserve"> at </w:t>
      </w:r>
      <w:r w:rsidR="00F859FB" w:rsidRPr="00444A8D">
        <w:t>12</w:t>
      </w:r>
      <w:r w:rsidR="00F859FB">
        <w:t>.</w:t>
      </w:r>
    </w:p>
  </w:footnote>
  <w:footnote w:id="140">
    <w:p w14:paraId="60EDA732" w14:textId="726F2598" w:rsidR="00D5789E" w:rsidRDefault="00D5789E" w:rsidP="00D5789E">
      <w:pPr>
        <w:pStyle w:val="FootnoteText"/>
      </w:pPr>
      <w:r>
        <w:rPr>
          <w:rStyle w:val="FootnoteReference"/>
        </w:rPr>
        <w:footnoteRef/>
      </w:r>
      <w:r>
        <w:t xml:space="preserve"> </w:t>
      </w:r>
      <w:r w:rsidR="003857E1">
        <w:t>Staff Proposal 4</w:t>
      </w:r>
      <w:r>
        <w:t>.a., OIR</w:t>
      </w:r>
      <w:r w:rsidR="007551DD">
        <w:t xml:space="preserve"> at </w:t>
      </w:r>
      <w:r>
        <w:t>A</w:t>
      </w:r>
      <w:r w:rsidR="006951D5">
        <w:noBreakHyphen/>
      </w:r>
      <w:r>
        <w:t>9.</w:t>
      </w:r>
    </w:p>
  </w:footnote>
  <w:footnote w:id="141">
    <w:p w14:paraId="64F28BCD" w14:textId="5AEA6DEF" w:rsidR="00403ACC" w:rsidRDefault="00403ACC" w:rsidP="00403ACC">
      <w:pPr>
        <w:pStyle w:val="FootnoteText"/>
      </w:pPr>
      <w:r>
        <w:rPr>
          <w:rStyle w:val="FootnoteReference"/>
        </w:rPr>
        <w:footnoteRef/>
      </w:r>
      <w:r>
        <w:t xml:space="preserve"> Cal Broadband Opening Comments on the Scoping Memo</w:t>
      </w:r>
      <w:r w:rsidR="007551DD">
        <w:t xml:space="preserve"> at </w:t>
      </w:r>
      <w:r>
        <w:t>24.</w:t>
      </w:r>
    </w:p>
  </w:footnote>
  <w:footnote w:id="142">
    <w:p w14:paraId="18F898E6" w14:textId="7D0B9D41" w:rsidR="00B546E3" w:rsidRDefault="00B546E3" w:rsidP="00B546E3">
      <w:pPr>
        <w:pStyle w:val="FootnoteText"/>
      </w:pPr>
      <w:r>
        <w:rPr>
          <w:rStyle w:val="FootnoteReference"/>
        </w:rPr>
        <w:footnoteRef/>
      </w:r>
      <w:r>
        <w:t xml:space="preserve"> Cal Broadband Opening Comments on the OIR</w:t>
      </w:r>
      <w:r w:rsidR="007551DD">
        <w:t xml:space="preserve"> at </w:t>
      </w:r>
      <w:r>
        <w:t>14.</w:t>
      </w:r>
    </w:p>
  </w:footnote>
  <w:footnote w:id="143">
    <w:p w14:paraId="65A7758E" w14:textId="4889C88D" w:rsidR="00593257" w:rsidRDefault="00593257" w:rsidP="00593257">
      <w:pPr>
        <w:pStyle w:val="FootnoteText"/>
      </w:pPr>
      <w:r>
        <w:rPr>
          <w:rStyle w:val="FootnoteReference"/>
        </w:rPr>
        <w:footnoteRef/>
      </w:r>
      <w:r>
        <w:t xml:space="preserve"> An </w:t>
      </w:r>
      <w:r w:rsidR="00D84D6F">
        <w:t>i</w:t>
      </w:r>
      <w:r>
        <w:t xml:space="preserve">nterconnected VoIP </w:t>
      </w:r>
      <w:r w:rsidR="00E76F1D">
        <w:t>service provider</w:t>
      </w:r>
      <w:r>
        <w:t xml:space="preserve"> that was granted operating authority under CPCN application process must continue to comply with the requirements and obligations under its CPCN decision.</w:t>
      </w:r>
    </w:p>
  </w:footnote>
  <w:footnote w:id="144">
    <w:p w14:paraId="2F755889" w14:textId="60D1CDE1" w:rsidR="00820413" w:rsidRDefault="00820413">
      <w:pPr>
        <w:pStyle w:val="FootnoteText"/>
      </w:pPr>
      <w:r>
        <w:rPr>
          <w:rStyle w:val="FootnoteReference"/>
        </w:rPr>
        <w:footnoteRef/>
      </w:r>
      <w:r>
        <w:t xml:space="preserve"> </w:t>
      </w:r>
      <w:bookmarkStart w:id="109" w:name="_Hlk176770569"/>
      <w:r>
        <w:t>The date of migration will become the registration date associated with the DVF utility type. The migrated provider’s date of registration as a DVS provider will terminate on the date of migration.</w:t>
      </w:r>
      <w:bookmarkEnd w:id="109"/>
    </w:p>
  </w:footnote>
  <w:footnote w:id="145">
    <w:p w14:paraId="515DE0F5" w14:textId="1189A6A3" w:rsidR="004B1B30" w:rsidRDefault="004B1B30" w:rsidP="004B1B30">
      <w:pPr>
        <w:pStyle w:val="FootnoteText"/>
      </w:pPr>
      <w:r>
        <w:rPr>
          <w:rStyle w:val="FootnoteReference"/>
        </w:rPr>
        <w:footnoteRef/>
      </w:r>
      <w:r>
        <w:t xml:space="preserve"> </w:t>
      </w:r>
      <w:hyperlink r:id="rId3" w:history="1">
        <w:r w:rsidR="00943805" w:rsidRPr="001F2672">
          <w:rPr>
            <w:rStyle w:val="Hyperlink"/>
          </w:rPr>
          <w:t>https://apps.cpuc.ca.gov/apex/f?p=102:1</w:t>
        </w:r>
      </w:hyperlink>
      <w:r w:rsidR="00943805">
        <w:t>.</w:t>
      </w:r>
    </w:p>
  </w:footnote>
  <w:footnote w:id="146">
    <w:p w14:paraId="3FAC99E4" w14:textId="5220B492" w:rsidR="0072144D" w:rsidRPr="001C7C69" w:rsidRDefault="0072144D">
      <w:pPr>
        <w:pStyle w:val="FootnoteText"/>
        <w:rPr>
          <w:lang w:val="en-ZW"/>
        </w:rPr>
      </w:pPr>
      <w:r>
        <w:rPr>
          <w:rStyle w:val="FootnoteReference"/>
        </w:rPr>
        <w:footnoteRef/>
      </w:r>
      <w:r>
        <w:t xml:space="preserve"> </w:t>
      </w:r>
      <w:r>
        <w:rPr>
          <w:lang w:val="en-ZW"/>
        </w:rPr>
        <w:t xml:space="preserve">See example attestation in </w:t>
      </w:r>
      <w:r w:rsidR="00C04D12">
        <w:rPr>
          <w:lang w:val="en-ZW"/>
        </w:rPr>
        <w:t>Appendix</w:t>
      </w:r>
      <w:r w:rsidR="00844EAF">
        <w:rPr>
          <w:lang w:val="en-ZW"/>
        </w:rPr>
        <w:t> </w:t>
      </w:r>
      <w:r>
        <w:rPr>
          <w:lang w:val="en-ZW"/>
        </w:rPr>
        <w:t>A.</w:t>
      </w:r>
    </w:p>
  </w:footnote>
  <w:footnote w:id="147">
    <w:p w14:paraId="2B66CC3C" w14:textId="5544A084" w:rsidR="00670FA8" w:rsidRPr="00476E84" w:rsidRDefault="00670FA8" w:rsidP="00670FA8">
      <w:pPr>
        <w:pStyle w:val="FootnoteText"/>
        <w:rPr>
          <w:lang w:val="en-ZW"/>
        </w:rPr>
      </w:pPr>
      <w:r>
        <w:rPr>
          <w:rStyle w:val="FootnoteReference"/>
        </w:rPr>
        <w:footnoteRef/>
      </w:r>
      <w:r>
        <w:t xml:space="preserve"> </w:t>
      </w:r>
      <w:r>
        <w:rPr>
          <w:rFonts w:cs="Times New Roman"/>
          <w:color w:val="000000" w:themeColor="text1"/>
          <w:szCs w:val="26"/>
        </w:rPr>
        <w:t>Utility ID</w:t>
      </w:r>
      <w:r w:rsidR="004568DB">
        <w:rPr>
          <w:rFonts w:cs="Times New Roman"/>
          <w:color w:val="000000" w:themeColor="text1"/>
          <w:szCs w:val="26"/>
        </w:rPr>
        <w:t xml:space="preserve"> Number</w:t>
      </w:r>
      <w:r>
        <w:rPr>
          <w:rFonts w:cs="Times New Roman"/>
          <w:color w:val="000000" w:themeColor="text1"/>
          <w:szCs w:val="26"/>
        </w:rPr>
        <w:t xml:space="preserve">s may not be surrendered if the provider has not remitted all surcharges and any late fees </w:t>
      </w:r>
      <w:r w:rsidR="0072144D">
        <w:rPr>
          <w:rFonts w:cs="Times New Roman"/>
          <w:color w:val="000000" w:themeColor="text1"/>
          <w:szCs w:val="26"/>
        </w:rPr>
        <w:t xml:space="preserve">or other outstanding amounts </w:t>
      </w:r>
      <w:r>
        <w:rPr>
          <w:rFonts w:cs="Times New Roman"/>
          <w:color w:val="000000" w:themeColor="text1"/>
          <w:szCs w:val="26"/>
        </w:rPr>
        <w:t>owed.</w:t>
      </w:r>
    </w:p>
  </w:footnote>
  <w:footnote w:id="148">
    <w:p w14:paraId="2100D088" w14:textId="2EB8B55F" w:rsidR="00E222E9" w:rsidRDefault="00E222E9">
      <w:pPr>
        <w:pStyle w:val="FootnoteText"/>
      </w:pPr>
      <w:r>
        <w:rPr>
          <w:rStyle w:val="FootnoteReference"/>
        </w:rPr>
        <w:footnoteRef/>
      </w:r>
      <w:r>
        <w:t xml:space="preserve"> </w:t>
      </w:r>
      <w:r w:rsidR="00E21830">
        <w:rPr>
          <w:rFonts w:cs="Times New Roman"/>
          <w:szCs w:val="26"/>
        </w:rPr>
        <w:t>Advice letter</w:t>
      </w:r>
      <w:r>
        <w:rPr>
          <w:rFonts w:cs="Times New Roman"/>
          <w:szCs w:val="26"/>
        </w:rPr>
        <w:t xml:space="preserve"> filings must follow</w:t>
      </w:r>
      <w:r w:rsidRPr="00D10C46">
        <w:rPr>
          <w:rFonts w:cs="Times New Roman"/>
          <w:szCs w:val="26"/>
        </w:rPr>
        <w:t xml:space="preserve"> </w:t>
      </w:r>
      <w:r w:rsidR="00EA24BE">
        <w:rPr>
          <w:rFonts w:cs="Times New Roman"/>
          <w:szCs w:val="26"/>
        </w:rPr>
        <w:t>GO </w:t>
      </w:r>
      <w:r w:rsidRPr="00D10C46">
        <w:rPr>
          <w:rFonts w:cs="Times New Roman"/>
          <w:szCs w:val="26"/>
        </w:rPr>
        <w:t>96</w:t>
      </w:r>
      <w:r w:rsidR="006951D5">
        <w:rPr>
          <w:rFonts w:cs="Times New Roman"/>
          <w:szCs w:val="26"/>
        </w:rPr>
        <w:noBreakHyphen/>
      </w:r>
      <w:r w:rsidRPr="00D10C46">
        <w:rPr>
          <w:rFonts w:cs="Times New Roman"/>
          <w:szCs w:val="26"/>
        </w:rPr>
        <w:t>B rules</w:t>
      </w:r>
      <w:r>
        <w:rPr>
          <w:rFonts w:cs="Times New Roman"/>
          <w:szCs w:val="26"/>
        </w:rPr>
        <w:t>.</w:t>
      </w:r>
    </w:p>
  </w:footnote>
  <w:footnote w:id="149">
    <w:p w14:paraId="4330BB11" w14:textId="30360504" w:rsidR="000E6908" w:rsidRDefault="000E6908" w:rsidP="000E6908">
      <w:pPr>
        <w:pStyle w:val="FootnoteText"/>
      </w:pPr>
      <w:r>
        <w:rPr>
          <w:rStyle w:val="FootnoteReference"/>
        </w:rPr>
        <w:footnoteRef/>
      </w:r>
      <w:r>
        <w:t xml:space="preserve"> Sonic Opening Comments on the proposed decision at 5-6, Hotwire Opening Comments on the proposed decision at 1-2.</w:t>
      </w:r>
    </w:p>
  </w:footnote>
  <w:footnote w:id="150">
    <w:p w14:paraId="3F855FF4" w14:textId="77777777" w:rsidR="000E6908" w:rsidRDefault="000E6908" w:rsidP="000E6908">
      <w:pPr>
        <w:pStyle w:val="FootnoteText"/>
      </w:pPr>
      <w:r>
        <w:rPr>
          <w:rStyle w:val="FootnoteReference"/>
        </w:rPr>
        <w:footnoteRef/>
      </w:r>
      <w:r>
        <w:t xml:space="preserve"> Except facilities-based CLECs affiliated with incumbent LECs.</w:t>
      </w:r>
    </w:p>
  </w:footnote>
  <w:footnote w:id="151">
    <w:p w14:paraId="530EC593" w14:textId="697D33F5" w:rsidR="00FB2974" w:rsidRDefault="00FB2974" w:rsidP="00FB2974">
      <w:pPr>
        <w:pStyle w:val="FootnoteText"/>
      </w:pPr>
      <w:r>
        <w:rPr>
          <w:rStyle w:val="FootnoteReference"/>
        </w:rPr>
        <w:footnoteRef/>
      </w:r>
      <w:r>
        <w:t xml:space="preserve"> California Code of Regulations </w:t>
      </w:r>
      <w:r w:rsidR="00F724B3">
        <w:t>Sections </w:t>
      </w:r>
      <w:r>
        <w:t>2480.2</w:t>
      </w:r>
      <w:r w:rsidR="006951D5">
        <w:noBreakHyphen/>
      </w:r>
      <w:r>
        <w:t xml:space="preserve">2480.3. </w:t>
      </w:r>
      <w:r w:rsidRPr="00893D67">
        <w:t>A</w:t>
      </w:r>
      <w:r w:rsidRPr="00F964EF">
        <w:t xml:space="preserve"> </w:t>
      </w:r>
      <w:r w:rsidR="00893D67">
        <w:t>“</w:t>
      </w:r>
      <w:r w:rsidRPr="00F964EF">
        <w:t>community isolation outage</w:t>
      </w:r>
      <w:r w:rsidR="00893D67">
        <w:t>”</w:t>
      </w:r>
      <w:r w:rsidRPr="00F964EF">
        <w:t xml:space="preserve"> is an event that (</w:t>
      </w:r>
      <w:proofErr w:type="spellStart"/>
      <w:r w:rsidRPr="00F964EF">
        <w:t>i</w:t>
      </w:r>
      <w:proofErr w:type="spellEnd"/>
      <w:r w:rsidRPr="00F964EF">
        <w:t>)</w:t>
      </w:r>
      <w:r w:rsidR="006632DA">
        <w:t> </w:t>
      </w:r>
      <w:r w:rsidRPr="00F964EF">
        <w:t xml:space="preserve">lasts </w:t>
      </w:r>
      <w:r w:rsidR="00AA6629">
        <w:t>at least</w:t>
      </w:r>
      <w:r w:rsidRPr="00F964EF">
        <w:t xml:space="preserve"> 30 minutes, (ii)</w:t>
      </w:r>
      <w:r w:rsidR="006632DA">
        <w:t> </w:t>
      </w:r>
      <w:r w:rsidR="00893D67">
        <w:t>“</w:t>
      </w:r>
      <w:r w:rsidRPr="00F964EF">
        <w:t>limits a telecommunications service provider</w:t>
      </w:r>
      <w:r w:rsidR="00893D67">
        <w:t>’</w:t>
      </w:r>
      <w:r w:rsidRPr="00F964EF">
        <w:t>s end users</w:t>
      </w:r>
      <w:r w:rsidR="00893D67">
        <w:t>’</w:t>
      </w:r>
      <w:r w:rsidRPr="00F964EF">
        <w:t xml:space="preserve"> ability to make </w:t>
      </w:r>
      <w:r w:rsidR="00693075">
        <w:t>9</w:t>
      </w:r>
      <w:r w:rsidR="006951D5">
        <w:noBreakHyphen/>
      </w:r>
      <w:r w:rsidR="00693075">
        <w:t>1</w:t>
      </w:r>
      <w:r w:rsidR="006951D5">
        <w:noBreakHyphen/>
      </w:r>
      <w:r w:rsidR="00693075">
        <w:t>1</w:t>
      </w:r>
      <w:r w:rsidRPr="00F964EF">
        <w:t xml:space="preserve"> calls or receive emergency notifications,</w:t>
      </w:r>
      <w:r w:rsidR="00893D67">
        <w:t>”</w:t>
      </w:r>
      <w:r w:rsidRPr="00F964EF">
        <w:t xml:space="preserve"> and (iii)</w:t>
      </w:r>
      <w:r w:rsidR="00D421F1">
        <w:t> </w:t>
      </w:r>
      <w:r w:rsidRPr="00F964EF">
        <w:t>affects a threshold percentage of customers.</w:t>
      </w:r>
      <w:r>
        <w:t xml:space="preserve"> </w:t>
      </w:r>
      <w:r w:rsidR="002B647F">
        <w:t>(</w:t>
      </w:r>
      <w:r>
        <w:t>D.19</w:t>
      </w:r>
      <w:r w:rsidR="006951D5">
        <w:noBreakHyphen/>
      </w:r>
      <w:r>
        <w:t>08</w:t>
      </w:r>
      <w:r w:rsidR="006951D5">
        <w:noBreakHyphen/>
      </w:r>
      <w:r>
        <w:t xml:space="preserve">025 at </w:t>
      </w:r>
      <w:r w:rsidR="00E828E0">
        <w:t>OPs </w:t>
      </w:r>
      <w:r>
        <w:t>1</w:t>
      </w:r>
      <w:r w:rsidR="006951D5">
        <w:noBreakHyphen/>
      </w:r>
      <w:r>
        <w:t xml:space="preserve">2, </w:t>
      </w:r>
      <w:r w:rsidR="00E828E0">
        <w:t>OP </w:t>
      </w:r>
      <w:r>
        <w:t>7.</w:t>
      </w:r>
      <w:r w:rsidR="002B647F">
        <w:t>)</w:t>
      </w:r>
    </w:p>
  </w:footnote>
  <w:footnote w:id="152">
    <w:p w14:paraId="4D716725" w14:textId="5BE39225" w:rsidR="00FB2974" w:rsidRDefault="00FB2974" w:rsidP="00FB2974">
      <w:pPr>
        <w:pStyle w:val="FootnoteText"/>
      </w:pPr>
      <w:r>
        <w:rPr>
          <w:rStyle w:val="FootnoteReference"/>
        </w:rPr>
        <w:footnoteRef/>
      </w:r>
      <w:r>
        <w:t xml:space="preserve"> Utilities pay property taxes based on the value of their property, otherwise known as facilities,</w:t>
      </w:r>
      <w:r w:rsidR="00893D67">
        <w:t>”</w:t>
      </w:r>
      <w:r>
        <w:t xml:space="preserve"> or physical infrastructure, which is updated in their annual reports to the Commission.</w:t>
      </w:r>
    </w:p>
  </w:footnote>
  <w:footnote w:id="153">
    <w:p w14:paraId="5BE7C3EC" w14:textId="590DC8FB" w:rsidR="00257703" w:rsidRPr="007F1EF5" w:rsidRDefault="00257703" w:rsidP="00257703">
      <w:pPr>
        <w:pStyle w:val="FootnoteText"/>
      </w:pPr>
      <w:r>
        <w:rPr>
          <w:rStyle w:val="FootnoteReference"/>
        </w:rPr>
        <w:footnoteRef/>
      </w:r>
      <w:r>
        <w:t xml:space="preserve"> D.20</w:t>
      </w:r>
      <w:r w:rsidR="006951D5">
        <w:noBreakHyphen/>
      </w:r>
      <w:r>
        <w:t>07</w:t>
      </w:r>
      <w:r w:rsidR="006951D5">
        <w:noBreakHyphen/>
      </w:r>
      <w:r>
        <w:t xml:space="preserve">032 at </w:t>
      </w:r>
      <w:proofErr w:type="spellStart"/>
      <w:r>
        <w:t>CoLs</w:t>
      </w:r>
      <w:proofErr w:type="spellEnd"/>
      <w:r w:rsidR="007551DD">
        <w:t> </w:t>
      </w:r>
      <w:r>
        <w:t>19</w:t>
      </w:r>
      <w:r w:rsidR="006951D5">
        <w:noBreakHyphen/>
      </w:r>
      <w:r>
        <w:t xml:space="preserve">22 and </w:t>
      </w:r>
      <w:r w:rsidR="00E828E0">
        <w:t>OP </w:t>
      </w:r>
      <w:r>
        <w:t xml:space="preserve">3. </w:t>
      </w:r>
      <w:r w:rsidR="00CC25F7">
        <w:t>(</w:t>
      </w:r>
      <w:r>
        <w:rPr>
          <w:i/>
          <w:iCs/>
        </w:rPr>
        <w:t xml:space="preserve">See also </w:t>
      </w:r>
      <w:r>
        <w:t>D.22</w:t>
      </w:r>
      <w:r w:rsidR="006951D5">
        <w:noBreakHyphen/>
      </w:r>
      <w:r>
        <w:t>08</w:t>
      </w:r>
      <w:r w:rsidR="006951D5">
        <w:noBreakHyphen/>
      </w:r>
      <w:r>
        <w:t>023 at OPs</w:t>
      </w:r>
      <w:r w:rsidR="007551DD">
        <w:t> </w:t>
      </w:r>
      <w:r>
        <w:t>10</w:t>
      </w:r>
      <w:r w:rsidR="006951D5">
        <w:noBreakHyphen/>
      </w:r>
      <w:r>
        <w:t>11.</w:t>
      </w:r>
      <w:r w:rsidR="00CC25F7">
        <w:t>)</w:t>
      </w:r>
    </w:p>
  </w:footnote>
  <w:footnote w:id="154">
    <w:p w14:paraId="4B4A1BF8" w14:textId="3D3BA122" w:rsidR="00F60569" w:rsidRDefault="00F60569">
      <w:pPr>
        <w:pStyle w:val="FootnoteText"/>
      </w:pPr>
      <w:r>
        <w:rPr>
          <w:rStyle w:val="FootnoteReference"/>
        </w:rPr>
        <w:footnoteRef/>
      </w:r>
      <w:r>
        <w:t xml:space="preserve"> </w:t>
      </w:r>
      <w:r w:rsidRPr="000E0AA9">
        <w:rPr>
          <w:i/>
          <w:iCs/>
        </w:rPr>
        <w:t>See</w:t>
      </w:r>
      <w:r>
        <w:t xml:space="preserve"> D.</w:t>
      </w:r>
      <w:r w:rsidR="0048468F" w:rsidRPr="001F1CC8">
        <w:t>22</w:t>
      </w:r>
      <w:r w:rsidR="006951D5">
        <w:noBreakHyphen/>
      </w:r>
      <w:r w:rsidR="0048468F" w:rsidRPr="001F1CC8">
        <w:t>10</w:t>
      </w:r>
      <w:r w:rsidR="006951D5">
        <w:noBreakHyphen/>
      </w:r>
      <w:r w:rsidR="0048468F" w:rsidRPr="001F1CC8">
        <w:t>021</w:t>
      </w:r>
      <w:r w:rsidR="009B1FC8">
        <w:t xml:space="preserve"> at </w:t>
      </w:r>
      <w:r w:rsidR="00980506">
        <w:t>67</w:t>
      </w:r>
      <w:r w:rsidR="006951D5">
        <w:noBreakHyphen/>
      </w:r>
      <w:r w:rsidR="00980506">
        <w:t xml:space="preserve">70, </w:t>
      </w:r>
      <w:proofErr w:type="spellStart"/>
      <w:r w:rsidR="00536209">
        <w:t>FoF</w:t>
      </w:r>
      <w:proofErr w:type="spellEnd"/>
      <w:r w:rsidR="00536209">
        <w:t> </w:t>
      </w:r>
      <w:r w:rsidR="00D446CB">
        <w:t>4,</w:t>
      </w:r>
      <w:r w:rsidR="00980506">
        <w:t xml:space="preserve"> </w:t>
      </w:r>
      <w:r w:rsidR="00454868">
        <w:t>OPs </w:t>
      </w:r>
      <w:r w:rsidR="00980506">
        <w:t>1</w:t>
      </w:r>
      <w:r w:rsidR="006951D5">
        <w:noBreakHyphen/>
      </w:r>
      <w:r w:rsidR="009F6637">
        <w:t xml:space="preserve">2, </w:t>
      </w:r>
      <w:r w:rsidR="00454868">
        <w:t xml:space="preserve">and </w:t>
      </w:r>
      <w:r w:rsidR="00E828E0">
        <w:t>OP </w:t>
      </w:r>
      <w:r w:rsidR="00AE4B02">
        <w:t>6</w:t>
      </w:r>
      <w:r w:rsidR="009F6637">
        <w:t>.</w:t>
      </w:r>
    </w:p>
  </w:footnote>
  <w:footnote w:id="155">
    <w:p w14:paraId="14ED80EF" w14:textId="0AC2D1DF" w:rsidR="009C35DA" w:rsidRDefault="009C35DA" w:rsidP="009C35DA">
      <w:pPr>
        <w:pStyle w:val="FootnoteText"/>
      </w:pPr>
      <w:r>
        <w:rPr>
          <w:rStyle w:val="FootnoteReference"/>
        </w:rPr>
        <w:footnoteRef/>
      </w:r>
      <w:r>
        <w:t xml:space="preserve"> US Telecom Opening Comments on the Scoping Memo</w:t>
      </w:r>
      <w:r w:rsidR="009B1FC8">
        <w:t xml:space="preserve"> at </w:t>
      </w:r>
      <w:r>
        <w:t>3</w:t>
      </w:r>
      <w:r w:rsidR="006951D5">
        <w:noBreakHyphen/>
      </w:r>
      <w:r>
        <w:t>5</w:t>
      </w:r>
      <w:r w:rsidR="005E5DFF">
        <w:t xml:space="preserve">, </w:t>
      </w:r>
      <w:bookmarkStart w:id="144" w:name="_Hlk175785424"/>
      <w:r w:rsidR="005E5DFF">
        <w:t>CCIA Opening Comments on the OIR</w:t>
      </w:r>
      <w:r w:rsidR="00EF4D88">
        <w:t xml:space="preserve"> at</w:t>
      </w:r>
      <w:r w:rsidR="00844EAF">
        <w:t> </w:t>
      </w:r>
      <w:r w:rsidR="005E5DFF">
        <w:t>2.</w:t>
      </w:r>
      <w:bookmarkEnd w:id="144"/>
    </w:p>
  </w:footnote>
  <w:footnote w:id="156">
    <w:p w14:paraId="050BECC5" w14:textId="16A4FB5A" w:rsidR="009C35DA" w:rsidRPr="009D35F9" w:rsidRDefault="009C35DA" w:rsidP="00AC4F8C">
      <w:pPr>
        <w:pStyle w:val="FootnoteText"/>
      </w:pPr>
      <w:r w:rsidRPr="009D35F9">
        <w:rPr>
          <w:rStyle w:val="FootnoteReference"/>
        </w:rPr>
        <w:footnoteRef/>
      </w:r>
      <w:r w:rsidRPr="009D35F9">
        <w:t xml:space="preserve"> </w:t>
      </w:r>
      <w:r w:rsidR="00C04D12">
        <w:rPr>
          <w:w w:val="105"/>
        </w:rPr>
        <w:t>Pub. Util.</w:t>
      </w:r>
      <w:r w:rsidRPr="009D35F9">
        <w:rPr>
          <w:w w:val="105"/>
        </w:rPr>
        <w:t xml:space="preserve"> Code </w:t>
      </w:r>
      <w:r w:rsidR="00646044">
        <w:rPr>
          <w:w w:val="105"/>
        </w:rPr>
        <w:t>§ </w:t>
      </w:r>
      <w:r w:rsidRPr="009D35F9">
        <w:rPr>
          <w:w w:val="105"/>
        </w:rPr>
        <w:t>285(c).</w:t>
      </w:r>
    </w:p>
  </w:footnote>
  <w:footnote w:id="157">
    <w:p w14:paraId="33833CBD" w14:textId="7F12D8B2" w:rsidR="004E70B1" w:rsidRPr="00BF1AAC" w:rsidRDefault="004E70B1">
      <w:pPr>
        <w:pStyle w:val="FootnoteText"/>
      </w:pPr>
      <w:r>
        <w:rPr>
          <w:rStyle w:val="FootnoteReference"/>
        </w:rPr>
        <w:footnoteRef/>
      </w:r>
      <w:r>
        <w:t xml:space="preserve"> </w:t>
      </w:r>
      <w:bookmarkStart w:id="146" w:name="_Hlk176511759"/>
      <w:r w:rsidRPr="005527B3">
        <w:t xml:space="preserve">For definition of access line, </w:t>
      </w:r>
      <w:r w:rsidRPr="00E90F6F">
        <w:rPr>
          <w:i/>
          <w:iCs/>
        </w:rPr>
        <w:t>see</w:t>
      </w:r>
      <w:r w:rsidRPr="005527B3">
        <w:t xml:space="preserve"> </w:t>
      </w:r>
      <w:r w:rsidR="00943805">
        <w:t>Section </w:t>
      </w:r>
      <w:r w:rsidRPr="005527B3">
        <w:t>5.2.2 of D.22</w:t>
      </w:r>
      <w:r w:rsidR="006951D5">
        <w:noBreakHyphen/>
      </w:r>
      <w:r w:rsidRPr="005527B3">
        <w:t>10</w:t>
      </w:r>
      <w:r w:rsidR="006951D5">
        <w:noBreakHyphen/>
      </w:r>
      <w:r w:rsidRPr="005527B3">
        <w:t>021</w:t>
      </w:r>
      <w:r w:rsidR="00BF1AAC">
        <w:t>.</w:t>
      </w:r>
    </w:p>
    <w:bookmarkEnd w:id="146"/>
  </w:footnote>
  <w:footnote w:id="158">
    <w:p w14:paraId="35870228" w14:textId="1110270B" w:rsidR="009C35DA" w:rsidRPr="009D35F9" w:rsidRDefault="009C35DA" w:rsidP="00AC4F8C">
      <w:pPr>
        <w:pStyle w:val="FootnoteText"/>
      </w:pPr>
      <w:r w:rsidRPr="009D35F9">
        <w:rPr>
          <w:rStyle w:val="FootnoteReference"/>
        </w:rPr>
        <w:footnoteRef/>
      </w:r>
      <w:r w:rsidRPr="009D35F9">
        <w:t xml:space="preserve"> </w:t>
      </w:r>
      <w:r w:rsidR="00C04D12">
        <w:rPr>
          <w:w w:val="105"/>
        </w:rPr>
        <w:t>Pub. Util.</w:t>
      </w:r>
      <w:r w:rsidRPr="009D35F9">
        <w:rPr>
          <w:spacing w:val="-10"/>
          <w:w w:val="105"/>
        </w:rPr>
        <w:t xml:space="preserve"> </w:t>
      </w:r>
      <w:r w:rsidRPr="009D35F9">
        <w:rPr>
          <w:w w:val="105"/>
        </w:rPr>
        <w:t xml:space="preserve">Code </w:t>
      </w:r>
      <w:r w:rsidR="00646044">
        <w:rPr>
          <w:w w:val="105"/>
        </w:rPr>
        <w:t>§ </w:t>
      </w:r>
      <w:r w:rsidRPr="009D35F9">
        <w:rPr>
          <w:spacing w:val="-2"/>
          <w:w w:val="105"/>
        </w:rPr>
        <w:t>285(d).</w:t>
      </w:r>
    </w:p>
  </w:footnote>
  <w:footnote w:id="159">
    <w:p w14:paraId="176A820A" w14:textId="09C2AA25" w:rsidR="009C35DA" w:rsidRPr="00950B5F" w:rsidRDefault="009C35DA" w:rsidP="009C35DA">
      <w:pPr>
        <w:pStyle w:val="FootnoteText"/>
        <w:rPr>
          <w:lang w:val="en-ZW"/>
        </w:rPr>
      </w:pPr>
      <w:r>
        <w:rPr>
          <w:rStyle w:val="FootnoteReference"/>
        </w:rPr>
        <w:footnoteRef/>
      </w:r>
      <w:r>
        <w:t xml:space="preserve"> </w:t>
      </w:r>
      <w:r w:rsidR="00263840">
        <w:rPr>
          <w:szCs w:val="22"/>
        </w:rPr>
        <w:t>Res. </w:t>
      </w:r>
      <w:r w:rsidRPr="000039A9">
        <w:rPr>
          <w:szCs w:val="22"/>
        </w:rPr>
        <w:t>T</w:t>
      </w:r>
      <w:r w:rsidR="006951D5">
        <w:rPr>
          <w:szCs w:val="22"/>
        </w:rPr>
        <w:noBreakHyphen/>
      </w:r>
      <w:r w:rsidRPr="000039A9">
        <w:rPr>
          <w:szCs w:val="22"/>
        </w:rPr>
        <w:t>17704</w:t>
      </w:r>
      <w:r w:rsidR="009B1FC8">
        <w:rPr>
          <w:szCs w:val="22"/>
        </w:rPr>
        <w:t xml:space="preserve"> at </w:t>
      </w:r>
      <w:r w:rsidRPr="000039A9">
        <w:rPr>
          <w:szCs w:val="22"/>
        </w:rPr>
        <w:t>11</w:t>
      </w:r>
      <w:r>
        <w:rPr>
          <w:szCs w:val="22"/>
        </w:rPr>
        <w:t xml:space="preserve"> (</w:t>
      </w:r>
      <w:r w:rsidR="00893D67">
        <w:rPr>
          <w:szCs w:val="22"/>
        </w:rPr>
        <w:t>“</w:t>
      </w:r>
      <w:r w:rsidRPr="000039A9">
        <w:rPr>
          <w:szCs w:val="22"/>
        </w:rPr>
        <w:t>The CPUC has imposed a 10</w:t>
      </w:r>
      <w:r w:rsidR="00A62F87">
        <w:rPr>
          <w:szCs w:val="22"/>
        </w:rPr>
        <w:t> </w:t>
      </w:r>
      <w:r>
        <w:rPr>
          <w:szCs w:val="22"/>
        </w:rPr>
        <w:t>[percent]</w:t>
      </w:r>
      <w:r w:rsidRPr="000039A9">
        <w:rPr>
          <w:szCs w:val="22"/>
        </w:rPr>
        <w:t xml:space="preserve"> interest payment on untimely remitted surcharges across all of its </w:t>
      </w:r>
      <w:r>
        <w:rPr>
          <w:szCs w:val="22"/>
        </w:rPr>
        <w:t>[public purpose program</w:t>
      </w:r>
      <w:r w:rsidRPr="000039A9">
        <w:rPr>
          <w:szCs w:val="22"/>
        </w:rPr>
        <w:t>s</w:t>
      </w:r>
      <w:r>
        <w:rPr>
          <w:szCs w:val="22"/>
        </w:rPr>
        <w:t>]</w:t>
      </w:r>
      <w:r w:rsidRPr="000039A9">
        <w:rPr>
          <w:szCs w:val="22"/>
        </w:rPr>
        <w:t xml:space="preserve"> innumerable times, and has done so for retroactive periods of varying lengths</w:t>
      </w:r>
      <w:r w:rsidR="001D7E39">
        <w:rPr>
          <w:szCs w:val="22"/>
        </w:rPr>
        <w:t>.</w:t>
      </w:r>
      <w:r w:rsidR="00893D67">
        <w:rPr>
          <w:szCs w:val="22"/>
        </w:rPr>
        <w:t>”</w:t>
      </w:r>
      <w:r>
        <w:rPr>
          <w:szCs w:val="22"/>
        </w:rPr>
        <w:t>)</w:t>
      </w:r>
      <w:r w:rsidR="001556AA">
        <w:rPr>
          <w:szCs w:val="22"/>
        </w:rPr>
        <w:t>.</w:t>
      </w:r>
      <w:r w:rsidR="00275B26">
        <w:rPr>
          <w:szCs w:val="22"/>
        </w:rPr>
        <w:t xml:space="preserve"> </w:t>
      </w:r>
      <w:r w:rsidR="00275B26" w:rsidRPr="00275B26">
        <w:rPr>
          <w:szCs w:val="22"/>
        </w:rPr>
        <w:t>When all existing interconnected VoIP service providers are migrated to either a non</w:t>
      </w:r>
      <w:r w:rsidR="00844EAF">
        <w:rPr>
          <w:szCs w:val="22"/>
        </w:rPr>
        <w:noBreakHyphen/>
      </w:r>
      <w:r w:rsidR="00275B26" w:rsidRPr="00275B26">
        <w:rPr>
          <w:szCs w:val="22"/>
        </w:rPr>
        <w:t>facilities</w:t>
      </w:r>
      <w:r w:rsidR="00844EAF">
        <w:rPr>
          <w:szCs w:val="22"/>
        </w:rPr>
        <w:noBreakHyphen/>
      </w:r>
      <w:r w:rsidR="00275B26" w:rsidRPr="00275B26">
        <w:rPr>
          <w:szCs w:val="22"/>
        </w:rPr>
        <w:t>based fixed interconnected VoIP operating authority (DVF status) or a nomadic</w:t>
      </w:r>
      <w:r w:rsidR="00844EAF">
        <w:rPr>
          <w:szCs w:val="22"/>
        </w:rPr>
        <w:noBreakHyphen/>
      </w:r>
      <w:r w:rsidR="00275B26" w:rsidRPr="00275B26">
        <w:rPr>
          <w:szCs w:val="22"/>
        </w:rPr>
        <w:t>only interconnected VoIP status (DVN status), a new registration date will be issued. Even with a new registration date, the obligation to report and remit surcharge payment plus 10</w:t>
      </w:r>
      <w:r w:rsidR="00844EAF">
        <w:rPr>
          <w:szCs w:val="22"/>
        </w:rPr>
        <w:t> </w:t>
      </w:r>
      <w:r w:rsidR="006C00A2">
        <w:rPr>
          <w:szCs w:val="22"/>
        </w:rPr>
        <w:t>percent</w:t>
      </w:r>
      <w:r w:rsidR="00275B26" w:rsidRPr="00275B26">
        <w:rPr>
          <w:szCs w:val="22"/>
        </w:rPr>
        <w:t xml:space="preserve"> interest continues to be based on the original registration date of the VoIP provider.</w:t>
      </w:r>
    </w:p>
  </w:footnote>
  <w:footnote w:id="160">
    <w:p w14:paraId="3146AB3E" w14:textId="22F5C366" w:rsidR="009C35DA" w:rsidRDefault="009C35DA" w:rsidP="009C35DA">
      <w:pPr>
        <w:pStyle w:val="FootnoteText"/>
      </w:pPr>
      <w:r>
        <w:rPr>
          <w:rStyle w:val="FootnoteReference"/>
        </w:rPr>
        <w:footnoteRef/>
      </w:r>
      <w:r>
        <w:t xml:space="preserve"> The preliminary scope of issues in the OIR include whether surcharge obligations should be enforced upon </w:t>
      </w:r>
      <w:r w:rsidR="00D84D6F" w:rsidRPr="00D84D6F">
        <w:t>Nomadic</w:t>
      </w:r>
      <w:r w:rsidR="006951D5">
        <w:noBreakHyphen/>
      </w:r>
      <w:r w:rsidR="00D84D6F" w:rsidRPr="00D84D6F">
        <w:t>Only Interconnected VoIP</w:t>
      </w:r>
      <w:r>
        <w:t xml:space="preserve"> service (OIR preliminary scope</w:t>
      </w:r>
      <w:r w:rsidR="00D84D6F">
        <w:t> </w:t>
      </w:r>
      <w:r>
        <w:t>1.g. at</w:t>
      </w:r>
      <w:r w:rsidR="00D84D6F">
        <w:t> </w:t>
      </w:r>
      <w:r>
        <w:t xml:space="preserve">7) and some parties commented on this issue in their comments on the OIR. </w:t>
      </w:r>
    </w:p>
  </w:footnote>
  <w:footnote w:id="161">
    <w:p w14:paraId="7F24320D" w14:textId="5F342147" w:rsidR="009C35DA" w:rsidRDefault="009C35DA" w:rsidP="009C35DA">
      <w:pPr>
        <w:pStyle w:val="FootnoteText"/>
      </w:pPr>
      <w:r>
        <w:rPr>
          <w:rStyle w:val="FootnoteReference"/>
        </w:rPr>
        <w:footnoteRef/>
      </w:r>
      <w:r>
        <w:t xml:space="preserve"> C</w:t>
      </w:r>
      <w:r w:rsidR="005E5DFF">
        <w:t>al Broadband</w:t>
      </w:r>
      <w:r>
        <w:t xml:space="preserve"> Opening Comments on </w:t>
      </w:r>
      <w:r w:rsidR="0060444A">
        <w:t>the OIR</w:t>
      </w:r>
      <w:r w:rsidR="005735AE">
        <w:t xml:space="preserve"> at </w:t>
      </w:r>
      <w:r>
        <w:t>31</w:t>
      </w:r>
      <w:r w:rsidR="006951D5">
        <w:noBreakHyphen/>
      </w:r>
      <w:r>
        <w:t>32</w:t>
      </w:r>
      <w:r w:rsidR="000A183E">
        <w:t>.</w:t>
      </w:r>
    </w:p>
  </w:footnote>
  <w:footnote w:id="162">
    <w:p w14:paraId="2AA11655" w14:textId="5F9E6750" w:rsidR="009C35DA" w:rsidRDefault="009C35DA" w:rsidP="009C35DA">
      <w:pPr>
        <w:pStyle w:val="FootnoteText"/>
      </w:pPr>
      <w:r>
        <w:rPr>
          <w:rStyle w:val="FootnoteReference"/>
        </w:rPr>
        <w:footnoteRef/>
      </w:r>
      <w:r>
        <w:t xml:space="preserve"> AT&amp;T Opening Comments on </w:t>
      </w:r>
      <w:r w:rsidR="0060444A">
        <w:t>the OIR</w:t>
      </w:r>
      <w:r w:rsidR="005735AE">
        <w:t xml:space="preserve"> at </w:t>
      </w:r>
      <w:r>
        <w:t>17</w:t>
      </w:r>
      <w:r w:rsidR="00A66DDA">
        <w:t>;</w:t>
      </w:r>
      <w:r>
        <w:t xml:space="preserve"> </w:t>
      </w:r>
      <w:r w:rsidR="00C04D12">
        <w:t>Pub. Util.</w:t>
      </w:r>
      <w:r>
        <w:t xml:space="preserve"> Code </w:t>
      </w:r>
      <w:r w:rsidR="00646044">
        <w:rPr>
          <w:rFonts w:cstheme="minorHAnsi"/>
        </w:rPr>
        <w:t>§§ </w:t>
      </w:r>
      <w:r>
        <w:t>2107</w:t>
      </w:r>
      <w:r w:rsidR="006951D5">
        <w:noBreakHyphen/>
      </w:r>
      <w:r>
        <w:t>2108.</w:t>
      </w:r>
    </w:p>
  </w:footnote>
  <w:footnote w:id="163">
    <w:p w14:paraId="00E28D3B" w14:textId="59E620DC" w:rsidR="009C35DA" w:rsidRDefault="009C35DA" w:rsidP="009C35DA">
      <w:pPr>
        <w:pStyle w:val="FootnoteText"/>
      </w:pPr>
      <w:r>
        <w:rPr>
          <w:rStyle w:val="FootnoteReference"/>
        </w:rPr>
        <w:footnoteRef/>
      </w:r>
      <w:r>
        <w:t xml:space="preserve"> C</w:t>
      </w:r>
      <w:r w:rsidR="00300F83">
        <w:t>loud</w:t>
      </w:r>
      <w:r>
        <w:t xml:space="preserve"> Opening Comments on</w:t>
      </w:r>
      <w:r w:rsidR="00377324">
        <w:t xml:space="preserve"> </w:t>
      </w:r>
      <w:r w:rsidR="0060444A">
        <w:t>the OIR</w:t>
      </w:r>
      <w:r w:rsidR="00377324">
        <w:t xml:space="preserve"> at </w:t>
      </w:r>
      <w:r>
        <w:t>9.</w:t>
      </w:r>
    </w:p>
  </w:footnote>
  <w:footnote w:id="164">
    <w:p w14:paraId="4CF0F20F" w14:textId="7C556401" w:rsidR="00E02CB1" w:rsidRDefault="00E02CB1" w:rsidP="00E02CB1">
      <w:pPr>
        <w:pStyle w:val="FootnoteText"/>
      </w:pPr>
      <w:r>
        <w:rPr>
          <w:rStyle w:val="FootnoteReference"/>
        </w:rPr>
        <w:footnoteRef/>
      </w:r>
      <w:r>
        <w:t xml:space="preserve"> </w:t>
      </w:r>
      <w:r w:rsidR="00263840">
        <w:t>Res. </w:t>
      </w:r>
      <w:r>
        <w:t>T</w:t>
      </w:r>
      <w:r w:rsidR="006951D5">
        <w:noBreakHyphen/>
      </w:r>
      <w:r>
        <w:t>17601</w:t>
      </w:r>
      <w:r w:rsidR="00850391">
        <w:t>,</w:t>
      </w:r>
      <w:r>
        <w:t xml:space="preserve"> </w:t>
      </w:r>
      <w:r w:rsidR="00C04D12">
        <w:t>Appendix </w:t>
      </w:r>
      <w:r>
        <w:t>A</w:t>
      </w:r>
      <w:r w:rsidR="00850391">
        <w:t xml:space="preserve"> (</w:t>
      </w:r>
      <w:r>
        <w:t>$1000 per year up to a maximum of $3000 for not reporting and/or remitting surcharges</w:t>
      </w:r>
      <w:r w:rsidR="00850391">
        <w:t>)</w:t>
      </w:r>
      <w:r>
        <w:t>.</w:t>
      </w:r>
    </w:p>
  </w:footnote>
  <w:footnote w:id="165">
    <w:p w14:paraId="4BF27C50" w14:textId="10A4FE54" w:rsidR="00661E61" w:rsidRDefault="00661E61" w:rsidP="00661E61">
      <w:pPr>
        <w:pStyle w:val="FootnoteText"/>
      </w:pPr>
      <w:r>
        <w:rPr>
          <w:rStyle w:val="FootnoteReference"/>
        </w:rPr>
        <w:footnoteRef/>
      </w:r>
      <w:r>
        <w:t xml:space="preserve"> </w:t>
      </w:r>
      <w:r>
        <w:rPr>
          <w:bCs/>
          <w:i/>
        </w:rPr>
        <w:t>IP</w:t>
      </w:r>
      <w:r w:rsidR="006951D5">
        <w:rPr>
          <w:bCs/>
          <w:i/>
        </w:rPr>
        <w:noBreakHyphen/>
      </w:r>
      <w:r>
        <w:rPr>
          <w:bCs/>
          <w:i/>
        </w:rPr>
        <w:t xml:space="preserve">Enabled Services Proceeding, </w:t>
      </w:r>
      <w:r>
        <w:rPr>
          <w:bCs/>
        </w:rPr>
        <w:t xml:space="preserve">First Report and Order and NOPR (WC Docket </w:t>
      </w:r>
      <w:r w:rsidR="00536209">
        <w:rPr>
          <w:bCs/>
        </w:rPr>
        <w:t>No. </w:t>
      </w:r>
      <w:r>
        <w:rPr>
          <w:bCs/>
        </w:rPr>
        <w:t>04</w:t>
      </w:r>
      <w:r w:rsidR="006951D5">
        <w:rPr>
          <w:bCs/>
        </w:rPr>
        <w:noBreakHyphen/>
      </w:r>
      <w:r>
        <w:rPr>
          <w:bCs/>
        </w:rPr>
        <w:t>36) 2</w:t>
      </w:r>
      <w:r w:rsidR="007A588A">
        <w:rPr>
          <w:bCs/>
        </w:rPr>
        <w:t>0 FCC</w:t>
      </w:r>
      <w:r>
        <w:rPr>
          <w:bCs/>
        </w:rPr>
        <w:t xml:space="preserve"> </w:t>
      </w:r>
      <w:proofErr w:type="spellStart"/>
      <w:r>
        <w:rPr>
          <w:bCs/>
        </w:rPr>
        <w:t>Rcd</w:t>
      </w:r>
      <w:proofErr w:type="spellEnd"/>
      <w:r>
        <w:rPr>
          <w:bCs/>
        </w:rPr>
        <w:t xml:space="preserve"> 10245</w:t>
      </w:r>
      <w:r w:rsidR="006F33D7">
        <w:rPr>
          <w:bCs/>
        </w:rPr>
        <w:t xml:space="preserve"> at</w:t>
      </w:r>
      <w:r>
        <w:rPr>
          <w:bCs/>
        </w:rPr>
        <w:t xml:space="preserve"> </w:t>
      </w:r>
      <w:r w:rsidR="005D120B">
        <w:rPr>
          <w:bCs/>
        </w:rPr>
        <w:t>¶</w:t>
      </w:r>
      <w:r>
        <w:rPr>
          <w:bCs/>
        </w:rPr>
        <w:t>¶</w:t>
      </w:r>
      <w:r w:rsidR="005D120B">
        <w:rPr>
          <w:bCs/>
        </w:rPr>
        <w:t> </w:t>
      </w:r>
      <w:r>
        <w:rPr>
          <w:bCs/>
        </w:rPr>
        <w:t>36</w:t>
      </w:r>
      <w:r w:rsidR="006951D5">
        <w:rPr>
          <w:bCs/>
        </w:rPr>
        <w:noBreakHyphen/>
      </w:r>
      <w:r>
        <w:rPr>
          <w:bCs/>
        </w:rPr>
        <w:t>51</w:t>
      </w:r>
      <w:r w:rsidR="007673A3">
        <w:rPr>
          <w:bCs/>
        </w:rPr>
        <w:t xml:space="preserve"> a</w:t>
      </w:r>
      <w:r>
        <w:t>nd cited by VON in Opening Comments on the OIR</w:t>
      </w:r>
      <w:r w:rsidR="00377324">
        <w:t xml:space="preserve"> at </w:t>
      </w:r>
      <w:r>
        <w:t xml:space="preserve">4, </w:t>
      </w:r>
      <w:r w:rsidRPr="00BA1261">
        <w:rPr>
          <w:i/>
          <w:iCs/>
          <w:szCs w:val="23"/>
        </w:rPr>
        <w:t>Implementation of the NET 911 Improvement Act of 2008</w:t>
      </w:r>
      <w:r w:rsidRPr="00BA1261">
        <w:rPr>
          <w:szCs w:val="23"/>
        </w:rPr>
        <w:t>, 2</w:t>
      </w:r>
      <w:r w:rsidR="007A588A" w:rsidRPr="00BA1261">
        <w:rPr>
          <w:szCs w:val="23"/>
        </w:rPr>
        <w:t>3 FCC</w:t>
      </w:r>
      <w:r w:rsidRPr="00BA1261">
        <w:rPr>
          <w:szCs w:val="23"/>
        </w:rPr>
        <w:t xml:space="preserve"> </w:t>
      </w:r>
      <w:proofErr w:type="spellStart"/>
      <w:r w:rsidRPr="00BA1261">
        <w:rPr>
          <w:szCs w:val="23"/>
        </w:rPr>
        <w:t>Rcd</w:t>
      </w:r>
      <w:proofErr w:type="spellEnd"/>
      <w:r w:rsidRPr="00BA1261">
        <w:rPr>
          <w:szCs w:val="23"/>
        </w:rPr>
        <w:t xml:space="preserve"> 15884 (2008).</w:t>
      </w:r>
    </w:p>
  </w:footnote>
  <w:footnote w:id="166">
    <w:p w14:paraId="3097E7FF" w14:textId="0688A9E5" w:rsidR="00661E61" w:rsidRDefault="00661E61" w:rsidP="00661E61">
      <w:pPr>
        <w:pStyle w:val="FootnoteText"/>
        <w:spacing w:line="240" w:lineRule="exact"/>
        <w:rPr>
          <w:szCs w:val="22"/>
        </w:rPr>
      </w:pPr>
      <w:r>
        <w:rPr>
          <w:rStyle w:val="FootnoteReference"/>
          <w:szCs w:val="22"/>
        </w:rPr>
        <w:footnoteRef/>
      </w:r>
      <w:r>
        <w:rPr>
          <w:szCs w:val="22"/>
        </w:rPr>
        <w:t xml:space="preserve"> Basic </w:t>
      </w:r>
      <w:r w:rsidR="00693075">
        <w:rPr>
          <w:szCs w:val="22"/>
        </w:rPr>
        <w:t>9</w:t>
      </w:r>
      <w:r w:rsidR="006951D5">
        <w:rPr>
          <w:szCs w:val="22"/>
        </w:rPr>
        <w:noBreakHyphen/>
      </w:r>
      <w:r w:rsidR="00693075">
        <w:rPr>
          <w:szCs w:val="22"/>
        </w:rPr>
        <w:t>1</w:t>
      </w:r>
      <w:r w:rsidR="006951D5">
        <w:rPr>
          <w:szCs w:val="22"/>
        </w:rPr>
        <w:noBreakHyphen/>
      </w:r>
      <w:r w:rsidR="00693075">
        <w:rPr>
          <w:szCs w:val="22"/>
        </w:rPr>
        <w:t xml:space="preserve">1 </w:t>
      </w:r>
      <w:r>
        <w:rPr>
          <w:szCs w:val="22"/>
        </w:rPr>
        <w:t>systems transmit calls from the service provider</w:t>
      </w:r>
      <w:r w:rsidR="00893D67">
        <w:rPr>
          <w:szCs w:val="22"/>
        </w:rPr>
        <w:t>’</w:t>
      </w:r>
      <w:r>
        <w:rPr>
          <w:szCs w:val="22"/>
        </w:rPr>
        <w:t>s switch to an appropriate public safety entity.</w:t>
      </w:r>
      <w:r w:rsidR="00CD0E2A">
        <w:rPr>
          <w:szCs w:val="22"/>
        </w:rPr>
        <w:t xml:space="preserve"> </w:t>
      </w:r>
      <w:r>
        <w:rPr>
          <w:szCs w:val="22"/>
        </w:rPr>
        <w:t xml:space="preserve">Basic </w:t>
      </w:r>
      <w:r w:rsidR="00693075">
        <w:rPr>
          <w:szCs w:val="22"/>
        </w:rPr>
        <w:t>9</w:t>
      </w:r>
      <w:r w:rsidR="006951D5">
        <w:rPr>
          <w:szCs w:val="22"/>
        </w:rPr>
        <w:noBreakHyphen/>
      </w:r>
      <w:r w:rsidR="00693075">
        <w:rPr>
          <w:szCs w:val="22"/>
        </w:rPr>
        <w:t>1</w:t>
      </w:r>
      <w:r w:rsidR="006951D5">
        <w:rPr>
          <w:szCs w:val="22"/>
        </w:rPr>
        <w:noBreakHyphen/>
      </w:r>
      <w:r w:rsidR="00693075">
        <w:rPr>
          <w:szCs w:val="22"/>
        </w:rPr>
        <w:t>1</w:t>
      </w:r>
      <w:r>
        <w:rPr>
          <w:szCs w:val="22"/>
        </w:rPr>
        <w:t xml:space="preserve"> is not capable of processing caller</w:t>
      </w:r>
      <w:r w:rsidR="00893D67">
        <w:rPr>
          <w:szCs w:val="22"/>
        </w:rPr>
        <w:t>’</w:t>
      </w:r>
      <w:r>
        <w:rPr>
          <w:szCs w:val="22"/>
        </w:rPr>
        <w:t>s location, nor does it provide the public safety entity with the caller</w:t>
      </w:r>
      <w:r w:rsidR="00893D67">
        <w:rPr>
          <w:szCs w:val="22"/>
        </w:rPr>
        <w:t>’</w:t>
      </w:r>
      <w:r>
        <w:rPr>
          <w:szCs w:val="22"/>
        </w:rPr>
        <w:t>s location information or, in some cases, a call back number.</w:t>
      </w:r>
      <w:r w:rsidR="00CD0E2A">
        <w:rPr>
          <w:szCs w:val="22"/>
        </w:rPr>
        <w:t xml:space="preserve"> </w:t>
      </w:r>
      <w:r>
        <w:rPr>
          <w:szCs w:val="22"/>
        </w:rPr>
        <w:t xml:space="preserve">In contrast, enhanced </w:t>
      </w:r>
      <w:r w:rsidR="00693075">
        <w:rPr>
          <w:szCs w:val="22"/>
        </w:rPr>
        <w:t>9</w:t>
      </w:r>
      <w:r w:rsidR="006951D5">
        <w:rPr>
          <w:szCs w:val="22"/>
        </w:rPr>
        <w:noBreakHyphen/>
      </w:r>
      <w:r w:rsidR="00693075">
        <w:rPr>
          <w:szCs w:val="22"/>
        </w:rPr>
        <w:t>1</w:t>
      </w:r>
      <w:r w:rsidR="006951D5">
        <w:rPr>
          <w:szCs w:val="22"/>
        </w:rPr>
        <w:noBreakHyphen/>
      </w:r>
      <w:r w:rsidR="00693075">
        <w:rPr>
          <w:szCs w:val="22"/>
        </w:rPr>
        <w:t>1 system</w:t>
      </w:r>
      <w:r>
        <w:rPr>
          <w:szCs w:val="22"/>
        </w:rPr>
        <w:t>s route calls through the use of a selective router to a geographically appropriate public safety entity based on the caller</w:t>
      </w:r>
      <w:r w:rsidR="00893D67">
        <w:rPr>
          <w:szCs w:val="22"/>
        </w:rPr>
        <w:t>’</w:t>
      </w:r>
      <w:r>
        <w:rPr>
          <w:szCs w:val="22"/>
        </w:rPr>
        <w:t>s location.</w:t>
      </w:r>
      <w:r w:rsidR="00CD0E2A">
        <w:rPr>
          <w:szCs w:val="22"/>
        </w:rPr>
        <w:t xml:space="preserve"> </w:t>
      </w:r>
      <w:r>
        <w:rPr>
          <w:szCs w:val="22"/>
        </w:rPr>
        <w:t>E911 provides the call taker with the caller</w:t>
      </w:r>
      <w:r w:rsidR="00893D67">
        <w:rPr>
          <w:szCs w:val="22"/>
        </w:rPr>
        <w:t>’</w:t>
      </w:r>
      <w:r>
        <w:rPr>
          <w:szCs w:val="22"/>
        </w:rPr>
        <w:t>s call back number, and in many cases, location information.</w:t>
      </w:r>
      <w:r w:rsidR="00CD0E2A">
        <w:rPr>
          <w:szCs w:val="22"/>
        </w:rPr>
        <w:t xml:space="preserve"> </w:t>
      </w:r>
      <w:r>
        <w:rPr>
          <w:szCs w:val="22"/>
        </w:rPr>
        <w:t>(</w:t>
      </w:r>
      <w:r>
        <w:rPr>
          <w:i/>
          <w:szCs w:val="22"/>
        </w:rPr>
        <w:t>IP</w:t>
      </w:r>
      <w:r w:rsidR="006951D5">
        <w:rPr>
          <w:i/>
          <w:szCs w:val="22"/>
        </w:rPr>
        <w:noBreakHyphen/>
      </w:r>
      <w:r>
        <w:rPr>
          <w:i/>
          <w:szCs w:val="22"/>
        </w:rPr>
        <w:t xml:space="preserve">Enabled Services Proceeding, </w:t>
      </w:r>
      <w:r>
        <w:rPr>
          <w:szCs w:val="22"/>
        </w:rPr>
        <w:t>First Report and Order and NOPR</w:t>
      </w:r>
      <w:r w:rsidR="00834144">
        <w:rPr>
          <w:szCs w:val="22"/>
        </w:rPr>
        <w:t xml:space="preserve"> at </w:t>
      </w:r>
      <w:r>
        <w:rPr>
          <w:szCs w:val="22"/>
        </w:rPr>
        <w:t>¶¶</w:t>
      </w:r>
      <w:r w:rsidR="005D120B">
        <w:rPr>
          <w:szCs w:val="22"/>
        </w:rPr>
        <w:t> </w:t>
      </w:r>
      <w:r>
        <w:rPr>
          <w:szCs w:val="22"/>
        </w:rPr>
        <w:t>12</w:t>
      </w:r>
      <w:r w:rsidR="006951D5">
        <w:rPr>
          <w:szCs w:val="22"/>
        </w:rPr>
        <w:noBreakHyphen/>
      </w:r>
      <w:r>
        <w:rPr>
          <w:szCs w:val="22"/>
        </w:rPr>
        <w:t>13.)</w:t>
      </w:r>
    </w:p>
  </w:footnote>
  <w:footnote w:id="167">
    <w:p w14:paraId="222C87A1" w14:textId="53AA9227" w:rsidR="00C36C20" w:rsidRPr="001C7C69" w:rsidRDefault="00C36C20">
      <w:pPr>
        <w:pStyle w:val="FootnoteText"/>
        <w:rPr>
          <w:lang w:val="en-ZW"/>
        </w:rPr>
      </w:pPr>
      <w:r>
        <w:rPr>
          <w:rStyle w:val="FootnoteReference"/>
        </w:rPr>
        <w:footnoteRef/>
      </w:r>
      <w:r>
        <w:t xml:space="preserve"> </w:t>
      </w:r>
      <w:r>
        <w:rPr>
          <w:bCs/>
          <w:i/>
        </w:rPr>
        <w:t>IP</w:t>
      </w:r>
      <w:r w:rsidR="006951D5">
        <w:rPr>
          <w:bCs/>
          <w:i/>
        </w:rPr>
        <w:noBreakHyphen/>
      </w:r>
      <w:r>
        <w:rPr>
          <w:bCs/>
          <w:i/>
        </w:rPr>
        <w:t xml:space="preserve">Enabled Services Proceeding, </w:t>
      </w:r>
      <w:r>
        <w:rPr>
          <w:bCs/>
        </w:rPr>
        <w:t xml:space="preserve">First Report and Order and </w:t>
      </w:r>
      <w:r w:rsidRPr="00291145">
        <w:rPr>
          <w:bCs/>
        </w:rPr>
        <w:t>Notice of Proposed Rulemaking</w:t>
      </w:r>
      <w:r>
        <w:rPr>
          <w:bCs/>
        </w:rPr>
        <w:t xml:space="preserve"> (NOPR) (WC Docket No. 04</w:t>
      </w:r>
      <w:r w:rsidR="006951D5">
        <w:rPr>
          <w:bCs/>
        </w:rPr>
        <w:noBreakHyphen/>
      </w:r>
      <w:r>
        <w:rPr>
          <w:bCs/>
        </w:rPr>
        <w:t xml:space="preserve">36) 20 FCC </w:t>
      </w:r>
      <w:proofErr w:type="spellStart"/>
      <w:r>
        <w:rPr>
          <w:bCs/>
        </w:rPr>
        <w:t>Rcd</w:t>
      </w:r>
      <w:proofErr w:type="spellEnd"/>
      <w:r>
        <w:rPr>
          <w:bCs/>
        </w:rPr>
        <w:t xml:space="preserve"> 10245 at ¶ 24.</w:t>
      </w:r>
    </w:p>
  </w:footnote>
  <w:footnote w:id="168">
    <w:p w14:paraId="2ED3BCDB" w14:textId="43B84D5F" w:rsidR="00C36C20" w:rsidRPr="001C7C69" w:rsidRDefault="00C36C20">
      <w:pPr>
        <w:pStyle w:val="FootnoteText"/>
        <w:rPr>
          <w:lang w:val="en-ZW"/>
        </w:rPr>
      </w:pPr>
      <w:r>
        <w:rPr>
          <w:rStyle w:val="FootnoteReference"/>
        </w:rPr>
        <w:footnoteRef/>
      </w:r>
      <w:r>
        <w:t xml:space="preserve"> </w:t>
      </w:r>
      <w:r>
        <w:rPr>
          <w:bCs/>
          <w:i/>
        </w:rPr>
        <w:t>IP</w:t>
      </w:r>
      <w:r w:rsidR="006951D5">
        <w:rPr>
          <w:bCs/>
          <w:i/>
        </w:rPr>
        <w:noBreakHyphen/>
      </w:r>
      <w:r>
        <w:rPr>
          <w:bCs/>
          <w:i/>
        </w:rPr>
        <w:t xml:space="preserve">Enabled Services Proceeding, </w:t>
      </w:r>
      <w:r>
        <w:rPr>
          <w:bCs/>
        </w:rPr>
        <w:t>First Report and Order and NOPR at ¶ 24.</w:t>
      </w:r>
    </w:p>
  </w:footnote>
  <w:footnote w:id="169">
    <w:p w14:paraId="301DFEE8" w14:textId="2B6642FA" w:rsidR="00C36C20" w:rsidRPr="001C7C69" w:rsidRDefault="00C36C20">
      <w:pPr>
        <w:pStyle w:val="FootnoteText"/>
        <w:rPr>
          <w:lang w:val="en-ZW"/>
        </w:rPr>
      </w:pPr>
      <w:r>
        <w:rPr>
          <w:rStyle w:val="FootnoteReference"/>
        </w:rPr>
        <w:footnoteRef/>
      </w:r>
      <w:r>
        <w:t xml:space="preserve"> </w:t>
      </w:r>
      <w:r>
        <w:rPr>
          <w:bCs/>
          <w:i/>
        </w:rPr>
        <w:t>IP</w:t>
      </w:r>
      <w:r w:rsidR="006951D5">
        <w:rPr>
          <w:bCs/>
          <w:i/>
        </w:rPr>
        <w:noBreakHyphen/>
      </w:r>
      <w:r>
        <w:rPr>
          <w:bCs/>
          <w:i/>
        </w:rPr>
        <w:t xml:space="preserve">Enabled Services Proceeding, </w:t>
      </w:r>
      <w:r>
        <w:rPr>
          <w:bCs/>
        </w:rPr>
        <w:t>First Report and Order and NOPR at ¶ 22.</w:t>
      </w:r>
    </w:p>
  </w:footnote>
  <w:footnote w:id="170">
    <w:p w14:paraId="4EAC00CC" w14:textId="3774AE57" w:rsidR="00661E61" w:rsidRDefault="00661E61" w:rsidP="00661E61">
      <w:pPr>
        <w:pStyle w:val="FootnoteText"/>
        <w:spacing w:line="240" w:lineRule="exact"/>
        <w:rPr>
          <w:szCs w:val="22"/>
        </w:rPr>
      </w:pPr>
      <w:r>
        <w:rPr>
          <w:rStyle w:val="FootnoteReference"/>
          <w:szCs w:val="22"/>
        </w:rPr>
        <w:footnoteRef/>
      </w:r>
      <w:r>
        <w:rPr>
          <w:szCs w:val="22"/>
        </w:rPr>
        <w:t xml:space="preserve"> Ancillary jurisdiction may be employed when </w:t>
      </w:r>
      <w:r w:rsidR="00B47779">
        <w:rPr>
          <w:szCs w:val="22"/>
        </w:rPr>
        <w:t>Title </w:t>
      </w:r>
      <w:r>
        <w:rPr>
          <w:szCs w:val="22"/>
        </w:rPr>
        <w:t xml:space="preserve">I of the Act gives the FCC subject matter jurisdiction over the service to be regulated, and the assertion of jurisdiction is </w:t>
      </w:r>
      <w:r w:rsidR="00893D67">
        <w:rPr>
          <w:szCs w:val="22"/>
        </w:rPr>
        <w:t>“</w:t>
      </w:r>
      <w:r>
        <w:rPr>
          <w:szCs w:val="22"/>
        </w:rPr>
        <w:t>reasonably ancillary to the effective performance of [the FCC</w:t>
      </w:r>
      <w:r w:rsidR="00893D67">
        <w:rPr>
          <w:szCs w:val="22"/>
        </w:rPr>
        <w:t>’</w:t>
      </w:r>
      <w:r>
        <w:rPr>
          <w:szCs w:val="22"/>
        </w:rPr>
        <w:t>s] various responsibilities.</w:t>
      </w:r>
      <w:r w:rsidR="00893D67">
        <w:rPr>
          <w:szCs w:val="22"/>
        </w:rPr>
        <w:t>”</w:t>
      </w:r>
      <w:r w:rsidR="00CD0E2A">
        <w:rPr>
          <w:szCs w:val="22"/>
        </w:rPr>
        <w:t xml:space="preserve"> </w:t>
      </w:r>
      <w:r>
        <w:rPr>
          <w:szCs w:val="22"/>
        </w:rPr>
        <w:t>(</w:t>
      </w:r>
      <w:r>
        <w:rPr>
          <w:i/>
          <w:szCs w:val="22"/>
        </w:rPr>
        <w:t>United States</w:t>
      </w:r>
      <w:r w:rsidR="00877D37">
        <w:rPr>
          <w:i/>
          <w:szCs w:val="22"/>
        </w:rPr>
        <w:t xml:space="preserve"> v. </w:t>
      </w:r>
      <w:r>
        <w:rPr>
          <w:i/>
          <w:szCs w:val="22"/>
        </w:rPr>
        <w:t>Southwestern Cable Co.</w:t>
      </w:r>
      <w:r>
        <w:rPr>
          <w:szCs w:val="22"/>
        </w:rPr>
        <w:t xml:space="preserve"> (1968) 392</w:t>
      </w:r>
      <w:r w:rsidR="00877D37">
        <w:rPr>
          <w:szCs w:val="22"/>
        </w:rPr>
        <w:t> U.S.</w:t>
      </w:r>
      <w:r>
        <w:rPr>
          <w:szCs w:val="22"/>
        </w:rPr>
        <w:t xml:space="preserve"> 157, 178.)</w:t>
      </w:r>
      <w:r w:rsidR="00CD0E2A">
        <w:rPr>
          <w:szCs w:val="22"/>
        </w:rPr>
        <w:t xml:space="preserve"> </w:t>
      </w:r>
      <w:r>
        <w:rPr>
          <w:szCs w:val="22"/>
        </w:rPr>
        <w:t>The FCC found that both predicates for ancillary jurisdiction were satisfied in the instant case.</w:t>
      </w:r>
      <w:r w:rsidR="00CD0E2A">
        <w:rPr>
          <w:szCs w:val="22"/>
        </w:rPr>
        <w:t xml:space="preserve"> </w:t>
      </w:r>
      <w:r>
        <w:rPr>
          <w:bCs/>
          <w:szCs w:val="22"/>
        </w:rPr>
        <w:t>(</w:t>
      </w:r>
      <w:r>
        <w:rPr>
          <w:bCs/>
          <w:i/>
          <w:szCs w:val="22"/>
        </w:rPr>
        <w:t>IP</w:t>
      </w:r>
      <w:r w:rsidR="006951D5">
        <w:rPr>
          <w:bCs/>
          <w:i/>
          <w:szCs w:val="22"/>
        </w:rPr>
        <w:noBreakHyphen/>
      </w:r>
      <w:r>
        <w:rPr>
          <w:bCs/>
          <w:i/>
          <w:szCs w:val="22"/>
        </w:rPr>
        <w:t xml:space="preserve">Enabled Services Proceeding, </w:t>
      </w:r>
      <w:r>
        <w:rPr>
          <w:bCs/>
          <w:szCs w:val="22"/>
        </w:rPr>
        <w:t>First Report and Order and NOPR</w:t>
      </w:r>
      <w:r w:rsidR="00834144">
        <w:rPr>
          <w:bCs/>
          <w:szCs w:val="22"/>
        </w:rPr>
        <w:t xml:space="preserve"> at ¶ </w:t>
      </w:r>
      <w:r>
        <w:rPr>
          <w:bCs/>
          <w:szCs w:val="22"/>
        </w:rPr>
        <w:t>27.)</w:t>
      </w:r>
      <w:r w:rsidR="00CD0E2A">
        <w:rPr>
          <w:bCs/>
          <w:szCs w:val="22"/>
        </w:rPr>
        <w:t xml:space="preserve"> </w:t>
      </w:r>
      <w:r>
        <w:rPr>
          <w:bCs/>
          <w:szCs w:val="22"/>
        </w:rPr>
        <w:t>T</w:t>
      </w:r>
      <w:r>
        <w:rPr>
          <w:szCs w:val="22"/>
        </w:rPr>
        <w:t xml:space="preserve">he FCC noted that this order in no way prejudges how the FCC might ultimately classify </w:t>
      </w:r>
      <w:r w:rsidR="00A62F87">
        <w:rPr>
          <w:szCs w:val="22"/>
        </w:rPr>
        <w:t>interconnected VoIP</w:t>
      </w:r>
      <w:r>
        <w:rPr>
          <w:szCs w:val="22"/>
        </w:rPr>
        <w:t xml:space="preserve"> services.</w:t>
      </w:r>
      <w:r w:rsidR="00CD0E2A">
        <w:rPr>
          <w:szCs w:val="22"/>
        </w:rPr>
        <w:t xml:space="preserve"> </w:t>
      </w:r>
      <w:r w:rsidR="00893D67">
        <w:rPr>
          <w:szCs w:val="22"/>
        </w:rPr>
        <w:t>“</w:t>
      </w:r>
      <w:r>
        <w:rPr>
          <w:szCs w:val="22"/>
        </w:rPr>
        <w:t xml:space="preserve">To the extent that the Commission later finds these services to be telecommunications services, the Commission would have additional authority under </w:t>
      </w:r>
      <w:r w:rsidR="00B47779">
        <w:rPr>
          <w:szCs w:val="22"/>
        </w:rPr>
        <w:t>Title </w:t>
      </w:r>
      <w:r>
        <w:rPr>
          <w:szCs w:val="22"/>
        </w:rPr>
        <w:t>II to adopt these rules.</w:t>
      </w:r>
      <w:r w:rsidR="00893D67">
        <w:rPr>
          <w:szCs w:val="22"/>
        </w:rPr>
        <w:t>”</w:t>
      </w:r>
      <w:r w:rsidR="00CD0E2A">
        <w:rPr>
          <w:szCs w:val="22"/>
        </w:rPr>
        <w:t xml:space="preserve"> </w:t>
      </w:r>
      <w:r>
        <w:rPr>
          <w:bCs/>
          <w:szCs w:val="22"/>
        </w:rPr>
        <w:t>(</w:t>
      </w:r>
      <w:r>
        <w:rPr>
          <w:bCs/>
          <w:i/>
          <w:szCs w:val="22"/>
        </w:rPr>
        <w:t>IP</w:t>
      </w:r>
      <w:r w:rsidR="006951D5">
        <w:rPr>
          <w:bCs/>
          <w:i/>
          <w:szCs w:val="22"/>
        </w:rPr>
        <w:noBreakHyphen/>
      </w:r>
      <w:r>
        <w:rPr>
          <w:bCs/>
          <w:i/>
          <w:szCs w:val="22"/>
        </w:rPr>
        <w:t xml:space="preserve">Enabled Services Proceeding, </w:t>
      </w:r>
      <w:r>
        <w:rPr>
          <w:bCs/>
          <w:szCs w:val="22"/>
        </w:rPr>
        <w:t>First Report and Order and NOPR</w:t>
      </w:r>
      <w:r w:rsidR="00834144">
        <w:rPr>
          <w:bCs/>
          <w:szCs w:val="22"/>
        </w:rPr>
        <w:t xml:space="preserve"> at ¶ </w:t>
      </w:r>
      <w:r>
        <w:rPr>
          <w:bCs/>
          <w:szCs w:val="22"/>
        </w:rPr>
        <w:t>26.)</w:t>
      </w:r>
    </w:p>
  </w:footnote>
  <w:footnote w:id="171">
    <w:p w14:paraId="3866BD21" w14:textId="4A52F2B8" w:rsidR="00C36C20" w:rsidRPr="001C7C69" w:rsidRDefault="00C36C20">
      <w:pPr>
        <w:pStyle w:val="FootnoteText"/>
        <w:rPr>
          <w:lang w:val="en-ZW"/>
        </w:rPr>
      </w:pPr>
      <w:r>
        <w:rPr>
          <w:rStyle w:val="FootnoteReference"/>
        </w:rPr>
        <w:footnoteRef/>
      </w:r>
      <w:r>
        <w:t xml:space="preserve"> </w:t>
      </w:r>
      <w:r>
        <w:rPr>
          <w:bCs/>
          <w:i/>
        </w:rPr>
        <w:t>IP</w:t>
      </w:r>
      <w:r w:rsidR="006951D5">
        <w:rPr>
          <w:bCs/>
          <w:i/>
        </w:rPr>
        <w:noBreakHyphen/>
      </w:r>
      <w:r>
        <w:rPr>
          <w:bCs/>
          <w:i/>
        </w:rPr>
        <w:t xml:space="preserve">Enabled Services Proceeding, </w:t>
      </w:r>
      <w:r>
        <w:rPr>
          <w:bCs/>
        </w:rPr>
        <w:t>First Report and Order and NOPR at ¶ 26.</w:t>
      </w:r>
    </w:p>
  </w:footnote>
  <w:footnote w:id="172">
    <w:p w14:paraId="37A75FD0" w14:textId="1D6EF758" w:rsidR="00661E61" w:rsidRDefault="00661E61" w:rsidP="00661E61">
      <w:pPr>
        <w:pStyle w:val="FootnoteText"/>
        <w:spacing w:line="240" w:lineRule="exact"/>
        <w:rPr>
          <w:szCs w:val="22"/>
        </w:rPr>
      </w:pPr>
      <w:r>
        <w:rPr>
          <w:rStyle w:val="FootnoteReference"/>
          <w:szCs w:val="22"/>
        </w:rPr>
        <w:footnoteRef/>
      </w:r>
      <w:r>
        <w:rPr>
          <w:szCs w:val="22"/>
        </w:rPr>
        <w:t xml:space="preserve"> The FCC found an additional and separate source of authority in its plenary numbering authority over U.S. NANP numbers granted to the FCC in </w:t>
      </w:r>
      <w:r w:rsidR="00943805">
        <w:rPr>
          <w:szCs w:val="22"/>
        </w:rPr>
        <w:t>Section </w:t>
      </w:r>
      <w:r>
        <w:rPr>
          <w:szCs w:val="22"/>
        </w:rPr>
        <w:t>251(e) of the Act.</w:t>
      </w:r>
      <w:r w:rsidR="00CD0E2A">
        <w:rPr>
          <w:szCs w:val="22"/>
        </w:rPr>
        <w:t xml:space="preserve"> </w:t>
      </w:r>
      <w:r>
        <w:rPr>
          <w:bCs/>
          <w:szCs w:val="22"/>
        </w:rPr>
        <w:t>(</w:t>
      </w:r>
      <w:r>
        <w:rPr>
          <w:bCs/>
          <w:i/>
          <w:szCs w:val="22"/>
        </w:rPr>
        <w:t>IP</w:t>
      </w:r>
      <w:r w:rsidR="006951D5">
        <w:rPr>
          <w:bCs/>
          <w:i/>
          <w:szCs w:val="22"/>
        </w:rPr>
        <w:noBreakHyphen/>
      </w:r>
      <w:r>
        <w:rPr>
          <w:bCs/>
          <w:i/>
          <w:szCs w:val="22"/>
        </w:rPr>
        <w:t xml:space="preserve">Enabled Services Proceeding, </w:t>
      </w:r>
      <w:r>
        <w:rPr>
          <w:bCs/>
          <w:szCs w:val="22"/>
        </w:rPr>
        <w:t>First Report and Order and NOPR</w:t>
      </w:r>
      <w:r w:rsidR="00834144">
        <w:rPr>
          <w:bCs/>
          <w:szCs w:val="22"/>
        </w:rPr>
        <w:t xml:space="preserve"> at ¶ </w:t>
      </w:r>
      <w:r>
        <w:rPr>
          <w:bCs/>
          <w:szCs w:val="22"/>
        </w:rPr>
        <w:t>33.)</w:t>
      </w:r>
    </w:p>
  </w:footnote>
  <w:footnote w:id="173">
    <w:p w14:paraId="6D07A75B" w14:textId="20B75ECA" w:rsidR="00C36C20" w:rsidRPr="001C7C69" w:rsidRDefault="00C36C20">
      <w:pPr>
        <w:pStyle w:val="FootnoteText"/>
        <w:rPr>
          <w:lang w:val="en-ZW"/>
        </w:rPr>
      </w:pPr>
      <w:r>
        <w:rPr>
          <w:rStyle w:val="FootnoteReference"/>
        </w:rPr>
        <w:footnoteRef/>
      </w:r>
      <w:r>
        <w:t xml:space="preserve"> </w:t>
      </w:r>
      <w:r>
        <w:rPr>
          <w:bCs/>
          <w:i/>
        </w:rPr>
        <w:t>IP</w:t>
      </w:r>
      <w:r w:rsidR="006951D5">
        <w:rPr>
          <w:bCs/>
          <w:i/>
        </w:rPr>
        <w:noBreakHyphen/>
      </w:r>
      <w:r>
        <w:rPr>
          <w:bCs/>
          <w:i/>
        </w:rPr>
        <w:t xml:space="preserve">Enabled Services Proceeding, </w:t>
      </w:r>
      <w:r>
        <w:rPr>
          <w:bCs/>
        </w:rPr>
        <w:t>First Report and Order and NOPR at ¶ 25.</w:t>
      </w:r>
    </w:p>
  </w:footnote>
  <w:footnote w:id="174">
    <w:p w14:paraId="46180AFC" w14:textId="10068C6C" w:rsidR="00C36C20" w:rsidRPr="001C7C69" w:rsidRDefault="00C36C20">
      <w:pPr>
        <w:pStyle w:val="FootnoteText"/>
        <w:rPr>
          <w:lang w:val="en-ZW"/>
        </w:rPr>
      </w:pPr>
      <w:r>
        <w:rPr>
          <w:rStyle w:val="FootnoteReference"/>
        </w:rPr>
        <w:footnoteRef/>
      </w:r>
      <w:r>
        <w:t xml:space="preserve"> </w:t>
      </w:r>
      <w:r>
        <w:rPr>
          <w:bCs/>
          <w:i/>
        </w:rPr>
        <w:t>IP</w:t>
      </w:r>
      <w:r w:rsidR="006951D5">
        <w:rPr>
          <w:bCs/>
          <w:i/>
        </w:rPr>
        <w:noBreakHyphen/>
      </w:r>
      <w:r>
        <w:rPr>
          <w:bCs/>
          <w:i/>
        </w:rPr>
        <w:t>Enabled Services Proceeding</w:t>
      </w:r>
      <w:r>
        <w:rPr>
          <w:bCs/>
        </w:rPr>
        <w:t>,</w:t>
      </w:r>
      <w:r>
        <w:rPr>
          <w:bCs/>
          <w:i/>
        </w:rPr>
        <w:t xml:space="preserve"> </w:t>
      </w:r>
      <w:r>
        <w:rPr>
          <w:bCs/>
        </w:rPr>
        <w:t>First Report and Order and NOPR at ¶ 46.</w:t>
      </w:r>
    </w:p>
  </w:footnote>
  <w:footnote w:id="175">
    <w:p w14:paraId="2B136FE7" w14:textId="055D2D3B" w:rsidR="00661E61" w:rsidRDefault="00661E61" w:rsidP="00661E61">
      <w:pPr>
        <w:pStyle w:val="FootnoteText"/>
        <w:spacing w:line="240" w:lineRule="exact"/>
        <w:rPr>
          <w:szCs w:val="22"/>
        </w:rPr>
      </w:pPr>
      <w:r>
        <w:rPr>
          <w:rStyle w:val="FootnoteReference"/>
          <w:szCs w:val="22"/>
        </w:rPr>
        <w:footnoteRef/>
      </w:r>
      <w:r>
        <w:rPr>
          <w:szCs w:val="22"/>
        </w:rPr>
        <w:t xml:space="preserve"> In November of 2007, the House of Representatives passed a bill (H.R. 3403 (Gordon)) that would mandate all interconnected VoIP providers to provide 9</w:t>
      </w:r>
      <w:r w:rsidR="006951D5">
        <w:rPr>
          <w:szCs w:val="22"/>
        </w:rPr>
        <w:noBreakHyphen/>
      </w:r>
      <w:r>
        <w:rPr>
          <w:szCs w:val="22"/>
        </w:rPr>
        <w:t>1</w:t>
      </w:r>
      <w:r w:rsidR="006951D5">
        <w:rPr>
          <w:szCs w:val="22"/>
        </w:rPr>
        <w:noBreakHyphen/>
      </w:r>
      <w:r>
        <w:rPr>
          <w:szCs w:val="22"/>
        </w:rPr>
        <w:t>1 services as required by the FCC.</w:t>
      </w:r>
      <w:r w:rsidR="00CD0E2A">
        <w:rPr>
          <w:szCs w:val="22"/>
        </w:rPr>
        <w:t xml:space="preserve"> </w:t>
      </w:r>
      <w:r>
        <w:rPr>
          <w:szCs w:val="22"/>
        </w:rPr>
        <w:t xml:space="preserve">On </w:t>
      </w:r>
      <w:r w:rsidR="00400BB6">
        <w:rPr>
          <w:szCs w:val="22"/>
        </w:rPr>
        <w:t>February </w:t>
      </w:r>
      <w:r>
        <w:rPr>
          <w:szCs w:val="22"/>
        </w:rPr>
        <w:t>26, 2008, the Senate passed a similar bill (S.428 (Nelson)).</w:t>
      </w:r>
      <w:r w:rsidR="00CD0E2A">
        <w:rPr>
          <w:szCs w:val="22"/>
        </w:rPr>
        <w:t xml:space="preserve"> </w:t>
      </w:r>
      <w:r>
        <w:rPr>
          <w:szCs w:val="22"/>
        </w:rPr>
        <w:t>The two bills now must be reconciled.</w:t>
      </w:r>
    </w:p>
  </w:footnote>
  <w:footnote w:id="176">
    <w:p w14:paraId="23B8B362" w14:textId="3A8C548A" w:rsidR="00661E61" w:rsidRDefault="00661E61" w:rsidP="00661E61">
      <w:pPr>
        <w:pStyle w:val="FootnoteText"/>
      </w:pPr>
      <w:r>
        <w:rPr>
          <w:rStyle w:val="FootnoteReference"/>
        </w:rPr>
        <w:footnoteRef/>
      </w:r>
      <w:r>
        <w:t xml:space="preserve"> </w:t>
      </w:r>
      <w:r w:rsidR="001D088C">
        <w:t>FCC 1</w:t>
      </w:r>
      <w:r>
        <w:t>9</w:t>
      </w:r>
      <w:r w:rsidR="006951D5">
        <w:noBreakHyphen/>
      </w:r>
      <w:r>
        <w:t>76A1, implementing RAY BAUM</w:t>
      </w:r>
      <w:r w:rsidR="00893D67">
        <w:t>’</w:t>
      </w:r>
      <w:r>
        <w:t>S Act of 2018.</w:t>
      </w:r>
    </w:p>
  </w:footnote>
  <w:footnote w:id="177">
    <w:p w14:paraId="7FC66E7F" w14:textId="2B494769" w:rsidR="00661E61" w:rsidRDefault="00661E61" w:rsidP="00661E61">
      <w:pPr>
        <w:pStyle w:val="FootnoteText"/>
      </w:pPr>
      <w:r>
        <w:rPr>
          <w:rStyle w:val="FootnoteReference"/>
        </w:rPr>
        <w:footnoteRef/>
      </w:r>
      <w:r>
        <w:t xml:space="preserve"> </w:t>
      </w:r>
      <w:r>
        <w:rPr>
          <w:i/>
        </w:rPr>
        <w:t>Communications Assistance for Law Enforcement Act and Broadband Access and Services</w:t>
      </w:r>
      <w:r>
        <w:t xml:space="preserve">, First Report and Order and NOPR (ET Docket </w:t>
      </w:r>
      <w:r w:rsidR="00536209">
        <w:t>No. </w:t>
      </w:r>
      <w:r>
        <w:t>04</w:t>
      </w:r>
      <w:r w:rsidR="006951D5">
        <w:noBreakHyphen/>
      </w:r>
      <w:r>
        <w:t>295) (2005) 2</w:t>
      </w:r>
      <w:r w:rsidR="007A588A">
        <w:t>0 FCC</w:t>
      </w:r>
      <w:r>
        <w:t xml:space="preserve"> </w:t>
      </w:r>
      <w:proofErr w:type="spellStart"/>
      <w:r>
        <w:t>Rcd</w:t>
      </w:r>
      <w:proofErr w:type="spellEnd"/>
      <w:r>
        <w:t xml:space="preserve"> 14989.</w:t>
      </w:r>
    </w:p>
  </w:footnote>
  <w:footnote w:id="178">
    <w:p w14:paraId="7A89EB4E" w14:textId="50A76D1E" w:rsidR="00661E61" w:rsidRDefault="00661E61" w:rsidP="00661E61">
      <w:pPr>
        <w:pStyle w:val="FootnoteText"/>
      </w:pPr>
      <w:r>
        <w:rPr>
          <w:rStyle w:val="FootnoteReference"/>
        </w:rPr>
        <w:footnoteRef/>
      </w:r>
      <w:r w:rsidR="00CD0E2A">
        <w:t xml:space="preserve"> </w:t>
      </w:r>
      <w:r>
        <w:rPr>
          <w:i/>
        </w:rPr>
        <w:t>CALEA Order</w:t>
      </w:r>
      <w:r w:rsidR="00834144">
        <w:t xml:space="preserve"> at ¶ </w:t>
      </w:r>
      <w:r>
        <w:t>10.</w:t>
      </w:r>
    </w:p>
  </w:footnote>
  <w:footnote w:id="179">
    <w:p w14:paraId="18150234" w14:textId="72EA79D0" w:rsidR="00661E61" w:rsidRDefault="00661E61" w:rsidP="00661E61">
      <w:pPr>
        <w:pStyle w:val="FootnoteText"/>
      </w:pPr>
      <w:r>
        <w:rPr>
          <w:rStyle w:val="FootnoteReference"/>
        </w:rPr>
        <w:footnoteRef/>
      </w:r>
      <w:r>
        <w:t xml:space="preserve"> </w:t>
      </w:r>
      <w:r>
        <w:rPr>
          <w:szCs w:val="22"/>
        </w:rPr>
        <w:t>D.21</w:t>
      </w:r>
      <w:r w:rsidR="006951D5">
        <w:rPr>
          <w:szCs w:val="22"/>
        </w:rPr>
        <w:noBreakHyphen/>
      </w:r>
      <w:r>
        <w:rPr>
          <w:szCs w:val="22"/>
        </w:rPr>
        <w:t>02</w:t>
      </w:r>
      <w:r w:rsidR="006951D5">
        <w:rPr>
          <w:szCs w:val="22"/>
        </w:rPr>
        <w:noBreakHyphen/>
      </w:r>
      <w:r>
        <w:rPr>
          <w:szCs w:val="22"/>
        </w:rPr>
        <w:t>029.</w:t>
      </w:r>
      <w:r w:rsidR="00CD0E2A">
        <w:rPr>
          <w:szCs w:val="22"/>
        </w:rPr>
        <w:t xml:space="preserve"> </w:t>
      </w:r>
      <w:r>
        <w:t>Frontier and AT&amp;T characterize network resiliency as an important policy objective; Frontier Opening Comments on the OIR</w:t>
      </w:r>
      <w:r w:rsidR="00377324">
        <w:t xml:space="preserve"> at </w:t>
      </w:r>
      <w:r>
        <w:t>1 and AT&amp;T Reply Comments on the OIR</w:t>
      </w:r>
      <w:r w:rsidR="00377324">
        <w:t xml:space="preserve"> at </w:t>
      </w:r>
      <w:r>
        <w:t>10.</w:t>
      </w:r>
    </w:p>
  </w:footnote>
  <w:footnote w:id="180">
    <w:p w14:paraId="790249E5" w14:textId="6C3CDD51" w:rsidR="00661E61" w:rsidRDefault="00661E61" w:rsidP="00661E61">
      <w:pPr>
        <w:pStyle w:val="FootnoteText"/>
      </w:pPr>
      <w:r>
        <w:rPr>
          <w:rStyle w:val="FootnoteReference"/>
        </w:rPr>
        <w:footnoteRef/>
      </w:r>
      <w:r>
        <w:t xml:space="preserve"> </w:t>
      </w:r>
      <w:r w:rsidRPr="00C77C09">
        <w:t>D.21</w:t>
      </w:r>
      <w:r w:rsidR="006951D5">
        <w:noBreakHyphen/>
      </w:r>
      <w:r w:rsidRPr="00C77C09">
        <w:t>02</w:t>
      </w:r>
      <w:r w:rsidR="006951D5">
        <w:noBreakHyphen/>
      </w:r>
      <w:r w:rsidRPr="00C77C09">
        <w:t>029</w:t>
      </w:r>
      <w:r w:rsidR="00377324">
        <w:t xml:space="preserve"> at </w:t>
      </w:r>
      <w:r w:rsidRPr="00C77C09">
        <w:t>91</w:t>
      </w:r>
      <w:r w:rsidR="006951D5">
        <w:noBreakHyphen/>
      </w:r>
      <w:r>
        <w:t>92</w:t>
      </w:r>
      <w:r w:rsidRPr="00C77C09">
        <w:t>.</w:t>
      </w:r>
    </w:p>
  </w:footnote>
  <w:footnote w:id="181">
    <w:p w14:paraId="67D9E18E" w14:textId="62DB9140" w:rsidR="00661E61" w:rsidRPr="005F7871" w:rsidRDefault="00661E61" w:rsidP="00661E61">
      <w:pPr>
        <w:pStyle w:val="FootnoteText"/>
      </w:pPr>
      <w:r>
        <w:rPr>
          <w:rStyle w:val="FootnoteReference"/>
        </w:rPr>
        <w:footnoteRef/>
      </w:r>
      <w:r>
        <w:t xml:space="preserve"> D.21</w:t>
      </w:r>
      <w:r w:rsidR="006951D5">
        <w:noBreakHyphen/>
      </w:r>
      <w:r>
        <w:t>02</w:t>
      </w:r>
      <w:r w:rsidR="006951D5">
        <w:noBreakHyphen/>
      </w:r>
      <w:r>
        <w:t>029</w:t>
      </w:r>
      <w:r w:rsidR="00377324">
        <w:t xml:space="preserve"> at </w:t>
      </w:r>
      <w:r>
        <w:t>91</w:t>
      </w:r>
      <w:r w:rsidR="006951D5">
        <w:noBreakHyphen/>
      </w:r>
      <w:r>
        <w:t xml:space="preserve">92. </w:t>
      </w:r>
      <w:r w:rsidR="00987A94">
        <w:t>(</w:t>
      </w:r>
      <w:r>
        <w:rPr>
          <w:i/>
          <w:iCs/>
        </w:rPr>
        <w:t>See also</w:t>
      </w:r>
      <w:r>
        <w:t xml:space="preserve"> Cal. Gov. Code </w:t>
      </w:r>
      <w:r w:rsidR="00646044">
        <w:t>§ </w:t>
      </w:r>
      <w:r>
        <w:t>53122.</w:t>
      </w:r>
      <w:r w:rsidR="00987A94">
        <w:t>)</w:t>
      </w:r>
    </w:p>
  </w:footnote>
  <w:footnote w:id="182">
    <w:p w14:paraId="3BEA7DB4" w14:textId="01CCF16E" w:rsidR="002C7A4C" w:rsidRDefault="002C7A4C" w:rsidP="002C7A4C">
      <w:pPr>
        <w:pStyle w:val="FootnoteText"/>
      </w:pPr>
      <w:r>
        <w:rPr>
          <w:rStyle w:val="FootnoteReference"/>
        </w:rPr>
        <w:footnoteRef/>
      </w:r>
      <w:r>
        <w:t xml:space="preserve"> </w:t>
      </w:r>
      <w:r w:rsidR="00943805">
        <w:t>Section </w:t>
      </w:r>
      <w:r w:rsidRPr="0078339F">
        <w:t xml:space="preserve">2896 and </w:t>
      </w:r>
      <w:r w:rsidR="00EA24BE">
        <w:t>GO </w:t>
      </w:r>
      <w:r w:rsidRPr="0078339F">
        <w:t xml:space="preserve">168 require that providers disclose sufficient information about pricing and charges on bills. </w:t>
      </w:r>
      <w:r w:rsidR="00943805">
        <w:t>Section </w:t>
      </w:r>
      <w:r w:rsidRPr="0078339F">
        <w:t xml:space="preserve">2890 requires that a telephone bill only contain charges that were authorized by a subscriber. </w:t>
      </w:r>
      <w:r w:rsidR="00327AAF">
        <w:t>The Commission’s rules exempting telephone corporations from tariff requirements require the telephone corporation to instead make price information clearly and easily accessible to customers as directed in D.98</w:t>
      </w:r>
      <w:r w:rsidR="00844EAF">
        <w:noBreakHyphen/>
      </w:r>
      <w:r w:rsidR="00327AAF">
        <w:t>10</w:t>
      </w:r>
      <w:r w:rsidR="00844EAF">
        <w:noBreakHyphen/>
      </w:r>
      <w:r w:rsidR="00327AAF">
        <w:t>031 and D.07</w:t>
      </w:r>
      <w:r w:rsidR="00844EAF">
        <w:noBreakHyphen/>
      </w:r>
      <w:r w:rsidR="00327AAF">
        <w:t>09</w:t>
      </w:r>
      <w:r w:rsidR="00844EAF">
        <w:noBreakHyphen/>
      </w:r>
      <w:r w:rsidR="00327AAF">
        <w:t xml:space="preserve">018. </w:t>
      </w:r>
      <w:r w:rsidRPr="0078339F">
        <w:t>The FCC Truth in Billing rules prohibit unauthorized charges and require consumers</w:t>
      </w:r>
      <w:r w:rsidR="00893D67">
        <w:t>’</w:t>
      </w:r>
      <w:r w:rsidRPr="0078339F">
        <w:t xml:space="preserve"> bills to contain a brief, clear, non</w:t>
      </w:r>
      <w:r w:rsidR="006951D5">
        <w:noBreakHyphen/>
      </w:r>
      <w:r w:rsidRPr="0078339F">
        <w:t>misleading, plain language description of the service or services rendered to accompany each charge</w:t>
      </w:r>
      <w:r>
        <w:t xml:space="preserve"> (</w:t>
      </w:r>
      <w:r w:rsidRPr="0078339F">
        <w:t xml:space="preserve">47 C.F.R. </w:t>
      </w:r>
      <w:r w:rsidR="00646044">
        <w:t>§ </w:t>
      </w:r>
      <w:r>
        <w:t xml:space="preserve">64.2401). New </w:t>
      </w:r>
      <w:r w:rsidRPr="0078339F">
        <w:t xml:space="preserve">FCC </w:t>
      </w:r>
      <w:r w:rsidR="00893D67">
        <w:t>“</w:t>
      </w:r>
      <w:r w:rsidRPr="0078339F">
        <w:t>Broadband Nutrition Label</w:t>
      </w:r>
      <w:r w:rsidR="00893D67">
        <w:t>”</w:t>
      </w:r>
      <w:r w:rsidRPr="0078339F">
        <w:t xml:space="preserve"> rules </w:t>
      </w:r>
      <w:r w:rsidR="003C2023">
        <w:t xml:space="preserve">adopted in 2024 </w:t>
      </w:r>
      <w:r w:rsidRPr="0078339F">
        <w:t>require point</w:t>
      </w:r>
      <w:r w:rsidR="006951D5">
        <w:noBreakHyphen/>
      </w:r>
      <w:r w:rsidRPr="0078339F">
        <w:t>of</w:t>
      </w:r>
      <w:r w:rsidR="006951D5">
        <w:noBreakHyphen/>
      </w:r>
      <w:r w:rsidRPr="0078339F">
        <w:t xml:space="preserve">sale and webpage disclosures of all fees and charges for broadband internet access services. These labels provide full transparency as to the charges and fees (and broadband speed and capacity among other things) that consumers face with a service. </w:t>
      </w:r>
      <w:r w:rsidR="00CC1A8F">
        <w:t>(</w:t>
      </w:r>
      <w:r w:rsidRPr="00CC1A8F">
        <w:rPr>
          <w:i/>
          <w:iCs/>
        </w:rPr>
        <w:t>See</w:t>
      </w:r>
      <w:r w:rsidRPr="0078339F">
        <w:t xml:space="preserve"> 47 C.F.R. </w:t>
      </w:r>
      <w:r w:rsidR="00646044">
        <w:t>§ </w:t>
      </w:r>
      <w:r w:rsidRPr="0078339F">
        <w:t>8.1(a)(1).</w:t>
      </w:r>
      <w:r w:rsidR="00CC1A8F">
        <w:t>)</w:t>
      </w:r>
    </w:p>
  </w:footnote>
  <w:footnote w:id="183">
    <w:p w14:paraId="494DCC47" w14:textId="5BCB6E38" w:rsidR="009C35DA" w:rsidRDefault="009C35DA" w:rsidP="009C35DA">
      <w:pPr>
        <w:pStyle w:val="FootnoteText"/>
      </w:pPr>
      <w:r>
        <w:rPr>
          <w:rStyle w:val="FootnoteReference"/>
        </w:rPr>
        <w:footnoteRef/>
      </w:r>
      <w:r>
        <w:t xml:space="preserve"> Cal Broadband Opening Comments on the Scoping Memo</w:t>
      </w:r>
      <w:r w:rsidR="00377324">
        <w:t xml:space="preserve"> at </w:t>
      </w:r>
      <w:r>
        <w:t>15.</w:t>
      </w:r>
    </w:p>
  </w:footnote>
  <w:footnote w:id="184">
    <w:p w14:paraId="48A29A6B" w14:textId="0D66457F" w:rsidR="009C35DA" w:rsidRDefault="009C35DA" w:rsidP="009C35DA">
      <w:pPr>
        <w:pStyle w:val="FootnoteText"/>
      </w:pPr>
      <w:r>
        <w:rPr>
          <w:rStyle w:val="FootnoteReference"/>
        </w:rPr>
        <w:footnoteRef/>
      </w:r>
      <w:r>
        <w:t xml:space="preserve"> </w:t>
      </w:r>
      <w:r>
        <w:rPr>
          <w:szCs w:val="22"/>
        </w:rPr>
        <w:t>15</w:t>
      </w:r>
      <w:r w:rsidR="00E57178">
        <w:rPr>
          <w:szCs w:val="22"/>
        </w:rPr>
        <w:t> U.S.C.</w:t>
      </w:r>
      <w:r>
        <w:rPr>
          <w:szCs w:val="22"/>
        </w:rPr>
        <w:t xml:space="preserve"> </w:t>
      </w:r>
      <w:r w:rsidR="00646044">
        <w:rPr>
          <w:szCs w:val="22"/>
        </w:rPr>
        <w:t>§ </w:t>
      </w:r>
      <w:r>
        <w:rPr>
          <w:szCs w:val="22"/>
        </w:rPr>
        <w:t>45(a)(1).</w:t>
      </w:r>
    </w:p>
  </w:footnote>
  <w:footnote w:id="185">
    <w:p w14:paraId="210ADC21" w14:textId="2CE3F21F" w:rsidR="009C35DA" w:rsidRDefault="009C35DA" w:rsidP="009C35DA">
      <w:pPr>
        <w:pStyle w:val="FootnoteText"/>
      </w:pPr>
      <w:r>
        <w:rPr>
          <w:rStyle w:val="FootnoteReference"/>
        </w:rPr>
        <w:footnoteRef/>
      </w:r>
      <w:r>
        <w:t xml:space="preserve"> </w:t>
      </w:r>
      <w:r>
        <w:rPr>
          <w:szCs w:val="22"/>
        </w:rPr>
        <w:t xml:space="preserve">California Business and Professions Code </w:t>
      </w:r>
      <w:r w:rsidR="00646044">
        <w:rPr>
          <w:szCs w:val="22"/>
        </w:rPr>
        <w:t>§ </w:t>
      </w:r>
      <w:r>
        <w:rPr>
          <w:szCs w:val="22"/>
        </w:rPr>
        <w:t>17500.</w:t>
      </w:r>
    </w:p>
  </w:footnote>
  <w:footnote w:id="186">
    <w:p w14:paraId="38ABAEFD" w14:textId="1EFD26B9" w:rsidR="009C35DA" w:rsidRDefault="009C35DA" w:rsidP="009C35DA">
      <w:pPr>
        <w:pStyle w:val="FootnoteText"/>
      </w:pPr>
      <w:r>
        <w:rPr>
          <w:rStyle w:val="FootnoteReference"/>
        </w:rPr>
        <w:footnoteRef/>
      </w:r>
      <w:r>
        <w:t xml:space="preserve"> </w:t>
      </w:r>
      <w:r>
        <w:rPr>
          <w:i/>
          <w:iCs/>
          <w:szCs w:val="22"/>
        </w:rPr>
        <w:t xml:space="preserve">Id. </w:t>
      </w:r>
      <w:r>
        <w:rPr>
          <w:szCs w:val="22"/>
        </w:rPr>
        <w:t>at</w:t>
      </w:r>
      <w:r>
        <w:rPr>
          <w:i/>
          <w:iCs/>
          <w:szCs w:val="22"/>
        </w:rPr>
        <w:t xml:space="preserve"> </w:t>
      </w:r>
      <w:r w:rsidR="00646044">
        <w:rPr>
          <w:szCs w:val="22"/>
        </w:rPr>
        <w:t>§ </w:t>
      </w:r>
      <w:r>
        <w:rPr>
          <w:szCs w:val="22"/>
        </w:rPr>
        <w:t xml:space="preserve">17500.3(a), </w:t>
      </w:r>
      <w:r w:rsidR="00A96FBD">
        <w:rPr>
          <w:i/>
          <w:iCs/>
          <w:szCs w:val="22"/>
        </w:rPr>
        <w:t>et seq.</w:t>
      </w:r>
    </w:p>
  </w:footnote>
  <w:footnote w:id="187">
    <w:p w14:paraId="2D64E0F3" w14:textId="1143E87C" w:rsidR="009C35DA" w:rsidRDefault="009C35DA" w:rsidP="009C35DA">
      <w:pPr>
        <w:pStyle w:val="FootnoteText"/>
      </w:pPr>
      <w:r>
        <w:rPr>
          <w:rStyle w:val="FootnoteReference"/>
        </w:rPr>
        <w:footnoteRef/>
      </w:r>
      <w:r>
        <w:t xml:space="preserve"> </w:t>
      </w:r>
      <w:r>
        <w:rPr>
          <w:szCs w:val="22"/>
        </w:rPr>
        <w:t xml:space="preserve">California Civil Code </w:t>
      </w:r>
      <w:r w:rsidR="00646044">
        <w:rPr>
          <w:szCs w:val="22"/>
        </w:rPr>
        <w:t>§ </w:t>
      </w:r>
      <w:r>
        <w:rPr>
          <w:szCs w:val="22"/>
        </w:rPr>
        <w:t>1798.82.</w:t>
      </w:r>
    </w:p>
  </w:footnote>
  <w:footnote w:id="188">
    <w:p w14:paraId="38C04AAC" w14:textId="1BABF4A9" w:rsidR="00ED72BF" w:rsidRDefault="00ED72BF">
      <w:pPr>
        <w:pStyle w:val="FootnoteText"/>
      </w:pPr>
      <w:r>
        <w:rPr>
          <w:rStyle w:val="FootnoteReference"/>
        </w:rPr>
        <w:footnoteRef/>
      </w:r>
      <w:r>
        <w:t xml:space="preserve"> The Commission</w:t>
      </w:r>
      <w:r w:rsidR="00893D67">
        <w:t>’</w:t>
      </w:r>
      <w:r>
        <w:t>s Consumer Affairs Bureau (CAB) assists consumers to resolve complaints. The Commission</w:t>
      </w:r>
      <w:r w:rsidR="00893D67">
        <w:t>’</w:t>
      </w:r>
      <w:r>
        <w:t>s Telecommunications Education and Assistance</w:t>
      </w:r>
      <w:r w:rsidR="00C81744">
        <w:t xml:space="preserve"> in </w:t>
      </w:r>
      <w:r>
        <w:t>M</w:t>
      </w:r>
      <w:r w:rsidR="00C81744">
        <w:t>ultiple</w:t>
      </w:r>
      <w:r w:rsidR="009E5388">
        <w:t xml:space="preserve"> </w:t>
      </w:r>
      <w:r w:rsidR="00C81744">
        <w:t>Languages</w:t>
      </w:r>
      <w:r>
        <w:t xml:space="preserve"> (TEAM) </w:t>
      </w:r>
      <w:r w:rsidR="006950C6">
        <w:t>works with limited and non</w:t>
      </w:r>
      <w:r w:rsidR="006951D5">
        <w:noBreakHyphen/>
      </w:r>
      <w:r w:rsidR="006950C6">
        <w:t>English speaking communities through Community Based Organizations to</w:t>
      </w:r>
      <w:r w:rsidR="00056E1F">
        <w:t xml:space="preserve"> </w:t>
      </w:r>
      <w:r w:rsidR="006950C6">
        <w:t>educate, train</w:t>
      </w:r>
      <w:r w:rsidR="00756081">
        <w:t>,</w:t>
      </w:r>
      <w:r w:rsidR="006950C6">
        <w:t xml:space="preserve"> and mediate consumer complaints with telecommunications providers.</w:t>
      </w:r>
    </w:p>
  </w:footnote>
  <w:footnote w:id="189">
    <w:p w14:paraId="04B36EB6" w14:textId="77777777" w:rsidR="002B44EB" w:rsidRDefault="002B44EB" w:rsidP="002B44EB">
      <w:pPr>
        <w:pStyle w:val="FootnoteText"/>
      </w:pPr>
      <w:r>
        <w:rPr>
          <w:rStyle w:val="FootnoteReference"/>
        </w:rPr>
        <w:footnoteRef/>
      </w:r>
      <w:r>
        <w:t xml:space="preserve"> Consolidated Reply Comments on the proposed decision at 5.</w:t>
      </w:r>
    </w:p>
  </w:footnote>
  <w:footnote w:id="190">
    <w:p w14:paraId="088CB202" w14:textId="60382735" w:rsidR="007820AB" w:rsidRDefault="007820AB" w:rsidP="007820AB">
      <w:pPr>
        <w:pStyle w:val="FootnoteText"/>
      </w:pPr>
      <w:r>
        <w:rPr>
          <w:rStyle w:val="FootnoteReference"/>
        </w:rPr>
        <w:footnoteRef/>
      </w:r>
      <w:r>
        <w:t xml:space="preserve"> D.13</w:t>
      </w:r>
      <w:r w:rsidR="006951D5">
        <w:noBreakHyphen/>
      </w:r>
      <w:r>
        <w:t>05</w:t>
      </w:r>
      <w:r w:rsidR="006951D5">
        <w:noBreakHyphen/>
      </w:r>
      <w:r>
        <w:t xml:space="preserve">035 at </w:t>
      </w:r>
      <w:r w:rsidR="00E828E0">
        <w:t>OP </w:t>
      </w:r>
      <w:r>
        <w:t>5 exempts ILECs and Carriers of Last Resort from performance bond requirements.</w:t>
      </w:r>
    </w:p>
  </w:footnote>
  <w:footnote w:id="191">
    <w:p w14:paraId="49E0E0F5" w14:textId="2A9EB3A8" w:rsidR="00D85252" w:rsidRDefault="00D85252">
      <w:pPr>
        <w:pStyle w:val="FootnoteText"/>
      </w:pPr>
      <w:r>
        <w:rPr>
          <w:rStyle w:val="FootnoteReference"/>
        </w:rPr>
        <w:footnoteRef/>
      </w:r>
      <w:r>
        <w:t xml:space="preserve"> </w:t>
      </w:r>
      <w:r w:rsidR="00B7422F">
        <w:t>Interconnected VoIP providers</w:t>
      </w:r>
      <w:r w:rsidR="00B7422F">
        <w:rPr>
          <w:rFonts w:cstheme="minorHAnsi"/>
          <w:szCs w:val="26"/>
        </w:rPr>
        <w:t xml:space="preserve"> already in possession of operating authority have already </w:t>
      </w:r>
      <w:r w:rsidR="00D52164">
        <w:rPr>
          <w:rFonts w:cstheme="minorHAnsi"/>
          <w:szCs w:val="26"/>
        </w:rPr>
        <w:t>satisfied this obligation.</w:t>
      </w:r>
    </w:p>
  </w:footnote>
  <w:footnote w:id="192">
    <w:p w14:paraId="2A750310" w14:textId="77777777" w:rsidR="00EC146D" w:rsidRPr="003E581E" w:rsidRDefault="00EC146D" w:rsidP="00EC146D">
      <w:pPr>
        <w:pStyle w:val="BodyText"/>
        <w:spacing w:before="120"/>
        <w:ind w:right="762"/>
        <w:rPr>
          <w:rFonts w:ascii="Book Antiqua" w:hAnsi="Book Antiqua"/>
        </w:rPr>
      </w:pPr>
      <w:r w:rsidRPr="003E581E">
        <w:rPr>
          <w:rStyle w:val="FootnoteReference"/>
          <w:rFonts w:ascii="Book Antiqua" w:hAnsi="Book Antiqua"/>
        </w:rPr>
        <w:footnoteRef/>
      </w:r>
      <w:r w:rsidRPr="003E581E">
        <w:rPr>
          <w:rFonts w:ascii="Book Antiqua" w:hAnsi="Book Antiqua"/>
        </w:rPr>
        <w:t xml:space="preserve"> </w:t>
      </w:r>
      <w:r w:rsidRPr="003E581E">
        <w:rPr>
          <w:rFonts w:ascii="Book Antiqua" w:hAnsi="Book Antiqua"/>
          <w:sz w:val="22"/>
          <w:szCs w:val="22"/>
        </w:rPr>
        <w:t>Communications Division staff</w:t>
      </w:r>
      <w:r w:rsidRPr="003E581E">
        <w:rPr>
          <w:rFonts w:ascii="Book Antiqua" w:hAnsi="Book Antiqua"/>
          <w:spacing w:val="40"/>
          <w:sz w:val="22"/>
          <w:szCs w:val="22"/>
        </w:rPr>
        <w:t xml:space="preserve"> </w:t>
      </w:r>
      <w:r w:rsidRPr="003E581E">
        <w:rPr>
          <w:rFonts w:ascii="Book Antiqua" w:hAnsi="Book Antiqua"/>
          <w:sz w:val="22"/>
          <w:szCs w:val="22"/>
        </w:rPr>
        <w:t>will</w:t>
      </w:r>
      <w:r w:rsidRPr="003E581E">
        <w:rPr>
          <w:rFonts w:ascii="Book Antiqua" w:hAnsi="Book Antiqua"/>
          <w:spacing w:val="-3"/>
          <w:sz w:val="22"/>
          <w:szCs w:val="22"/>
        </w:rPr>
        <w:t xml:space="preserve"> </w:t>
      </w:r>
      <w:r w:rsidRPr="003E581E">
        <w:rPr>
          <w:rFonts w:ascii="Book Antiqua" w:hAnsi="Book Antiqua"/>
          <w:sz w:val="22"/>
          <w:szCs w:val="22"/>
        </w:rPr>
        <w:t>update</w:t>
      </w:r>
      <w:r w:rsidRPr="003E581E">
        <w:rPr>
          <w:rFonts w:ascii="Book Antiqua" w:hAnsi="Book Antiqua"/>
          <w:spacing w:val="-3"/>
          <w:sz w:val="22"/>
          <w:szCs w:val="22"/>
        </w:rPr>
        <w:t xml:space="preserve"> </w:t>
      </w:r>
      <w:r w:rsidRPr="003E581E">
        <w:rPr>
          <w:rFonts w:ascii="Book Antiqua" w:hAnsi="Book Antiqua"/>
          <w:sz w:val="22"/>
          <w:szCs w:val="22"/>
        </w:rPr>
        <w:t>the</w:t>
      </w:r>
      <w:r w:rsidRPr="003E581E">
        <w:rPr>
          <w:rFonts w:ascii="Book Antiqua" w:hAnsi="Book Antiqua"/>
          <w:spacing w:val="-3"/>
          <w:sz w:val="22"/>
          <w:szCs w:val="22"/>
        </w:rPr>
        <w:t xml:space="preserve"> </w:t>
      </w:r>
      <w:r w:rsidRPr="003E581E">
        <w:rPr>
          <w:rFonts w:ascii="Book Antiqua" w:hAnsi="Book Antiqua"/>
          <w:sz w:val="22"/>
          <w:szCs w:val="22"/>
        </w:rPr>
        <w:t>performance</w:t>
      </w:r>
      <w:r w:rsidRPr="003E581E">
        <w:rPr>
          <w:rFonts w:ascii="Book Antiqua" w:hAnsi="Book Antiqua"/>
          <w:spacing w:val="-3"/>
          <w:sz w:val="22"/>
          <w:szCs w:val="22"/>
        </w:rPr>
        <w:t xml:space="preserve"> </w:t>
      </w:r>
      <w:r w:rsidRPr="003E581E">
        <w:rPr>
          <w:rFonts w:ascii="Book Antiqua" w:hAnsi="Book Antiqua"/>
          <w:sz w:val="22"/>
          <w:szCs w:val="22"/>
        </w:rPr>
        <w:t>bond</w:t>
      </w:r>
      <w:r w:rsidRPr="003E581E">
        <w:rPr>
          <w:rFonts w:ascii="Book Antiqua" w:hAnsi="Book Antiqua"/>
          <w:spacing w:val="-2"/>
          <w:sz w:val="22"/>
          <w:szCs w:val="22"/>
        </w:rPr>
        <w:t xml:space="preserve"> </w:t>
      </w:r>
      <w:r w:rsidRPr="003E581E">
        <w:rPr>
          <w:rFonts w:ascii="Book Antiqua" w:hAnsi="Book Antiqua"/>
          <w:sz w:val="22"/>
          <w:szCs w:val="22"/>
        </w:rPr>
        <w:t>template</w:t>
      </w:r>
      <w:r w:rsidRPr="003E581E">
        <w:rPr>
          <w:rFonts w:ascii="Book Antiqua" w:hAnsi="Book Antiqua"/>
          <w:spacing w:val="-3"/>
          <w:sz w:val="22"/>
          <w:szCs w:val="22"/>
        </w:rPr>
        <w:t xml:space="preserve"> </w:t>
      </w:r>
      <w:r w:rsidRPr="003E581E">
        <w:rPr>
          <w:rFonts w:ascii="Book Antiqua" w:hAnsi="Book Antiqua"/>
          <w:sz w:val="22"/>
          <w:szCs w:val="22"/>
        </w:rPr>
        <w:t>on</w:t>
      </w:r>
      <w:r w:rsidRPr="003E581E">
        <w:rPr>
          <w:rFonts w:ascii="Book Antiqua" w:hAnsi="Book Antiqua"/>
          <w:spacing w:val="-3"/>
          <w:sz w:val="22"/>
          <w:szCs w:val="22"/>
        </w:rPr>
        <w:t xml:space="preserve"> </w:t>
      </w:r>
      <w:r w:rsidRPr="003E581E">
        <w:rPr>
          <w:rFonts w:ascii="Book Antiqua" w:hAnsi="Book Antiqua"/>
          <w:sz w:val="22"/>
          <w:szCs w:val="22"/>
        </w:rPr>
        <w:t>its</w:t>
      </w:r>
      <w:r w:rsidRPr="003E581E">
        <w:rPr>
          <w:rFonts w:ascii="Book Antiqua" w:hAnsi="Book Antiqua"/>
          <w:spacing w:val="-3"/>
          <w:sz w:val="22"/>
          <w:szCs w:val="22"/>
        </w:rPr>
        <w:t xml:space="preserve"> </w:t>
      </w:r>
      <w:r w:rsidRPr="003E581E">
        <w:rPr>
          <w:rFonts w:ascii="Book Antiqua" w:hAnsi="Book Antiqua"/>
          <w:sz w:val="22"/>
          <w:szCs w:val="22"/>
        </w:rPr>
        <w:t>website</w:t>
      </w:r>
      <w:r w:rsidRPr="003E581E">
        <w:rPr>
          <w:rFonts w:ascii="Book Antiqua" w:hAnsi="Book Antiqua"/>
          <w:spacing w:val="-3"/>
          <w:sz w:val="22"/>
          <w:szCs w:val="22"/>
        </w:rPr>
        <w:t xml:space="preserve"> </w:t>
      </w:r>
      <w:r w:rsidRPr="003E581E">
        <w:rPr>
          <w:rFonts w:ascii="Book Antiqua" w:hAnsi="Book Antiqua"/>
          <w:sz w:val="22"/>
          <w:szCs w:val="22"/>
        </w:rPr>
        <w:t>to</w:t>
      </w:r>
      <w:r w:rsidRPr="003E581E">
        <w:rPr>
          <w:rFonts w:ascii="Book Antiqua" w:hAnsi="Book Antiqua"/>
          <w:spacing w:val="-3"/>
          <w:sz w:val="22"/>
          <w:szCs w:val="22"/>
        </w:rPr>
        <w:t xml:space="preserve"> </w:t>
      </w:r>
      <w:r w:rsidRPr="003E581E">
        <w:rPr>
          <w:rFonts w:ascii="Book Antiqua" w:hAnsi="Book Antiqua"/>
          <w:sz w:val="22"/>
          <w:szCs w:val="22"/>
        </w:rPr>
        <w:t>reflect</w:t>
      </w:r>
      <w:r w:rsidRPr="003E581E">
        <w:rPr>
          <w:rFonts w:ascii="Book Antiqua" w:hAnsi="Book Antiqua"/>
          <w:spacing w:val="-2"/>
          <w:sz w:val="22"/>
          <w:szCs w:val="22"/>
        </w:rPr>
        <w:t xml:space="preserve"> </w:t>
      </w:r>
      <w:r w:rsidRPr="003E581E">
        <w:rPr>
          <w:rFonts w:ascii="Book Antiqua" w:hAnsi="Book Antiqua"/>
          <w:sz w:val="22"/>
          <w:szCs w:val="22"/>
        </w:rPr>
        <w:t>the</w:t>
      </w:r>
      <w:r w:rsidRPr="003E581E">
        <w:rPr>
          <w:rFonts w:ascii="Book Antiqua" w:hAnsi="Book Antiqua"/>
          <w:spacing w:val="-3"/>
          <w:sz w:val="22"/>
          <w:szCs w:val="22"/>
        </w:rPr>
        <w:t xml:space="preserve"> </w:t>
      </w:r>
      <w:r w:rsidRPr="003E581E">
        <w:rPr>
          <w:rFonts w:ascii="Book Antiqua" w:hAnsi="Book Antiqua"/>
          <w:sz w:val="22"/>
          <w:szCs w:val="22"/>
        </w:rPr>
        <w:t>change</w:t>
      </w:r>
      <w:r w:rsidRPr="003E581E">
        <w:rPr>
          <w:rFonts w:ascii="Book Antiqua" w:hAnsi="Book Antiqua"/>
          <w:spacing w:val="-3"/>
          <w:sz w:val="22"/>
          <w:szCs w:val="22"/>
        </w:rPr>
        <w:t xml:space="preserve"> </w:t>
      </w:r>
      <w:r w:rsidRPr="003E581E">
        <w:rPr>
          <w:rFonts w:ascii="Book Antiqua" w:hAnsi="Book Antiqua"/>
          <w:sz w:val="22"/>
          <w:szCs w:val="22"/>
        </w:rPr>
        <w:t>to the performance bond amount as well as to reference all authorizing decisions (D.10-09-017/D.11-09-026, D.13-05-035, and the decision number of today’s decision.)</w:t>
      </w:r>
      <w:r w:rsidRPr="003E581E">
        <w:rPr>
          <w:rFonts w:ascii="Book Antiqua" w:hAnsi="Book Antiqua"/>
        </w:rPr>
        <w:t xml:space="preserve"> </w:t>
      </w:r>
    </w:p>
  </w:footnote>
  <w:footnote w:id="193">
    <w:p w14:paraId="18F6E9FC" w14:textId="7E065E66" w:rsidR="007B4938" w:rsidRDefault="007B4938" w:rsidP="007B4938">
      <w:pPr>
        <w:pStyle w:val="FootnoteText"/>
      </w:pPr>
      <w:r>
        <w:rPr>
          <w:rStyle w:val="FootnoteReference"/>
        </w:rPr>
        <w:footnoteRef/>
      </w:r>
      <w:r>
        <w:t xml:space="preserve"> </w:t>
      </w:r>
      <w:r w:rsidR="003857E1">
        <w:t>Staff Proposal 4</w:t>
      </w:r>
      <w:r>
        <w:t>.b., OIR</w:t>
      </w:r>
      <w:r w:rsidR="00377324">
        <w:t xml:space="preserve"> at </w:t>
      </w:r>
      <w:r>
        <w:t>A</w:t>
      </w:r>
      <w:r w:rsidR="006951D5">
        <w:noBreakHyphen/>
      </w:r>
      <w:r>
        <w:t>11 to A</w:t>
      </w:r>
      <w:r w:rsidR="006951D5">
        <w:noBreakHyphen/>
      </w:r>
      <w:r>
        <w:t>12.</w:t>
      </w:r>
    </w:p>
  </w:footnote>
  <w:footnote w:id="194">
    <w:p w14:paraId="537B2191" w14:textId="286FF1FB" w:rsidR="007B4938" w:rsidRDefault="007B4938" w:rsidP="007B4938">
      <w:pPr>
        <w:pStyle w:val="FootnoteText"/>
      </w:pPr>
      <w:r>
        <w:rPr>
          <w:rStyle w:val="FootnoteReference"/>
        </w:rPr>
        <w:footnoteRef/>
      </w:r>
      <w:r>
        <w:t xml:space="preserve"> Joint Consumers Opening</w:t>
      </w:r>
      <w:r w:rsidR="00377324">
        <w:t xml:space="preserve"> </w:t>
      </w:r>
      <w:r w:rsidR="00B55E84">
        <w:t xml:space="preserve">Comments on the OIR </w:t>
      </w:r>
      <w:r w:rsidR="00377324">
        <w:t>at </w:t>
      </w:r>
      <w:r>
        <w:t>9.</w:t>
      </w:r>
    </w:p>
  </w:footnote>
  <w:footnote w:id="195">
    <w:p w14:paraId="35C39A48" w14:textId="69E8C3AD" w:rsidR="007B4938" w:rsidRDefault="007B4938" w:rsidP="007B4938">
      <w:pPr>
        <w:pStyle w:val="FootnoteText"/>
      </w:pPr>
      <w:r>
        <w:rPr>
          <w:rStyle w:val="FootnoteReference"/>
        </w:rPr>
        <w:footnoteRef/>
      </w:r>
      <w:r>
        <w:t xml:space="preserve"> Consolidated Opening </w:t>
      </w:r>
      <w:r w:rsidR="00BA1BE4">
        <w:t xml:space="preserve">Comments on the OIR </w:t>
      </w:r>
      <w:r>
        <w:t>at</w:t>
      </w:r>
      <w:r w:rsidR="00377324">
        <w:t> </w:t>
      </w:r>
      <w:r>
        <w:t>9, Frontier Opening</w:t>
      </w:r>
      <w:r w:rsidR="00BA1BE4">
        <w:t xml:space="preserve"> Comments on the OIR</w:t>
      </w:r>
      <w:r w:rsidR="00A602E1">
        <w:t xml:space="preserve"> at </w:t>
      </w:r>
      <w:r>
        <w:t>12, Small LECs Opening</w:t>
      </w:r>
      <w:r w:rsidR="00A602E1">
        <w:t xml:space="preserve"> </w:t>
      </w:r>
      <w:r w:rsidR="00BA1BE4">
        <w:t xml:space="preserve">Comments on the OIR </w:t>
      </w:r>
      <w:r w:rsidR="00A602E1">
        <w:t>at </w:t>
      </w:r>
      <w:r>
        <w:t>6</w:t>
      </w:r>
      <w:r w:rsidR="00A602E1">
        <w:t>.</w:t>
      </w:r>
    </w:p>
  </w:footnote>
  <w:footnote w:id="196">
    <w:p w14:paraId="2C02977F" w14:textId="77BFC3C9" w:rsidR="007B4938" w:rsidRDefault="007B4938" w:rsidP="007B4938">
      <w:pPr>
        <w:pStyle w:val="FootnoteText"/>
      </w:pPr>
      <w:r>
        <w:rPr>
          <w:rStyle w:val="FootnoteReference"/>
        </w:rPr>
        <w:footnoteRef/>
      </w:r>
      <w:r>
        <w:t xml:space="preserve"> C</w:t>
      </w:r>
      <w:r w:rsidR="00BA1BE4">
        <w:t>al Broadband</w:t>
      </w:r>
      <w:r>
        <w:t xml:space="preserve"> Opening</w:t>
      </w:r>
      <w:r w:rsidR="00BA1BE4">
        <w:t xml:space="preserve"> Comments on the OIR</w:t>
      </w:r>
      <w:r w:rsidR="00A602E1">
        <w:t xml:space="preserve"> at </w:t>
      </w:r>
      <w:r>
        <w:t>34</w:t>
      </w:r>
      <w:r w:rsidR="007E5A82">
        <w:t>.</w:t>
      </w:r>
    </w:p>
  </w:footnote>
  <w:footnote w:id="197">
    <w:p w14:paraId="7A7AA6B8" w14:textId="6DDB883B" w:rsidR="007B4938" w:rsidRDefault="007B4938" w:rsidP="007B4938">
      <w:pPr>
        <w:pStyle w:val="FootnoteText"/>
      </w:pPr>
      <w:r>
        <w:rPr>
          <w:rStyle w:val="FootnoteReference"/>
        </w:rPr>
        <w:footnoteRef/>
      </w:r>
      <w:r>
        <w:t xml:space="preserve"> AT&amp;T Reply</w:t>
      </w:r>
      <w:r w:rsidR="00A602E1">
        <w:t xml:space="preserve"> </w:t>
      </w:r>
      <w:r w:rsidR="00BA1BE4">
        <w:t xml:space="preserve">Comments on the OIR </w:t>
      </w:r>
      <w:r w:rsidR="00A602E1">
        <w:t>at </w:t>
      </w:r>
      <w:r>
        <w:t>14</w:t>
      </w:r>
      <w:r w:rsidR="006951D5">
        <w:noBreakHyphen/>
      </w:r>
      <w:r>
        <w:t>15</w:t>
      </w:r>
      <w:r w:rsidR="007E5A82">
        <w:t>.</w:t>
      </w:r>
    </w:p>
  </w:footnote>
  <w:footnote w:id="198">
    <w:p w14:paraId="4E5ADAE7" w14:textId="6F84B3FB" w:rsidR="007B4938" w:rsidRDefault="007B4938" w:rsidP="007B4938">
      <w:pPr>
        <w:pStyle w:val="FootnoteText"/>
      </w:pPr>
      <w:r>
        <w:rPr>
          <w:rStyle w:val="FootnoteReference"/>
        </w:rPr>
        <w:footnoteRef/>
      </w:r>
      <w:r>
        <w:t xml:space="preserve"> C</w:t>
      </w:r>
      <w:r w:rsidR="00BA1BE4">
        <w:t>loud</w:t>
      </w:r>
      <w:r>
        <w:t xml:space="preserve"> Opening</w:t>
      </w:r>
      <w:r w:rsidR="00A602E1">
        <w:t xml:space="preserve"> </w:t>
      </w:r>
      <w:r w:rsidR="00BA1BE4">
        <w:t xml:space="preserve">Comments on the OIR </w:t>
      </w:r>
      <w:r w:rsidR="00A602E1">
        <w:t>at </w:t>
      </w:r>
      <w:r>
        <w:t>11</w:t>
      </w:r>
      <w:r w:rsidR="007E5A82">
        <w:t>.</w:t>
      </w:r>
    </w:p>
  </w:footnote>
  <w:footnote w:id="199">
    <w:p w14:paraId="7C4EED1D" w14:textId="4F45F4D8" w:rsidR="00B8215F" w:rsidRDefault="00B8215F">
      <w:pPr>
        <w:pStyle w:val="FootnoteText"/>
      </w:pPr>
      <w:r>
        <w:rPr>
          <w:rStyle w:val="FootnoteReference"/>
        </w:rPr>
        <w:footnoteRef/>
      </w:r>
      <w:r>
        <w:t xml:space="preserve"> Telephone corporations that request approval to voluntarily surrender operating authority pursuant to Res. T</w:t>
      </w:r>
      <w:r w:rsidR="00844EAF">
        <w:noBreakHyphen/>
      </w:r>
      <w:r>
        <w:t>17723 are required to keep their performance bond active until the request has been approved.</w:t>
      </w:r>
    </w:p>
  </w:footnote>
  <w:footnote w:id="200">
    <w:p w14:paraId="35989A60" w14:textId="410A7995" w:rsidR="005D1BF5" w:rsidRDefault="005D1BF5" w:rsidP="005D1BF5">
      <w:pPr>
        <w:pStyle w:val="FootnoteText"/>
      </w:pPr>
      <w:r>
        <w:rPr>
          <w:rStyle w:val="FootnoteReference"/>
        </w:rPr>
        <w:footnoteRef/>
      </w:r>
      <w:r>
        <w:t xml:space="preserve"> </w:t>
      </w:r>
      <w:r w:rsidR="003857E1">
        <w:t>Staff Proposal 2</w:t>
      </w:r>
      <w:r w:rsidR="00FB25DA">
        <w:t>.a</w:t>
      </w:r>
      <w:r>
        <w:t>., OIR</w:t>
      </w:r>
      <w:r w:rsidR="00A602E1">
        <w:t xml:space="preserve"> at </w:t>
      </w:r>
      <w:r>
        <w:t>A</w:t>
      </w:r>
      <w:r w:rsidR="006951D5">
        <w:noBreakHyphen/>
      </w:r>
      <w:r>
        <w:t>7.</w:t>
      </w:r>
      <w:r w:rsidR="002E1E43" w:rsidRPr="002E1E43">
        <w:t xml:space="preserve"> </w:t>
      </w:r>
      <w:r w:rsidR="002E1E43">
        <w:t xml:space="preserve">The CPUC User fee was established </w:t>
      </w:r>
      <w:r w:rsidR="00010BDE">
        <w:t xml:space="preserve">in </w:t>
      </w:r>
      <w:r w:rsidR="00943805">
        <w:t>Section </w:t>
      </w:r>
      <w:r w:rsidR="002E1E43">
        <w:t>401.</w:t>
      </w:r>
      <w:r w:rsidR="00010BDE">
        <w:t xml:space="preserve"> </w:t>
      </w:r>
      <w:r w:rsidR="00943805">
        <w:t>Section </w:t>
      </w:r>
      <w:r w:rsidR="00010BDE" w:rsidRPr="00407DD5">
        <w:t xml:space="preserve">431 </w:t>
      </w:r>
      <w:r w:rsidR="00010BDE">
        <w:t>directs</w:t>
      </w:r>
      <w:r w:rsidR="00010BDE" w:rsidRPr="00407DD5">
        <w:t xml:space="preserve"> the Commission to collect user fees</w:t>
      </w:r>
      <w:r w:rsidR="00010BDE">
        <w:t xml:space="preserve"> from public utilities</w:t>
      </w:r>
      <w:r w:rsidR="00010BDE" w:rsidRPr="00407DD5">
        <w:t>.</w:t>
      </w:r>
    </w:p>
  </w:footnote>
  <w:footnote w:id="201">
    <w:p w14:paraId="3A671FBB" w14:textId="1D460320" w:rsidR="005D1BF5" w:rsidRDefault="005D1BF5" w:rsidP="005D1BF5">
      <w:pPr>
        <w:pStyle w:val="FootnoteText"/>
      </w:pPr>
      <w:r>
        <w:rPr>
          <w:rStyle w:val="FootnoteReference"/>
        </w:rPr>
        <w:footnoteRef/>
      </w:r>
      <w:r>
        <w:t xml:space="preserve"> Cal Broadband Opening Comments on the Scoping Memo</w:t>
      </w:r>
      <w:r w:rsidR="00A602E1">
        <w:t xml:space="preserve"> at </w:t>
      </w:r>
      <w:r>
        <w:t>14.</w:t>
      </w:r>
    </w:p>
  </w:footnote>
  <w:footnote w:id="202">
    <w:p w14:paraId="5D6DE203" w14:textId="01350EAA" w:rsidR="00C62950" w:rsidRDefault="00C62950">
      <w:pPr>
        <w:pStyle w:val="FootnoteText"/>
      </w:pPr>
      <w:r>
        <w:rPr>
          <w:rStyle w:val="FootnoteReference"/>
        </w:rPr>
        <w:footnoteRef/>
      </w:r>
      <w:r>
        <w:t xml:space="preserve"> </w:t>
      </w:r>
      <w:r w:rsidR="00C04D12">
        <w:t>Pub. Util.</w:t>
      </w:r>
      <w:r>
        <w:t xml:space="preserve"> Code </w:t>
      </w:r>
      <w:r w:rsidR="00646044">
        <w:t>§ </w:t>
      </w:r>
      <w:r>
        <w:t>431(a).</w:t>
      </w:r>
    </w:p>
  </w:footnote>
  <w:footnote w:id="203">
    <w:p w14:paraId="2F0E2720" w14:textId="28501FB8" w:rsidR="00BC76E0" w:rsidRDefault="00BC76E0" w:rsidP="00BC76E0">
      <w:pPr>
        <w:pStyle w:val="FootnoteText"/>
      </w:pPr>
      <w:r>
        <w:rPr>
          <w:rStyle w:val="FootnoteReference"/>
        </w:rPr>
        <w:footnoteRef/>
      </w:r>
      <w:r>
        <w:t xml:space="preserve"> </w:t>
      </w:r>
      <w:r>
        <w:rPr>
          <w:i/>
        </w:rPr>
        <w:t>Assessment and Collection of Regulatory Fees for Fiscal Year 2007</w:t>
      </w:r>
      <w:r>
        <w:t>, Report and Order (</w:t>
      </w:r>
      <w:r>
        <w:rPr>
          <w:i/>
        </w:rPr>
        <w:t>Regulatory Fees Order)</w:t>
      </w:r>
      <w:r>
        <w:t xml:space="preserve"> (MD Docket </w:t>
      </w:r>
      <w:r w:rsidR="00536209">
        <w:t>No. </w:t>
      </w:r>
      <w:r>
        <w:t>07</w:t>
      </w:r>
      <w:r w:rsidR="006951D5">
        <w:noBreakHyphen/>
      </w:r>
      <w:r>
        <w:t>81) (2007) 2</w:t>
      </w:r>
      <w:r w:rsidR="007A588A">
        <w:t>2 FCC</w:t>
      </w:r>
      <w:r>
        <w:t xml:space="preserve"> </w:t>
      </w:r>
      <w:proofErr w:type="spellStart"/>
      <w:r>
        <w:t>Rcd</w:t>
      </w:r>
      <w:proofErr w:type="spellEnd"/>
      <w:r>
        <w:t xml:space="preserve"> 15712</w:t>
      </w:r>
      <w:r w:rsidR="00834144">
        <w:t xml:space="preserve"> at ¶ </w:t>
      </w:r>
      <w:r>
        <w:t>11.</w:t>
      </w:r>
      <w:r w:rsidR="00CD0E2A">
        <w:t xml:space="preserve"> </w:t>
      </w:r>
      <w:r>
        <w:t xml:space="preserve">The FCC again asserted its </w:t>
      </w:r>
      <w:r w:rsidR="00B47779">
        <w:t>Title </w:t>
      </w:r>
      <w:r>
        <w:t>I ancillary jurisdiction to its order for interconnected VoIP providers to pay regulatory fees.</w:t>
      </w:r>
    </w:p>
  </w:footnote>
  <w:footnote w:id="204">
    <w:p w14:paraId="4CFFB484" w14:textId="595B0818" w:rsidR="00BC76E0" w:rsidRDefault="00BC76E0" w:rsidP="00BC76E0">
      <w:pPr>
        <w:pStyle w:val="FootnoteText"/>
      </w:pPr>
      <w:r>
        <w:rPr>
          <w:rStyle w:val="FootnoteReference"/>
        </w:rPr>
        <w:footnoteRef/>
      </w:r>
      <w:r>
        <w:t xml:space="preserve"> </w:t>
      </w:r>
      <w:r>
        <w:rPr>
          <w:i/>
        </w:rPr>
        <w:t>Regulatory Fees Order</w:t>
      </w:r>
      <w:r w:rsidR="00834144">
        <w:rPr>
          <w:iCs/>
        </w:rPr>
        <w:t xml:space="preserve"> at </w:t>
      </w:r>
      <w:r>
        <w:t>¶</w:t>
      </w:r>
      <w:r w:rsidR="00834144">
        <w:t> </w:t>
      </w:r>
      <w:r>
        <w:t>18.</w:t>
      </w:r>
    </w:p>
  </w:footnote>
  <w:footnote w:id="205">
    <w:p w14:paraId="08BD0725" w14:textId="39E6E967" w:rsidR="00BC76E0" w:rsidRDefault="00BC76E0" w:rsidP="00BC76E0">
      <w:pPr>
        <w:pStyle w:val="FootnoteText"/>
      </w:pPr>
      <w:r>
        <w:rPr>
          <w:rStyle w:val="FootnoteReference"/>
        </w:rPr>
        <w:footnoteRef/>
      </w:r>
      <w:r>
        <w:t xml:space="preserve"> </w:t>
      </w:r>
      <w:r>
        <w:rPr>
          <w:i/>
        </w:rPr>
        <w:t>Regulatory Fees Order</w:t>
      </w:r>
      <w:r w:rsidR="00834144">
        <w:rPr>
          <w:iCs/>
        </w:rPr>
        <w:t xml:space="preserve"> at </w:t>
      </w:r>
      <w:r>
        <w:t>¶</w:t>
      </w:r>
      <w:r w:rsidR="00834144">
        <w:t> </w:t>
      </w:r>
      <w:r>
        <w:t>18.</w:t>
      </w:r>
    </w:p>
  </w:footnote>
  <w:footnote w:id="206">
    <w:p w14:paraId="4AA17B2C" w14:textId="021A11B8" w:rsidR="00226233" w:rsidRDefault="00226233">
      <w:pPr>
        <w:pStyle w:val="FootnoteText"/>
      </w:pPr>
      <w:r>
        <w:rPr>
          <w:rStyle w:val="FootnoteReference"/>
        </w:rPr>
        <w:footnoteRef/>
      </w:r>
      <w:r>
        <w:t xml:space="preserve"> </w:t>
      </w:r>
      <w:bookmarkStart w:id="180" w:name="_Hlk176526065"/>
      <w:r>
        <w:t xml:space="preserve">Regardless of revenues, a minimum annual CPUC User Fee of $100 is required as established in </w:t>
      </w:r>
      <w:r w:rsidRPr="00226233">
        <w:t>D.10</w:t>
      </w:r>
      <w:r w:rsidR="00844EAF">
        <w:noBreakHyphen/>
      </w:r>
      <w:r w:rsidRPr="00226233">
        <w:t>09</w:t>
      </w:r>
      <w:r w:rsidR="00844EAF">
        <w:noBreakHyphen/>
      </w:r>
      <w:r w:rsidRPr="00226233">
        <w:t>017 and D.13</w:t>
      </w:r>
      <w:r w:rsidR="00844EAF">
        <w:noBreakHyphen/>
      </w:r>
      <w:r w:rsidRPr="00226233">
        <w:t>05</w:t>
      </w:r>
      <w:r w:rsidR="00844EAF">
        <w:noBreakHyphen/>
      </w:r>
      <w:r w:rsidRPr="00226233">
        <w:t>035.</w:t>
      </w:r>
      <w:bookmarkEnd w:id="180"/>
    </w:p>
  </w:footnote>
  <w:footnote w:id="207">
    <w:p w14:paraId="12FB29B9" w14:textId="77777777" w:rsidR="00214ECE" w:rsidRDefault="00214ECE" w:rsidP="00214ECE">
      <w:pPr>
        <w:pStyle w:val="FootnoteText"/>
      </w:pPr>
      <w:r>
        <w:rPr>
          <w:rStyle w:val="FootnoteReference"/>
        </w:rPr>
        <w:footnoteRef/>
      </w:r>
      <w:r>
        <w:t xml:space="preserve"> </w:t>
      </w:r>
      <w:r w:rsidRPr="00E0306E">
        <w:rPr>
          <w:i/>
          <w:iCs/>
        </w:rPr>
        <w:t>Ibid.</w:t>
      </w:r>
    </w:p>
  </w:footnote>
  <w:footnote w:id="208">
    <w:p w14:paraId="32755216" w14:textId="75AB5021" w:rsidR="0030559F" w:rsidRDefault="0030559F" w:rsidP="0030559F">
      <w:pPr>
        <w:pStyle w:val="FootnoteText"/>
      </w:pPr>
      <w:r>
        <w:rPr>
          <w:rStyle w:val="FootnoteReference"/>
        </w:rPr>
        <w:footnoteRef/>
      </w:r>
      <w:r>
        <w:t xml:space="preserve"> Cal Broadband Opening Comments on Scoping Memo</w:t>
      </w:r>
      <w:r w:rsidR="00A602E1">
        <w:t xml:space="preserve"> at </w:t>
      </w:r>
      <w:r>
        <w:t>16.</w:t>
      </w:r>
    </w:p>
  </w:footnote>
  <w:footnote w:id="209">
    <w:p w14:paraId="4FF5203C" w14:textId="4FEE02E0" w:rsidR="00DE5FA3" w:rsidRDefault="00DE5FA3">
      <w:pPr>
        <w:pStyle w:val="FootnoteText"/>
      </w:pPr>
      <w:r>
        <w:rPr>
          <w:rStyle w:val="FootnoteReference"/>
        </w:rPr>
        <w:footnoteRef/>
      </w:r>
      <w:r w:rsidR="00EF09FD">
        <w:t> </w:t>
      </w:r>
      <w:hyperlink r:id="rId4" w:history="1">
        <w:r w:rsidR="00B96345" w:rsidRPr="000350D8">
          <w:rPr>
            <w:rStyle w:val="Hyperlink"/>
          </w:rPr>
          <w:t>https://www.cpuc.ca.gov/industries</w:t>
        </w:r>
        <w:r w:rsidR="00844EAF">
          <w:rPr>
            <w:rStyle w:val="Hyperlink"/>
          </w:rPr>
          <w:noBreakHyphen/>
        </w:r>
        <w:r w:rsidR="00B96345" w:rsidRPr="000350D8">
          <w:rPr>
            <w:rStyle w:val="Hyperlink"/>
          </w:rPr>
          <w:t>and</w:t>
        </w:r>
        <w:r w:rsidR="00844EAF">
          <w:rPr>
            <w:rStyle w:val="Hyperlink"/>
          </w:rPr>
          <w:noBreakHyphen/>
        </w:r>
        <w:r w:rsidR="00B96345" w:rsidRPr="000350D8">
          <w:rPr>
            <w:rStyle w:val="Hyperlink"/>
          </w:rPr>
          <w:t>topics/internet</w:t>
        </w:r>
        <w:r w:rsidR="00844EAF">
          <w:rPr>
            <w:rStyle w:val="Hyperlink"/>
          </w:rPr>
          <w:noBreakHyphen/>
        </w:r>
        <w:r w:rsidR="00B96345" w:rsidRPr="000350D8">
          <w:rPr>
            <w:rStyle w:val="Hyperlink"/>
          </w:rPr>
          <w:t>and</w:t>
        </w:r>
        <w:r w:rsidR="00844EAF">
          <w:rPr>
            <w:rStyle w:val="Hyperlink"/>
          </w:rPr>
          <w:noBreakHyphen/>
        </w:r>
        <w:r w:rsidR="00B96345" w:rsidRPr="000350D8">
          <w:rPr>
            <w:rStyle w:val="Hyperlink"/>
          </w:rPr>
          <w:t>phone/carrier</w:t>
        </w:r>
        <w:r w:rsidR="00844EAF">
          <w:rPr>
            <w:rStyle w:val="Hyperlink"/>
          </w:rPr>
          <w:noBreakHyphen/>
        </w:r>
        <w:r w:rsidR="00B96345" w:rsidRPr="000350D8">
          <w:rPr>
            <w:rStyle w:val="Hyperlink"/>
          </w:rPr>
          <w:t>reporting</w:t>
        </w:r>
        <w:r w:rsidR="00844EAF">
          <w:rPr>
            <w:rStyle w:val="Hyperlink"/>
          </w:rPr>
          <w:noBreakHyphen/>
        </w:r>
        <w:r w:rsidR="00B96345" w:rsidRPr="000350D8">
          <w:rPr>
            <w:rStyle w:val="Hyperlink"/>
          </w:rPr>
          <w:t>requirements/annual</w:t>
        </w:r>
        <w:r w:rsidR="00844EAF">
          <w:rPr>
            <w:rStyle w:val="Hyperlink"/>
          </w:rPr>
          <w:noBreakHyphen/>
        </w:r>
        <w:r w:rsidR="00B96345" w:rsidRPr="000350D8">
          <w:rPr>
            <w:rStyle w:val="Hyperlink"/>
          </w:rPr>
          <w:t>report</w:t>
        </w:r>
        <w:r w:rsidR="00844EAF">
          <w:rPr>
            <w:rStyle w:val="Hyperlink"/>
          </w:rPr>
          <w:noBreakHyphen/>
        </w:r>
        <w:r w:rsidR="00B96345" w:rsidRPr="000350D8">
          <w:rPr>
            <w:rStyle w:val="Hyperlink"/>
          </w:rPr>
          <w:t>forms</w:t>
        </w:r>
      </w:hyperlink>
      <w:r w:rsidR="00EF09FD">
        <w:t>.</w:t>
      </w:r>
    </w:p>
  </w:footnote>
  <w:footnote w:id="210">
    <w:p w14:paraId="144A8906" w14:textId="1DA92274" w:rsidR="00364765" w:rsidRDefault="00364765" w:rsidP="00364765">
      <w:pPr>
        <w:pStyle w:val="FootnoteText"/>
      </w:pPr>
      <w:r>
        <w:rPr>
          <w:rStyle w:val="FootnoteReference"/>
        </w:rPr>
        <w:footnoteRef/>
      </w:r>
      <w:r w:rsidR="00EF09FD">
        <w:t> </w:t>
      </w:r>
      <w:hyperlink r:id="rId5" w:history="1">
        <w:r w:rsidR="00CC24AF" w:rsidRPr="000350D8">
          <w:rPr>
            <w:rStyle w:val="Hyperlink"/>
          </w:rPr>
          <w:t>https://www.cpuc.ca.gov/industries</w:t>
        </w:r>
        <w:r w:rsidR="00844EAF">
          <w:rPr>
            <w:rStyle w:val="Hyperlink"/>
          </w:rPr>
          <w:noBreakHyphen/>
        </w:r>
        <w:r w:rsidR="00CC24AF" w:rsidRPr="000350D8">
          <w:rPr>
            <w:rStyle w:val="Hyperlink"/>
          </w:rPr>
          <w:t>and</w:t>
        </w:r>
        <w:r w:rsidR="00844EAF">
          <w:rPr>
            <w:rStyle w:val="Hyperlink"/>
          </w:rPr>
          <w:noBreakHyphen/>
        </w:r>
        <w:r w:rsidR="00CC24AF" w:rsidRPr="000350D8">
          <w:rPr>
            <w:rStyle w:val="Hyperlink"/>
          </w:rPr>
          <w:t>topics/internet</w:t>
        </w:r>
        <w:r w:rsidR="00844EAF">
          <w:rPr>
            <w:rStyle w:val="Hyperlink"/>
          </w:rPr>
          <w:noBreakHyphen/>
        </w:r>
        <w:r w:rsidR="00CC24AF" w:rsidRPr="000350D8">
          <w:rPr>
            <w:rStyle w:val="Hyperlink"/>
          </w:rPr>
          <w:t>and</w:t>
        </w:r>
        <w:r w:rsidR="00844EAF">
          <w:rPr>
            <w:rStyle w:val="Hyperlink"/>
          </w:rPr>
          <w:noBreakHyphen/>
        </w:r>
        <w:r w:rsidR="00CC24AF" w:rsidRPr="000350D8">
          <w:rPr>
            <w:rStyle w:val="Hyperlink"/>
          </w:rPr>
          <w:t>phone/carrier</w:t>
        </w:r>
        <w:r w:rsidR="00844EAF">
          <w:rPr>
            <w:rStyle w:val="Hyperlink"/>
          </w:rPr>
          <w:noBreakHyphen/>
        </w:r>
        <w:r w:rsidR="00CC24AF" w:rsidRPr="000350D8">
          <w:rPr>
            <w:rStyle w:val="Hyperlink"/>
          </w:rPr>
          <w:t>reporting</w:t>
        </w:r>
        <w:r w:rsidR="00844EAF">
          <w:rPr>
            <w:rStyle w:val="Hyperlink"/>
          </w:rPr>
          <w:noBreakHyphen/>
        </w:r>
        <w:r w:rsidR="00CC24AF" w:rsidRPr="000350D8">
          <w:rPr>
            <w:rStyle w:val="Hyperlink"/>
          </w:rPr>
          <w:t>requirements/annual</w:t>
        </w:r>
        <w:r w:rsidR="00844EAF">
          <w:rPr>
            <w:rStyle w:val="Hyperlink"/>
          </w:rPr>
          <w:noBreakHyphen/>
        </w:r>
        <w:r w:rsidR="00CC24AF" w:rsidRPr="000350D8">
          <w:rPr>
            <w:rStyle w:val="Hyperlink"/>
          </w:rPr>
          <w:t>report</w:t>
        </w:r>
        <w:r w:rsidR="00844EAF">
          <w:rPr>
            <w:rStyle w:val="Hyperlink"/>
          </w:rPr>
          <w:noBreakHyphen/>
        </w:r>
        <w:r w:rsidR="00CC24AF" w:rsidRPr="000350D8">
          <w:rPr>
            <w:rStyle w:val="Hyperlink"/>
          </w:rPr>
          <w:t>forms</w:t>
        </w:r>
      </w:hyperlink>
      <w:r w:rsidR="00EF09FD">
        <w:t>.</w:t>
      </w:r>
    </w:p>
  </w:footnote>
  <w:footnote w:id="211">
    <w:p w14:paraId="419EBC04" w14:textId="2D4F5724" w:rsidR="000624B2" w:rsidRDefault="000624B2" w:rsidP="00AC4F8C">
      <w:pPr>
        <w:pStyle w:val="FootnoteText"/>
      </w:pPr>
      <w:r w:rsidRPr="00DD0817">
        <w:rPr>
          <w:vertAlign w:val="superscript"/>
        </w:rPr>
        <w:footnoteRef/>
      </w:r>
      <w:r w:rsidRPr="00DD0817">
        <w:rPr>
          <w:vertAlign w:val="superscript"/>
        </w:rPr>
        <w:t xml:space="preserve"> </w:t>
      </w:r>
      <w:r w:rsidRPr="00DC2B7E">
        <w:t>D.99</w:t>
      </w:r>
      <w:r w:rsidR="006951D5">
        <w:noBreakHyphen/>
      </w:r>
      <w:r w:rsidRPr="00DC2B7E">
        <w:t>02</w:t>
      </w:r>
      <w:r w:rsidR="006951D5">
        <w:noBreakHyphen/>
      </w:r>
      <w:r w:rsidRPr="00DC2B7E">
        <w:t>038</w:t>
      </w:r>
      <w:r w:rsidR="00DD0817" w:rsidRPr="00DC2B7E">
        <w:t xml:space="preserve"> </w:t>
      </w:r>
      <w:r w:rsidR="00560372">
        <w:t>and</w:t>
      </w:r>
      <w:r w:rsidR="00DD0817" w:rsidRPr="00DC2B7E">
        <w:t xml:space="preserve"> </w:t>
      </w:r>
      <w:r w:rsidR="00560372">
        <w:t>D</w:t>
      </w:r>
      <w:r w:rsidR="00DD0817" w:rsidRPr="00DC2B7E">
        <w:t>.99</w:t>
      </w:r>
      <w:r w:rsidR="006951D5">
        <w:noBreakHyphen/>
      </w:r>
      <w:r w:rsidR="00DD0817" w:rsidRPr="00DC2B7E">
        <w:t>02</w:t>
      </w:r>
      <w:r w:rsidR="006951D5">
        <w:noBreakHyphen/>
      </w:r>
      <w:r w:rsidR="00DD0817" w:rsidRPr="00DC2B7E">
        <w:t>038 exempts competitive local exchange providers from the requirement to adhere to FCC accounting, unless the competitive provider is affiliated with an incumbent.</w:t>
      </w:r>
    </w:p>
  </w:footnote>
  <w:footnote w:id="212">
    <w:p w14:paraId="4691040A" w14:textId="24DD92C3" w:rsidR="00365A32" w:rsidRDefault="00365A32">
      <w:pPr>
        <w:pStyle w:val="FootnoteText"/>
      </w:pPr>
      <w:r>
        <w:rPr>
          <w:rStyle w:val="FootnoteReference"/>
        </w:rPr>
        <w:footnoteRef/>
      </w:r>
      <w:r>
        <w:t xml:space="preserve"> D.06</w:t>
      </w:r>
      <w:r w:rsidR="006951D5">
        <w:noBreakHyphen/>
      </w:r>
      <w:r>
        <w:t>08</w:t>
      </w:r>
      <w:r w:rsidR="006951D5">
        <w:noBreakHyphen/>
      </w:r>
      <w:r>
        <w:t>030</w:t>
      </w:r>
      <w:r w:rsidR="004043D9">
        <w:t xml:space="preserve"> (ceasing wireline rate regulation) and </w:t>
      </w:r>
      <w:r w:rsidR="00F55405">
        <w:t>D.95</w:t>
      </w:r>
      <w:r w:rsidR="006951D5">
        <w:noBreakHyphen/>
      </w:r>
      <w:r w:rsidR="00F55405">
        <w:t>10</w:t>
      </w:r>
      <w:r w:rsidR="006951D5">
        <w:noBreakHyphen/>
      </w:r>
      <w:r w:rsidR="00F55405">
        <w:t>032</w:t>
      </w:r>
      <w:r w:rsidR="004043D9">
        <w:t xml:space="preserve"> (prohibiting wireless rate regulation in accordance with </w:t>
      </w:r>
      <w:r w:rsidR="004043D9" w:rsidRPr="004043D9">
        <w:t>47</w:t>
      </w:r>
      <w:r w:rsidR="00E57178">
        <w:t> U.S.C.</w:t>
      </w:r>
      <w:r w:rsidR="004043D9" w:rsidRPr="004043D9">
        <w:t xml:space="preserve"> </w:t>
      </w:r>
      <w:r w:rsidR="00943805">
        <w:t>Section </w:t>
      </w:r>
      <w:r w:rsidR="004043D9" w:rsidRPr="004043D9">
        <w:t>332(c)(3)</w:t>
      </w:r>
      <w:r w:rsidR="004043D9">
        <w:t>.</w:t>
      </w:r>
    </w:p>
  </w:footnote>
  <w:footnote w:id="213">
    <w:p w14:paraId="74F6B660" w14:textId="5F8BAFF4" w:rsidR="00071A9E" w:rsidRDefault="00071A9E">
      <w:pPr>
        <w:pStyle w:val="FootnoteText"/>
      </w:pPr>
      <w:r>
        <w:rPr>
          <w:rStyle w:val="FootnoteReference"/>
        </w:rPr>
        <w:footnoteRef/>
      </w:r>
      <w:r>
        <w:t xml:space="preserve"> Sangoma Reply Comments on the OIR</w:t>
      </w:r>
      <w:r w:rsidR="00EF4D88">
        <w:t xml:space="preserve"> at</w:t>
      </w:r>
      <w:r w:rsidR="00844EAF">
        <w:t> </w:t>
      </w:r>
      <w:r>
        <w:t>3</w:t>
      </w:r>
      <w:r w:rsidR="00844EAF">
        <w:noBreakHyphen/>
      </w:r>
      <w:r>
        <w:t>4.</w:t>
      </w:r>
    </w:p>
  </w:footnote>
  <w:footnote w:id="214">
    <w:p w14:paraId="30B5A9AF" w14:textId="0FD0166A" w:rsidR="00327AAF" w:rsidRPr="00EF01A1" w:rsidRDefault="00327AAF" w:rsidP="00104D22">
      <w:pPr>
        <w:pStyle w:val="ListParagraph"/>
        <w:overflowPunct w:val="0"/>
        <w:autoSpaceDE w:val="0"/>
        <w:autoSpaceDN w:val="0"/>
        <w:adjustRightInd w:val="0"/>
        <w:spacing w:line="240" w:lineRule="auto"/>
        <w:ind w:left="0"/>
        <w:rPr>
          <w:rFonts w:ascii="Book Antiqua" w:hAnsi="Book Antiqua"/>
          <w:sz w:val="24"/>
          <w:szCs w:val="24"/>
        </w:rPr>
      </w:pPr>
      <w:r w:rsidRPr="001C7C69">
        <w:rPr>
          <w:rStyle w:val="FootnoteReference"/>
          <w:rFonts w:ascii="Book Antiqua" w:hAnsi="Book Antiqua"/>
          <w:sz w:val="24"/>
          <w:szCs w:val="24"/>
        </w:rPr>
        <w:footnoteRef/>
      </w:r>
      <w:r w:rsidRPr="001C7C69">
        <w:rPr>
          <w:rFonts w:ascii="Book Antiqua" w:hAnsi="Book Antiqua"/>
          <w:sz w:val="24"/>
          <w:szCs w:val="24"/>
        </w:rPr>
        <w:t xml:space="preserve"> </w:t>
      </w:r>
      <w:r w:rsidR="00BD1168">
        <w:rPr>
          <w:rFonts w:ascii="Book Antiqua" w:hAnsi="Book Antiqua"/>
        </w:rPr>
        <w:t>Section</w:t>
      </w:r>
      <w:r w:rsidR="00844EAF">
        <w:rPr>
          <w:rFonts w:ascii="Book Antiqua" w:hAnsi="Book Antiqua"/>
        </w:rPr>
        <w:t> </w:t>
      </w:r>
      <w:r w:rsidRPr="001C7C69">
        <w:rPr>
          <w:rFonts w:ascii="Book Antiqua" w:hAnsi="Book Antiqua"/>
        </w:rPr>
        <w:t xml:space="preserve">495.7 gives the Commission authority to establish procedures for telephone corporations to apply for exemption from tariffing requirements of </w:t>
      </w:r>
      <w:r w:rsidR="00646044">
        <w:rPr>
          <w:rFonts w:ascii="Book Antiqua" w:hAnsi="Book Antiqua"/>
        </w:rPr>
        <w:t>Sections</w:t>
      </w:r>
      <w:r w:rsidR="00844EAF">
        <w:rPr>
          <w:rFonts w:ascii="Book Antiqua" w:hAnsi="Book Antiqua"/>
        </w:rPr>
        <w:t> </w:t>
      </w:r>
      <w:r w:rsidRPr="001C7C69">
        <w:rPr>
          <w:rFonts w:ascii="Book Antiqua" w:hAnsi="Book Antiqua"/>
        </w:rPr>
        <w:t>454, 489, 491 and to exempt certain classes of providers as a group. The criteria for exempting classes of providers are the Commission finding after finding competitive alternatives are available and sufficient alternative modes of customer protection are in place. The Commission established alternative consumer protections for customers regarding rates and pricing in D. 98</w:t>
      </w:r>
      <w:r w:rsidR="00844EAF">
        <w:rPr>
          <w:rFonts w:ascii="Book Antiqua" w:hAnsi="Book Antiqua"/>
        </w:rPr>
        <w:noBreakHyphen/>
      </w:r>
      <w:r w:rsidRPr="001C7C69">
        <w:rPr>
          <w:rFonts w:ascii="Book Antiqua" w:hAnsi="Book Antiqua"/>
        </w:rPr>
        <w:t>08</w:t>
      </w:r>
      <w:r w:rsidR="00844EAF">
        <w:rPr>
          <w:rFonts w:ascii="Book Antiqua" w:hAnsi="Book Antiqua"/>
        </w:rPr>
        <w:noBreakHyphen/>
      </w:r>
      <w:r w:rsidRPr="001C7C69">
        <w:rPr>
          <w:rFonts w:ascii="Book Antiqua" w:hAnsi="Book Antiqua"/>
        </w:rPr>
        <w:t>031 and D.07</w:t>
      </w:r>
      <w:r w:rsidR="00844EAF">
        <w:rPr>
          <w:rFonts w:ascii="Book Antiqua" w:hAnsi="Book Antiqua"/>
        </w:rPr>
        <w:noBreakHyphen/>
      </w:r>
      <w:r w:rsidRPr="001C7C69">
        <w:rPr>
          <w:rFonts w:ascii="Book Antiqua" w:hAnsi="Book Antiqua"/>
        </w:rPr>
        <w:t>09</w:t>
      </w:r>
      <w:r w:rsidR="00844EAF">
        <w:rPr>
          <w:rFonts w:ascii="Book Antiqua" w:hAnsi="Book Antiqua"/>
        </w:rPr>
        <w:noBreakHyphen/>
      </w:r>
      <w:r w:rsidRPr="001C7C69">
        <w:rPr>
          <w:rFonts w:ascii="Book Antiqua" w:hAnsi="Book Antiqua"/>
        </w:rPr>
        <w:t>018. The procedure for updating tariffs and the alternative consumer protections are also contained General Order 96</w:t>
      </w:r>
      <w:r w:rsidR="00844EAF">
        <w:rPr>
          <w:rFonts w:ascii="Book Antiqua" w:hAnsi="Book Antiqua"/>
        </w:rPr>
        <w:noBreakHyphen/>
      </w:r>
      <w:r w:rsidRPr="001C7C69">
        <w:rPr>
          <w:rFonts w:ascii="Book Antiqua" w:hAnsi="Book Antiqua"/>
        </w:rPr>
        <w:t>B, in the Telecommunication Industry Rules.</w:t>
      </w:r>
    </w:p>
  </w:footnote>
  <w:footnote w:id="215">
    <w:p w14:paraId="443B5B91" w14:textId="578243A7" w:rsidR="00327AAF" w:rsidRDefault="00327AAF" w:rsidP="00327AAF">
      <w:pPr>
        <w:pStyle w:val="FootnoteText"/>
      </w:pPr>
      <w:r>
        <w:rPr>
          <w:rStyle w:val="FootnoteReference"/>
        </w:rPr>
        <w:footnoteRef/>
      </w:r>
      <w:r>
        <w:t xml:space="preserve"> Small Business Opening Comments on the Scoping Memo</w:t>
      </w:r>
      <w:r w:rsidR="00EF4D88">
        <w:t xml:space="preserve"> at</w:t>
      </w:r>
      <w:r w:rsidR="00844EAF">
        <w:t> </w:t>
      </w:r>
      <w:r>
        <w:t>3, Joint Consumers Opening Comments on the Scoping Memo</w:t>
      </w:r>
      <w:r w:rsidR="00EF4D88">
        <w:t xml:space="preserve"> at</w:t>
      </w:r>
      <w:r w:rsidR="00844EAF">
        <w:t> </w:t>
      </w:r>
      <w:r>
        <w:t>10</w:t>
      </w:r>
      <w:r w:rsidR="00844EAF">
        <w:noBreakHyphen/>
      </w:r>
      <w:r>
        <w:t>11, 19.</w:t>
      </w:r>
    </w:p>
  </w:footnote>
  <w:footnote w:id="216">
    <w:p w14:paraId="34349DF9" w14:textId="6354102A" w:rsidR="00327AAF" w:rsidRDefault="00327AAF" w:rsidP="00327AAF">
      <w:pPr>
        <w:pStyle w:val="FootnoteText"/>
      </w:pPr>
      <w:r>
        <w:rPr>
          <w:rStyle w:val="FootnoteReference"/>
        </w:rPr>
        <w:footnoteRef/>
      </w:r>
      <w:r>
        <w:t xml:space="preserve"> Cloud Reply Comments on the Scoping Memo</w:t>
      </w:r>
      <w:r w:rsidR="00EF4D88">
        <w:t xml:space="preserve"> at</w:t>
      </w:r>
      <w:r w:rsidR="00844EAF">
        <w:t> </w:t>
      </w:r>
      <w:r>
        <w:t>6</w:t>
      </w:r>
      <w:r w:rsidR="00F965EC">
        <w:noBreakHyphen/>
      </w:r>
      <w:r>
        <w:t>8.</w:t>
      </w:r>
    </w:p>
  </w:footnote>
  <w:footnote w:id="217">
    <w:p w14:paraId="619D1A31" w14:textId="1624B6B1" w:rsidR="00327AAF" w:rsidRDefault="00327AAF" w:rsidP="00327AAF">
      <w:pPr>
        <w:pStyle w:val="FootnoteText"/>
      </w:pPr>
      <w:r>
        <w:rPr>
          <w:rStyle w:val="FootnoteReference"/>
        </w:rPr>
        <w:footnoteRef/>
      </w:r>
      <w:r>
        <w:t xml:space="preserve"> D.07</w:t>
      </w:r>
      <w:r w:rsidR="00844EAF">
        <w:noBreakHyphen/>
      </w:r>
      <w:r>
        <w:t>09</w:t>
      </w:r>
      <w:r w:rsidR="00844EAF">
        <w:noBreakHyphen/>
      </w:r>
      <w:r>
        <w:t>018 at 53</w:t>
      </w:r>
      <w:r w:rsidR="00844EAF">
        <w:noBreakHyphen/>
      </w:r>
      <w:r>
        <w:t xml:space="preserve">55, </w:t>
      </w:r>
      <w:proofErr w:type="spellStart"/>
      <w:r>
        <w:t>CoL</w:t>
      </w:r>
      <w:proofErr w:type="spellEnd"/>
      <w:r w:rsidR="00EF4D88">
        <w:t> 18-19.</w:t>
      </w:r>
    </w:p>
  </w:footnote>
  <w:footnote w:id="218">
    <w:p w14:paraId="419FFFC7" w14:textId="6E920B50" w:rsidR="00C166A0" w:rsidRDefault="00C166A0" w:rsidP="00C166A0">
      <w:pPr>
        <w:pStyle w:val="FootnoteText"/>
      </w:pPr>
      <w:r>
        <w:rPr>
          <w:rStyle w:val="FootnoteReference"/>
        </w:rPr>
        <w:footnoteRef/>
      </w:r>
      <w:r>
        <w:t xml:space="preserve"> D.07</w:t>
      </w:r>
      <w:r w:rsidR="00844EAF">
        <w:noBreakHyphen/>
      </w:r>
      <w:r>
        <w:t>09</w:t>
      </w:r>
      <w:r w:rsidR="00844EAF">
        <w:noBreakHyphen/>
      </w:r>
      <w:r>
        <w:t>018</w:t>
      </w:r>
      <w:r w:rsidR="00EF4D88">
        <w:t xml:space="preserve"> at</w:t>
      </w:r>
      <w:r w:rsidR="00844EAF">
        <w:t> </w:t>
      </w:r>
      <w:proofErr w:type="spellStart"/>
      <w:r>
        <w:t>CoL</w:t>
      </w:r>
      <w:proofErr w:type="spellEnd"/>
      <w:r>
        <w:t xml:space="preserve"> 27.</w:t>
      </w:r>
    </w:p>
  </w:footnote>
  <w:footnote w:id="219">
    <w:p w14:paraId="7CB05E2C" w14:textId="1B6734E3" w:rsidR="00327AAF" w:rsidRDefault="00327AAF" w:rsidP="00327AAF">
      <w:pPr>
        <w:pStyle w:val="FootnoteText"/>
      </w:pPr>
      <w:r>
        <w:rPr>
          <w:rStyle w:val="FootnoteReference"/>
        </w:rPr>
        <w:footnoteRef/>
      </w:r>
      <w:r>
        <w:t xml:space="preserve"> </w:t>
      </w:r>
      <w:r w:rsidRPr="004A31DB">
        <w:t>Pursuant to D.12</w:t>
      </w:r>
      <w:r w:rsidR="006951D5">
        <w:noBreakHyphen/>
      </w:r>
      <w:r w:rsidRPr="004A31DB">
        <w:t>12</w:t>
      </w:r>
      <w:r w:rsidR="006951D5">
        <w:noBreakHyphen/>
      </w:r>
      <w:r w:rsidRPr="004A31DB">
        <w:t xml:space="preserve">038, </w:t>
      </w:r>
      <w:r w:rsidR="00C04D12">
        <w:t>Appendix </w:t>
      </w:r>
      <w:r w:rsidRPr="004A31DB">
        <w:t>A, Section II, parts a and b</w:t>
      </w:r>
      <w:r>
        <w:t>.</w:t>
      </w:r>
    </w:p>
  </w:footnote>
  <w:footnote w:id="220">
    <w:p w14:paraId="0592B9C7" w14:textId="77777777" w:rsidR="00044179" w:rsidRDefault="00044179" w:rsidP="00044179">
      <w:pPr>
        <w:pStyle w:val="FootnoteText"/>
      </w:pPr>
      <w:r>
        <w:rPr>
          <w:rStyle w:val="FootnoteReference"/>
        </w:rPr>
        <w:footnoteRef/>
      </w:r>
      <w:r>
        <w:t xml:space="preserve"> GO 96-B, Telecommunications Industry Rule 5.5.</w:t>
      </w:r>
    </w:p>
  </w:footnote>
  <w:footnote w:id="221">
    <w:p w14:paraId="11D6FFE8" w14:textId="60E4BD0A" w:rsidR="00202E51" w:rsidRDefault="00202E51" w:rsidP="00202E51">
      <w:pPr>
        <w:pStyle w:val="FootnoteText"/>
      </w:pPr>
      <w:r>
        <w:rPr>
          <w:rStyle w:val="FootnoteReference"/>
        </w:rPr>
        <w:footnoteRef/>
      </w:r>
      <w:r>
        <w:t xml:space="preserve"> </w:t>
      </w:r>
      <w:r w:rsidR="00EA24BE">
        <w:t>GO </w:t>
      </w:r>
      <w:r>
        <w:t>96</w:t>
      </w:r>
      <w:r w:rsidR="006951D5">
        <w:noBreakHyphen/>
      </w:r>
      <w:r>
        <w:t xml:space="preserve">B Telco Industry </w:t>
      </w:r>
      <w:r w:rsidR="001255FF">
        <w:t>Rule </w:t>
      </w:r>
      <w:r>
        <w:t>8.6.3</w:t>
      </w:r>
      <w:r w:rsidR="00C33346">
        <w:t>.</w:t>
      </w:r>
    </w:p>
  </w:footnote>
  <w:footnote w:id="222">
    <w:p w14:paraId="5DA34B6F" w14:textId="77777777" w:rsidR="00FA3AFE" w:rsidRDefault="00FA3AFE" w:rsidP="00FA3AFE">
      <w:pPr>
        <w:pStyle w:val="FootnoteText"/>
      </w:pPr>
      <w:r>
        <w:rPr>
          <w:rStyle w:val="FootnoteReference"/>
        </w:rPr>
        <w:footnoteRef/>
      </w:r>
      <w:r>
        <w:t xml:space="preserve"> VON Coalition Opening Comments on the PD at p. 3.</w:t>
      </w:r>
    </w:p>
  </w:footnote>
  <w:footnote w:id="223">
    <w:p w14:paraId="1DB81A4D" w14:textId="23DE142D" w:rsidR="00E91FC1" w:rsidRDefault="00E91FC1" w:rsidP="00E91FC1">
      <w:pPr>
        <w:pStyle w:val="FootnoteText"/>
      </w:pPr>
      <w:r>
        <w:rPr>
          <w:rStyle w:val="FootnoteReference"/>
        </w:rPr>
        <w:footnoteRef/>
      </w:r>
      <w:r>
        <w:t xml:space="preserve"> Cal Broadband Opening Comments on OIR</w:t>
      </w:r>
      <w:r w:rsidR="00A602E1">
        <w:t xml:space="preserve"> at </w:t>
      </w:r>
      <w:r>
        <w:t>18.</w:t>
      </w:r>
    </w:p>
  </w:footnote>
  <w:footnote w:id="224">
    <w:p w14:paraId="3DD2B129" w14:textId="665C015A" w:rsidR="001F51D1" w:rsidRDefault="001F51D1">
      <w:pPr>
        <w:pStyle w:val="FootnoteText"/>
      </w:pPr>
      <w:r>
        <w:rPr>
          <w:rStyle w:val="FootnoteReference"/>
        </w:rPr>
        <w:footnoteRef/>
      </w:r>
      <w:r>
        <w:t xml:space="preserve"> Small LEC Reply Comments on the OIR at 4.</w:t>
      </w:r>
    </w:p>
  </w:footnote>
  <w:footnote w:id="225">
    <w:p w14:paraId="4E67304D" w14:textId="6FCE9CB0" w:rsidR="001F51D1" w:rsidRDefault="001F51D1">
      <w:pPr>
        <w:pStyle w:val="FootnoteText"/>
      </w:pPr>
      <w:r>
        <w:rPr>
          <w:rStyle w:val="FootnoteReference"/>
        </w:rPr>
        <w:footnoteRef/>
      </w:r>
      <w:r>
        <w:t xml:space="preserve"> D.20</w:t>
      </w:r>
      <w:r w:rsidR="00844EAF">
        <w:noBreakHyphen/>
      </w:r>
      <w:r w:rsidR="00C23C2E">
        <w:t>08</w:t>
      </w:r>
      <w:r w:rsidR="00844EAF">
        <w:noBreakHyphen/>
      </w:r>
      <w:r w:rsidR="00C23C2E">
        <w:t xml:space="preserve">011 at </w:t>
      </w:r>
      <w:proofErr w:type="spellStart"/>
      <w:r w:rsidR="00C23C2E">
        <w:t>CoL</w:t>
      </w:r>
      <w:proofErr w:type="spellEnd"/>
      <w:r w:rsidR="00844EAF">
        <w:t> </w:t>
      </w:r>
      <w:r w:rsidR="00C23C2E">
        <w:t xml:space="preserve">8, </w:t>
      </w:r>
      <w:proofErr w:type="spellStart"/>
      <w:r w:rsidR="000F59E4">
        <w:t>CoL</w:t>
      </w:r>
      <w:proofErr w:type="spellEnd"/>
      <w:r w:rsidR="00844EAF">
        <w:t> </w:t>
      </w:r>
      <w:r w:rsidR="000F59E4">
        <w:t>14</w:t>
      </w:r>
      <w:r w:rsidR="00C43DB0">
        <w:t>.</w:t>
      </w:r>
    </w:p>
  </w:footnote>
  <w:footnote w:id="226">
    <w:p w14:paraId="416D64A6" w14:textId="77777777" w:rsidR="00915003" w:rsidRDefault="00915003" w:rsidP="00915003">
      <w:pPr>
        <w:pStyle w:val="FootnoteText"/>
      </w:pPr>
      <w:r>
        <w:rPr>
          <w:rStyle w:val="FootnoteReference"/>
        </w:rPr>
        <w:footnoteRef/>
      </w:r>
      <w:r>
        <w:t xml:space="preserve"> Frontier Reply Comments on the proposed decision at 4, Consolidated Reply Comments on the proposed decision at 5.</w:t>
      </w:r>
    </w:p>
  </w:footnote>
  <w:footnote w:id="227">
    <w:p w14:paraId="1CBB1138" w14:textId="77777777" w:rsidR="00915003" w:rsidRDefault="00915003" w:rsidP="00915003">
      <w:pPr>
        <w:pStyle w:val="FootnoteText"/>
      </w:pPr>
      <w:r>
        <w:rPr>
          <w:rStyle w:val="FootnoteReference"/>
        </w:rPr>
        <w:footnoteRef/>
      </w:r>
      <w:r>
        <w:t xml:space="preserve"> Cloud Opening Comments on the proposed decision at 3.</w:t>
      </w:r>
    </w:p>
  </w:footnote>
  <w:footnote w:id="228">
    <w:p w14:paraId="4F904DCF" w14:textId="77777777" w:rsidR="00915003" w:rsidRDefault="00915003" w:rsidP="00915003">
      <w:pPr>
        <w:pStyle w:val="FootnoteText"/>
      </w:pPr>
      <w:r>
        <w:rPr>
          <w:rStyle w:val="FootnoteReference"/>
        </w:rPr>
        <w:footnoteRef/>
      </w:r>
      <w:r>
        <w:t xml:space="preserve"> Sonic Opening Comments on the proposed decision at 5-6, Hotwire Opening Comments on the proposed decision at pp. 1-2.</w:t>
      </w:r>
    </w:p>
  </w:footnote>
  <w:footnote w:id="229">
    <w:p w14:paraId="21A58E5B" w14:textId="77777777" w:rsidR="002B329B" w:rsidRDefault="002B329B" w:rsidP="002B329B">
      <w:pPr>
        <w:pStyle w:val="FootnoteText"/>
      </w:pPr>
      <w:r>
        <w:rPr>
          <w:rStyle w:val="FootnoteReference"/>
        </w:rPr>
        <w:footnoteRef/>
      </w:r>
      <w:r>
        <w:t xml:space="preserve"> Silence on an issue raised in comments on the proposed decision does not mean that the Commission did not consider it.    </w:t>
      </w:r>
    </w:p>
  </w:footnote>
  <w:footnote w:id="230">
    <w:p w14:paraId="76A76EA4" w14:textId="77777777" w:rsidR="002B329B" w:rsidRDefault="002B329B" w:rsidP="002B329B">
      <w:pPr>
        <w:pStyle w:val="FootnoteText"/>
      </w:pPr>
      <w:r>
        <w:rPr>
          <w:rStyle w:val="FootnoteReference"/>
        </w:rPr>
        <w:footnoteRef/>
      </w:r>
      <w:r>
        <w:t xml:space="preserve"> </w:t>
      </w:r>
      <w:r w:rsidRPr="002B0ECA">
        <w:t>See</w:t>
      </w:r>
      <w:r>
        <w:t xml:space="preserve"> TURN Opening Comments on PD, at pp.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47A5" w14:textId="1198554B" w:rsidR="00F92385" w:rsidRPr="00E34A4E" w:rsidRDefault="003E33D4" w:rsidP="00E34A4E">
    <w:pPr>
      <w:pStyle w:val="Header"/>
      <w:tabs>
        <w:tab w:val="clear" w:pos="4680"/>
      </w:tabs>
      <w:ind w:firstLine="0"/>
      <w:rPr>
        <w:b/>
      </w:rPr>
    </w:pPr>
    <w:bookmarkStart w:id="7" w:name="_Hlk181630283"/>
    <w:bookmarkStart w:id="8" w:name="_Hlk181630284"/>
    <w:bookmarkStart w:id="9" w:name="_Hlk181630286"/>
    <w:bookmarkStart w:id="10" w:name="_Hlk181630287"/>
    <w:bookmarkStart w:id="11" w:name="_Hlk181630312"/>
    <w:bookmarkStart w:id="12" w:name="_Hlk181630313"/>
    <w:bookmarkStart w:id="13" w:name="_Hlk181630314"/>
    <w:bookmarkStart w:id="14" w:name="_Hlk181630315"/>
    <w:r w:rsidRPr="009C13E3">
      <w:t>R</w:t>
    </w:r>
    <w:r>
      <w:t>.</w:t>
    </w:r>
    <w:r w:rsidRPr="009C13E3">
      <w:t>22</w:t>
    </w:r>
    <w:r w:rsidR="006951D5">
      <w:noBreakHyphen/>
    </w:r>
    <w:r w:rsidRPr="009C13E3">
      <w:t>08</w:t>
    </w:r>
    <w:r w:rsidR="006951D5">
      <w:noBreakHyphen/>
    </w:r>
    <w:r w:rsidRPr="009C13E3">
      <w:t>008</w:t>
    </w:r>
    <w:r>
      <w:t xml:space="preserve">  COM/JR5/nd3</w:t>
    </w:r>
    <w:r w:rsidR="00300375">
      <w:t>/jnf</w:t>
    </w:r>
    <w:r>
      <w:tab/>
    </w:r>
    <w:r w:rsidRPr="009C13E3">
      <w:rPr>
        <w:bCs/>
      </w:rPr>
      <w:t>PROPOSED DECISION</w:t>
    </w:r>
    <w:r w:rsidR="00564BEC">
      <w:rPr>
        <w:bCs/>
      </w:rPr>
      <w:t xml:space="preserve"> (Rev. 1)</w:t>
    </w:r>
    <w:bookmarkEnd w:id="7"/>
    <w:bookmarkEnd w:id="8"/>
    <w:bookmarkEnd w:id="9"/>
    <w:bookmarkEnd w:id="10"/>
    <w:bookmarkEnd w:id="11"/>
    <w:bookmarkEnd w:id="12"/>
    <w:bookmarkEnd w:id="13"/>
    <w:bookmarkEnd w:id="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CE0C" w14:textId="77777777" w:rsidR="00F56FB7" w:rsidRPr="00E34A4E" w:rsidRDefault="00F56FB7" w:rsidP="00E34A4E">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261C0B"/>
    <w:multiLevelType w:val="singleLevel"/>
    <w:tmpl w:val="C1848026"/>
    <w:lvl w:ilvl="0">
      <w:start w:val="1"/>
      <w:numFmt w:val="decimal"/>
      <w:lvlText w:val="%1."/>
      <w:legacy w:legacy="1" w:legacySpace="144" w:legacyIndent="0"/>
      <w:lvlJc w:val="left"/>
      <w:rPr>
        <w:i w:val="0"/>
        <w:iCs/>
        <w:color w:val="auto"/>
      </w:rPr>
    </w:lvl>
  </w:abstractNum>
  <w:abstractNum w:abstractNumId="2" w15:restartNumberingAfterBreak="0">
    <w:nsid w:val="11E527FC"/>
    <w:multiLevelType w:val="hybridMultilevel"/>
    <w:tmpl w:val="12362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C1C14"/>
    <w:multiLevelType w:val="multilevel"/>
    <w:tmpl w:val="18F4A5AC"/>
    <w:styleLink w:val="FoFCoLOP"/>
    <w:lvl w:ilvl="0">
      <w:start w:val="1"/>
      <w:numFmt w:val="decimal"/>
      <w:pStyle w:val="FoF"/>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F056CB"/>
    <w:multiLevelType w:val="multilevel"/>
    <w:tmpl w:val="18F4A5AC"/>
    <w:numStyleLink w:val="FoFCoLOP"/>
  </w:abstractNum>
  <w:abstractNum w:abstractNumId="5" w15:restartNumberingAfterBreak="0">
    <w:nsid w:val="189D6C80"/>
    <w:multiLevelType w:val="hybridMultilevel"/>
    <w:tmpl w:val="7F7A0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51B49"/>
    <w:multiLevelType w:val="multilevel"/>
    <w:tmpl w:val="E63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304CA3"/>
    <w:multiLevelType w:val="singleLevel"/>
    <w:tmpl w:val="C1848026"/>
    <w:lvl w:ilvl="0">
      <w:start w:val="1"/>
      <w:numFmt w:val="decimal"/>
      <w:lvlText w:val="%1."/>
      <w:legacy w:legacy="1" w:legacySpace="144" w:legacyIndent="0"/>
      <w:lvlJc w:val="left"/>
      <w:rPr>
        <w:i w:val="0"/>
        <w:iCs/>
        <w:color w:val="auto"/>
      </w:rPr>
    </w:lvl>
  </w:abstractNum>
  <w:abstractNum w:abstractNumId="8" w15:restartNumberingAfterBreak="0">
    <w:nsid w:val="22A42D8C"/>
    <w:multiLevelType w:val="multilevel"/>
    <w:tmpl w:val="3A94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1E0820"/>
    <w:multiLevelType w:val="hybridMultilevel"/>
    <w:tmpl w:val="B232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D3D5F"/>
    <w:multiLevelType w:val="multilevel"/>
    <w:tmpl w:val="44225D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FF12A7"/>
    <w:multiLevelType w:val="multilevel"/>
    <w:tmpl w:val="C234F572"/>
    <w:lvl w:ilvl="0">
      <w:start w:val="1"/>
      <w:numFmt w:val="lowerLetter"/>
      <w:lvlText w:val="(%1)"/>
      <w:lvlJc w:val="left"/>
      <w:pPr>
        <w:ind w:left="1440" w:hanging="965"/>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2BF93435"/>
    <w:multiLevelType w:val="multilevel"/>
    <w:tmpl w:val="02BE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5E500B"/>
    <w:multiLevelType w:val="hybridMultilevel"/>
    <w:tmpl w:val="ED08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46003"/>
    <w:multiLevelType w:val="singleLevel"/>
    <w:tmpl w:val="2FB6A734"/>
    <w:lvl w:ilvl="0">
      <w:start w:val="1"/>
      <w:numFmt w:val="decimal"/>
      <w:pStyle w:val="bullet1"/>
      <w:lvlText w:val="%1."/>
      <w:legacy w:legacy="1" w:legacySpace="144" w:legacyIndent="0"/>
      <w:lvlJc w:val="left"/>
    </w:lvl>
  </w:abstractNum>
  <w:abstractNum w:abstractNumId="15" w15:restartNumberingAfterBreak="0">
    <w:nsid w:val="2E007C53"/>
    <w:multiLevelType w:val="hybridMultilevel"/>
    <w:tmpl w:val="B948A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CF5ECB"/>
    <w:multiLevelType w:val="multilevel"/>
    <w:tmpl w:val="D270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720"/>
        </w:tabs>
        <w:ind w:left="72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2196"/>
        </w:tabs>
        <w:ind w:left="219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1692"/>
        </w:tabs>
        <w:ind w:left="169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8" w15:restartNumberingAfterBreak="0">
    <w:nsid w:val="33AC118F"/>
    <w:multiLevelType w:val="multilevel"/>
    <w:tmpl w:val="A0E02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DC466C"/>
    <w:multiLevelType w:val="hybridMultilevel"/>
    <w:tmpl w:val="0F58F2E8"/>
    <w:lvl w:ilvl="0" w:tplc="D3C4A7F0">
      <w:start w:val="1"/>
      <w:numFmt w:val="decimal"/>
      <w:lvlText w:val="(%1)"/>
      <w:lvlJc w:val="left"/>
      <w:pPr>
        <w:ind w:left="888"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108AF"/>
    <w:multiLevelType w:val="hybridMultilevel"/>
    <w:tmpl w:val="CBF4F4AA"/>
    <w:lvl w:ilvl="0" w:tplc="6338C2A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90E6AFE"/>
    <w:multiLevelType w:val="hybridMultilevel"/>
    <w:tmpl w:val="E21CEDF6"/>
    <w:lvl w:ilvl="0" w:tplc="0409000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A9F6F1D"/>
    <w:multiLevelType w:val="hybridMultilevel"/>
    <w:tmpl w:val="158C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83F26"/>
    <w:multiLevelType w:val="hybridMultilevel"/>
    <w:tmpl w:val="38FA2ECC"/>
    <w:lvl w:ilvl="0" w:tplc="86AE2958">
      <w:start w:val="1"/>
      <w:numFmt w:val="bullet"/>
      <w:pStyle w:val="bullets"/>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B7102F6"/>
    <w:multiLevelType w:val="multilevel"/>
    <w:tmpl w:val="8B64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150324"/>
    <w:multiLevelType w:val="hybridMultilevel"/>
    <w:tmpl w:val="3C54A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E706A22"/>
    <w:multiLevelType w:val="multilevel"/>
    <w:tmpl w:val="EC36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874C42"/>
    <w:multiLevelType w:val="multilevel"/>
    <w:tmpl w:val="84D8C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7C0F66"/>
    <w:multiLevelType w:val="hybridMultilevel"/>
    <w:tmpl w:val="C65C4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042D7"/>
    <w:multiLevelType w:val="multilevel"/>
    <w:tmpl w:val="18F4A5AC"/>
    <w:numStyleLink w:val="FoFCoLOP"/>
  </w:abstractNum>
  <w:abstractNum w:abstractNumId="30" w15:restartNumberingAfterBreak="0">
    <w:nsid w:val="618F743A"/>
    <w:multiLevelType w:val="multilevel"/>
    <w:tmpl w:val="3B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A25780"/>
    <w:multiLevelType w:val="multilevel"/>
    <w:tmpl w:val="B1C6740E"/>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ind w:left="1584" w:hanging="864"/>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ind w:left="2592" w:hanging="1008"/>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ind w:left="3888" w:hanging="1296"/>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32" w15:restartNumberingAfterBreak="0">
    <w:nsid w:val="6D471470"/>
    <w:multiLevelType w:val="multilevel"/>
    <w:tmpl w:val="82848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D01242"/>
    <w:multiLevelType w:val="multilevel"/>
    <w:tmpl w:val="06A686EC"/>
    <w:lvl w:ilvl="0">
      <w:start w:val="1"/>
      <w:numFmt w:val="lowerLetter"/>
      <w:lvlText w:val="(%1)"/>
      <w:lvlJc w:val="left"/>
      <w:pPr>
        <w:ind w:left="1555" w:hanging="475"/>
      </w:pPr>
      <w:rPr>
        <w:rFonts w:hint="default"/>
      </w:rPr>
    </w:lvl>
    <w:lvl w:ilvl="1">
      <w:start w:val="1"/>
      <w:numFmt w:val="lowerLetter"/>
      <w:lvlText w:val="%2."/>
      <w:lvlJc w:val="left"/>
      <w:pPr>
        <w:ind w:left="2160" w:hanging="360"/>
      </w:pPr>
      <w:rPr>
        <w:rFonts w:ascii="Book Antiqua" w:hAnsi="Book Antiqua" w:hint="default"/>
        <w:sz w:val="26"/>
        <w:szCs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6EBA2942"/>
    <w:multiLevelType w:val="hybridMultilevel"/>
    <w:tmpl w:val="A522BB62"/>
    <w:lvl w:ilvl="0" w:tplc="442463AE">
      <w:start w:val="1"/>
      <w:numFmt w:val="decimal"/>
      <w:lvlText w:val="%1."/>
      <w:lvlJc w:val="left"/>
      <w:pPr>
        <w:tabs>
          <w:tab w:val="num" w:pos="1080"/>
        </w:tabs>
        <w:ind w:left="1080" w:hanging="360"/>
      </w:pPr>
      <w:rPr>
        <w:rFonts w:hint="default"/>
        <w:b w:val="0"/>
        <w:bCs/>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4AC29DC"/>
    <w:multiLevelType w:val="hybridMultilevel"/>
    <w:tmpl w:val="E626018E"/>
    <w:lvl w:ilvl="0" w:tplc="BAF4C118">
      <w:start w:val="1"/>
      <w:numFmt w:val="low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57C660D"/>
    <w:multiLevelType w:val="multilevel"/>
    <w:tmpl w:val="8334F3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9A0AFE"/>
    <w:multiLevelType w:val="multilevel"/>
    <w:tmpl w:val="18F4A5AC"/>
    <w:numStyleLink w:val="FoFCoLOP"/>
  </w:abstractNum>
  <w:abstractNum w:abstractNumId="38" w15:restartNumberingAfterBreak="0">
    <w:nsid w:val="7A0E2C6A"/>
    <w:multiLevelType w:val="hybridMultilevel"/>
    <w:tmpl w:val="3772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7D467D"/>
    <w:multiLevelType w:val="multilevel"/>
    <w:tmpl w:val="B60C6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26612B"/>
    <w:multiLevelType w:val="hybridMultilevel"/>
    <w:tmpl w:val="ED2C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B54B3"/>
    <w:multiLevelType w:val="hybridMultilevel"/>
    <w:tmpl w:val="E62601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FAE02FC"/>
    <w:multiLevelType w:val="hybridMultilevel"/>
    <w:tmpl w:val="5128CB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0774137">
    <w:abstractNumId w:val="3"/>
  </w:num>
  <w:num w:numId="2" w16cid:durableId="1898543446">
    <w:abstractNumId w:val="29"/>
  </w:num>
  <w:num w:numId="3" w16cid:durableId="973756952">
    <w:abstractNumId w:val="17"/>
  </w:num>
  <w:num w:numId="4" w16cid:durableId="816924040">
    <w:abstractNumId w:val="0"/>
  </w:num>
  <w:num w:numId="5" w16cid:durableId="1058170175">
    <w:abstractNumId w:val="14"/>
  </w:num>
  <w:num w:numId="6" w16cid:durableId="796725293">
    <w:abstractNumId w:val="23"/>
  </w:num>
  <w:num w:numId="7" w16cid:durableId="829709660">
    <w:abstractNumId w:val="1"/>
  </w:num>
  <w:num w:numId="8" w16cid:durableId="1325473010">
    <w:abstractNumId w:val="9"/>
  </w:num>
  <w:num w:numId="9" w16cid:durableId="1160581926">
    <w:abstractNumId w:val="2"/>
  </w:num>
  <w:num w:numId="10" w16cid:durableId="1808427808">
    <w:abstractNumId w:val="21"/>
  </w:num>
  <w:num w:numId="11" w16cid:durableId="1722827857">
    <w:abstractNumId w:val="5"/>
  </w:num>
  <w:num w:numId="12" w16cid:durableId="113057313">
    <w:abstractNumId w:val="25"/>
  </w:num>
  <w:num w:numId="13" w16cid:durableId="1298685595">
    <w:abstractNumId w:val="40"/>
  </w:num>
  <w:num w:numId="14" w16cid:durableId="1581525851">
    <w:abstractNumId w:val="15"/>
  </w:num>
  <w:num w:numId="15" w16cid:durableId="1424715775">
    <w:abstractNumId w:val="26"/>
  </w:num>
  <w:num w:numId="16" w16cid:durableId="533081400">
    <w:abstractNumId w:val="18"/>
  </w:num>
  <w:num w:numId="17" w16cid:durableId="1148983512">
    <w:abstractNumId w:val="39"/>
  </w:num>
  <w:num w:numId="18" w16cid:durableId="27923566">
    <w:abstractNumId w:val="10"/>
  </w:num>
  <w:num w:numId="19" w16cid:durableId="832376430">
    <w:abstractNumId w:val="32"/>
  </w:num>
  <w:num w:numId="20" w16cid:durableId="1015694856">
    <w:abstractNumId w:val="36"/>
  </w:num>
  <w:num w:numId="21" w16cid:durableId="755513708">
    <w:abstractNumId w:val="27"/>
  </w:num>
  <w:num w:numId="22" w16cid:durableId="1840844725">
    <w:abstractNumId w:val="6"/>
  </w:num>
  <w:num w:numId="23" w16cid:durableId="982545618">
    <w:abstractNumId w:val="24"/>
  </w:num>
  <w:num w:numId="24" w16cid:durableId="1453091416">
    <w:abstractNumId w:val="38"/>
  </w:num>
  <w:num w:numId="25" w16cid:durableId="1954481811">
    <w:abstractNumId w:val="34"/>
  </w:num>
  <w:num w:numId="26" w16cid:durableId="1390572585">
    <w:abstractNumId w:val="20"/>
  </w:num>
  <w:num w:numId="27" w16cid:durableId="787890956">
    <w:abstractNumId w:val="42"/>
  </w:num>
  <w:num w:numId="28" w16cid:durableId="996609575">
    <w:abstractNumId w:val="4"/>
  </w:num>
  <w:num w:numId="29" w16cid:durableId="1444882798">
    <w:abstractNumId w:val="37"/>
  </w:num>
  <w:num w:numId="30" w16cid:durableId="1511874826">
    <w:abstractNumId w:val="31"/>
  </w:num>
  <w:num w:numId="31" w16cid:durableId="565066104">
    <w:abstractNumId w:val="35"/>
  </w:num>
  <w:num w:numId="32" w16cid:durableId="319429485">
    <w:abstractNumId w:val="41"/>
  </w:num>
  <w:num w:numId="33" w16cid:durableId="441152407">
    <w:abstractNumId w:val="11"/>
  </w:num>
  <w:num w:numId="34" w16cid:durableId="593975883">
    <w:abstractNumId w:val="33"/>
  </w:num>
  <w:num w:numId="35" w16cid:durableId="1720938195">
    <w:abstractNumId w:val="19"/>
  </w:num>
  <w:num w:numId="36" w16cid:durableId="1592812661">
    <w:abstractNumId w:val="7"/>
  </w:num>
  <w:num w:numId="37" w16cid:durableId="18291335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68460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8591401">
    <w:abstractNumId w:val="28"/>
  </w:num>
  <w:num w:numId="40" w16cid:durableId="316110337">
    <w:abstractNumId w:val="4"/>
  </w:num>
  <w:num w:numId="41" w16cid:durableId="1587954306">
    <w:abstractNumId w:val="4"/>
  </w:num>
  <w:num w:numId="42" w16cid:durableId="1499231025">
    <w:abstractNumId w:val="4"/>
  </w:num>
  <w:num w:numId="43" w16cid:durableId="628125505">
    <w:abstractNumId w:val="4"/>
  </w:num>
  <w:num w:numId="44" w16cid:durableId="100613922">
    <w:abstractNumId w:val="29"/>
  </w:num>
  <w:num w:numId="45" w16cid:durableId="1177158062">
    <w:abstractNumId w:val="29"/>
  </w:num>
  <w:num w:numId="46" w16cid:durableId="344747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3009351">
    <w:abstractNumId w:val="8"/>
  </w:num>
  <w:num w:numId="48" w16cid:durableId="966200374">
    <w:abstractNumId w:val="16"/>
  </w:num>
  <w:num w:numId="49" w16cid:durableId="1972591694">
    <w:abstractNumId w:val="12"/>
  </w:num>
  <w:num w:numId="50" w16cid:durableId="635332483">
    <w:abstractNumId w:val="30"/>
  </w:num>
  <w:num w:numId="51" w16cid:durableId="1510872046">
    <w:abstractNumId w:val="22"/>
  </w:num>
  <w:num w:numId="52" w16cid:durableId="939264378">
    <w:abstractNumId w:val="13"/>
  </w:num>
  <w:num w:numId="53" w16cid:durableId="341322682">
    <w:abstractNumId w:val="29"/>
  </w:num>
  <w:num w:numId="54" w16cid:durableId="1646157897">
    <w:abstractNumId w:val="29"/>
  </w:num>
  <w:num w:numId="55" w16cid:durableId="1439443928">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B7"/>
    <w:rsid w:val="0000098B"/>
    <w:rsid w:val="00000D7A"/>
    <w:rsid w:val="00000DC4"/>
    <w:rsid w:val="00000F6A"/>
    <w:rsid w:val="00001111"/>
    <w:rsid w:val="000012CD"/>
    <w:rsid w:val="0000182A"/>
    <w:rsid w:val="00001CB9"/>
    <w:rsid w:val="00001DB7"/>
    <w:rsid w:val="00002057"/>
    <w:rsid w:val="0000221D"/>
    <w:rsid w:val="00002896"/>
    <w:rsid w:val="00002B04"/>
    <w:rsid w:val="00002E0C"/>
    <w:rsid w:val="000032F0"/>
    <w:rsid w:val="0000348C"/>
    <w:rsid w:val="00003922"/>
    <w:rsid w:val="00003C68"/>
    <w:rsid w:val="00003E5E"/>
    <w:rsid w:val="000045C3"/>
    <w:rsid w:val="00004A39"/>
    <w:rsid w:val="00004A60"/>
    <w:rsid w:val="00004B1F"/>
    <w:rsid w:val="00004C69"/>
    <w:rsid w:val="00004E31"/>
    <w:rsid w:val="000052A7"/>
    <w:rsid w:val="0000599E"/>
    <w:rsid w:val="000077C7"/>
    <w:rsid w:val="00007B9D"/>
    <w:rsid w:val="00007BBA"/>
    <w:rsid w:val="00007C0C"/>
    <w:rsid w:val="0001024B"/>
    <w:rsid w:val="000105B9"/>
    <w:rsid w:val="000106B7"/>
    <w:rsid w:val="00010733"/>
    <w:rsid w:val="00010BDE"/>
    <w:rsid w:val="00011263"/>
    <w:rsid w:val="0001160D"/>
    <w:rsid w:val="00011954"/>
    <w:rsid w:val="00011DBF"/>
    <w:rsid w:val="0001214A"/>
    <w:rsid w:val="000123D0"/>
    <w:rsid w:val="000124C7"/>
    <w:rsid w:val="000128F6"/>
    <w:rsid w:val="00012B33"/>
    <w:rsid w:val="00012D43"/>
    <w:rsid w:val="000131F6"/>
    <w:rsid w:val="000133FD"/>
    <w:rsid w:val="00013AE3"/>
    <w:rsid w:val="00013C99"/>
    <w:rsid w:val="00013D30"/>
    <w:rsid w:val="00013EAE"/>
    <w:rsid w:val="00014055"/>
    <w:rsid w:val="00014624"/>
    <w:rsid w:val="00014A56"/>
    <w:rsid w:val="00014D21"/>
    <w:rsid w:val="000155E5"/>
    <w:rsid w:val="00015AAA"/>
    <w:rsid w:val="00015BDD"/>
    <w:rsid w:val="0001605B"/>
    <w:rsid w:val="0001651B"/>
    <w:rsid w:val="000167A9"/>
    <w:rsid w:val="00016C11"/>
    <w:rsid w:val="00016DB8"/>
    <w:rsid w:val="0001719D"/>
    <w:rsid w:val="00017933"/>
    <w:rsid w:val="00017C9E"/>
    <w:rsid w:val="000200DA"/>
    <w:rsid w:val="0002021C"/>
    <w:rsid w:val="00020322"/>
    <w:rsid w:val="00020E0E"/>
    <w:rsid w:val="00021116"/>
    <w:rsid w:val="000218D1"/>
    <w:rsid w:val="0002202D"/>
    <w:rsid w:val="000220B9"/>
    <w:rsid w:val="00022270"/>
    <w:rsid w:val="00022B0A"/>
    <w:rsid w:val="00022EB6"/>
    <w:rsid w:val="000233C0"/>
    <w:rsid w:val="00023CF9"/>
    <w:rsid w:val="00023D8B"/>
    <w:rsid w:val="00024569"/>
    <w:rsid w:val="0002465C"/>
    <w:rsid w:val="0002469F"/>
    <w:rsid w:val="0002487D"/>
    <w:rsid w:val="00025012"/>
    <w:rsid w:val="00025291"/>
    <w:rsid w:val="000252D9"/>
    <w:rsid w:val="00025713"/>
    <w:rsid w:val="000259FE"/>
    <w:rsid w:val="00025FAE"/>
    <w:rsid w:val="000262DC"/>
    <w:rsid w:val="000263D6"/>
    <w:rsid w:val="00026591"/>
    <w:rsid w:val="000265A7"/>
    <w:rsid w:val="00026843"/>
    <w:rsid w:val="00026AB3"/>
    <w:rsid w:val="00026B76"/>
    <w:rsid w:val="00026D74"/>
    <w:rsid w:val="00026F5A"/>
    <w:rsid w:val="00027071"/>
    <w:rsid w:val="00027A6A"/>
    <w:rsid w:val="00027D68"/>
    <w:rsid w:val="00027F1D"/>
    <w:rsid w:val="00030237"/>
    <w:rsid w:val="00030943"/>
    <w:rsid w:val="00030C6A"/>
    <w:rsid w:val="00030DF2"/>
    <w:rsid w:val="0003111A"/>
    <w:rsid w:val="000312AF"/>
    <w:rsid w:val="00031DFE"/>
    <w:rsid w:val="00031EB3"/>
    <w:rsid w:val="00031F34"/>
    <w:rsid w:val="00031F6D"/>
    <w:rsid w:val="00032222"/>
    <w:rsid w:val="0003266B"/>
    <w:rsid w:val="000326D4"/>
    <w:rsid w:val="000327E5"/>
    <w:rsid w:val="00032B8E"/>
    <w:rsid w:val="00032D2E"/>
    <w:rsid w:val="000335C6"/>
    <w:rsid w:val="000335C9"/>
    <w:rsid w:val="00033CB2"/>
    <w:rsid w:val="00034D74"/>
    <w:rsid w:val="00035579"/>
    <w:rsid w:val="00035596"/>
    <w:rsid w:val="00035BE3"/>
    <w:rsid w:val="00035D51"/>
    <w:rsid w:val="00035E13"/>
    <w:rsid w:val="00036135"/>
    <w:rsid w:val="0003646D"/>
    <w:rsid w:val="0003677B"/>
    <w:rsid w:val="0003682C"/>
    <w:rsid w:val="00037031"/>
    <w:rsid w:val="00037367"/>
    <w:rsid w:val="00037536"/>
    <w:rsid w:val="00037665"/>
    <w:rsid w:val="00037913"/>
    <w:rsid w:val="00037E6A"/>
    <w:rsid w:val="00040374"/>
    <w:rsid w:val="000406B0"/>
    <w:rsid w:val="000407D3"/>
    <w:rsid w:val="0004094E"/>
    <w:rsid w:val="00040E13"/>
    <w:rsid w:val="00040E46"/>
    <w:rsid w:val="00041B7A"/>
    <w:rsid w:val="00042110"/>
    <w:rsid w:val="000424A2"/>
    <w:rsid w:val="000424B7"/>
    <w:rsid w:val="00042654"/>
    <w:rsid w:val="00042A19"/>
    <w:rsid w:val="00042D12"/>
    <w:rsid w:val="00043401"/>
    <w:rsid w:val="0004371E"/>
    <w:rsid w:val="00043735"/>
    <w:rsid w:val="00043D9F"/>
    <w:rsid w:val="00044179"/>
    <w:rsid w:val="00045378"/>
    <w:rsid w:val="00045963"/>
    <w:rsid w:val="000459C9"/>
    <w:rsid w:val="00045F3F"/>
    <w:rsid w:val="0004774C"/>
    <w:rsid w:val="00047986"/>
    <w:rsid w:val="00047D99"/>
    <w:rsid w:val="000505CD"/>
    <w:rsid w:val="00050776"/>
    <w:rsid w:val="00050CA3"/>
    <w:rsid w:val="00050D50"/>
    <w:rsid w:val="00051595"/>
    <w:rsid w:val="000517A3"/>
    <w:rsid w:val="00051878"/>
    <w:rsid w:val="00051AEC"/>
    <w:rsid w:val="00051B7D"/>
    <w:rsid w:val="00051F53"/>
    <w:rsid w:val="00051FBF"/>
    <w:rsid w:val="00052B71"/>
    <w:rsid w:val="00052E14"/>
    <w:rsid w:val="00052F86"/>
    <w:rsid w:val="000533B8"/>
    <w:rsid w:val="000534E5"/>
    <w:rsid w:val="00053560"/>
    <w:rsid w:val="00053CBF"/>
    <w:rsid w:val="00053E2D"/>
    <w:rsid w:val="00053F59"/>
    <w:rsid w:val="00054375"/>
    <w:rsid w:val="00054405"/>
    <w:rsid w:val="0005454C"/>
    <w:rsid w:val="0005573D"/>
    <w:rsid w:val="00055AE9"/>
    <w:rsid w:val="00055CBB"/>
    <w:rsid w:val="00056129"/>
    <w:rsid w:val="000562EB"/>
    <w:rsid w:val="000565D0"/>
    <w:rsid w:val="00056A45"/>
    <w:rsid w:val="00056DA7"/>
    <w:rsid w:val="00056E1F"/>
    <w:rsid w:val="00056F7A"/>
    <w:rsid w:val="000571C4"/>
    <w:rsid w:val="000573D9"/>
    <w:rsid w:val="00057BA9"/>
    <w:rsid w:val="00057E27"/>
    <w:rsid w:val="0006013F"/>
    <w:rsid w:val="000601E4"/>
    <w:rsid w:val="0006090D"/>
    <w:rsid w:val="00061009"/>
    <w:rsid w:val="000612CC"/>
    <w:rsid w:val="00061342"/>
    <w:rsid w:val="00061704"/>
    <w:rsid w:val="00061929"/>
    <w:rsid w:val="00061D57"/>
    <w:rsid w:val="00061E38"/>
    <w:rsid w:val="00062373"/>
    <w:rsid w:val="000624B2"/>
    <w:rsid w:val="000625DC"/>
    <w:rsid w:val="00062ED2"/>
    <w:rsid w:val="00062ED8"/>
    <w:rsid w:val="0006315F"/>
    <w:rsid w:val="000642C6"/>
    <w:rsid w:val="00064389"/>
    <w:rsid w:val="000643DF"/>
    <w:rsid w:val="000645F4"/>
    <w:rsid w:val="00064713"/>
    <w:rsid w:val="00064A5C"/>
    <w:rsid w:val="00064B83"/>
    <w:rsid w:val="00064DB5"/>
    <w:rsid w:val="00065126"/>
    <w:rsid w:val="000654FE"/>
    <w:rsid w:val="00065E37"/>
    <w:rsid w:val="00065EDA"/>
    <w:rsid w:val="000667E2"/>
    <w:rsid w:val="0006684E"/>
    <w:rsid w:val="000672A1"/>
    <w:rsid w:val="00067743"/>
    <w:rsid w:val="00067837"/>
    <w:rsid w:val="000708D0"/>
    <w:rsid w:val="00070911"/>
    <w:rsid w:val="00070C44"/>
    <w:rsid w:val="0007115A"/>
    <w:rsid w:val="0007146E"/>
    <w:rsid w:val="00071A9E"/>
    <w:rsid w:val="00071B07"/>
    <w:rsid w:val="00071C1F"/>
    <w:rsid w:val="00071C2E"/>
    <w:rsid w:val="00071E29"/>
    <w:rsid w:val="00072160"/>
    <w:rsid w:val="000722EC"/>
    <w:rsid w:val="0007268A"/>
    <w:rsid w:val="0007293D"/>
    <w:rsid w:val="00072BA1"/>
    <w:rsid w:val="0007408A"/>
    <w:rsid w:val="00074383"/>
    <w:rsid w:val="000746ED"/>
    <w:rsid w:val="00074817"/>
    <w:rsid w:val="00074AAE"/>
    <w:rsid w:val="00074AB0"/>
    <w:rsid w:val="00075B10"/>
    <w:rsid w:val="00075E07"/>
    <w:rsid w:val="00075EDF"/>
    <w:rsid w:val="00075FA1"/>
    <w:rsid w:val="000761A7"/>
    <w:rsid w:val="00076328"/>
    <w:rsid w:val="00076EF8"/>
    <w:rsid w:val="00077AAF"/>
    <w:rsid w:val="000803D1"/>
    <w:rsid w:val="000804C1"/>
    <w:rsid w:val="00081223"/>
    <w:rsid w:val="000816AF"/>
    <w:rsid w:val="000817D3"/>
    <w:rsid w:val="000817EF"/>
    <w:rsid w:val="0008180A"/>
    <w:rsid w:val="00081A09"/>
    <w:rsid w:val="00081F0C"/>
    <w:rsid w:val="000829D6"/>
    <w:rsid w:val="00082B55"/>
    <w:rsid w:val="00082D7B"/>
    <w:rsid w:val="0008300C"/>
    <w:rsid w:val="00083059"/>
    <w:rsid w:val="0008307B"/>
    <w:rsid w:val="00083259"/>
    <w:rsid w:val="000833E5"/>
    <w:rsid w:val="00083445"/>
    <w:rsid w:val="000837B0"/>
    <w:rsid w:val="00083A32"/>
    <w:rsid w:val="00083F0B"/>
    <w:rsid w:val="000840F9"/>
    <w:rsid w:val="00084B42"/>
    <w:rsid w:val="00084BB2"/>
    <w:rsid w:val="00084F31"/>
    <w:rsid w:val="00085042"/>
    <w:rsid w:val="00085287"/>
    <w:rsid w:val="00085372"/>
    <w:rsid w:val="0008558C"/>
    <w:rsid w:val="0008586E"/>
    <w:rsid w:val="00085BB3"/>
    <w:rsid w:val="00085E8C"/>
    <w:rsid w:val="00085EAC"/>
    <w:rsid w:val="0008648B"/>
    <w:rsid w:val="0008672F"/>
    <w:rsid w:val="0008675F"/>
    <w:rsid w:val="00086F45"/>
    <w:rsid w:val="0008721E"/>
    <w:rsid w:val="000875C7"/>
    <w:rsid w:val="00087E8B"/>
    <w:rsid w:val="0009028B"/>
    <w:rsid w:val="0009038A"/>
    <w:rsid w:val="000904BD"/>
    <w:rsid w:val="000908CC"/>
    <w:rsid w:val="00090B20"/>
    <w:rsid w:val="00090BC7"/>
    <w:rsid w:val="00090F56"/>
    <w:rsid w:val="000912DD"/>
    <w:rsid w:val="0009132C"/>
    <w:rsid w:val="00091688"/>
    <w:rsid w:val="00091C5D"/>
    <w:rsid w:val="00091CFB"/>
    <w:rsid w:val="00092C96"/>
    <w:rsid w:val="0009362B"/>
    <w:rsid w:val="00093C2F"/>
    <w:rsid w:val="00093CA8"/>
    <w:rsid w:val="00093E66"/>
    <w:rsid w:val="00094204"/>
    <w:rsid w:val="000943AA"/>
    <w:rsid w:val="00094625"/>
    <w:rsid w:val="00094E20"/>
    <w:rsid w:val="00094E3B"/>
    <w:rsid w:val="00094F25"/>
    <w:rsid w:val="00094FCB"/>
    <w:rsid w:val="000950B9"/>
    <w:rsid w:val="00095946"/>
    <w:rsid w:val="00095E27"/>
    <w:rsid w:val="00095F17"/>
    <w:rsid w:val="0009617C"/>
    <w:rsid w:val="000965BE"/>
    <w:rsid w:val="00096816"/>
    <w:rsid w:val="00096B2D"/>
    <w:rsid w:val="00096EA2"/>
    <w:rsid w:val="000973C8"/>
    <w:rsid w:val="000974DF"/>
    <w:rsid w:val="000975FD"/>
    <w:rsid w:val="0009763F"/>
    <w:rsid w:val="00097D37"/>
    <w:rsid w:val="000A02F5"/>
    <w:rsid w:val="000A1016"/>
    <w:rsid w:val="000A13F1"/>
    <w:rsid w:val="000A1662"/>
    <w:rsid w:val="000A183E"/>
    <w:rsid w:val="000A1B5D"/>
    <w:rsid w:val="000A20AA"/>
    <w:rsid w:val="000A214C"/>
    <w:rsid w:val="000A242D"/>
    <w:rsid w:val="000A2AA9"/>
    <w:rsid w:val="000A2CD0"/>
    <w:rsid w:val="000A31E6"/>
    <w:rsid w:val="000A3444"/>
    <w:rsid w:val="000A3651"/>
    <w:rsid w:val="000A3DF8"/>
    <w:rsid w:val="000A4028"/>
    <w:rsid w:val="000A43EB"/>
    <w:rsid w:val="000A4772"/>
    <w:rsid w:val="000A4966"/>
    <w:rsid w:val="000A49BB"/>
    <w:rsid w:val="000A51D3"/>
    <w:rsid w:val="000A548C"/>
    <w:rsid w:val="000A56F2"/>
    <w:rsid w:val="000A56F8"/>
    <w:rsid w:val="000A6044"/>
    <w:rsid w:val="000A662C"/>
    <w:rsid w:val="000A67BE"/>
    <w:rsid w:val="000A6E05"/>
    <w:rsid w:val="000A7081"/>
    <w:rsid w:val="000A7169"/>
    <w:rsid w:val="000A7984"/>
    <w:rsid w:val="000B04F4"/>
    <w:rsid w:val="000B07C4"/>
    <w:rsid w:val="000B0EBA"/>
    <w:rsid w:val="000B0F13"/>
    <w:rsid w:val="000B1268"/>
    <w:rsid w:val="000B12FA"/>
    <w:rsid w:val="000B1882"/>
    <w:rsid w:val="000B1A21"/>
    <w:rsid w:val="000B1E27"/>
    <w:rsid w:val="000B22DF"/>
    <w:rsid w:val="000B2C36"/>
    <w:rsid w:val="000B2F00"/>
    <w:rsid w:val="000B39DA"/>
    <w:rsid w:val="000B3CF3"/>
    <w:rsid w:val="000B3DA0"/>
    <w:rsid w:val="000B4553"/>
    <w:rsid w:val="000B45DB"/>
    <w:rsid w:val="000B4E7D"/>
    <w:rsid w:val="000B5571"/>
    <w:rsid w:val="000B593D"/>
    <w:rsid w:val="000B5B5A"/>
    <w:rsid w:val="000B5EE2"/>
    <w:rsid w:val="000B610A"/>
    <w:rsid w:val="000B6385"/>
    <w:rsid w:val="000B6749"/>
    <w:rsid w:val="000B6D94"/>
    <w:rsid w:val="000B727E"/>
    <w:rsid w:val="000B7388"/>
    <w:rsid w:val="000B7DF4"/>
    <w:rsid w:val="000C08BF"/>
    <w:rsid w:val="000C1236"/>
    <w:rsid w:val="000C183C"/>
    <w:rsid w:val="000C1A34"/>
    <w:rsid w:val="000C1C7F"/>
    <w:rsid w:val="000C219A"/>
    <w:rsid w:val="000C2424"/>
    <w:rsid w:val="000C3729"/>
    <w:rsid w:val="000C38C1"/>
    <w:rsid w:val="000C3B9A"/>
    <w:rsid w:val="000C3C46"/>
    <w:rsid w:val="000C42E6"/>
    <w:rsid w:val="000C481B"/>
    <w:rsid w:val="000C4F55"/>
    <w:rsid w:val="000C512E"/>
    <w:rsid w:val="000C586F"/>
    <w:rsid w:val="000C5904"/>
    <w:rsid w:val="000C5F75"/>
    <w:rsid w:val="000C6A23"/>
    <w:rsid w:val="000C6BE2"/>
    <w:rsid w:val="000C6C1F"/>
    <w:rsid w:val="000C6E7A"/>
    <w:rsid w:val="000C7D9F"/>
    <w:rsid w:val="000D0052"/>
    <w:rsid w:val="000D005C"/>
    <w:rsid w:val="000D01B9"/>
    <w:rsid w:val="000D0402"/>
    <w:rsid w:val="000D0852"/>
    <w:rsid w:val="000D0B29"/>
    <w:rsid w:val="000D0F78"/>
    <w:rsid w:val="000D0FED"/>
    <w:rsid w:val="000D1479"/>
    <w:rsid w:val="000D15B3"/>
    <w:rsid w:val="000D1714"/>
    <w:rsid w:val="000D172B"/>
    <w:rsid w:val="000D18CD"/>
    <w:rsid w:val="000D1A21"/>
    <w:rsid w:val="000D2167"/>
    <w:rsid w:val="000D2243"/>
    <w:rsid w:val="000D2386"/>
    <w:rsid w:val="000D25A8"/>
    <w:rsid w:val="000D2607"/>
    <w:rsid w:val="000D27AB"/>
    <w:rsid w:val="000D317A"/>
    <w:rsid w:val="000D32EA"/>
    <w:rsid w:val="000D397F"/>
    <w:rsid w:val="000D3BC1"/>
    <w:rsid w:val="000D3FFF"/>
    <w:rsid w:val="000D46C8"/>
    <w:rsid w:val="000D4F55"/>
    <w:rsid w:val="000D5031"/>
    <w:rsid w:val="000D5280"/>
    <w:rsid w:val="000D548C"/>
    <w:rsid w:val="000D5684"/>
    <w:rsid w:val="000D5D14"/>
    <w:rsid w:val="000D623B"/>
    <w:rsid w:val="000D625F"/>
    <w:rsid w:val="000D62F4"/>
    <w:rsid w:val="000D666E"/>
    <w:rsid w:val="000D6690"/>
    <w:rsid w:val="000D66CB"/>
    <w:rsid w:val="000D68E0"/>
    <w:rsid w:val="000D69CB"/>
    <w:rsid w:val="000D7091"/>
    <w:rsid w:val="000D78E5"/>
    <w:rsid w:val="000D7D5B"/>
    <w:rsid w:val="000D7D93"/>
    <w:rsid w:val="000D7F85"/>
    <w:rsid w:val="000E0310"/>
    <w:rsid w:val="000E05FD"/>
    <w:rsid w:val="000E0AA9"/>
    <w:rsid w:val="000E0C75"/>
    <w:rsid w:val="000E0DBD"/>
    <w:rsid w:val="000E101D"/>
    <w:rsid w:val="000E1479"/>
    <w:rsid w:val="000E151E"/>
    <w:rsid w:val="000E180B"/>
    <w:rsid w:val="000E18F8"/>
    <w:rsid w:val="000E1A76"/>
    <w:rsid w:val="000E2076"/>
    <w:rsid w:val="000E270A"/>
    <w:rsid w:val="000E292D"/>
    <w:rsid w:val="000E2990"/>
    <w:rsid w:val="000E2B23"/>
    <w:rsid w:val="000E2BB1"/>
    <w:rsid w:val="000E2EA7"/>
    <w:rsid w:val="000E34F8"/>
    <w:rsid w:val="000E356C"/>
    <w:rsid w:val="000E375A"/>
    <w:rsid w:val="000E38DC"/>
    <w:rsid w:val="000E3B3D"/>
    <w:rsid w:val="000E3D57"/>
    <w:rsid w:val="000E43F2"/>
    <w:rsid w:val="000E46B9"/>
    <w:rsid w:val="000E48A4"/>
    <w:rsid w:val="000E49DB"/>
    <w:rsid w:val="000E4A37"/>
    <w:rsid w:val="000E4C53"/>
    <w:rsid w:val="000E5177"/>
    <w:rsid w:val="000E54B8"/>
    <w:rsid w:val="000E551F"/>
    <w:rsid w:val="000E5613"/>
    <w:rsid w:val="000E5E30"/>
    <w:rsid w:val="000E60DC"/>
    <w:rsid w:val="000E6908"/>
    <w:rsid w:val="000E6AF1"/>
    <w:rsid w:val="000E6C6C"/>
    <w:rsid w:val="000E6DE0"/>
    <w:rsid w:val="000E6E7C"/>
    <w:rsid w:val="000E70D7"/>
    <w:rsid w:val="000E7348"/>
    <w:rsid w:val="000E7646"/>
    <w:rsid w:val="000E766F"/>
    <w:rsid w:val="000E7936"/>
    <w:rsid w:val="000E7D21"/>
    <w:rsid w:val="000F0BC1"/>
    <w:rsid w:val="000F0FCA"/>
    <w:rsid w:val="000F14AE"/>
    <w:rsid w:val="000F1772"/>
    <w:rsid w:val="000F1FDA"/>
    <w:rsid w:val="000F2095"/>
    <w:rsid w:val="000F20DC"/>
    <w:rsid w:val="000F222F"/>
    <w:rsid w:val="000F29FA"/>
    <w:rsid w:val="000F318D"/>
    <w:rsid w:val="000F33AA"/>
    <w:rsid w:val="000F35F1"/>
    <w:rsid w:val="000F373C"/>
    <w:rsid w:val="000F3822"/>
    <w:rsid w:val="000F38FD"/>
    <w:rsid w:val="000F3A2C"/>
    <w:rsid w:val="000F3E09"/>
    <w:rsid w:val="000F4074"/>
    <w:rsid w:val="000F425B"/>
    <w:rsid w:val="000F42D1"/>
    <w:rsid w:val="000F4869"/>
    <w:rsid w:val="000F48C6"/>
    <w:rsid w:val="000F4D8F"/>
    <w:rsid w:val="000F4F43"/>
    <w:rsid w:val="000F5286"/>
    <w:rsid w:val="000F540F"/>
    <w:rsid w:val="000F55C6"/>
    <w:rsid w:val="000F55D7"/>
    <w:rsid w:val="000F5845"/>
    <w:rsid w:val="000F5874"/>
    <w:rsid w:val="000F59E4"/>
    <w:rsid w:val="000F5A00"/>
    <w:rsid w:val="000F5E5C"/>
    <w:rsid w:val="000F61D0"/>
    <w:rsid w:val="000F6252"/>
    <w:rsid w:val="000F633E"/>
    <w:rsid w:val="000F6383"/>
    <w:rsid w:val="000F63F4"/>
    <w:rsid w:val="000F6703"/>
    <w:rsid w:val="000F67FA"/>
    <w:rsid w:val="000F6E07"/>
    <w:rsid w:val="000F6FE9"/>
    <w:rsid w:val="000F77D1"/>
    <w:rsid w:val="001001FA"/>
    <w:rsid w:val="001006F8"/>
    <w:rsid w:val="00100A3F"/>
    <w:rsid w:val="001013D3"/>
    <w:rsid w:val="001015A5"/>
    <w:rsid w:val="0010169F"/>
    <w:rsid w:val="00101A47"/>
    <w:rsid w:val="00101EF0"/>
    <w:rsid w:val="001026C6"/>
    <w:rsid w:val="00102759"/>
    <w:rsid w:val="00102BDC"/>
    <w:rsid w:val="00102C0A"/>
    <w:rsid w:val="001034B0"/>
    <w:rsid w:val="00103D13"/>
    <w:rsid w:val="00103E7C"/>
    <w:rsid w:val="00103FB9"/>
    <w:rsid w:val="00104225"/>
    <w:rsid w:val="001042D4"/>
    <w:rsid w:val="00104352"/>
    <w:rsid w:val="001045CD"/>
    <w:rsid w:val="0010476C"/>
    <w:rsid w:val="00104D22"/>
    <w:rsid w:val="00104D70"/>
    <w:rsid w:val="00104DB9"/>
    <w:rsid w:val="001050AA"/>
    <w:rsid w:val="001052E8"/>
    <w:rsid w:val="00105A6B"/>
    <w:rsid w:val="00105DD6"/>
    <w:rsid w:val="0010641E"/>
    <w:rsid w:val="001067AF"/>
    <w:rsid w:val="00106946"/>
    <w:rsid w:val="0010697F"/>
    <w:rsid w:val="00106F5C"/>
    <w:rsid w:val="00107038"/>
    <w:rsid w:val="00107C2D"/>
    <w:rsid w:val="00110896"/>
    <w:rsid w:val="00110E0D"/>
    <w:rsid w:val="00111091"/>
    <w:rsid w:val="00111097"/>
    <w:rsid w:val="001112C3"/>
    <w:rsid w:val="001116D3"/>
    <w:rsid w:val="00111B1B"/>
    <w:rsid w:val="00111C18"/>
    <w:rsid w:val="00111CE9"/>
    <w:rsid w:val="00111F55"/>
    <w:rsid w:val="00111FEC"/>
    <w:rsid w:val="001123A7"/>
    <w:rsid w:val="0011267F"/>
    <w:rsid w:val="00112907"/>
    <w:rsid w:val="00112DBA"/>
    <w:rsid w:val="00112E80"/>
    <w:rsid w:val="00112EC6"/>
    <w:rsid w:val="00112EF5"/>
    <w:rsid w:val="00113044"/>
    <w:rsid w:val="0011411E"/>
    <w:rsid w:val="00114508"/>
    <w:rsid w:val="00114F3C"/>
    <w:rsid w:val="00115218"/>
    <w:rsid w:val="00115470"/>
    <w:rsid w:val="001154FC"/>
    <w:rsid w:val="00115716"/>
    <w:rsid w:val="00115816"/>
    <w:rsid w:val="00115845"/>
    <w:rsid w:val="00115926"/>
    <w:rsid w:val="00115B37"/>
    <w:rsid w:val="00116282"/>
    <w:rsid w:val="00116FD1"/>
    <w:rsid w:val="0011725A"/>
    <w:rsid w:val="00117343"/>
    <w:rsid w:val="0011739A"/>
    <w:rsid w:val="001173B6"/>
    <w:rsid w:val="00117D5C"/>
    <w:rsid w:val="00117F11"/>
    <w:rsid w:val="001200EB"/>
    <w:rsid w:val="001201FA"/>
    <w:rsid w:val="001209A5"/>
    <w:rsid w:val="00121089"/>
    <w:rsid w:val="001218E5"/>
    <w:rsid w:val="00121964"/>
    <w:rsid w:val="001226DA"/>
    <w:rsid w:val="00122805"/>
    <w:rsid w:val="00122D86"/>
    <w:rsid w:val="00123723"/>
    <w:rsid w:val="001238D6"/>
    <w:rsid w:val="00123AE4"/>
    <w:rsid w:val="00123FAF"/>
    <w:rsid w:val="00124136"/>
    <w:rsid w:val="001243B4"/>
    <w:rsid w:val="001244FB"/>
    <w:rsid w:val="0012509E"/>
    <w:rsid w:val="001255FF"/>
    <w:rsid w:val="00125709"/>
    <w:rsid w:val="001259CC"/>
    <w:rsid w:val="00125BBF"/>
    <w:rsid w:val="00125CFB"/>
    <w:rsid w:val="00125EAF"/>
    <w:rsid w:val="001266FE"/>
    <w:rsid w:val="00126A79"/>
    <w:rsid w:val="00126F01"/>
    <w:rsid w:val="00126F3D"/>
    <w:rsid w:val="00127349"/>
    <w:rsid w:val="00127887"/>
    <w:rsid w:val="0013004F"/>
    <w:rsid w:val="001300CC"/>
    <w:rsid w:val="00130141"/>
    <w:rsid w:val="0013068D"/>
    <w:rsid w:val="00130761"/>
    <w:rsid w:val="00130799"/>
    <w:rsid w:val="00130BA0"/>
    <w:rsid w:val="00130FF5"/>
    <w:rsid w:val="00131089"/>
    <w:rsid w:val="001313FC"/>
    <w:rsid w:val="00131A83"/>
    <w:rsid w:val="0013218D"/>
    <w:rsid w:val="00132291"/>
    <w:rsid w:val="001323D5"/>
    <w:rsid w:val="00132645"/>
    <w:rsid w:val="001327DA"/>
    <w:rsid w:val="001328E6"/>
    <w:rsid w:val="00132969"/>
    <w:rsid w:val="00132C5F"/>
    <w:rsid w:val="00132DCE"/>
    <w:rsid w:val="0013346A"/>
    <w:rsid w:val="00133584"/>
    <w:rsid w:val="001341D5"/>
    <w:rsid w:val="0013422F"/>
    <w:rsid w:val="0013535E"/>
    <w:rsid w:val="00135838"/>
    <w:rsid w:val="00135B9F"/>
    <w:rsid w:val="00136966"/>
    <w:rsid w:val="00136E28"/>
    <w:rsid w:val="0013708A"/>
    <w:rsid w:val="00137AED"/>
    <w:rsid w:val="00137CB1"/>
    <w:rsid w:val="00137DAB"/>
    <w:rsid w:val="00137ECB"/>
    <w:rsid w:val="00137F3E"/>
    <w:rsid w:val="00140ADD"/>
    <w:rsid w:val="00140D75"/>
    <w:rsid w:val="001418B5"/>
    <w:rsid w:val="00141DCD"/>
    <w:rsid w:val="00142F98"/>
    <w:rsid w:val="0014313B"/>
    <w:rsid w:val="001431E6"/>
    <w:rsid w:val="00144023"/>
    <w:rsid w:val="0014406F"/>
    <w:rsid w:val="001442DF"/>
    <w:rsid w:val="001446EC"/>
    <w:rsid w:val="001449C3"/>
    <w:rsid w:val="00144D1D"/>
    <w:rsid w:val="001450F0"/>
    <w:rsid w:val="001455A0"/>
    <w:rsid w:val="001455D8"/>
    <w:rsid w:val="00145CC0"/>
    <w:rsid w:val="00145D6A"/>
    <w:rsid w:val="0014633F"/>
    <w:rsid w:val="00146DE6"/>
    <w:rsid w:val="001471B3"/>
    <w:rsid w:val="001472FE"/>
    <w:rsid w:val="00147562"/>
    <w:rsid w:val="00147977"/>
    <w:rsid w:val="0015028F"/>
    <w:rsid w:val="00150C44"/>
    <w:rsid w:val="00151038"/>
    <w:rsid w:val="001513E0"/>
    <w:rsid w:val="001515EE"/>
    <w:rsid w:val="00151744"/>
    <w:rsid w:val="001519F6"/>
    <w:rsid w:val="00152094"/>
    <w:rsid w:val="00152FE3"/>
    <w:rsid w:val="00153086"/>
    <w:rsid w:val="001530EF"/>
    <w:rsid w:val="0015337A"/>
    <w:rsid w:val="001535A4"/>
    <w:rsid w:val="0015364D"/>
    <w:rsid w:val="00153E8B"/>
    <w:rsid w:val="001543C0"/>
    <w:rsid w:val="0015468A"/>
    <w:rsid w:val="00154BCB"/>
    <w:rsid w:val="00154CB6"/>
    <w:rsid w:val="00154FA2"/>
    <w:rsid w:val="001556AA"/>
    <w:rsid w:val="001556ED"/>
    <w:rsid w:val="00155CC7"/>
    <w:rsid w:val="00155E59"/>
    <w:rsid w:val="001569AE"/>
    <w:rsid w:val="00156BFF"/>
    <w:rsid w:val="00156C8A"/>
    <w:rsid w:val="001574AB"/>
    <w:rsid w:val="00157678"/>
    <w:rsid w:val="001576AF"/>
    <w:rsid w:val="0016053D"/>
    <w:rsid w:val="001605D1"/>
    <w:rsid w:val="00160BD4"/>
    <w:rsid w:val="00160DDC"/>
    <w:rsid w:val="001616A4"/>
    <w:rsid w:val="001617E9"/>
    <w:rsid w:val="00161852"/>
    <w:rsid w:val="00161B84"/>
    <w:rsid w:val="00161C5D"/>
    <w:rsid w:val="00161D6A"/>
    <w:rsid w:val="0016236F"/>
    <w:rsid w:val="00162DC1"/>
    <w:rsid w:val="00162E25"/>
    <w:rsid w:val="00163DA7"/>
    <w:rsid w:val="00163FE5"/>
    <w:rsid w:val="001641AF"/>
    <w:rsid w:val="001643FB"/>
    <w:rsid w:val="001648E7"/>
    <w:rsid w:val="001650AD"/>
    <w:rsid w:val="00166226"/>
    <w:rsid w:val="00166956"/>
    <w:rsid w:val="001672FF"/>
    <w:rsid w:val="0016785B"/>
    <w:rsid w:val="00167CC5"/>
    <w:rsid w:val="0017007B"/>
    <w:rsid w:val="00170E6A"/>
    <w:rsid w:val="00170FE9"/>
    <w:rsid w:val="001710E0"/>
    <w:rsid w:val="00171196"/>
    <w:rsid w:val="0017121B"/>
    <w:rsid w:val="00171277"/>
    <w:rsid w:val="00171611"/>
    <w:rsid w:val="00171739"/>
    <w:rsid w:val="00171E23"/>
    <w:rsid w:val="00171E51"/>
    <w:rsid w:val="001723CF"/>
    <w:rsid w:val="0017248A"/>
    <w:rsid w:val="00172764"/>
    <w:rsid w:val="00172869"/>
    <w:rsid w:val="00173315"/>
    <w:rsid w:val="00173441"/>
    <w:rsid w:val="001734AF"/>
    <w:rsid w:val="001737BC"/>
    <w:rsid w:val="00173F37"/>
    <w:rsid w:val="00174CCA"/>
    <w:rsid w:val="0017502E"/>
    <w:rsid w:val="001750FE"/>
    <w:rsid w:val="00175103"/>
    <w:rsid w:val="0017528F"/>
    <w:rsid w:val="001754BA"/>
    <w:rsid w:val="001755AF"/>
    <w:rsid w:val="00175BDE"/>
    <w:rsid w:val="0017642C"/>
    <w:rsid w:val="0017672D"/>
    <w:rsid w:val="00176BC2"/>
    <w:rsid w:val="00177044"/>
    <w:rsid w:val="00177468"/>
    <w:rsid w:val="001774B2"/>
    <w:rsid w:val="00177A77"/>
    <w:rsid w:val="00177CFB"/>
    <w:rsid w:val="00180101"/>
    <w:rsid w:val="00180204"/>
    <w:rsid w:val="00180282"/>
    <w:rsid w:val="001805A9"/>
    <w:rsid w:val="00180B79"/>
    <w:rsid w:val="00180C8D"/>
    <w:rsid w:val="00180F58"/>
    <w:rsid w:val="001812D4"/>
    <w:rsid w:val="00181DB5"/>
    <w:rsid w:val="00182040"/>
    <w:rsid w:val="001820ED"/>
    <w:rsid w:val="001825AF"/>
    <w:rsid w:val="00182632"/>
    <w:rsid w:val="0018272D"/>
    <w:rsid w:val="001828B6"/>
    <w:rsid w:val="001829E6"/>
    <w:rsid w:val="001831D8"/>
    <w:rsid w:val="001832F7"/>
    <w:rsid w:val="0018359C"/>
    <w:rsid w:val="00183CBB"/>
    <w:rsid w:val="00183ECC"/>
    <w:rsid w:val="00184719"/>
    <w:rsid w:val="00184A8F"/>
    <w:rsid w:val="00184B83"/>
    <w:rsid w:val="00184D34"/>
    <w:rsid w:val="0018503F"/>
    <w:rsid w:val="001851B8"/>
    <w:rsid w:val="001852DA"/>
    <w:rsid w:val="001861AD"/>
    <w:rsid w:val="00186614"/>
    <w:rsid w:val="00186878"/>
    <w:rsid w:val="00186897"/>
    <w:rsid w:val="00186BF6"/>
    <w:rsid w:val="00186C1F"/>
    <w:rsid w:val="00187175"/>
    <w:rsid w:val="001871F9"/>
    <w:rsid w:val="001872B5"/>
    <w:rsid w:val="00190359"/>
    <w:rsid w:val="0019077E"/>
    <w:rsid w:val="00190AEA"/>
    <w:rsid w:val="00190F90"/>
    <w:rsid w:val="001918D1"/>
    <w:rsid w:val="00191E3F"/>
    <w:rsid w:val="00191F8C"/>
    <w:rsid w:val="001921F0"/>
    <w:rsid w:val="00192A5C"/>
    <w:rsid w:val="00192A70"/>
    <w:rsid w:val="00192B20"/>
    <w:rsid w:val="00192D6E"/>
    <w:rsid w:val="00192E20"/>
    <w:rsid w:val="00192E92"/>
    <w:rsid w:val="001938C6"/>
    <w:rsid w:val="00193A12"/>
    <w:rsid w:val="00193C5C"/>
    <w:rsid w:val="001948F6"/>
    <w:rsid w:val="0019497D"/>
    <w:rsid w:val="00194B8E"/>
    <w:rsid w:val="00194C0A"/>
    <w:rsid w:val="00194D97"/>
    <w:rsid w:val="001952A8"/>
    <w:rsid w:val="00195A05"/>
    <w:rsid w:val="00195B2F"/>
    <w:rsid w:val="00195E89"/>
    <w:rsid w:val="001965B0"/>
    <w:rsid w:val="00196756"/>
    <w:rsid w:val="0019697F"/>
    <w:rsid w:val="00196F56"/>
    <w:rsid w:val="001970BB"/>
    <w:rsid w:val="0019719B"/>
    <w:rsid w:val="00197722"/>
    <w:rsid w:val="00197F60"/>
    <w:rsid w:val="001A01BB"/>
    <w:rsid w:val="001A0CD4"/>
    <w:rsid w:val="001A0E99"/>
    <w:rsid w:val="001A13F5"/>
    <w:rsid w:val="001A2079"/>
    <w:rsid w:val="001A21CD"/>
    <w:rsid w:val="001A23AC"/>
    <w:rsid w:val="001A27D3"/>
    <w:rsid w:val="001A27DC"/>
    <w:rsid w:val="001A2AD1"/>
    <w:rsid w:val="001A2B27"/>
    <w:rsid w:val="001A3189"/>
    <w:rsid w:val="001A31C4"/>
    <w:rsid w:val="001A4168"/>
    <w:rsid w:val="001A4F1D"/>
    <w:rsid w:val="001A5473"/>
    <w:rsid w:val="001A571B"/>
    <w:rsid w:val="001A633C"/>
    <w:rsid w:val="001A6482"/>
    <w:rsid w:val="001A65F1"/>
    <w:rsid w:val="001A6DA1"/>
    <w:rsid w:val="001B004E"/>
    <w:rsid w:val="001B0600"/>
    <w:rsid w:val="001B06F5"/>
    <w:rsid w:val="001B08BF"/>
    <w:rsid w:val="001B090D"/>
    <w:rsid w:val="001B1471"/>
    <w:rsid w:val="001B17F1"/>
    <w:rsid w:val="001B1BEF"/>
    <w:rsid w:val="001B22BE"/>
    <w:rsid w:val="001B2411"/>
    <w:rsid w:val="001B26C1"/>
    <w:rsid w:val="001B2877"/>
    <w:rsid w:val="001B2D7C"/>
    <w:rsid w:val="001B2E11"/>
    <w:rsid w:val="001B31C1"/>
    <w:rsid w:val="001B33A8"/>
    <w:rsid w:val="001B3434"/>
    <w:rsid w:val="001B36B9"/>
    <w:rsid w:val="001B3800"/>
    <w:rsid w:val="001B48C7"/>
    <w:rsid w:val="001B4F9E"/>
    <w:rsid w:val="001B53D0"/>
    <w:rsid w:val="001B558C"/>
    <w:rsid w:val="001B573A"/>
    <w:rsid w:val="001B5C80"/>
    <w:rsid w:val="001B63F7"/>
    <w:rsid w:val="001B6682"/>
    <w:rsid w:val="001B6894"/>
    <w:rsid w:val="001B6E2E"/>
    <w:rsid w:val="001B70F9"/>
    <w:rsid w:val="001B7120"/>
    <w:rsid w:val="001B72DD"/>
    <w:rsid w:val="001B7453"/>
    <w:rsid w:val="001B7CC6"/>
    <w:rsid w:val="001B7D38"/>
    <w:rsid w:val="001B7DB1"/>
    <w:rsid w:val="001C0284"/>
    <w:rsid w:val="001C0343"/>
    <w:rsid w:val="001C086D"/>
    <w:rsid w:val="001C08C7"/>
    <w:rsid w:val="001C0B54"/>
    <w:rsid w:val="001C0C86"/>
    <w:rsid w:val="001C0D62"/>
    <w:rsid w:val="001C104D"/>
    <w:rsid w:val="001C1317"/>
    <w:rsid w:val="001C1339"/>
    <w:rsid w:val="001C13EF"/>
    <w:rsid w:val="001C1725"/>
    <w:rsid w:val="001C1B23"/>
    <w:rsid w:val="001C1F00"/>
    <w:rsid w:val="001C240E"/>
    <w:rsid w:val="001C2412"/>
    <w:rsid w:val="001C2492"/>
    <w:rsid w:val="001C24FF"/>
    <w:rsid w:val="001C26A2"/>
    <w:rsid w:val="001C276A"/>
    <w:rsid w:val="001C2A76"/>
    <w:rsid w:val="001C2AFF"/>
    <w:rsid w:val="001C2B90"/>
    <w:rsid w:val="001C2C68"/>
    <w:rsid w:val="001C305B"/>
    <w:rsid w:val="001C3227"/>
    <w:rsid w:val="001C363F"/>
    <w:rsid w:val="001C374C"/>
    <w:rsid w:val="001C3AF0"/>
    <w:rsid w:val="001C3B60"/>
    <w:rsid w:val="001C3BC4"/>
    <w:rsid w:val="001C405E"/>
    <w:rsid w:val="001C429D"/>
    <w:rsid w:val="001C48A1"/>
    <w:rsid w:val="001C4931"/>
    <w:rsid w:val="001C4F40"/>
    <w:rsid w:val="001C4FF2"/>
    <w:rsid w:val="001C5D9F"/>
    <w:rsid w:val="001C6580"/>
    <w:rsid w:val="001C6F1E"/>
    <w:rsid w:val="001C7470"/>
    <w:rsid w:val="001C74D4"/>
    <w:rsid w:val="001C75D0"/>
    <w:rsid w:val="001C7BC7"/>
    <w:rsid w:val="001C7C69"/>
    <w:rsid w:val="001D02DD"/>
    <w:rsid w:val="001D088C"/>
    <w:rsid w:val="001D0907"/>
    <w:rsid w:val="001D0CAA"/>
    <w:rsid w:val="001D0FC9"/>
    <w:rsid w:val="001D10B0"/>
    <w:rsid w:val="001D1311"/>
    <w:rsid w:val="001D2D64"/>
    <w:rsid w:val="001D2E9C"/>
    <w:rsid w:val="001D30BE"/>
    <w:rsid w:val="001D317F"/>
    <w:rsid w:val="001D3327"/>
    <w:rsid w:val="001D3C59"/>
    <w:rsid w:val="001D4062"/>
    <w:rsid w:val="001D406C"/>
    <w:rsid w:val="001D44E5"/>
    <w:rsid w:val="001D44E7"/>
    <w:rsid w:val="001D4941"/>
    <w:rsid w:val="001D5060"/>
    <w:rsid w:val="001D51AA"/>
    <w:rsid w:val="001D53DB"/>
    <w:rsid w:val="001D5AED"/>
    <w:rsid w:val="001D5D41"/>
    <w:rsid w:val="001D5DB7"/>
    <w:rsid w:val="001D7253"/>
    <w:rsid w:val="001D7739"/>
    <w:rsid w:val="001D7851"/>
    <w:rsid w:val="001D7E39"/>
    <w:rsid w:val="001E0160"/>
    <w:rsid w:val="001E02A9"/>
    <w:rsid w:val="001E0997"/>
    <w:rsid w:val="001E0C48"/>
    <w:rsid w:val="001E0EA1"/>
    <w:rsid w:val="001E1743"/>
    <w:rsid w:val="001E1772"/>
    <w:rsid w:val="001E1D4C"/>
    <w:rsid w:val="001E2058"/>
    <w:rsid w:val="001E2572"/>
    <w:rsid w:val="001E2607"/>
    <w:rsid w:val="001E296D"/>
    <w:rsid w:val="001E2A62"/>
    <w:rsid w:val="001E3706"/>
    <w:rsid w:val="001E380F"/>
    <w:rsid w:val="001E400C"/>
    <w:rsid w:val="001E44E3"/>
    <w:rsid w:val="001E4822"/>
    <w:rsid w:val="001E567F"/>
    <w:rsid w:val="001E5712"/>
    <w:rsid w:val="001E5C64"/>
    <w:rsid w:val="001E5CCB"/>
    <w:rsid w:val="001E5EFD"/>
    <w:rsid w:val="001E5F8E"/>
    <w:rsid w:val="001E60E7"/>
    <w:rsid w:val="001E639B"/>
    <w:rsid w:val="001E6835"/>
    <w:rsid w:val="001E6B0D"/>
    <w:rsid w:val="001E6B6B"/>
    <w:rsid w:val="001E6D13"/>
    <w:rsid w:val="001E75E6"/>
    <w:rsid w:val="001E7AF8"/>
    <w:rsid w:val="001F0388"/>
    <w:rsid w:val="001F0791"/>
    <w:rsid w:val="001F0792"/>
    <w:rsid w:val="001F0A17"/>
    <w:rsid w:val="001F0F2E"/>
    <w:rsid w:val="001F126D"/>
    <w:rsid w:val="001F1937"/>
    <w:rsid w:val="001F203D"/>
    <w:rsid w:val="001F2203"/>
    <w:rsid w:val="001F229D"/>
    <w:rsid w:val="001F230B"/>
    <w:rsid w:val="001F2819"/>
    <w:rsid w:val="001F2834"/>
    <w:rsid w:val="001F318A"/>
    <w:rsid w:val="001F396B"/>
    <w:rsid w:val="001F39CC"/>
    <w:rsid w:val="001F3B50"/>
    <w:rsid w:val="001F3F8A"/>
    <w:rsid w:val="001F410F"/>
    <w:rsid w:val="001F4397"/>
    <w:rsid w:val="001F4571"/>
    <w:rsid w:val="001F4826"/>
    <w:rsid w:val="001F4B4A"/>
    <w:rsid w:val="001F51D1"/>
    <w:rsid w:val="001F52DB"/>
    <w:rsid w:val="001F5361"/>
    <w:rsid w:val="001F53F3"/>
    <w:rsid w:val="001F5792"/>
    <w:rsid w:val="001F592C"/>
    <w:rsid w:val="001F5AB5"/>
    <w:rsid w:val="001F5E58"/>
    <w:rsid w:val="001F60BA"/>
    <w:rsid w:val="001F71B8"/>
    <w:rsid w:val="001F7388"/>
    <w:rsid w:val="001F75FC"/>
    <w:rsid w:val="001F762E"/>
    <w:rsid w:val="001F764C"/>
    <w:rsid w:val="001F7943"/>
    <w:rsid w:val="001F7C4F"/>
    <w:rsid w:val="001F7CB8"/>
    <w:rsid w:val="001F7DAE"/>
    <w:rsid w:val="00200A1E"/>
    <w:rsid w:val="00201332"/>
    <w:rsid w:val="00201A11"/>
    <w:rsid w:val="00201A96"/>
    <w:rsid w:val="00201CA4"/>
    <w:rsid w:val="002027E8"/>
    <w:rsid w:val="00202990"/>
    <w:rsid w:val="00202A3A"/>
    <w:rsid w:val="00202E51"/>
    <w:rsid w:val="002032FC"/>
    <w:rsid w:val="0020377B"/>
    <w:rsid w:val="00203B68"/>
    <w:rsid w:val="002043BE"/>
    <w:rsid w:val="002043EC"/>
    <w:rsid w:val="00204839"/>
    <w:rsid w:val="00204C97"/>
    <w:rsid w:val="00205320"/>
    <w:rsid w:val="00205374"/>
    <w:rsid w:val="00205985"/>
    <w:rsid w:val="00205D5B"/>
    <w:rsid w:val="00205DF5"/>
    <w:rsid w:val="002060CA"/>
    <w:rsid w:val="00206363"/>
    <w:rsid w:val="002063F6"/>
    <w:rsid w:val="002064AF"/>
    <w:rsid w:val="00206509"/>
    <w:rsid w:val="002066A9"/>
    <w:rsid w:val="00206996"/>
    <w:rsid w:val="00206CDB"/>
    <w:rsid w:val="0020745D"/>
    <w:rsid w:val="002076A4"/>
    <w:rsid w:val="00207A07"/>
    <w:rsid w:val="00207B19"/>
    <w:rsid w:val="0021026A"/>
    <w:rsid w:val="002102FF"/>
    <w:rsid w:val="00210556"/>
    <w:rsid w:val="0021063C"/>
    <w:rsid w:val="002108D7"/>
    <w:rsid w:val="002109CD"/>
    <w:rsid w:val="00210EB6"/>
    <w:rsid w:val="00211280"/>
    <w:rsid w:val="0021155A"/>
    <w:rsid w:val="002117C7"/>
    <w:rsid w:val="00211805"/>
    <w:rsid w:val="00211A06"/>
    <w:rsid w:val="00211C4E"/>
    <w:rsid w:val="00211DF9"/>
    <w:rsid w:val="0021228B"/>
    <w:rsid w:val="00212752"/>
    <w:rsid w:val="002127C5"/>
    <w:rsid w:val="00212ACB"/>
    <w:rsid w:val="00213241"/>
    <w:rsid w:val="0021374D"/>
    <w:rsid w:val="00213A00"/>
    <w:rsid w:val="00213BD3"/>
    <w:rsid w:val="002141DB"/>
    <w:rsid w:val="00214424"/>
    <w:rsid w:val="00214ECE"/>
    <w:rsid w:val="0021520C"/>
    <w:rsid w:val="00215219"/>
    <w:rsid w:val="00215717"/>
    <w:rsid w:val="00215743"/>
    <w:rsid w:val="00215794"/>
    <w:rsid w:val="0021585D"/>
    <w:rsid w:val="00215D8D"/>
    <w:rsid w:val="002165BD"/>
    <w:rsid w:val="00216618"/>
    <w:rsid w:val="00216855"/>
    <w:rsid w:val="00216876"/>
    <w:rsid w:val="00216C61"/>
    <w:rsid w:val="002170B3"/>
    <w:rsid w:val="00217805"/>
    <w:rsid w:val="00217CE2"/>
    <w:rsid w:val="00217DA9"/>
    <w:rsid w:val="002201CC"/>
    <w:rsid w:val="002209F5"/>
    <w:rsid w:val="00220BFC"/>
    <w:rsid w:val="00220CBE"/>
    <w:rsid w:val="00220D78"/>
    <w:rsid w:val="0022128D"/>
    <w:rsid w:val="002212CE"/>
    <w:rsid w:val="00221B72"/>
    <w:rsid w:val="00221C4E"/>
    <w:rsid w:val="00221CF7"/>
    <w:rsid w:val="002220AF"/>
    <w:rsid w:val="0022213F"/>
    <w:rsid w:val="002227CB"/>
    <w:rsid w:val="002227EA"/>
    <w:rsid w:val="00222C59"/>
    <w:rsid w:val="00222CEF"/>
    <w:rsid w:val="00222E9B"/>
    <w:rsid w:val="0022337E"/>
    <w:rsid w:val="002233BE"/>
    <w:rsid w:val="002233D6"/>
    <w:rsid w:val="00223583"/>
    <w:rsid w:val="00223659"/>
    <w:rsid w:val="00223D1E"/>
    <w:rsid w:val="00224A01"/>
    <w:rsid w:val="00224CED"/>
    <w:rsid w:val="00224EC0"/>
    <w:rsid w:val="002252AE"/>
    <w:rsid w:val="00225415"/>
    <w:rsid w:val="00225E6A"/>
    <w:rsid w:val="002260EA"/>
    <w:rsid w:val="00226233"/>
    <w:rsid w:val="00226D86"/>
    <w:rsid w:val="0022703A"/>
    <w:rsid w:val="00227295"/>
    <w:rsid w:val="002272D0"/>
    <w:rsid w:val="0022748A"/>
    <w:rsid w:val="002277D8"/>
    <w:rsid w:val="002278B5"/>
    <w:rsid w:val="00227B7E"/>
    <w:rsid w:val="00227D2A"/>
    <w:rsid w:val="00230781"/>
    <w:rsid w:val="00230809"/>
    <w:rsid w:val="002308C6"/>
    <w:rsid w:val="00230D0F"/>
    <w:rsid w:val="00230DCB"/>
    <w:rsid w:val="0023101B"/>
    <w:rsid w:val="00231A63"/>
    <w:rsid w:val="00231D59"/>
    <w:rsid w:val="00231F4E"/>
    <w:rsid w:val="002336E1"/>
    <w:rsid w:val="00234767"/>
    <w:rsid w:val="00234958"/>
    <w:rsid w:val="00234BFB"/>
    <w:rsid w:val="00234DC7"/>
    <w:rsid w:val="00234FF4"/>
    <w:rsid w:val="00235403"/>
    <w:rsid w:val="002356E7"/>
    <w:rsid w:val="00235CB5"/>
    <w:rsid w:val="00235DA9"/>
    <w:rsid w:val="00235EB8"/>
    <w:rsid w:val="00235FE2"/>
    <w:rsid w:val="0023613C"/>
    <w:rsid w:val="00236173"/>
    <w:rsid w:val="002363DB"/>
    <w:rsid w:val="00236458"/>
    <w:rsid w:val="002366FB"/>
    <w:rsid w:val="0023677C"/>
    <w:rsid w:val="00236AF7"/>
    <w:rsid w:val="00236DB8"/>
    <w:rsid w:val="0023712B"/>
    <w:rsid w:val="0023720D"/>
    <w:rsid w:val="0023736B"/>
    <w:rsid w:val="002377F2"/>
    <w:rsid w:val="002405E7"/>
    <w:rsid w:val="00240847"/>
    <w:rsid w:val="0024098F"/>
    <w:rsid w:val="002412E7"/>
    <w:rsid w:val="00241B2C"/>
    <w:rsid w:val="00241B66"/>
    <w:rsid w:val="00241BD4"/>
    <w:rsid w:val="00242294"/>
    <w:rsid w:val="00242463"/>
    <w:rsid w:val="0024290A"/>
    <w:rsid w:val="002429AA"/>
    <w:rsid w:val="00242CF2"/>
    <w:rsid w:val="00242DBF"/>
    <w:rsid w:val="00243021"/>
    <w:rsid w:val="0024342E"/>
    <w:rsid w:val="00243DC0"/>
    <w:rsid w:val="00244956"/>
    <w:rsid w:val="0024508A"/>
    <w:rsid w:val="0024516A"/>
    <w:rsid w:val="002451E5"/>
    <w:rsid w:val="00245A75"/>
    <w:rsid w:val="00246074"/>
    <w:rsid w:val="0024626A"/>
    <w:rsid w:val="00246315"/>
    <w:rsid w:val="00246377"/>
    <w:rsid w:val="002465CF"/>
    <w:rsid w:val="00247477"/>
    <w:rsid w:val="00247C3B"/>
    <w:rsid w:val="00247D8C"/>
    <w:rsid w:val="00247DBB"/>
    <w:rsid w:val="00251070"/>
    <w:rsid w:val="00251890"/>
    <w:rsid w:val="0025286A"/>
    <w:rsid w:val="00252C96"/>
    <w:rsid w:val="00252E1C"/>
    <w:rsid w:val="00253577"/>
    <w:rsid w:val="0025366F"/>
    <w:rsid w:val="00253E5F"/>
    <w:rsid w:val="00254B16"/>
    <w:rsid w:val="00254C3F"/>
    <w:rsid w:val="002556CC"/>
    <w:rsid w:val="00255A2B"/>
    <w:rsid w:val="0025612E"/>
    <w:rsid w:val="00256522"/>
    <w:rsid w:val="0025675D"/>
    <w:rsid w:val="00256CD9"/>
    <w:rsid w:val="00256E52"/>
    <w:rsid w:val="00256FFE"/>
    <w:rsid w:val="002570A0"/>
    <w:rsid w:val="00257652"/>
    <w:rsid w:val="00257703"/>
    <w:rsid w:val="00257E41"/>
    <w:rsid w:val="00257EEB"/>
    <w:rsid w:val="002604C2"/>
    <w:rsid w:val="00260FB7"/>
    <w:rsid w:val="0026197F"/>
    <w:rsid w:val="002620AE"/>
    <w:rsid w:val="00262C41"/>
    <w:rsid w:val="00262FAB"/>
    <w:rsid w:val="00263840"/>
    <w:rsid w:val="00263D28"/>
    <w:rsid w:val="00263FCE"/>
    <w:rsid w:val="002642A2"/>
    <w:rsid w:val="002643ED"/>
    <w:rsid w:val="002644E8"/>
    <w:rsid w:val="0026486E"/>
    <w:rsid w:val="002649A0"/>
    <w:rsid w:val="00264CC7"/>
    <w:rsid w:val="00265737"/>
    <w:rsid w:val="00266D38"/>
    <w:rsid w:val="00266DED"/>
    <w:rsid w:val="002677B6"/>
    <w:rsid w:val="00267DEA"/>
    <w:rsid w:val="00267E3E"/>
    <w:rsid w:val="0027012C"/>
    <w:rsid w:val="002703EB"/>
    <w:rsid w:val="00270440"/>
    <w:rsid w:val="00270B80"/>
    <w:rsid w:val="002711C0"/>
    <w:rsid w:val="00271CFA"/>
    <w:rsid w:val="00271D03"/>
    <w:rsid w:val="00272688"/>
    <w:rsid w:val="002726FE"/>
    <w:rsid w:val="00272C75"/>
    <w:rsid w:val="00272E2E"/>
    <w:rsid w:val="00272F60"/>
    <w:rsid w:val="0027315F"/>
    <w:rsid w:val="00273313"/>
    <w:rsid w:val="00273CA8"/>
    <w:rsid w:val="00273EDC"/>
    <w:rsid w:val="0027475E"/>
    <w:rsid w:val="0027486A"/>
    <w:rsid w:val="002748CF"/>
    <w:rsid w:val="00274971"/>
    <w:rsid w:val="00274A12"/>
    <w:rsid w:val="00274CE2"/>
    <w:rsid w:val="002750FD"/>
    <w:rsid w:val="00275397"/>
    <w:rsid w:val="00275B26"/>
    <w:rsid w:val="00275C2B"/>
    <w:rsid w:val="00275D03"/>
    <w:rsid w:val="0027625C"/>
    <w:rsid w:val="002763F7"/>
    <w:rsid w:val="00276659"/>
    <w:rsid w:val="00276904"/>
    <w:rsid w:val="00276969"/>
    <w:rsid w:val="00276FFC"/>
    <w:rsid w:val="00277014"/>
    <w:rsid w:val="002809C0"/>
    <w:rsid w:val="00281281"/>
    <w:rsid w:val="002814AC"/>
    <w:rsid w:val="00281A59"/>
    <w:rsid w:val="00281AC0"/>
    <w:rsid w:val="00282403"/>
    <w:rsid w:val="0028252B"/>
    <w:rsid w:val="002828FD"/>
    <w:rsid w:val="00282BBD"/>
    <w:rsid w:val="00282BD6"/>
    <w:rsid w:val="002830BA"/>
    <w:rsid w:val="00283630"/>
    <w:rsid w:val="0028366F"/>
    <w:rsid w:val="0028447E"/>
    <w:rsid w:val="00284AAF"/>
    <w:rsid w:val="00284D8D"/>
    <w:rsid w:val="002853E4"/>
    <w:rsid w:val="00285457"/>
    <w:rsid w:val="00285695"/>
    <w:rsid w:val="002857E2"/>
    <w:rsid w:val="00285F29"/>
    <w:rsid w:val="00286657"/>
    <w:rsid w:val="00286F72"/>
    <w:rsid w:val="002870E7"/>
    <w:rsid w:val="002871B0"/>
    <w:rsid w:val="002874DB"/>
    <w:rsid w:val="0028765A"/>
    <w:rsid w:val="00287BC5"/>
    <w:rsid w:val="00287BD1"/>
    <w:rsid w:val="00290413"/>
    <w:rsid w:val="002907D3"/>
    <w:rsid w:val="00290F26"/>
    <w:rsid w:val="00291145"/>
    <w:rsid w:val="002911CC"/>
    <w:rsid w:val="00291775"/>
    <w:rsid w:val="00291828"/>
    <w:rsid w:val="00291C36"/>
    <w:rsid w:val="00291E57"/>
    <w:rsid w:val="00292477"/>
    <w:rsid w:val="0029267B"/>
    <w:rsid w:val="00292E51"/>
    <w:rsid w:val="00292FD1"/>
    <w:rsid w:val="00293580"/>
    <w:rsid w:val="00293B2F"/>
    <w:rsid w:val="00293B52"/>
    <w:rsid w:val="00293CFC"/>
    <w:rsid w:val="00293DEE"/>
    <w:rsid w:val="00294515"/>
    <w:rsid w:val="0029485D"/>
    <w:rsid w:val="00294B16"/>
    <w:rsid w:val="00295036"/>
    <w:rsid w:val="00295113"/>
    <w:rsid w:val="0029567B"/>
    <w:rsid w:val="00295854"/>
    <w:rsid w:val="00296209"/>
    <w:rsid w:val="0029654D"/>
    <w:rsid w:val="00296626"/>
    <w:rsid w:val="0029675E"/>
    <w:rsid w:val="00296BCD"/>
    <w:rsid w:val="00296C20"/>
    <w:rsid w:val="002A0B0C"/>
    <w:rsid w:val="002A0B5D"/>
    <w:rsid w:val="002A0D57"/>
    <w:rsid w:val="002A0D7C"/>
    <w:rsid w:val="002A0DC7"/>
    <w:rsid w:val="002A14C8"/>
    <w:rsid w:val="002A17EF"/>
    <w:rsid w:val="002A1A38"/>
    <w:rsid w:val="002A1BF0"/>
    <w:rsid w:val="002A1F61"/>
    <w:rsid w:val="002A26B3"/>
    <w:rsid w:val="002A2988"/>
    <w:rsid w:val="002A2C4B"/>
    <w:rsid w:val="002A2FD9"/>
    <w:rsid w:val="002A3031"/>
    <w:rsid w:val="002A351A"/>
    <w:rsid w:val="002A3766"/>
    <w:rsid w:val="002A3934"/>
    <w:rsid w:val="002A3D97"/>
    <w:rsid w:val="002A48B3"/>
    <w:rsid w:val="002A4B72"/>
    <w:rsid w:val="002A4C9F"/>
    <w:rsid w:val="002A4E03"/>
    <w:rsid w:val="002A504A"/>
    <w:rsid w:val="002A5C96"/>
    <w:rsid w:val="002A5E98"/>
    <w:rsid w:val="002A6467"/>
    <w:rsid w:val="002A65B4"/>
    <w:rsid w:val="002A70F6"/>
    <w:rsid w:val="002A74B6"/>
    <w:rsid w:val="002A7572"/>
    <w:rsid w:val="002A7962"/>
    <w:rsid w:val="002A7E7B"/>
    <w:rsid w:val="002B0409"/>
    <w:rsid w:val="002B06DE"/>
    <w:rsid w:val="002B0EEB"/>
    <w:rsid w:val="002B145F"/>
    <w:rsid w:val="002B1639"/>
    <w:rsid w:val="002B1AE4"/>
    <w:rsid w:val="002B2E36"/>
    <w:rsid w:val="002B329B"/>
    <w:rsid w:val="002B3547"/>
    <w:rsid w:val="002B360B"/>
    <w:rsid w:val="002B36DD"/>
    <w:rsid w:val="002B383D"/>
    <w:rsid w:val="002B3F82"/>
    <w:rsid w:val="002B4217"/>
    <w:rsid w:val="002B44DE"/>
    <w:rsid w:val="002B44EB"/>
    <w:rsid w:val="002B472B"/>
    <w:rsid w:val="002B4758"/>
    <w:rsid w:val="002B5C77"/>
    <w:rsid w:val="002B5D6D"/>
    <w:rsid w:val="002B5E79"/>
    <w:rsid w:val="002B647F"/>
    <w:rsid w:val="002B67AC"/>
    <w:rsid w:val="002B69DA"/>
    <w:rsid w:val="002B6DAB"/>
    <w:rsid w:val="002B6EA7"/>
    <w:rsid w:val="002B6FE2"/>
    <w:rsid w:val="002B74EF"/>
    <w:rsid w:val="002B7508"/>
    <w:rsid w:val="002B76D3"/>
    <w:rsid w:val="002B7B5E"/>
    <w:rsid w:val="002C0361"/>
    <w:rsid w:val="002C053E"/>
    <w:rsid w:val="002C0553"/>
    <w:rsid w:val="002C076C"/>
    <w:rsid w:val="002C0809"/>
    <w:rsid w:val="002C1A73"/>
    <w:rsid w:val="002C1C48"/>
    <w:rsid w:val="002C1D93"/>
    <w:rsid w:val="002C263B"/>
    <w:rsid w:val="002C2C7F"/>
    <w:rsid w:val="002C302F"/>
    <w:rsid w:val="002C3053"/>
    <w:rsid w:val="002C30CC"/>
    <w:rsid w:val="002C33A3"/>
    <w:rsid w:val="002C389D"/>
    <w:rsid w:val="002C4BC3"/>
    <w:rsid w:val="002C4CB5"/>
    <w:rsid w:val="002C4DE8"/>
    <w:rsid w:val="002C4E47"/>
    <w:rsid w:val="002C4EEE"/>
    <w:rsid w:val="002C5384"/>
    <w:rsid w:val="002C5863"/>
    <w:rsid w:val="002C5CF6"/>
    <w:rsid w:val="002C5D18"/>
    <w:rsid w:val="002C6504"/>
    <w:rsid w:val="002C69A1"/>
    <w:rsid w:val="002C7101"/>
    <w:rsid w:val="002C774E"/>
    <w:rsid w:val="002C7A4C"/>
    <w:rsid w:val="002C7ACF"/>
    <w:rsid w:val="002C7C42"/>
    <w:rsid w:val="002C7FE9"/>
    <w:rsid w:val="002D02A6"/>
    <w:rsid w:val="002D033B"/>
    <w:rsid w:val="002D06AB"/>
    <w:rsid w:val="002D0772"/>
    <w:rsid w:val="002D0792"/>
    <w:rsid w:val="002D08B0"/>
    <w:rsid w:val="002D0947"/>
    <w:rsid w:val="002D0A98"/>
    <w:rsid w:val="002D0D5A"/>
    <w:rsid w:val="002D0DC5"/>
    <w:rsid w:val="002D1156"/>
    <w:rsid w:val="002D1901"/>
    <w:rsid w:val="002D1BFA"/>
    <w:rsid w:val="002D1EB3"/>
    <w:rsid w:val="002D224C"/>
    <w:rsid w:val="002D2572"/>
    <w:rsid w:val="002D2988"/>
    <w:rsid w:val="002D2C14"/>
    <w:rsid w:val="002D3551"/>
    <w:rsid w:val="002D3CA0"/>
    <w:rsid w:val="002D3F88"/>
    <w:rsid w:val="002D40EC"/>
    <w:rsid w:val="002D475A"/>
    <w:rsid w:val="002D4E87"/>
    <w:rsid w:val="002D4EFD"/>
    <w:rsid w:val="002D53E6"/>
    <w:rsid w:val="002D5421"/>
    <w:rsid w:val="002D57B9"/>
    <w:rsid w:val="002D62E2"/>
    <w:rsid w:val="002D698B"/>
    <w:rsid w:val="002D7281"/>
    <w:rsid w:val="002D758B"/>
    <w:rsid w:val="002D7BFD"/>
    <w:rsid w:val="002E07D9"/>
    <w:rsid w:val="002E0FB3"/>
    <w:rsid w:val="002E1462"/>
    <w:rsid w:val="002E1D96"/>
    <w:rsid w:val="002E1E43"/>
    <w:rsid w:val="002E1F12"/>
    <w:rsid w:val="002E303E"/>
    <w:rsid w:val="002E3102"/>
    <w:rsid w:val="002E4583"/>
    <w:rsid w:val="002E54BC"/>
    <w:rsid w:val="002E5AEC"/>
    <w:rsid w:val="002E6719"/>
    <w:rsid w:val="002E6993"/>
    <w:rsid w:val="002E6D33"/>
    <w:rsid w:val="002E6D75"/>
    <w:rsid w:val="002E6E8E"/>
    <w:rsid w:val="002E73B4"/>
    <w:rsid w:val="002E752B"/>
    <w:rsid w:val="002E779B"/>
    <w:rsid w:val="002E7E11"/>
    <w:rsid w:val="002E7F04"/>
    <w:rsid w:val="002E7F4D"/>
    <w:rsid w:val="002F05EB"/>
    <w:rsid w:val="002F0B33"/>
    <w:rsid w:val="002F0E56"/>
    <w:rsid w:val="002F1535"/>
    <w:rsid w:val="002F18C5"/>
    <w:rsid w:val="002F19CC"/>
    <w:rsid w:val="002F2B87"/>
    <w:rsid w:val="002F2EC2"/>
    <w:rsid w:val="002F30A3"/>
    <w:rsid w:val="002F315C"/>
    <w:rsid w:val="002F3347"/>
    <w:rsid w:val="002F342E"/>
    <w:rsid w:val="002F359E"/>
    <w:rsid w:val="002F3A64"/>
    <w:rsid w:val="002F3C2C"/>
    <w:rsid w:val="002F4869"/>
    <w:rsid w:val="002F4BAF"/>
    <w:rsid w:val="002F50AE"/>
    <w:rsid w:val="002F5621"/>
    <w:rsid w:val="002F59B6"/>
    <w:rsid w:val="002F5AF2"/>
    <w:rsid w:val="002F5C4B"/>
    <w:rsid w:val="002F6F34"/>
    <w:rsid w:val="002F7226"/>
    <w:rsid w:val="002F7425"/>
    <w:rsid w:val="002F78C8"/>
    <w:rsid w:val="002F7B64"/>
    <w:rsid w:val="003001C4"/>
    <w:rsid w:val="00300375"/>
    <w:rsid w:val="003006E3"/>
    <w:rsid w:val="00300724"/>
    <w:rsid w:val="00300F83"/>
    <w:rsid w:val="00301325"/>
    <w:rsid w:val="00301798"/>
    <w:rsid w:val="003019B1"/>
    <w:rsid w:val="00301E09"/>
    <w:rsid w:val="003021F5"/>
    <w:rsid w:val="003025D8"/>
    <w:rsid w:val="0030271C"/>
    <w:rsid w:val="00302C04"/>
    <w:rsid w:val="00302D21"/>
    <w:rsid w:val="00302F63"/>
    <w:rsid w:val="00303A3A"/>
    <w:rsid w:val="00303D73"/>
    <w:rsid w:val="003041F3"/>
    <w:rsid w:val="00304212"/>
    <w:rsid w:val="003042D8"/>
    <w:rsid w:val="003049D4"/>
    <w:rsid w:val="00304B3F"/>
    <w:rsid w:val="00304C99"/>
    <w:rsid w:val="00304CD6"/>
    <w:rsid w:val="003053CF"/>
    <w:rsid w:val="0030559F"/>
    <w:rsid w:val="00305801"/>
    <w:rsid w:val="00305DCC"/>
    <w:rsid w:val="0030623E"/>
    <w:rsid w:val="0030670D"/>
    <w:rsid w:val="0030700A"/>
    <w:rsid w:val="00307CD2"/>
    <w:rsid w:val="00310601"/>
    <w:rsid w:val="00310E8E"/>
    <w:rsid w:val="0031153E"/>
    <w:rsid w:val="003116E9"/>
    <w:rsid w:val="00311784"/>
    <w:rsid w:val="00311EDB"/>
    <w:rsid w:val="0031207C"/>
    <w:rsid w:val="00312174"/>
    <w:rsid w:val="0031217F"/>
    <w:rsid w:val="0031282C"/>
    <w:rsid w:val="00312A68"/>
    <w:rsid w:val="00312C05"/>
    <w:rsid w:val="00312C5A"/>
    <w:rsid w:val="0031309C"/>
    <w:rsid w:val="00313C54"/>
    <w:rsid w:val="00313D98"/>
    <w:rsid w:val="00314686"/>
    <w:rsid w:val="00314884"/>
    <w:rsid w:val="00314CAD"/>
    <w:rsid w:val="003151B6"/>
    <w:rsid w:val="00315A97"/>
    <w:rsid w:val="00315FDB"/>
    <w:rsid w:val="00316071"/>
    <w:rsid w:val="003163D2"/>
    <w:rsid w:val="00316772"/>
    <w:rsid w:val="00316FF6"/>
    <w:rsid w:val="003170E2"/>
    <w:rsid w:val="00317832"/>
    <w:rsid w:val="00317927"/>
    <w:rsid w:val="00317A7C"/>
    <w:rsid w:val="00317B2E"/>
    <w:rsid w:val="00317E3F"/>
    <w:rsid w:val="003202E9"/>
    <w:rsid w:val="0032049F"/>
    <w:rsid w:val="0032105F"/>
    <w:rsid w:val="0032115C"/>
    <w:rsid w:val="00321380"/>
    <w:rsid w:val="00321382"/>
    <w:rsid w:val="003213F1"/>
    <w:rsid w:val="0032162E"/>
    <w:rsid w:val="003216C4"/>
    <w:rsid w:val="00321C85"/>
    <w:rsid w:val="00321E80"/>
    <w:rsid w:val="00322542"/>
    <w:rsid w:val="00322721"/>
    <w:rsid w:val="00322A8A"/>
    <w:rsid w:val="00322B77"/>
    <w:rsid w:val="00323155"/>
    <w:rsid w:val="00323248"/>
    <w:rsid w:val="00323898"/>
    <w:rsid w:val="00324004"/>
    <w:rsid w:val="00324627"/>
    <w:rsid w:val="00324909"/>
    <w:rsid w:val="00324924"/>
    <w:rsid w:val="00324926"/>
    <w:rsid w:val="00324967"/>
    <w:rsid w:val="00325513"/>
    <w:rsid w:val="003256F7"/>
    <w:rsid w:val="003257EA"/>
    <w:rsid w:val="00325C3A"/>
    <w:rsid w:val="0032688E"/>
    <w:rsid w:val="003268E0"/>
    <w:rsid w:val="00326AA5"/>
    <w:rsid w:val="00326C3A"/>
    <w:rsid w:val="00327072"/>
    <w:rsid w:val="00327169"/>
    <w:rsid w:val="003271D6"/>
    <w:rsid w:val="00327AAF"/>
    <w:rsid w:val="00327C36"/>
    <w:rsid w:val="00330083"/>
    <w:rsid w:val="003305CF"/>
    <w:rsid w:val="003305ED"/>
    <w:rsid w:val="00330959"/>
    <w:rsid w:val="00330CB3"/>
    <w:rsid w:val="0033191D"/>
    <w:rsid w:val="00331A39"/>
    <w:rsid w:val="00332134"/>
    <w:rsid w:val="00332210"/>
    <w:rsid w:val="003322BD"/>
    <w:rsid w:val="00332EBD"/>
    <w:rsid w:val="00332FC7"/>
    <w:rsid w:val="00332FF7"/>
    <w:rsid w:val="00333229"/>
    <w:rsid w:val="00333791"/>
    <w:rsid w:val="003345AC"/>
    <w:rsid w:val="00334608"/>
    <w:rsid w:val="00335076"/>
    <w:rsid w:val="00335149"/>
    <w:rsid w:val="003356BA"/>
    <w:rsid w:val="00335E9B"/>
    <w:rsid w:val="00336AF0"/>
    <w:rsid w:val="00337626"/>
    <w:rsid w:val="00337DCB"/>
    <w:rsid w:val="0034087B"/>
    <w:rsid w:val="00340902"/>
    <w:rsid w:val="00340F37"/>
    <w:rsid w:val="00341674"/>
    <w:rsid w:val="003416F5"/>
    <w:rsid w:val="0034171F"/>
    <w:rsid w:val="00341F19"/>
    <w:rsid w:val="003426CD"/>
    <w:rsid w:val="00342AEE"/>
    <w:rsid w:val="00342B0E"/>
    <w:rsid w:val="00343C21"/>
    <w:rsid w:val="00343E5C"/>
    <w:rsid w:val="00343F4E"/>
    <w:rsid w:val="00344E94"/>
    <w:rsid w:val="00344F36"/>
    <w:rsid w:val="00344F82"/>
    <w:rsid w:val="00344FB8"/>
    <w:rsid w:val="00345078"/>
    <w:rsid w:val="003450DA"/>
    <w:rsid w:val="00345320"/>
    <w:rsid w:val="003455A7"/>
    <w:rsid w:val="00345911"/>
    <w:rsid w:val="0034625B"/>
    <w:rsid w:val="00346B2B"/>
    <w:rsid w:val="0034726E"/>
    <w:rsid w:val="003476FA"/>
    <w:rsid w:val="00347811"/>
    <w:rsid w:val="00347954"/>
    <w:rsid w:val="003479A4"/>
    <w:rsid w:val="00350160"/>
    <w:rsid w:val="00350483"/>
    <w:rsid w:val="00350995"/>
    <w:rsid w:val="0035189E"/>
    <w:rsid w:val="003519C5"/>
    <w:rsid w:val="00351BD9"/>
    <w:rsid w:val="00351BF8"/>
    <w:rsid w:val="003524EC"/>
    <w:rsid w:val="00352773"/>
    <w:rsid w:val="0035319E"/>
    <w:rsid w:val="003536C5"/>
    <w:rsid w:val="00354555"/>
    <w:rsid w:val="003559A1"/>
    <w:rsid w:val="00356856"/>
    <w:rsid w:val="00356D17"/>
    <w:rsid w:val="0035731F"/>
    <w:rsid w:val="0036017B"/>
    <w:rsid w:val="00360464"/>
    <w:rsid w:val="00360DE0"/>
    <w:rsid w:val="003612E1"/>
    <w:rsid w:val="003615AB"/>
    <w:rsid w:val="003618E8"/>
    <w:rsid w:val="00361949"/>
    <w:rsid w:val="00361C03"/>
    <w:rsid w:val="00361D4C"/>
    <w:rsid w:val="003622E6"/>
    <w:rsid w:val="00362318"/>
    <w:rsid w:val="0036235F"/>
    <w:rsid w:val="00362484"/>
    <w:rsid w:val="00362755"/>
    <w:rsid w:val="00362839"/>
    <w:rsid w:val="00362DDC"/>
    <w:rsid w:val="003630AE"/>
    <w:rsid w:val="0036321B"/>
    <w:rsid w:val="003638F9"/>
    <w:rsid w:val="00363C35"/>
    <w:rsid w:val="00363ED3"/>
    <w:rsid w:val="00363FD3"/>
    <w:rsid w:val="00364395"/>
    <w:rsid w:val="00364765"/>
    <w:rsid w:val="00364B29"/>
    <w:rsid w:val="00364C90"/>
    <w:rsid w:val="00364EEA"/>
    <w:rsid w:val="00365577"/>
    <w:rsid w:val="0036579A"/>
    <w:rsid w:val="00365A32"/>
    <w:rsid w:val="00365F1C"/>
    <w:rsid w:val="00366114"/>
    <w:rsid w:val="0036625D"/>
    <w:rsid w:val="00366403"/>
    <w:rsid w:val="003665F4"/>
    <w:rsid w:val="00366B32"/>
    <w:rsid w:val="00366DFA"/>
    <w:rsid w:val="003679C1"/>
    <w:rsid w:val="00367DF0"/>
    <w:rsid w:val="003704FA"/>
    <w:rsid w:val="00370F60"/>
    <w:rsid w:val="00370FA7"/>
    <w:rsid w:val="00371223"/>
    <w:rsid w:val="00371351"/>
    <w:rsid w:val="0037140E"/>
    <w:rsid w:val="003714BF"/>
    <w:rsid w:val="0037157E"/>
    <w:rsid w:val="00371D87"/>
    <w:rsid w:val="0037236B"/>
    <w:rsid w:val="00372C9F"/>
    <w:rsid w:val="003731EE"/>
    <w:rsid w:val="003731F3"/>
    <w:rsid w:val="00373365"/>
    <w:rsid w:val="00373568"/>
    <w:rsid w:val="0037378D"/>
    <w:rsid w:val="00373877"/>
    <w:rsid w:val="00373B93"/>
    <w:rsid w:val="00374FD1"/>
    <w:rsid w:val="00375C95"/>
    <w:rsid w:val="00375CD0"/>
    <w:rsid w:val="00375CF3"/>
    <w:rsid w:val="00375FB6"/>
    <w:rsid w:val="00376285"/>
    <w:rsid w:val="003762DA"/>
    <w:rsid w:val="0037701B"/>
    <w:rsid w:val="00377233"/>
    <w:rsid w:val="00377324"/>
    <w:rsid w:val="00377A60"/>
    <w:rsid w:val="003803C8"/>
    <w:rsid w:val="003808C6"/>
    <w:rsid w:val="00380CD1"/>
    <w:rsid w:val="003813AA"/>
    <w:rsid w:val="00381688"/>
    <w:rsid w:val="003819FE"/>
    <w:rsid w:val="00381C4C"/>
    <w:rsid w:val="00382152"/>
    <w:rsid w:val="00383283"/>
    <w:rsid w:val="003833D9"/>
    <w:rsid w:val="00383A2A"/>
    <w:rsid w:val="00383C7D"/>
    <w:rsid w:val="00383F8F"/>
    <w:rsid w:val="00385010"/>
    <w:rsid w:val="003850AD"/>
    <w:rsid w:val="00385171"/>
    <w:rsid w:val="003853E2"/>
    <w:rsid w:val="003854B1"/>
    <w:rsid w:val="0038577A"/>
    <w:rsid w:val="003857E1"/>
    <w:rsid w:val="00385831"/>
    <w:rsid w:val="00386DF1"/>
    <w:rsid w:val="0038740A"/>
    <w:rsid w:val="003874E1"/>
    <w:rsid w:val="003904E7"/>
    <w:rsid w:val="00390591"/>
    <w:rsid w:val="00390CDA"/>
    <w:rsid w:val="00390E40"/>
    <w:rsid w:val="003911C9"/>
    <w:rsid w:val="00391360"/>
    <w:rsid w:val="003914D3"/>
    <w:rsid w:val="00391C4B"/>
    <w:rsid w:val="003925A9"/>
    <w:rsid w:val="00392919"/>
    <w:rsid w:val="00392FE1"/>
    <w:rsid w:val="003932F6"/>
    <w:rsid w:val="0039403C"/>
    <w:rsid w:val="0039407B"/>
    <w:rsid w:val="003943FD"/>
    <w:rsid w:val="00394A8F"/>
    <w:rsid w:val="00395283"/>
    <w:rsid w:val="00395A60"/>
    <w:rsid w:val="00395AC6"/>
    <w:rsid w:val="00395FD5"/>
    <w:rsid w:val="0039604F"/>
    <w:rsid w:val="003960A8"/>
    <w:rsid w:val="00396306"/>
    <w:rsid w:val="0039661F"/>
    <w:rsid w:val="00396835"/>
    <w:rsid w:val="003968B8"/>
    <w:rsid w:val="00396E9D"/>
    <w:rsid w:val="00397013"/>
    <w:rsid w:val="003971B1"/>
    <w:rsid w:val="0039744C"/>
    <w:rsid w:val="003974CD"/>
    <w:rsid w:val="003974D7"/>
    <w:rsid w:val="003979A2"/>
    <w:rsid w:val="00397BE6"/>
    <w:rsid w:val="00397CBD"/>
    <w:rsid w:val="00397FB3"/>
    <w:rsid w:val="003A02CA"/>
    <w:rsid w:val="003A05DF"/>
    <w:rsid w:val="003A18EA"/>
    <w:rsid w:val="003A1B46"/>
    <w:rsid w:val="003A2145"/>
    <w:rsid w:val="003A22AF"/>
    <w:rsid w:val="003A24C9"/>
    <w:rsid w:val="003A2D63"/>
    <w:rsid w:val="003A2ECB"/>
    <w:rsid w:val="003A30D3"/>
    <w:rsid w:val="003A3738"/>
    <w:rsid w:val="003A37D6"/>
    <w:rsid w:val="003A38D8"/>
    <w:rsid w:val="003A38F0"/>
    <w:rsid w:val="003A38F2"/>
    <w:rsid w:val="003A3DC2"/>
    <w:rsid w:val="003A3F21"/>
    <w:rsid w:val="003A40B3"/>
    <w:rsid w:val="003A45C3"/>
    <w:rsid w:val="003A4624"/>
    <w:rsid w:val="003A465D"/>
    <w:rsid w:val="003A5141"/>
    <w:rsid w:val="003A526A"/>
    <w:rsid w:val="003A58CB"/>
    <w:rsid w:val="003A5D4E"/>
    <w:rsid w:val="003A5E9C"/>
    <w:rsid w:val="003A5F28"/>
    <w:rsid w:val="003A65D3"/>
    <w:rsid w:val="003A66E4"/>
    <w:rsid w:val="003A7053"/>
    <w:rsid w:val="003A75CD"/>
    <w:rsid w:val="003A79B0"/>
    <w:rsid w:val="003A7A2E"/>
    <w:rsid w:val="003A7B25"/>
    <w:rsid w:val="003B0120"/>
    <w:rsid w:val="003B0524"/>
    <w:rsid w:val="003B053D"/>
    <w:rsid w:val="003B0B5D"/>
    <w:rsid w:val="003B148E"/>
    <w:rsid w:val="003B18FB"/>
    <w:rsid w:val="003B1950"/>
    <w:rsid w:val="003B1E77"/>
    <w:rsid w:val="003B1FEB"/>
    <w:rsid w:val="003B24C4"/>
    <w:rsid w:val="003B2949"/>
    <w:rsid w:val="003B2DF4"/>
    <w:rsid w:val="003B2E55"/>
    <w:rsid w:val="003B3A45"/>
    <w:rsid w:val="003B3F2C"/>
    <w:rsid w:val="003B3F8E"/>
    <w:rsid w:val="003B4770"/>
    <w:rsid w:val="003B479A"/>
    <w:rsid w:val="003B4CF6"/>
    <w:rsid w:val="003B4E8E"/>
    <w:rsid w:val="003B4EDF"/>
    <w:rsid w:val="003B519F"/>
    <w:rsid w:val="003B558C"/>
    <w:rsid w:val="003B58C0"/>
    <w:rsid w:val="003B5BEA"/>
    <w:rsid w:val="003B6145"/>
    <w:rsid w:val="003B6473"/>
    <w:rsid w:val="003B64B5"/>
    <w:rsid w:val="003B6BFC"/>
    <w:rsid w:val="003B7020"/>
    <w:rsid w:val="003B7555"/>
    <w:rsid w:val="003B77AB"/>
    <w:rsid w:val="003B7936"/>
    <w:rsid w:val="003B7DC2"/>
    <w:rsid w:val="003C05C4"/>
    <w:rsid w:val="003C0F74"/>
    <w:rsid w:val="003C1964"/>
    <w:rsid w:val="003C19AA"/>
    <w:rsid w:val="003C19BF"/>
    <w:rsid w:val="003C1A26"/>
    <w:rsid w:val="003C1C95"/>
    <w:rsid w:val="003C2023"/>
    <w:rsid w:val="003C20B8"/>
    <w:rsid w:val="003C2BCF"/>
    <w:rsid w:val="003C2BE6"/>
    <w:rsid w:val="003C2CFB"/>
    <w:rsid w:val="003C2D22"/>
    <w:rsid w:val="003C2D4D"/>
    <w:rsid w:val="003C2FAD"/>
    <w:rsid w:val="003C30B0"/>
    <w:rsid w:val="003C362A"/>
    <w:rsid w:val="003C366F"/>
    <w:rsid w:val="003C3D9B"/>
    <w:rsid w:val="003C434E"/>
    <w:rsid w:val="003C4FD6"/>
    <w:rsid w:val="003C5AD4"/>
    <w:rsid w:val="003C6162"/>
    <w:rsid w:val="003C68ED"/>
    <w:rsid w:val="003C699A"/>
    <w:rsid w:val="003C6D0A"/>
    <w:rsid w:val="003C7306"/>
    <w:rsid w:val="003C7CC9"/>
    <w:rsid w:val="003D054C"/>
    <w:rsid w:val="003D0669"/>
    <w:rsid w:val="003D09EE"/>
    <w:rsid w:val="003D1179"/>
    <w:rsid w:val="003D11CF"/>
    <w:rsid w:val="003D11D5"/>
    <w:rsid w:val="003D1277"/>
    <w:rsid w:val="003D166E"/>
    <w:rsid w:val="003D18AB"/>
    <w:rsid w:val="003D1DBB"/>
    <w:rsid w:val="003D21BD"/>
    <w:rsid w:val="003D2AC9"/>
    <w:rsid w:val="003D3493"/>
    <w:rsid w:val="003D38B4"/>
    <w:rsid w:val="003D38B9"/>
    <w:rsid w:val="003D3B90"/>
    <w:rsid w:val="003D42F0"/>
    <w:rsid w:val="003D461D"/>
    <w:rsid w:val="003D4790"/>
    <w:rsid w:val="003D4CFB"/>
    <w:rsid w:val="003D5416"/>
    <w:rsid w:val="003D56E5"/>
    <w:rsid w:val="003D5A88"/>
    <w:rsid w:val="003D5CC7"/>
    <w:rsid w:val="003D6053"/>
    <w:rsid w:val="003D68CC"/>
    <w:rsid w:val="003D6AEA"/>
    <w:rsid w:val="003D6CF8"/>
    <w:rsid w:val="003D7100"/>
    <w:rsid w:val="003D7AE5"/>
    <w:rsid w:val="003E06EA"/>
    <w:rsid w:val="003E06F4"/>
    <w:rsid w:val="003E0FF3"/>
    <w:rsid w:val="003E160C"/>
    <w:rsid w:val="003E19DB"/>
    <w:rsid w:val="003E1A64"/>
    <w:rsid w:val="003E238E"/>
    <w:rsid w:val="003E2D74"/>
    <w:rsid w:val="003E2DCB"/>
    <w:rsid w:val="003E2DDE"/>
    <w:rsid w:val="003E307F"/>
    <w:rsid w:val="003E31CC"/>
    <w:rsid w:val="003E33D4"/>
    <w:rsid w:val="003E3489"/>
    <w:rsid w:val="003E3617"/>
    <w:rsid w:val="003E3A39"/>
    <w:rsid w:val="003E3C29"/>
    <w:rsid w:val="003E3CD8"/>
    <w:rsid w:val="003E3FCD"/>
    <w:rsid w:val="003E4296"/>
    <w:rsid w:val="003E42D2"/>
    <w:rsid w:val="003E4A11"/>
    <w:rsid w:val="003E4ABE"/>
    <w:rsid w:val="003E557E"/>
    <w:rsid w:val="003E581E"/>
    <w:rsid w:val="003E597D"/>
    <w:rsid w:val="003E5B6E"/>
    <w:rsid w:val="003E5EDA"/>
    <w:rsid w:val="003E6308"/>
    <w:rsid w:val="003E66A1"/>
    <w:rsid w:val="003E68AC"/>
    <w:rsid w:val="003E6BE6"/>
    <w:rsid w:val="003E6DED"/>
    <w:rsid w:val="003E704B"/>
    <w:rsid w:val="003E7502"/>
    <w:rsid w:val="003E75E8"/>
    <w:rsid w:val="003E7650"/>
    <w:rsid w:val="003E77F5"/>
    <w:rsid w:val="003F069A"/>
    <w:rsid w:val="003F08A6"/>
    <w:rsid w:val="003F0F9B"/>
    <w:rsid w:val="003F0F9E"/>
    <w:rsid w:val="003F164A"/>
    <w:rsid w:val="003F168A"/>
    <w:rsid w:val="003F1737"/>
    <w:rsid w:val="003F1F5E"/>
    <w:rsid w:val="003F25F4"/>
    <w:rsid w:val="003F27B1"/>
    <w:rsid w:val="003F2C76"/>
    <w:rsid w:val="003F37E0"/>
    <w:rsid w:val="003F3A52"/>
    <w:rsid w:val="003F3A79"/>
    <w:rsid w:val="003F3CA9"/>
    <w:rsid w:val="003F3D9D"/>
    <w:rsid w:val="003F4329"/>
    <w:rsid w:val="003F438D"/>
    <w:rsid w:val="003F49B4"/>
    <w:rsid w:val="003F5065"/>
    <w:rsid w:val="003F559E"/>
    <w:rsid w:val="003F5661"/>
    <w:rsid w:val="003F5B78"/>
    <w:rsid w:val="003F5EAE"/>
    <w:rsid w:val="003F605B"/>
    <w:rsid w:val="003F630F"/>
    <w:rsid w:val="003F6DDA"/>
    <w:rsid w:val="003F7338"/>
    <w:rsid w:val="003F7733"/>
    <w:rsid w:val="003F799B"/>
    <w:rsid w:val="00400192"/>
    <w:rsid w:val="0040025E"/>
    <w:rsid w:val="004007A7"/>
    <w:rsid w:val="004008D3"/>
    <w:rsid w:val="00400BB6"/>
    <w:rsid w:val="00400CFA"/>
    <w:rsid w:val="00401AED"/>
    <w:rsid w:val="00401BE7"/>
    <w:rsid w:val="00401EAE"/>
    <w:rsid w:val="00401EF8"/>
    <w:rsid w:val="0040242E"/>
    <w:rsid w:val="0040251E"/>
    <w:rsid w:val="004026C2"/>
    <w:rsid w:val="00402A1B"/>
    <w:rsid w:val="00402D74"/>
    <w:rsid w:val="00402EBC"/>
    <w:rsid w:val="00402EEF"/>
    <w:rsid w:val="00402FAD"/>
    <w:rsid w:val="004037AF"/>
    <w:rsid w:val="00403ACC"/>
    <w:rsid w:val="00403CD4"/>
    <w:rsid w:val="004043D9"/>
    <w:rsid w:val="0040482D"/>
    <w:rsid w:val="004053A9"/>
    <w:rsid w:val="0040551A"/>
    <w:rsid w:val="004057AE"/>
    <w:rsid w:val="00405A41"/>
    <w:rsid w:val="00405B3F"/>
    <w:rsid w:val="00406232"/>
    <w:rsid w:val="00406AA0"/>
    <w:rsid w:val="00406B53"/>
    <w:rsid w:val="00406E4C"/>
    <w:rsid w:val="00407139"/>
    <w:rsid w:val="00407505"/>
    <w:rsid w:val="004077BF"/>
    <w:rsid w:val="00407FD0"/>
    <w:rsid w:val="00410499"/>
    <w:rsid w:val="00410C2D"/>
    <w:rsid w:val="00410CD7"/>
    <w:rsid w:val="00410E1B"/>
    <w:rsid w:val="004112E6"/>
    <w:rsid w:val="004113F2"/>
    <w:rsid w:val="004115A0"/>
    <w:rsid w:val="00411786"/>
    <w:rsid w:val="00411813"/>
    <w:rsid w:val="00411A43"/>
    <w:rsid w:val="00411CC7"/>
    <w:rsid w:val="00412534"/>
    <w:rsid w:val="00412621"/>
    <w:rsid w:val="004128FB"/>
    <w:rsid w:val="00412C83"/>
    <w:rsid w:val="00413028"/>
    <w:rsid w:val="0041303C"/>
    <w:rsid w:val="00414405"/>
    <w:rsid w:val="00414742"/>
    <w:rsid w:val="00415B36"/>
    <w:rsid w:val="00415EBE"/>
    <w:rsid w:val="00415F53"/>
    <w:rsid w:val="00415FD4"/>
    <w:rsid w:val="00416716"/>
    <w:rsid w:val="00416CA1"/>
    <w:rsid w:val="00416DE6"/>
    <w:rsid w:val="00416ECA"/>
    <w:rsid w:val="00416F20"/>
    <w:rsid w:val="004174A4"/>
    <w:rsid w:val="004176CF"/>
    <w:rsid w:val="00417A2D"/>
    <w:rsid w:val="00417B21"/>
    <w:rsid w:val="00417C18"/>
    <w:rsid w:val="00417E0B"/>
    <w:rsid w:val="00417ED7"/>
    <w:rsid w:val="004202A5"/>
    <w:rsid w:val="00420770"/>
    <w:rsid w:val="00420B7A"/>
    <w:rsid w:val="00421467"/>
    <w:rsid w:val="00421924"/>
    <w:rsid w:val="00421BCF"/>
    <w:rsid w:val="0042207F"/>
    <w:rsid w:val="004229FD"/>
    <w:rsid w:val="00422D15"/>
    <w:rsid w:val="00422D8E"/>
    <w:rsid w:val="0042302D"/>
    <w:rsid w:val="00423B80"/>
    <w:rsid w:val="00423FE8"/>
    <w:rsid w:val="00424385"/>
    <w:rsid w:val="004246E2"/>
    <w:rsid w:val="00424A6F"/>
    <w:rsid w:val="00424C19"/>
    <w:rsid w:val="00424D03"/>
    <w:rsid w:val="00424D10"/>
    <w:rsid w:val="00424E24"/>
    <w:rsid w:val="00425013"/>
    <w:rsid w:val="00425317"/>
    <w:rsid w:val="00425873"/>
    <w:rsid w:val="004259BE"/>
    <w:rsid w:val="00425B70"/>
    <w:rsid w:val="00425F56"/>
    <w:rsid w:val="00426014"/>
    <w:rsid w:val="00426204"/>
    <w:rsid w:val="004263EA"/>
    <w:rsid w:val="00426976"/>
    <w:rsid w:val="00426A2A"/>
    <w:rsid w:val="00426B16"/>
    <w:rsid w:val="00427576"/>
    <w:rsid w:val="004275DD"/>
    <w:rsid w:val="00427BB7"/>
    <w:rsid w:val="00430587"/>
    <w:rsid w:val="0043078B"/>
    <w:rsid w:val="00430EB0"/>
    <w:rsid w:val="00431A40"/>
    <w:rsid w:val="00431B97"/>
    <w:rsid w:val="00432064"/>
    <w:rsid w:val="00432405"/>
    <w:rsid w:val="00432E35"/>
    <w:rsid w:val="00432F61"/>
    <w:rsid w:val="004333D7"/>
    <w:rsid w:val="00433BAA"/>
    <w:rsid w:val="00434534"/>
    <w:rsid w:val="00434ED1"/>
    <w:rsid w:val="00434FF6"/>
    <w:rsid w:val="004352CC"/>
    <w:rsid w:val="00435623"/>
    <w:rsid w:val="00435F84"/>
    <w:rsid w:val="00436111"/>
    <w:rsid w:val="00436327"/>
    <w:rsid w:val="00436866"/>
    <w:rsid w:val="0043735B"/>
    <w:rsid w:val="00437AED"/>
    <w:rsid w:val="00440209"/>
    <w:rsid w:val="0044084D"/>
    <w:rsid w:val="00440905"/>
    <w:rsid w:val="00440B91"/>
    <w:rsid w:val="00441995"/>
    <w:rsid w:val="00442081"/>
    <w:rsid w:val="00442233"/>
    <w:rsid w:val="004429D6"/>
    <w:rsid w:val="00443320"/>
    <w:rsid w:val="00443421"/>
    <w:rsid w:val="00443800"/>
    <w:rsid w:val="00443C5E"/>
    <w:rsid w:val="004440B1"/>
    <w:rsid w:val="0044416C"/>
    <w:rsid w:val="00444475"/>
    <w:rsid w:val="004449FD"/>
    <w:rsid w:val="00444A5B"/>
    <w:rsid w:val="00444E82"/>
    <w:rsid w:val="0044553D"/>
    <w:rsid w:val="004457D0"/>
    <w:rsid w:val="004457EF"/>
    <w:rsid w:val="00445D31"/>
    <w:rsid w:val="00445F3A"/>
    <w:rsid w:val="0044617E"/>
    <w:rsid w:val="004461CB"/>
    <w:rsid w:val="004461EA"/>
    <w:rsid w:val="00446ADF"/>
    <w:rsid w:val="00447A3A"/>
    <w:rsid w:val="00447CA2"/>
    <w:rsid w:val="00447DBD"/>
    <w:rsid w:val="00450043"/>
    <w:rsid w:val="004506DF"/>
    <w:rsid w:val="00450CB7"/>
    <w:rsid w:val="004512A2"/>
    <w:rsid w:val="00451336"/>
    <w:rsid w:val="004515A6"/>
    <w:rsid w:val="004523EE"/>
    <w:rsid w:val="0045259F"/>
    <w:rsid w:val="00452927"/>
    <w:rsid w:val="00452B14"/>
    <w:rsid w:val="0045365F"/>
    <w:rsid w:val="00453946"/>
    <w:rsid w:val="0045397A"/>
    <w:rsid w:val="00453A56"/>
    <w:rsid w:val="00453C57"/>
    <w:rsid w:val="00453EEC"/>
    <w:rsid w:val="00453F60"/>
    <w:rsid w:val="00454868"/>
    <w:rsid w:val="00455438"/>
    <w:rsid w:val="00455646"/>
    <w:rsid w:val="004556BE"/>
    <w:rsid w:val="00455B00"/>
    <w:rsid w:val="00455E5D"/>
    <w:rsid w:val="00455E68"/>
    <w:rsid w:val="00456208"/>
    <w:rsid w:val="00456310"/>
    <w:rsid w:val="00456639"/>
    <w:rsid w:val="00456775"/>
    <w:rsid w:val="004568DB"/>
    <w:rsid w:val="00456A6A"/>
    <w:rsid w:val="00456A74"/>
    <w:rsid w:val="0045724A"/>
    <w:rsid w:val="004576EF"/>
    <w:rsid w:val="00460056"/>
    <w:rsid w:val="0046016E"/>
    <w:rsid w:val="0046078B"/>
    <w:rsid w:val="00460B7D"/>
    <w:rsid w:val="00460CA2"/>
    <w:rsid w:val="00461740"/>
    <w:rsid w:val="00461955"/>
    <w:rsid w:val="00462206"/>
    <w:rsid w:val="004626AE"/>
    <w:rsid w:val="00462D45"/>
    <w:rsid w:val="0046301C"/>
    <w:rsid w:val="00463071"/>
    <w:rsid w:val="0046382C"/>
    <w:rsid w:val="004638F1"/>
    <w:rsid w:val="004638F6"/>
    <w:rsid w:val="004639D8"/>
    <w:rsid w:val="00463C66"/>
    <w:rsid w:val="00464722"/>
    <w:rsid w:val="00464789"/>
    <w:rsid w:val="004647AD"/>
    <w:rsid w:val="00464898"/>
    <w:rsid w:val="004648D5"/>
    <w:rsid w:val="00464A76"/>
    <w:rsid w:val="00465545"/>
    <w:rsid w:val="0046554B"/>
    <w:rsid w:val="00465830"/>
    <w:rsid w:val="00465991"/>
    <w:rsid w:val="00466029"/>
    <w:rsid w:val="0046606C"/>
    <w:rsid w:val="004667FC"/>
    <w:rsid w:val="004668E8"/>
    <w:rsid w:val="00466BE7"/>
    <w:rsid w:val="00466C19"/>
    <w:rsid w:val="00466CD2"/>
    <w:rsid w:val="00467C84"/>
    <w:rsid w:val="00470321"/>
    <w:rsid w:val="00470505"/>
    <w:rsid w:val="00470730"/>
    <w:rsid w:val="00470922"/>
    <w:rsid w:val="004709F9"/>
    <w:rsid w:val="00470B70"/>
    <w:rsid w:val="00470BB5"/>
    <w:rsid w:val="00471408"/>
    <w:rsid w:val="00471B5D"/>
    <w:rsid w:val="00471B84"/>
    <w:rsid w:val="00471CF7"/>
    <w:rsid w:val="00472312"/>
    <w:rsid w:val="004723DA"/>
    <w:rsid w:val="00472682"/>
    <w:rsid w:val="004727EA"/>
    <w:rsid w:val="0047346B"/>
    <w:rsid w:val="00473635"/>
    <w:rsid w:val="00473828"/>
    <w:rsid w:val="00474206"/>
    <w:rsid w:val="00474C33"/>
    <w:rsid w:val="00475CE6"/>
    <w:rsid w:val="00475CEE"/>
    <w:rsid w:val="00475D72"/>
    <w:rsid w:val="00475E6A"/>
    <w:rsid w:val="0047676D"/>
    <w:rsid w:val="00476EAF"/>
    <w:rsid w:val="004776D1"/>
    <w:rsid w:val="004777E1"/>
    <w:rsid w:val="00477A97"/>
    <w:rsid w:val="004809AE"/>
    <w:rsid w:val="004809BC"/>
    <w:rsid w:val="00480BD2"/>
    <w:rsid w:val="00480CB0"/>
    <w:rsid w:val="00481062"/>
    <w:rsid w:val="004814EB"/>
    <w:rsid w:val="004820C3"/>
    <w:rsid w:val="00482183"/>
    <w:rsid w:val="00482360"/>
    <w:rsid w:val="004823C8"/>
    <w:rsid w:val="004824CA"/>
    <w:rsid w:val="0048263E"/>
    <w:rsid w:val="00482C80"/>
    <w:rsid w:val="00482F4F"/>
    <w:rsid w:val="00483405"/>
    <w:rsid w:val="00483603"/>
    <w:rsid w:val="00484057"/>
    <w:rsid w:val="00484121"/>
    <w:rsid w:val="00484252"/>
    <w:rsid w:val="00484390"/>
    <w:rsid w:val="0048444E"/>
    <w:rsid w:val="00484511"/>
    <w:rsid w:val="00484521"/>
    <w:rsid w:val="0048468D"/>
    <w:rsid w:val="0048468F"/>
    <w:rsid w:val="00484D83"/>
    <w:rsid w:val="004854E9"/>
    <w:rsid w:val="004859EC"/>
    <w:rsid w:val="004865B0"/>
    <w:rsid w:val="00486899"/>
    <w:rsid w:val="00486E12"/>
    <w:rsid w:val="0048781D"/>
    <w:rsid w:val="00487960"/>
    <w:rsid w:val="00487AEC"/>
    <w:rsid w:val="00487CA2"/>
    <w:rsid w:val="00487E1D"/>
    <w:rsid w:val="00487F24"/>
    <w:rsid w:val="0049001A"/>
    <w:rsid w:val="0049017C"/>
    <w:rsid w:val="00490C47"/>
    <w:rsid w:val="0049132F"/>
    <w:rsid w:val="00492B01"/>
    <w:rsid w:val="00492D12"/>
    <w:rsid w:val="00492D39"/>
    <w:rsid w:val="00493377"/>
    <w:rsid w:val="004933C9"/>
    <w:rsid w:val="0049365E"/>
    <w:rsid w:val="00493DBE"/>
    <w:rsid w:val="004940AE"/>
    <w:rsid w:val="004944CE"/>
    <w:rsid w:val="00494671"/>
    <w:rsid w:val="00494AEE"/>
    <w:rsid w:val="0049534D"/>
    <w:rsid w:val="00495377"/>
    <w:rsid w:val="0049553A"/>
    <w:rsid w:val="00495F05"/>
    <w:rsid w:val="00495F86"/>
    <w:rsid w:val="0049607B"/>
    <w:rsid w:val="004960D6"/>
    <w:rsid w:val="0049638E"/>
    <w:rsid w:val="004969DB"/>
    <w:rsid w:val="00496D24"/>
    <w:rsid w:val="00497E96"/>
    <w:rsid w:val="004A0C67"/>
    <w:rsid w:val="004A0E23"/>
    <w:rsid w:val="004A0E27"/>
    <w:rsid w:val="004A0FFD"/>
    <w:rsid w:val="004A1128"/>
    <w:rsid w:val="004A120D"/>
    <w:rsid w:val="004A1217"/>
    <w:rsid w:val="004A1630"/>
    <w:rsid w:val="004A16AF"/>
    <w:rsid w:val="004A1812"/>
    <w:rsid w:val="004A182A"/>
    <w:rsid w:val="004A1E01"/>
    <w:rsid w:val="004A1EAD"/>
    <w:rsid w:val="004A261C"/>
    <w:rsid w:val="004A269F"/>
    <w:rsid w:val="004A28A2"/>
    <w:rsid w:val="004A2A7A"/>
    <w:rsid w:val="004A31EF"/>
    <w:rsid w:val="004A3481"/>
    <w:rsid w:val="004A354D"/>
    <w:rsid w:val="004A3B33"/>
    <w:rsid w:val="004A40FE"/>
    <w:rsid w:val="004A416A"/>
    <w:rsid w:val="004A42F3"/>
    <w:rsid w:val="004A4338"/>
    <w:rsid w:val="004A45B6"/>
    <w:rsid w:val="004A47BE"/>
    <w:rsid w:val="004A48D9"/>
    <w:rsid w:val="004A4BF7"/>
    <w:rsid w:val="004A4EAF"/>
    <w:rsid w:val="004A525F"/>
    <w:rsid w:val="004A5376"/>
    <w:rsid w:val="004A5761"/>
    <w:rsid w:val="004A5763"/>
    <w:rsid w:val="004A5D23"/>
    <w:rsid w:val="004A5EDF"/>
    <w:rsid w:val="004A635A"/>
    <w:rsid w:val="004A6C7B"/>
    <w:rsid w:val="004A6E55"/>
    <w:rsid w:val="004A728F"/>
    <w:rsid w:val="004A76FF"/>
    <w:rsid w:val="004A7DAF"/>
    <w:rsid w:val="004B01BE"/>
    <w:rsid w:val="004B0430"/>
    <w:rsid w:val="004B0512"/>
    <w:rsid w:val="004B06F4"/>
    <w:rsid w:val="004B09A0"/>
    <w:rsid w:val="004B0C08"/>
    <w:rsid w:val="004B0C9D"/>
    <w:rsid w:val="004B1359"/>
    <w:rsid w:val="004B15B6"/>
    <w:rsid w:val="004B1B30"/>
    <w:rsid w:val="004B1EF0"/>
    <w:rsid w:val="004B1F34"/>
    <w:rsid w:val="004B2C67"/>
    <w:rsid w:val="004B2D40"/>
    <w:rsid w:val="004B2D6F"/>
    <w:rsid w:val="004B3013"/>
    <w:rsid w:val="004B3205"/>
    <w:rsid w:val="004B34EA"/>
    <w:rsid w:val="004B41D4"/>
    <w:rsid w:val="004B4450"/>
    <w:rsid w:val="004B4D0A"/>
    <w:rsid w:val="004B4E20"/>
    <w:rsid w:val="004B5494"/>
    <w:rsid w:val="004B54CB"/>
    <w:rsid w:val="004B5652"/>
    <w:rsid w:val="004B6335"/>
    <w:rsid w:val="004B660B"/>
    <w:rsid w:val="004B66CB"/>
    <w:rsid w:val="004B6A5E"/>
    <w:rsid w:val="004B6FAF"/>
    <w:rsid w:val="004B72C1"/>
    <w:rsid w:val="004B740B"/>
    <w:rsid w:val="004B75CD"/>
    <w:rsid w:val="004B7AA0"/>
    <w:rsid w:val="004B7BFC"/>
    <w:rsid w:val="004C0105"/>
    <w:rsid w:val="004C01F4"/>
    <w:rsid w:val="004C06AB"/>
    <w:rsid w:val="004C11A1"/>
    <w:rsid w:val="004C1771"/>
    <w:rsid w:val="004C1803"/>
    <w:rsid w:val="004C1966"/>
    <w:rsid w:val="004C1985"/>
    <w:rsid w:val="004C1FC8"/>
    <w:rsid w:val="004C2089"/>
    <w:rsid w:val="004C23F3"/>
    <w:rsid w:val="004C2825"/>
    <w:rsid w:val="004C2C03"/>
    <w:rsid w:val="004C35D5"/>
    <w:rsid w:val="004C379D"/>
    <w:rsid w:val="004C37DF"/>
    <w:rsid w:val="004C3EE3"/>
    <w:rsid w:val="004C414B"/>
    <w:rsid w:val="004C442F"/>
    <w:rsid w:val="004C45FE"/>
    <w:rsid w:val="004C465F"/>
    <w:rsid w:val="004C4C18"/>
    <w:rsid w:val="004C58E9"/>
    <w:rsid w:val="004C5B44"/>
    <w:rsid w:val="004C5C1E"/>
    <w:rsid w:val="004C6AC8"/>
    <w:rsid w:val="004C6CDD"/>
    <w:rsid w:val="004C6D03"/>
    <w:rsid w:val="004C6D3B"/>
    <w:rsid w:val="004C748F"/>
    <w:rsid w:val="004C77DA"/>
    <w:rsid w:val="004C7A0F"/>
    <w:rsid w:val="004C7A2B"/>
    <w:rsid w:val="004C7CB8"/>
    <w:rsid w:val="004C7D3A"/>
    <w:rsid w:val="004C7EF8"/>
    <w:rsid w:val="004D032D"/>
    <w:rsid w:val="004D05E4"/>
    <w:rsid w:val="004D06B9"/>
    <w:rsid w:val="004D0A22"/>
    <w:rsid w:val="004D0EB0"/>
    <w:rsid w:val="004D1A8C"/>
    <w:rsid w:val="004D1AD5"/>
    <w:rsid w:val="004D1C00"/>
    <w:rsid w:val="004D1FEF"/>
    <w:rsid w:val="004D2336"/>
    <w:rsid w:val="004D26B7"/>
    <w:rsid w:val="004D2DE9"/>
    <w:rsid w:val="004D2E16"/>
    <w:rsid w:val="004D3384"/>
    <w:rsid w:val="004D436C"/>
    <w:rsid w:val="004D4DDC"/>
    <w:rsid w:val="004D50CB"/>
    <w:rsid w:val="004D5243"/>
    <w:rsid w:val="004D53FD"/>
    <w:rsid w:val="004D543B"/>
    <w:rsid w:val="004D5505"/>
    <w:rsid w:val="004D5576"/>
    <w:rsid w:val="004D560C"/>
    <w:rsid w:val="004D5C04"/>
    <w:rsid w:val="004D6528"/>
    <w:rsid w:val="004D6B51"/>
    <w:rsid w:val="004D7211"/>
    <w:rsid w:val="004E000E"/>
    <w:rsid w:val="004E0590"/>
    <w:rsid w:val="004E063A"/>
    <w:rsid w:val="004E0A76"/>
    <w:rsid w:val="004E0EA8"/>
    <w:rsid w:val="004E1424"/>
    <w:rsid w:val="004E1606"/>
    <w:rsid w:val="004E1FDC"/>
    <w:rsid w:val="004E219F"/>
    <w:rsid w:val="004E289C"/>
    <w:rsid w:val="004E2953"/>
    <w:rsid w:val="004E2AA8"/>
    <w:rsid w:val="004E2D12"/>
    <w:rsid w:val="004E2F0D"/>
    <w:rsid w:val="004E2F2C"/>
    <w:rsid w:val="004E32B6"/>
    <w:rsid w:val="004E3961"/>
    <w:rsid w:val="004E40E5"/>
    <w:rsid w:val="004E423E"/>
    <w:rsid w:val="004E4321"/>
    <w:rsid w:val="004E463C"/>
    <w:rsid w:val="004E465E"/>
    <w:rsid w:val="004E50D5"/>
    <w:rsid w:val="004E5445"/>
    <w:rsid w:val="004E5612"/>
    <w:rsid w:val="004E5885"/>
    <w:rsid w:val="004E632D"/>
    <w:rsid w:val="004E6398"/>
    <w:rsid w:val="004E63E9"/>
    <w:rsid w:val="004E6513"/>
    <w:rsid w:val="004E69BA"/>
    <w:rsid w:val="004E6F38"/>
    <w:rsid w:val="004E70B1"/>
    <w:rsid w:val="004E71D9"/>
    <w:rsid w:val="004E79FB"/>
    <w:rsid w:val="004F0571"/>
    <w:rsid w:val="004F0ACE"/>
    <w:rsid w:val="004F0D22"/>
    <w:rsid w:val="004F0DE2"/>
    <w:rsid w:val="004F1393"/>
    <w:rsid w:val="004F16D4"/>
    <w:rsid w:val="004F1843"/>
    <w:rsid w:val="004F21B7"/>
    <w:rsid w:val="004F23DA"/>
    <w:rsid w:val="004F25A0"/>
    <w:rsid w:val="004F25F0"/>
    <w:rsid w:val="004F27E5"/>
    <w:rsid w:val="004F2A52"/>
    <w:rsid w:val="004F2E08"/>
    <w:rsid w:val="004F318B"/>
    <w:rsid w:val="004F320D"/>
    <w:rsid w:val="004F33A8"/>
    <w:rsid w:val="004F365E"/>
    <w:rsid w:val="004F3A1A"/>
    <w:rsid w:val="004F3EF2"/>
    <w:rsid w:val="004F3FF8"/>
    <w:rsid w:val="004F3FF9"/>
    <w:rsid w:val="004F43E3"/>
    <w:rsid w:val="004F4578"/>
    <w:rsid w:val="004F4DF9"/>
    <w:rsid w:val="004F4E63"/>
    <w:rsid w:val="004F5587"/>
    <w:rsid w:val="004F5BD0"/>
    <w:rsid w:val="004F5E60"/>
    <w:rsid w:val="004F6035"/>
    <w:rsid w:val="004F6334"/>
    <w:rsid w:val="004F654B"/>
    <w:rsid w:val="004F6CE6"/>
    <w:rsid w:val="004F6DA9"/>
    <w:rsid w:val="004F6FA7"/>
    <w:rsid w:val="004F7267"/>
    <w:rsid w:val="004F7656"/>
    <w:rsid w:val="004F77CE"/>
    <w:rsid w:val="004F7889"/>
    <w:rsid w:val="004F7E69"/>
    <w:rsid w:val="004F7ECE"/>
    <w:rsid w:val="004F7F46"/>
    <w:rsid w:val="005006F9"/>
    <w:rsid w:val="005007CA"/>
    <w:rsid w:val="00500D9E"/>
    <w:rsid w:val="00501666"/>
    <w:rsid w:val="0050178E"/>
    <w:rsid w:val="005018A8"/>
    <w:rsid w:val="00501B08"/>
    <w:rsid w:val="00501CF6"/>
    <w:rsid w:val="005022D4"/>
    <w:rsid w:val="00502806"/>
    <w:rsid w:val="00502C02"/>
    <w:rsid w:val="00502D68"/>
    <w:rsid w:val="00502E36"/>
    <w:rsid w:val="0050310F"/>
    <w:rsid w:val="00503499"/>
    <w:rsid w:val="00503A53"/>
    <w:rsid w:val="00503D2B"/>
    <w:rsid w:val="00503F27"/>
    <w:rsid w:val="005041B7"/>
    <w:rsid w:val="00505523"/>
    <w:rsid w:val="00505798"/>
    <w:rsid w:val="00505A39"/>
    <w:rsid w:val="00505DBD"/>
    <w:rsid w:val="005061F6"/>
    <w:rsid w:val="00506390"/>
    <w:rsid w:val="005066CE"/>
    <w:rsid w:val="00507175"/>
    <w:rsid w:val="00507A76"/>
    <w:rsid w:val="005100FD"/>
    <w:rsid w:val="00510C3B"/>
    <w:rsid w:val="00511BCA"/>
    <w:rsid w:val="00511E9B"/>
    <w:rsid w:val="00511EAB"/>
    <w:rsid w:val="00511FE0"/>
    <w:rsid w:val="0051201D"/>
    <w:rsid w:val="005125FE"/>
    <w:rsid w:val="005126E5"/>
    <w:rsid w:val="005128D0"/>
    <w:rsid w:val="005128FD"/>
    <w:rsid w:val="00512A56"/>
    <w:rsid w:val="00512EC2"/>
    <w:rsid w:val="00513071"/>
    <w:rsid w:val="00513FEC"/>
    <w:rsid w:val="00514327"/>
    <w:rsid w:val="005147FD"/>
    <w:rsid w:val="005149D8"/>
    <w:rsid w:val="00514D43"/>
    <w:rsid w:val="00515031"/>
    <w:rsid w:val="00515170"/>
    <w:rsid w:val="005152DA"/>
    <w:rsid w:val="005153A3"/>
    <w:rsid w:val="00515C1C"/>
    <w:rsid w:val="0051626C"/>
    <w:rsid w:val="0051627F"/>
    <w:rsid w:val="0051637F"/>
    <w:rsid w:val="005163DB"/>
    <w:rsid w:val="00516DF6"/>
    <w:rsid w:val="0051798B"/>
    <w:rsid w:val="00520144"/>
    <w:rsid w:val="00520D8F"/>
    <w:rsid w:val="00520DB2"/>
    <w:rsid w:val="00520E0C"/>
    <w:rsid w:val="00521263"/>
    <w:rsid w:val="00521A4B"/>
    <w:rsid w:val="00522476"/>
    <w:rsid w:val="00522754"/>
    <w:rsid w:val="00522763"/>
    <w:rsid w:val="00522951"/>
    <w:rsid w:val="00522993"/>
    <w:rsid w:val="00522B4C"/>
    <w:rsid w:val="005234DC"/>
    <w:rsid w:val="005236E9"/>
    <w:rsid w:val="00523768"/>
    <w:rsid w:val="0052394F"/>
    <w:rsid w:val="00523ABF"/>
    <w:rsid w:val="005240BF"/>
    <w:rsid w:val="00524B2C"/>
    <w:rsid w:val="00524E47"/>
    <w:rsid w:val="00524E72"/>
    <w:rsid w:val="00524FCA"/>
    <w:rsid w:val="00525702"/>
    <w:rsid w:val="00525ABC"/>
    <w:rsid w:val="00525F47"/>
    <w:rsid w:val="005269E6"/>
    <w:rsid w:val="00526A9C"/>
    <w:rsid w:val="00526DBE"/>
    <w:rsid w:val="00527A1A"/>
    <w:rsid w:val="00527A8E"/>
    <w:rsid w:val="00530025"/>
    <w:rsid w:val="0053061C"/>
    <w:rsid w:val="00530658"/>
    <w:rsid w:val="0053084A"/>
    <w:rsid w:val="00530DC1"/>
    <w:rsid w:val="00531749"/>
    <w:rsid w:val="005319BC"/>
    <w:rsid w:val="00532862"/>
    <w:rsid w:val="00532A42"/>
    <w:rsid w:val="00532B6E"/>
    <w:rsid w:val="00532C2F"/>
    <w:rsid w:val="00532DB0"/>
    <w:rsid w:val="005330E8"/>
    <w:rsid w:val="00533101"/>
    <w:rsid w:val="00533164"/>
    <w:rsid w:val="00533767"/>
    <w:rsid w:val="00533AE9"/>
    <w:rsid w:val="00533B56"/>
    <w:rsid w:val="00533D87"/>
    <w:rsid w:val="00533EFB"/>
    <w:rsid w:val="00533F97"/>
    <w:rsid w:val="005344DF"/>
    <w:rsid w:val="00534730"/>
    <w:rsid w:val="005349AD"/>
    <w:rsid w:val="00534AFD"/>
    <w:rsid w:val="00534B2F"/>
    <w:rsid w:val="00534C0B"/>
    <w:rsid w:val="00535833"/>
    <w:rsid w:val="00535CB6"/>
    <w:rsid w:val="00535E00"/>
    <w:rsid w:val="00536209"/>
    <w:rsid w:val="00536702"/>
    <w:rsid w:val="0053670D"/>
    <w:rsid w:val="00536B2C"/>
    <w:rsid w:val="00536FD9"/>
    <w:rsid w:val="00537045"/>
    <w:rsid w:val="005376F4"/>
    <w:rsid w:val="00537872"/>
    <w:rsid w:val="00537927"/>
    <w:rsid w:val="00537BB6"/>
    <w:rsid w:val="00537C73"/>
    <w:rsid w:val="00537E5E"/>
    <w:rsid w:val="00537EC0"/>
    <w:rsid w:val="005406A6"/>
    <w:rsid w:val="005415F7"/>
    <w:rsid w:val="00541C8B"/>
    <w:rsid w:val="00541CB6"/>
    <w:rsid w:val="00541E44"/>
    <w:rsid w:val="005421A2"/>
    <w:rsid w:val="005421EB"/>
    <w:rsid w:val="00542301"/>
    <w:rsid w:val="00542367"/>
    <w:rsid w:val="0054270D"/>
    <w:rsid w:val="00542FC2"/>
    <w:rsid w:val="00543455"/>
    <w:rsid w:val="005439A5"/>
    <w:rsid w:val="00543AE5"/>
    <w:rsid w:val="00543DBC"/>
    <w:rsid w:val="00544CA5"/>
    <w:rsid w:val="00544FF5"/>
    <w:rsid w:val="00545207"/>
    <w:rsid w:val="0054556B"/>
    <w:rsid w:val="00545668"/>
    <w:rsid w:val="00545A25"/>
    <w:rsid w:val="005463BB"/>
    <w:rsid w:val="005463FD"/>
    <w:rsid w:val="00546466"/>
    <w:rsid w:val="0054650B"/>
    <w:rsid w:val="00546E97"/>
    <w:rsid w:val="00546EAB"/>
    <w:rsid w:val="00546F24"/>
    <w:rsid w:val="00547156"/>
    <w:rsid w:val="00547AA0"/>
    <w:rsid w:val="00547C63"/>
    <w:rsid w:val="005504F3"/>
    <w:rsid w:val="0055074B"/>
    <w:rsid w:val="00551D86"/>
    <w:rsid w:val="00551F67"/>
    <w:rsid w:val="00552527"/>
    <w:rsid w:val="005529C1"/>
    <w:rsid w:val="005538C8"/>
    <w:rsid w:val="00553923"/>
    <w:rsid w:val="0055400B"/>
    <w:rsid w:val="0055409A"/>
    <w:rsid w:val="00554277"/>
    <w:rsid w:val="005557EC"/>
    <w:rsid w:val="00555F3A"/>
    <w:rsid w:val="00555FE4"/>
    <w:rsid w:val="00556194"/>
    <w:rsid w:val="00556291"/>
    <w:rsid w:val="005563C4"/>
    <w:rsid w:val="0055669A"/>
    <w:rsid w:val="00556C49"/>
    <w:rsid w:val="00556EB8"/>
    <w:rsid w:val="00557034"/>
    <w:rsid w:val="005570F4"/>
    <w:rsid w:val="0055719F"/>
    <w:rsid w:val="00557D8F"/>
    <w:rsid w:val="00560372"/>
    <w:rsid w:val="0056046B"/>
    <w:rsid w:val="00562EF5"/>
    <w:rsid w:val="00563351"/>
    <w:rsid w:val="00563DEB"/>
    <w:rsid w:val="00563E21"/>
    <w:rsid w:val="00564897"/>
    <w:rsid w:val="00564BEC"/>
    <w:rsid w:val="005656BF"/>
    <w:rsid w:val="00565D4A"/>
    <w:rsid w:val="00566106"/>
    <w:rsid w:val="0056671C"/>
    <w:rsid w:val="0056696B"/>
    <w:rsid w:val="00566B18"/>
    <w:rsid w:val="005673D6"/>
    <w:rsid w:val="005701C8"/>
    <w:rsid w:val="005705FF"/>
    <w:rsid w:val="0057072C"/>
    <w:rsid w:val="00570DD9"/>
    <w:rsid w:val="00571124"/>
    <w:rsid w:val="00571167"/>
    <w:rsid w:val="0057119F"/>
    <w:rsid w:val="00571572"/>
    <w:rsid w:val="00571F1D"/>
    <w:rsid w:val="00571F4F"/>
    <w:rsid w:val="005724A3"/>
    <w:rsid w:val="00572835"/>
    <w:rsid w:val="00572F75"/>
    <w:rsid w:val="005731ED"/>
    <w:rsid w:val="005735AE"/>
    <w:rsid w:val="00573754"/>
    <w:rsid w:val="00573E50"/>
    <w:rsid w:val="00573FB3"/>
    <w:rsid w:val="00574041"/>
    <w:rsid w:val="005741D9"/>
    <w:rsid w:val="005745F3"/>
    <w:rsid w:val="00574F61"/>
    <w:rsid w:val="00575151"/>
    <w:rsid w:val="00575356"/>
    <w:rsid w:val="005755F0"/>
    <w:rsid w:val="005756E5"/>
    <w:rsid w:val="005756F5"/>
    <w:rsid w:val="00575723"/>
    <w:rsid w:val="00575728"/>
    <w:rsid w:val="00575731"/>
    <w:rsid w:val="00575D93"/>
    <w:rsid w:val="0057619D"/>
    <w:rsid w:val="0057661E"/>
    <w:rsid w:val="0057688F"/>
    <w:rsid w:val="00576997"/>
    <w:rsid w:val="00576BD7"/>
    <w:rsid w:val="00576CF3"/>
    <w:rsid w:val="00576FD4"/>
    <w:rsid w:val="00577DE0"/>
    <w:rsid w:val="00577F33"/>
    <w:rsid w:val="005802B0"/>
    <w:rsid w:val="00580697"/>
    <w:rsid w:val="005807D4"/>
    <w:rsid w:val="005809D1"/>
    <w:rsid w:val="00580DA5"/>
    <w:rsid w:val="005815AD"/>
    <w:rsid w:val="0058203D"/>
    <w:rsid w:val="00582257"/>
    <w:rsid w:val="00582423"/>
    <w:rsid w:val="005827FC"/>
    <w:rsid w:val="00582AA1"/>
    <w:rsid w:val="00582FC4"/>
    <w:rsid w:val="005839CC"/>
    <w:rsid w:val="00583A07"/>
    <w:rsid w:val="00583D02"/>
    <w:rsid w:val="00584039"/>
    <w:rsid w:val="00584103"/>
    <w:rsid w:val="0058428F"/>
    <w:rsid w:val="00584643"/>
    <w:rsid w:val="00585390"/>
    <w:rsid w:val="00585E90"/>
    <w:rsid w:val="00585F0C"/>
    <w:rsid w:val="00586105"/>
    <w:rsid w:val="00586892"/>
    <w:rsid w:val="00586A66"/>
    <w:rsid w:val="00586F2D"/>
    <w:rsid w:val="005873C6"/>
    <w:rsid w:val="005873C9"/>
    <w:rsid w:val="00587D5A"/>
    <w:rsid w:val="00587EE7"/>
    <w:rsid w:val="00590324"/>
    <w:rsid w:val="00590451"/>
    <w:rsid w:val="005906C2"/>
    <w:rsid w:val="0059121F"/>
    <w:rsid w:val="00591A4F"/>
    <w:rsid w:val="00591FF4"/>
    <w:rsid w:val="005928B7"/>
    <w:rsid w:val="00592F7A"/>
    <w:rsid w:val="00593257"/>
    <w:rsid w:val="005935AD"/>
    <w:rsid w:val="005939A5"/>
    <w:rsid w:val="00593A18"/>
    <w:rsid w:val="00593CBD"/>
    <w:rsid w:val="00593F5D"/>
    <w:rsid w:val="00594269"/>
    <w:rsid w:val="005948A0"/>
    <w:rsid w:val="00594E77"/>
    <w:rsid w:val="00594F2C"/>
    <w:rsid w:val="005950BF"/>
    <w:rsid w:val="005956FF"/>
    <w:rsid w:val="00595933"/>
    <w:rsid w:val="00595EB6"/>
    <w:rsid w:val="005962B6"/>
    <w:rsid w:val="00596B2C"/>
    <w:rsid w:val="0059732A"/>
    <w:rsid w:val="00597E8A"/>
    <w:rsid w:val="005A021E"/>
    <w:rsid w:val="005A0622"/>
    <w:rsid w:val="005A0627"/>
    <w:rsid w:val="005A0815"/>
    <w:rsid w:val="005A0856"/>
    <w:rsid w:val="005A1247"/>
    <w:rsid w:val="005A148C"/>
    <w:rsid w:val="005A14CF"/>
    <w:rsid w:val="005A15E0"/>
    <w:rsid w:val="005A1A37"/>
    <w:rsid w:val="005A1BB7"/>
    <w:rsid w:val="005A1C9F"/>
    <w:rsid w:val="005A204B"/>
    <w:rsid w:val="005A26B8"/>
    <w:rsid w:val="005A281D"/>
    <w:rsid w:val="005A28A6"/>
    <w:rsid w:val="005A2A21"/>
    <w:rsid w:val="005A2A25"/>
    <w:rsid w:val="005A31F6"/>
    <w:rsid w:val="005A3230"/>
    <w:rsid w:val="005A324F"/>
    <w:rsid w:val="005A3325"/>
    <w:rsid w:val="005A3367"/>
    <w:rsid w:val="005A35C8"/>
    <w:rsid w:val="005A3608"/>
    <w:rsid w:val="005A455B"/>
    <w:rsid w:val="005A458D"/>
    <w:rsid w:val="005A4DEE"/>
    <w:rsid w:val="005A527A"/>
    <w:rsid w:val="005A53AD"/>
    <w:rsid w:val="005A54D9"/>
    <w:rsid w:val="005A5BF0"/>
    <w:rsid w:val="005A60E3"/>
    <w:rsid w:val="005A6141"/>
    <w:rsid w:val="005A69FF"/>
    <w:rsid w:val="005A6C11"/>
    <w:rsid w:val="005A6F44"/>
    <w:rsid w:val="005A7277"/>
    <w:rsid w:val="005A72D6"/>
    <w:rsid w:val="005A7584"/>
    <w:rsid w:val="005A7830"/>
    <w:rsid w:val="005B01AE"/>
    <w:rsid w:val="005B07FD"/>
    <w:rsid w:val="005B0B52"/>
    <w:rsid w:val="005B0BD9"/>
    <w:rsid w:val="005B0FA3"/>
    <w:rsid w:val="005B10BA"/>
    <w:rsid w:val="005B1693"/>
    <w:rsid w:val="005B2052"/>
    <w:rsid w:val="005B25E7"/>
    <w:rsid w:val="005B262F"/>
    <w:rsid w:val="005B279F"/>
    <w:rsid w:val="005B2C3C"/>
    <w:rsid w:val="005B301E"/>
    <w:rsid w:val="005B358A"/>
    <w:rsid w:val="005B378C"/>
    <w:rsid w:val="005B3935"/>
    <w:rsid w:val="005B39DF"/>
    <w:rsid w:val="005B39F3"/>
    <w:rsid w:val="005B3ADF"/>
    <w:rsid w:val="005B3B42"/>
    <w:rsid w:val="005B577E"/>
    <w:rsid w:val="005B57A1"/>
    <w:rsid w:val="005B5804"/>
    <w:rsid w:val="005B5A89"/>
    <w:rsid w:val="005B5BC3"/>
    <w:rsid w:val="005B5F50"/>
    <w:rsid w:val="005B615D"/>
    <w:rsid w:val="005B616A"/>
    <w:rsid w:val="005B645C"/>
    <w:rsid w:val="005B6646"/>
    <w:rsid w:val="005B6863"/>
    <w:rsid w:val="005B6F1B"/>
    <w:rsid w:val="005B7049"/>
    <w:rsid w:val="005B70C8"/>
    <w:rsid w:val="005B73E4"/>
    <w:rsid w:val="005B7B35"/>
    <w:rsid w:val="005B7BD3"/>
    <w:rsid w:val="005B7F9D"/>
    <w:rsid w:val="005C0A4A"/>
    <w:rsid w:val="005C0BB5"/>
    <w:rsid w:val="005C0CA7"/>
    <w:rsid w:val="005C1EBE"/>
    <w:rsid w:val="005C24BE"/>
    <w:rsid w:val="005C2771"/>
    <w:rsid w:val="005C29EA"/>
    <w:rsid w:val="005C2FE1"/>
    <w:rsid w:val="005C337D"/>
    <w:rsid w:val="005C37D3"/>
    <w:rsid w:val="005C3886"/>
    <w:rsid w:val="005C4034"/>
    <w:rsid w:val="005C4253"/>
    <w:rsid w:val="005C447B"/>
    <w:rsid w:val="005C5083"/>
    <w:rsid w:val="005C552A"/>
    <w:rsid w:val="005C58FA"/>
    <w:rsid w:val="005C5A12"/>
    <w:rsid w:val="005C5A60"/>
    <w:rsid w:val="005C6014"/>
    <w:rsid w:val="005C614A"/>
    <w:rsid w:val="005C6399"/>
    <w:rsid w:val="005C6798"/>
    <w:rsid w:val="005C6D2E"/>
    <w:rsid w:val="005C6EFC"/>
    <w:rsid w:val="005C7327"/>
    <w:rsid w:val="005C73A8"/>
    <w:rsid w:val="005C7535"/>
    <w:rsid w:val="005C7626"/>
    <w:rsid w:val="005C7FF2"/>
    <w:rsid w:val="005D0773"/>
    <w:rsid w:val="005D0A23"/>
    <w:rsid w:val="005D0C3B"/>
    <w:rsid w:val="005D0FD5"/>
    <w:rsid w:val="005D120B"/>
    <w:rsid w:val="005D149B"/>
    <w:rsid w:val="005D14AA"/>
    <w:rsid w:val="005D15ED"/>
    <w:rsid w:val="005D181A"/>
    <w:rsid w:val="005D193B"/>
    <w:rsid w:val="005D1A8A"/>
    <w:rsid w:val="005D1BF5"/>
    <w:rsid w:val="005D1EBB"/>
    <w:rsid w:val="005D1F52"/>
    <w:rsid w:val="005D20B3"/>
    <w:rsid w:val="005D220A"/>
    <w:rsid w:val="005D2458"/>
    <w:rsid w:val="005D292A"/>
    <w:rsid w:val="005D358B"/>
    <w:rsid w:val="005D3675"/>
    <w:rsid w:val="005D3856"/>
    <w:rsid w:val="005D3B97"/>
    <w:rsid w:val="005D490E"/>
    <w:rsid w:val="005D4AB0"/>
    <w:rsid w:val="005D534B"/>
    <w:rsid w:val="005D5564"/>
    <w:rsid w:val="005D5D3F"/>
    <w:rsid w:val="005D7183"/>
    <w:rsid w:val="005D7531"/>
    <w:rsid w:val="005D7A2D"/>
    <w:rsid w:val="005D7B65"/>
    <w:rsid w:val="005E00A8"/>
    <w:rsid w:val="005E0546"/>
    <w:rsid w:val="005E08AB"/>
    <w:rsid w:val="005E0965"/>
    <w:rsid w:val="005E0DC4"/>
    <w:rsid w:val="005E0E39"/>
    <w:rsid w:val="005E129D"/>
    <w:rsid w:val="005E1650"/>
    <w:rsid w:val="005E178B"/>
    <w:rsid w:val="005E260F"/>
    <w:rsid w:val="005E263C"/>
    <w:rsid w:val="005E27F8"/>
    <w:rsid w:val="005E2870"/>
    <w:rsid w:val="005E316A"/>
    <w:rsid w:val="005E31BB"/>
    <w:rsid w:val="005E38D6"/>
    <w:rsid w:val="005E3995"/>
    <w:rsid w:val="005E3D68"/>
    <w:rsid w:val="005E4289"/>
    <w:rsid w:val="005E4AD4"/>
    <w:rsid w:val="005E4EA4"/>
    <w:rsid w:val="005E5900"/>
    <w:rsid w:val="005E5AF2"/>
    <w:rsid w:val="005E5D22"/>
    <w:rsid w:val="005E5D3A"/>
    <w:rsid w:val="005E5DFF"/>
    <w:rsid w:val="005E6563"/>
    <w:rsid w:val="005E6627"/>
    <w:rsid w:val="005E6DC0"/>
    <w:rsid w:val="005E7976"/>
    <w:rsid w:val="005E79AD"/>
    <w:rsid w:val="005E7B4E"/>
    <w:rsid w:val="005E7E23"/>
    <w:rsid w:val="005E7F60"/>
    <w:rsid w:val="005F001D"/>
    <w:rsid w:val="005F0178"/>
    <w:rsid w:val="005F021E"/>
    <w:rsid w:val="005F054B"/>
    <w:rsid w:val="005F0706"/>
    <w:rsid w:val="005F0A56"/>
    <w:rsid w:val="005F0FFC"/>
    <w:rsid w:val="005F1029"/>
    <w:rsid w:val="005F14DC"/>
    <w:rsid w:val="005F14E1"/>
    <w:rsid w:val="005F19E3"/>
    <w:rsid w:val="005F2618"/>
    <w:rsid w:val="005F28A1"/>
    <w:rsid w:val="005F2A93"/>
    <w:rsid w:val="005F2B61"/>
    <w:rsid w:val="005F2D22"/>
    <w:rsid w:val="005F2D90"/>
    <w:rsid w:val="005F33A7"/>
    <w:rsid w:val="005F4074"/>
    <w:rsid w:val="005F46A2"/>
    <w:rsid w:val="005F4887"/>
    <w:rsid w:val="005F5019"/>
    <w:rsid w:val="005F55CB"/>
    <w:rsid w:val="005F5950"/>
    <w:rsid w:val="005F5AB5"/>
    <w:rsid w:val="005F6060"/>
    <w:rsid w:val="005F6722"/>
    <w:rsid w:val="005F6B5E"/>
    <w:rsid w:val="005F6CB2"/>
    <w:rsid w:val="005F7393"/>
    <w:rsid w:val="005F79D7"/>
    <w:rsid w:val="0060034A"/>
    <w:rsid w:val="00600354"/>
    <w:rsid w:val="00600781"/>
    <w:rsid w:val="0060106F"/>
    <w:rsid w:val="00601196"/>
    <w:rsid w:val="0060155F"/>
    <w:rsid w:val="00601BEB"/>
    <w:rsid w:val="00601D0F"/>
    <w:rsid w:val="0060268D"/>
    <w:rsid w:val="0060293F"/>
    <w:rsid w:val="00602A1F"/>
    <w:rsid w:val="00602E0C"/>
    <w:rsid w:val="006031F9"/>
    <w:rsid w:val="00603238"/>
    <w:rsid w:val="0060382C"/>
    <w:rsid w:val="00603AC0"/>
    <w:rsid w:val="00603BE1"/>
    <w:rsid w:val="00603C24"/>
    <w:rsid w:val="006042CF"/>
    <w:rsid w:val="006043A9"/>
    <w:rsid w:val="006043B6"/>
    <w:rsid w:val="0060444A"/>
    <w:rsid w:val="00604827"/>
    <w:rsid w:val="00604B5E"/>
    <w:rsid w:val="00604FE6"/>
    <w:rsid w:val="0060532E"/>
    <w:rsid w:val="006054F5"/>
    <w:rsid w:val="00605683"/>
    <w:rsid w:val="00605705"/>
    <w:rsid w:val="0060571D"/>
    <w:rsid w:val="0060589D"/>
    <w:rsid w:val="00605CCB"/>
    <w:rsid w:val="00605ED5"/>
    <w:rsid w:val="00605FA2"/>
    <w:rsid w:val="00606461"/>
    <w:rsid w:val="00606D9A"/>
    <w:rsid w:val="0060744F"/>
    <w:rsid w:val="006077BC"/>
    <w:rsid w:val="00607A9C"/>
    <w:rsid w:val="00610234"/>
    <w:rsid w:val="00610712"/>
    <w:rsid w:val="00610854"/>
    <w:rsid w:val="00610872"/>
    <w:rsid w:val="00610930"/>
    <w:rsid w:val="00610A83"/>
    <w:rsid w:val="00610B2E"/>
    <w:rsid w:val="00610C33"/>
    <w:rsid w:val="00610FD2"/>
    <w:rsid w:val="0061108A"/>
    <w:rsid w:val="00612295"/>
    <w:rsid w:val="0061277E"/>
    <w:rsid w:val="006127B3"/>
    <w:rsid w:val="00612A3C"/>
    <w:rsid w:val="00612B02"/>
    <w:rsid w:val="00612BDC"/>
    <w:rsid w:val="00612FB9"/>
    <w:rsid w:val="00613219"/>
    <w:rsid w:val="006135EF"/>
    <w:rsid w:val="00613C77"/>
    <w:rsid w:val="006148D6"/>
    <w:rsid w:val="006152C2"/>
    <w:rsid w:val="006156D6"/>
    <w:rsid w:val="00615C39"/>
    <w:rsid w:val="00615D44"/>
    <w:rsid w:val="00616612"/>
    <w:rsid w:val="006169F8"/>
    <w:rsid w:val="00616AA2"/>
    <w:rsid w:val="006172E6"/>
    <w:rsid w:val="00617368"/>
    <w:rsid w:val="006173F6"/>
    <w:rsid w:val="00617BE3"/>
    <w:rsid w:val="00617E3B"/>
    <w:rsid w:val="00617EA8"/>
    <w:rsid w:val="00620A30"/>
    <w:rsid w:val="00620AF6"/>
    <w:rsid w:val="00620ED6"/>
    <w:rsid w:val="006210BD"/>
    <w:rsid w:val="0062117C"/>
    <w:rsid w:val="00621276"/>
    <w:rsid w:val="006212B8"/>
    <w:rsid w:val="00621B56"/>
    <w:rsid w:val="00622107"/>
    <w:rsid w:val="00622127"/>
    <w:rsid w:val="006224F8"/>
    <w:rsid w:val="00622668"/>
    <w:rsid w:val="006226F9"/>
    <w:rsid w:val="00622EC9"/>
    <w:rsid w:val="00623FF9"/>
    <w:rsid w:val="006240A2"/>
    <w:rsid w:val="0062426A"/>
    <w:rsid w:val="006251F8"/>
    <w:rsid w:val="00625C96"/>
    <w:rsid w:val="00625F7D"/>
    <w:rsid w:val="006262E1"/>
    <w:rsid w:val="00626633"/>
    <w:rsid w:val="006269FB"/>
    <w:rsid w:val="00626C24"/>
    <w:rsid w:val="006273D5"/>
    <w:rsid w:val="00627461"/>
    <w:rsid w:val="00627467"/>
    <w:rsid w:val="00627599"/>
    <w:rsid w:val="006302CE"/>
    <w:rsid w:val="00630E06"/>
    <w:rsid w:val="0063186A"/>
    <w:rsid w:val="006318DB"/>
    <w:rsid w:val="00631AE7"/>
    <w:rsid w:val="00631FA3"/>
    <w:rsid w:val="00632124"/>
    <w:rsid w:val="00632207"/>
    <w:rsid w:val="00632469"/>
    <w:rsid w:val="006328B3"/>
    <w:rsid w:val="00632B78"/>
    <w:rsid w:val="00633253"/>
    <w:rsid w:val="00633263"/>
    <w:rsid w:val="0063337C"/>
    <w:rsid w:val="0063369C"/>
    <w:rsid w:val="00633A73"/>
    <w:rsid w:val="00633F46"/>
    <w:rsid w:val="00634020"/>
    <w:rsid w:val="0063491C"/>
    <w:rsid w:val="0063517A"/>
    <w:rsid w:val="006355FD"/>
    <w:rsid w:val="00635EC8"/>
    <w:rsid w:val="006363AC"/>
    <w:rsid w:val="00636577"/>
    <w:rsid w:val="0063736B"/>
    <w:rsid w:val="0063757C"/>
    <w:rsid w:val="00637D59"/>
    <w:rsid w:val="00637D9E"/>
    <w:rsid w:val="00640043"/>
    <w:rsid w:val="006406C1"/>
    <w:rsid w:val="0064080B"/>
    <w:rsid w:val="0064090A"/>
    <w:rsid w:val="00640AC3"/>
    <w:rsid w:val="006412EE"/>
    <w:rsid w:val="00641458"/>
    <w:rsid w:val="00641505"/>
    <w:rsid w:val="006416B1"/>
    <w:rsid w:val="00641A5C"/>
    <w:rsid w:val="00641C88"/>
    <w:rsid w:val="00642284"/>
    <w:rsid w:val="00642413"/>
    <w:rsid w:val="00642B00"/>
    <w:rsid w:val="00643027"/>
    <w:rsid w:val="006435ED"/>
    <w:rsid w:val="006437C4"/>
    <w:rsid w:val="00643CBE"/>
    <w:rsid w:val="00643E3D"/>
    <w:rsid w:val="00643E7B"/>
    <w:rsid w:val="00643F92"/>
    <w:rsid w:val="0064437A"/>
    <w:rsid w:val="00644815"/>
    <w:rsid w:val="0064498B"/>
    <w:rsid w:val="00645351"/>
    <w:rsid w:val="00645463"/>
    <w:rsid w:val="00645624"/>
    <w:rsid w:val="0064563F"/>
    <w:rsid w:val="00645D56"/>
    <w:rsid w:val="00645F3B"/>
    <w:rsid w:val="00646044"/>
    <w:rsid w:val="00646422"/>
    <w:rsid w:val="00646B5B"/>
    <w:rsid w:val="00646EFD"/>
    <w:rsid w:val="0064713C"/>
    <w:rsid w:val="00647282"/>
    <w:rsid w:val="00647785"/>
    <w:rsid w:val="00647AB7"/>
    <w:rsid w:val="00647CCA"/>
    <w:rsid w:val="00647E01"/>
    <w:rsid w:val="00650A27"/>
    <w:rsid w:val="00650BF8"/>
    <w:rsid w:val="00650D91"/>
    <w:rsid w:val="006516E8"/>
    <w:rsid w:val="00651D2D"/>
    <w:rsid w:val="00651EF9"/>
    <w:rsid w:val="00651F81"/>
    <w:rsid w:val="006521E1"/>
    <w:rsid w:val="00652346"/>
    <w:rsid w:val="00652465"/>
    <w:rsid w:val="00652B36"/>
    <w:rsid w:val="00652FFC"/>
    <w:rsid w:val="006530F8"/>
    <w:rsid w:val="006532F2"/>
    <w:rsid w:val="00653868"/>
    <w:rsid w:val="00653970"/>
    <w:rsid w:val="00653A93"/>
    <w:rsid w:val="006540F6"/>
    <w:rsid w:val="006542AF"/>
    <w:rsid w:val="0065458A"/>
    <w:rsid w:val="00654A7F"/>
    <w:rsid w:val="00654AAA"/>
    <w:rsid w:val="0065555C"/>
    <w:rsid w:val="006556BD"/>
    <w:rsid w:val="00655A5F"/>
    <w:rsid w:val="00655B4A"/>
    <w:rsid w:val="0065654F"/>
    <w:rsid w:val="00656709"/>
    <w:rsid w:val="00656F55"/>
    <w:rsid w:val="00657323"/>
    <w:rsid w:val="00657A32"/>
    <w:rsid w:val="00657A3D"/>
    <w:rsid w:val="00657AC6"/>
    <w:rsid w:val="00660268"/>
    <w:rsid w:val="006608C3"/>
    <w:rsid w:val="006609E9"/>
    <w:rsid w:val="00660B44"/>
    <w:rsid w:val="00660BFF"/>
    <w:rsid w:val="00661130"/>
    <w:rsid w:val="00661173"/>
    <w:rsid w:val="006611D3"/>
    <w:rsid w:val="00661AFE"/>
    <w:rsid w:val="00661D84"/>
    <w:rsid w:val="00661E61"/>
    <w:rsid w:val="0066218A"/>
    <w:rsid w:val="0066251E"/>
    <w:rsid w:val="006632DA"/>
    <w:rsid w:val="00663602"/>
    <w:rsid w:val="00663A84"/>
    <w:rsid w:val="00663B98"/>
    <w:rsid w:val="00663CD1"/>
    <w:rsid w:val="00663DC3"/>
    <w:rsid w:val="00663E71"/>
    <w:rsid w:val="00663F5C"/>
    <w:rsid w:val="006641BD"/>
    <w:rsid w:val="00664367"/>
    <w:rsid w:val="0066442E"/>
    <w:rsid w:val="00665A50"/>
    <w:rsid w:val="00665E3D"/>
    <w:rsid w:val="00666319"/>
    <w:rsid w:val="00666DF0"/>
    <w:rsid w:val="0066771F"/>
    <w:rsid w:val="00667A81"/>
    <w:rsid w:val="00667A9E"/>
    <w:rsid w:val="00667BED"/>
    <w:rsid w:val="00667C35"/>
    <w:rsid w:val="0067024D"/>
    <w:rsid w:val="0067032B"/>
    <w:rsid w:val="00670445"/>
    <w:rsid w:val="00670566"/>
    <w:rsid w:val="00670ADF"/>
    <w:rsid w:val="00670F24"/>
    <w:rsid w:val="00670F36"/>
    <w:rsid w:val="00670FA8"/>
    <w:rsid w:val="006715E2"/>
    <w:rsid w:val="006718D3"/>
    <w:rsid w:val="00671A7D"/>
    <w:rsid w:val="00671ABB"/>
    <w:rsid w:val="00671C07"/>
    <w:rsid w:val="00671C87"/>
    <w:rsid w:val="00671D8C"/>
    <w:rsid w:val="006721D6"/>
    <w:rsid w:val="00672A72"/>
    <w:rsid w:val="00673352"/>
    <w:rsid w:val="006733F9"/>
    <w:rsid w:val="0067351C"/>
    <w:rsid w:val="00673A7F"/>
    <w:rsid w:val="00673B14"/>
    <w:rsid w:val="00673BC3"/>
    <w:rsid w:val="00673CC7"/>
    <w:rsid w:val="00673EFF"/>
    <w:rsid w:val="00674487"/>
    <w:rsid w:val="006749F8"/>
    <w:rsid w:val="00675B1F"/>
    <w:rsid w:val="00675FDE"/>
    <w:rsid w:val="00676052"/>
    <w:rsid w:val="0067692A"/>
    <w:rsid w:val="00676B51"/>
    <w:rsid w:val="00676CEA"/>
    <w:rsid w:val="00676EC8"/>
    <w:rsid w:val="0067736D"/>
    <w:rsid w:val="00677965"/>
    <w:rsid w:val="00680368"/>
    <w:rsid w:val="00680672"/>
    <w:rsid w:val="0068099A"/>
    <w:rsid w:val="00680ADB"/>
    <w:rsid w:val="00680B27"/>
    <w:rsid w:val="00680F19"/>
    <w:rsid w:val="00680F53"/>
    <w:rsid w:val="0068185E"/>
    <w:rsid w:val="00681B34"/>
    <w:rsid w:val="00681C25"/>
    <w:rsid w:val="00681CE0"/>
    <w:rsid w:val="00681CE2"/>
    <w:rsid w:val="00681EBB"/>
    <w:rsid w:val="00681EFF"/>
    <w:rsid w:val="0068287E"/>
    <w:rsid w:val="00682A9B"/>
    <w:rsid w:val="00682D3E"/>
    <w:rsid w:val="00682F5D"/>
    <w:rsid w:val="00683B2C"/>
    <w:rsid w:val="00683D42"/>
    <w:rsid w:val="00683FB6"/>
    <w:rsid w:val="006842F2"/>
    <w:rsid w:val="00684759"/>
    <w:rsid w:val="00684C0C"/>
    <w:rsid w:val="00685071"/>
    <w:rsid w:val="00685C65"/>
    <w:rsid w:val="0068615B"/>
    <w:rsid w:val="006866AC"/>
    <w:rsid w:val="006867E2"/>
    <w:rsid w:val="00686841"/>
    <w:rsid w:val="00686CFF"/>
    <w:rsid w:val="00686D5F"/>
    <w:rsid w:val="0068798A"/>
    <w:rsid w:val="00690E37"/>
    <w:rsid w:val="00690F47"/>
    <w:rsid w:val="0069117F"/>
    <w:rsid w:val="006911D6"/>
    <w:rsid w:val="006913BA"/>
    <w:rsid w:val="00691755"/>
    <w:rsid w:val="00691810"/>
    <w:rsid w:val="0069184C"/>
    <w:rsid w:val="00691ECD"/>
    <w:rsid w:val="006921EE"/>
    <w:rsid w:val="006923DF"/>
    <w:rsid w:val="006924E6"/>
    <w:rsid w:val="00692B4F"/>
    <w:rsid w:val="00693075"/>
    <w:rsid w:val="006930A5"/>
    <w:rsid w:val="00693DE1"/>
    <w:rsid w:val="006941AF"/>
    <w:rsid w:val="00694230"/>
    <w:rsid w:val="0069498E"/>
    <w:rsid w:val="00694A77"/>
    <w:rsid w:val="00694C27"/>
    <w:rsid w:val="00694F36"/>
    <w:rsid w:val="006950C6"/>
    <w:rsid w:val="006951D5"/>
    <w:rsid w:val="00695403"/>
    <w:rsid w:val="00695580"/>
    <w:rsid w:val="0069589C"/>
    <w:rsid w:val="00695E02"/>
    <w:rsid w:val="006961B4"/>
    <w:rsid w:val="00696BE2"/>
    <w:rsid w:val="00696D01"/>
    <w:rsid w:val="00696F23"/>
    <w:rsid w:val="00697078"/>
    <w:rsid w:val="006971A8"/>
    <w:rsid w:val="00697441"/>
    <w:rsid w:val="00697584"/>
    <w:rsid w:val="0069779F"/>
    <w:rsid w:val="006A03C2"/>
    <w:rsid w:val="006A074B"/>
    <w:rsid w:val="006A0EE0"/>
    <w:rsid w:val="006A1067"/>
    <w:rsid w:val="006A1117"/>
    <w:rsid w:val="006A1277"/>
    <w:rsid w:val="006A1975"/>
    <w:rsid w:val="006A245B"/>
    <w:rsid w:val="006A25DD"/>
    <w:rsid w:val="006A2604"/>
    <w:rsid w:val="006A305B"/>
    <w:rsid w:val="006A35E7"/>
    <w:rsid w:val="006A3AE2"/>
    <w:rsid w:val="006A3B59"/>
    <w:rsid w:val="006A4862"/>
    <w:rsid w:val="006A4891"/>
    <w:rsid w:val="006A4FA1"/>
    <w:rsid w:val="006A516B"/>
    <w:rsid w:val="006A5274"/>
    <w:rsid w:val="006A5302"/>
    <w:rsid w:val="006A5512"/>
    <w:rsid w:val="006A569C"/>
    <w:rsid w:val="006A5981"/>
    <w:rsid w:val="006A5BB3"/>
    <w:rsid w:val="006A5D4C"/>
    <w:rsid w:val="006A650F"/>
    <w:rsid w:val="006A654B"/>
    <w:rsid w:val="006A6947"/>
    <w:rsid w:val="006A6CEF"/>
    <w:rsid w:val="006A7A40"/>
    <w:rsid w:val="006A7B22"/>
    <w:rsid w:val="006A7DD4"/>
    <w:rsid w:val="006A7DDF"/>
    <w:rsid w:val="006A7E93"/>
    <w:rsid w:val="006B040B"/>
    <w:rsid w:val="006B054C"/>
    <w:rsid w:val="006B093E"/>
    <w:rsid w:val="006B0E69"/>
    <w:rsid w:val="006B1199"/>
    <w:rsid w:val="006B17D8"/>
    <w:rsid w:val="006B1A02"/>
    <w:rsid w:val="006B2117"/>
    <w:rsid w:val="006B3182"/>
    <w:rsid w:val="006B3BAB"/>
    <w:rsid w:val="006B42E6"/>
    <w:rsid w:val="006B4305"/>
    <w:rsid w:val="006B45D9"/>
    <w:rsid w:val="006B4DE5"/>
    <w:rsid w:val="006B5072"/>
    <w:rsid w:val="006B5FA9"/>
    <w:rsid w:val="006B60CF"/>
    <w:rsid w:val="006B638A"/>
    <w:rsid w:val="006B6AD9"/>
    <w:rsid w:val="006B6C42"/>
    <w:rsid w:val="006B6D08"/>
    <w:rsid w:val="006B718C"/>
    <w:rsid w:val="006B71D3"/>
    <w:rsid w:val="006B73D3"/>
    <w:rsid w:val="006B740A"/>
    <w:rsid w:val="006B76C2"/>
    <w:rsid w:val="006B7C57"/>
    <w:rsid w:val="006B7F8D"/>
    <w:rsid w:val="006C00A2"/>
    <w:rsid w:val="006C0156"/>
    <w:rsid w:val="006C169A"/>
    <w:rsid w:val="006C1701"/>
    <w:rsid w:val="006C1BA4"/>
    <w:rsid w:val="006C1F10"/>
    <w:rsid w:val="006C1F75"/>
    <w:rsid w:val="006C23AC"/>
    <w:rsid w:val="006C2432"/>
    <w:rsid w:val="006C2BAF"/>
    <w:rsid w:val="006C2D83"/>
    <w:rsid w:val="006C3497"/>
    <w:rsid w:val="006C380F"/>
    <w:rsid w:val="006C3B7F"/>
    <w:rsid w:val="006C3CA5"/>
    <w:rsid w:val="006C3FF6"/>
    <w:rsid w:val="006C438F"/>
    <w:rsid w:val="006C48AA"/>
    <w:rsid w:val="006C4ACB"/>
    <w:rsid w:val="006C53F2"/>
    <w:rsid w:val="006C5DE8"/>
    <w:rsid w:val="006C6FA1"/>
    <w:rsid w:val="006C7113"/>
    <w:rsid w:val="006C77B1"/>
    <w:rsid w:val="006C795B"/>
    <w:rsid w:val="006C79C6"/>
    <w:rsid w:val="006C7CB9"/>
    <w:rsid w:val="006C7E4E"/>
    <w:rsid w:val="006D0073"/>
    <w:rsid w:val="006D02B6"/>
    <w:rsid w:val="006D060D"/>
    <w:rsid w:val="006D0834"/>
    <w:rsid w:val="006D0CA9"/>
    <w:rsid w:val="006D0CE3"/>
    <w:rsid w:val="006D1237"/>
    <w:rsid w:val="006D185E"/>
    <w:rsid w:val="006D1D88"/>
    <w:rsid w:val="006D23E2"/>
    <w:rsid w:val="006D26C2"/>
    <w:rsid w:val="006D2720"/>
    <w:rsid w:val="006D2BF7"/>
    <w:rsid w:val="006D2D9A"/>
    <w:rsid w:val="006D3039"/>
    <w:rsid w:val="006D346F"/>
    <w:rsid w:val="006D3CD2"/>
    <w:rsid w:val="006D3FDA"/>
    <w:rsid w:val="006D4013"/>
    <w:rsid w:val="006D484B"/>
    <w:rsid w:val="006D4A62"/>
    <w:rsid w:val="006D4EDF"/>
    <w:rsid w:val="006D518C"/>
    <w:rsid w:val="006D5829"/>
    <w:rsid w:val="006D5B8A"/>
    <w:rsid w:val="006D5BC5"/>
    <w:rsid w:val="006D77AB"/>
    <w:rsid w:val="006D7B49"/>
    <w:rsid w:val="006D7CF5"/>
    <w:rsid w:val="006D7D15"/>
    <w:rsid w:val="006D7E3B"/>
    <w:rsid w:val="006E0252"/>
    <w:rsid w:val="006E0735"/>
    <w:rsid w:val="006E0CBB"/>
    <w:rsid w:val="006E0D73"/>
    <w:rsid w:val="006E0EEE"/>
    <w:rsid w:val="006E13CE"/>
    <w:rsid w:val="006E169A"/>
    <w:rsid w:val="006E1EE8"/>
    <w:rsid w:val="006E22CE"/>
    <w:rsid w:val="006E2372"/>
    <w:rsid w:val="006E2486"/>
    <w:rsid w:val="006E330F"/>
    <w:rsid w:val="006E336C"/>
    <w:rsid w:val="006E359A"/>
    <w:rsid w:val="006E37BD"/>
    <w:rsid w:val="006E387C"/>
    <w:rsid w:val="006E3D62"/>
    <w:rsid w:val="006E3EBC"/>
    <w:rsid w:val="006E420E"/>
    <w:rsid w:val="006E46E4"/>
    <w:rsid w:val="006E47B3"/>
    <w:rsid w:val="006E47F6"/>
    <w:rsid w:val="006E4D58"/>
    <w:rsid w:val="006E4DE9"/>
    <w:rsid w:val="006E5076"/>
    <w:rsid w:val="006E5717"/>
    <w:rsid w:val="006E57EF"/>
    <w:rsid w:val="006E5CCD"/>
    <w:rsid w:val="006E5E28"/>
    <w:rsid w:val="006E5EF8"/>
    <w:rsid w:val="006E649D"/>
    <w:rsid w:val="006E64A7"/>
    <w:rsid w:val="006E6574"/>
    <w:rsid w:val="006E65D8"/>
    <w:rsid w:val="006E6D14"/>
    <w:rsid w:val="006E6E7B"/>
    <w:rsid w:val="006E79F0"/>
    <w:rsid w:val="006F0072"/>
    <w:rsid w:val="006F0254"/>
    <w:rsid w:val="006F02E4"/>
    <w:rsid w:val="006F0502"/>
    <w:rsid w:val="006F05DC"/>
    <w:rsid w:val="006F0B19"/>
    <w:rsid w:val="006F0E43"/>
    <w:rsid w:val="006F0EE9"/>
    <w:rsid w:val="006F10AF"/>
    <w:rsid w:val="006F1260"/>
    <w:rsid w:val="006F132E"/>
    <w:rsid w:val="006F13FE"/>
    <w:rsid w:val="006F17D5"/>
    <w:rsid w:val="006F19E9"/>
    <w:rsid w:val="006F1DF7"/>
    <w:rsid w:val="006F1E4D"/>
    <w:rsid w:val="006F2711"/>
    <w:rsid w:val="006F2796"/>
    <w:rsid w:val="006F2DD7"/>
    <w:rsid w:val="006F33D7"/>
    <w:rsid w:val="006F3415"/>
    <w:rsid w:val="006F3446"/>
    <w:rsid w:val="006F3BD5"/>
    <w:rsid w:val="006F4F57"/>
    <w:rsid w:val="006F53B6"/>
    <w:rsid w:val="006F5475"/>
    <w:rsid w:val="006F5A47"/>
    <w:rsid w:val="006F5C2B"/>
    <w:rsid w:val="006F6118"/>
    <w:rsid w:val="006F61DE"/>
    <w:rsid w:val="006F674E"/>
    <w:rsid w:val="006F6C02"/>
    <w:rsid w:val="006F6E2D"/>
    <w:rsid w:val="006F71B6"/>
    <w:rsid w:val="006F7808"/>
    <w:rsid w:val="006F7966"/>
    <w:rsid w:val="006F7ACB"/>
    <w:rsid w:val="006F7D06"/>
    <w:rsid w:val="006F7EDA"/>
    <w:rsid w:val="006F7FCC"/>
    <w:rsid w:val="0070035F"/>
    <w:rsid w:val="00700689"/>
    <w:rsid w:val="00700B7E"/>
    <w:rsid w:val="007012A6"/>
    <w:rsid w:val="007015C5"/>
    <w:rsid w:val="007018A7"/>
    <w:rsid w:val="00701EC0"/>
    <w:rsid w:val="0070232C"/>
    <w:rsid w:val="007025BE"/>
    <w:rsid w:val="007032E6"/>
    <w:rsid w:val="0070344E"/>
    <w:rsid w:val="007038AD"/>
    <w:rsid w:val="00703F73"/>
    <w:rsid w:val="007044C4"/>
    <w:rsid w:val="0070495C"/>
    <w:rsid w:val="00704A29"/>
    <w:rsid w:val="00704F4B"/>
    <w:rsid w:val="00705367"/>
    <w:rsid w:val="00705E1A"/>
    <w:rsid w:val="00705E50"/>
    <w:rsid w:val="00705F70"/>
    <w:rsid w:val="00706184"/>
    <w:rsid w:val="00706851"/>
    <w:rsid w:val="00707165"/>
    <w:rsid w:val="00707510"/>
    <w:rsid w:val="0071009D"/>
    <w:rsid w:val="007100A7"/>
    <w:rsid w:val="00710D77"/>
    <w:rsid w:val="00710DF8"/>
    <w:rsid w:val="00710F56"/>
    <w:rsid w:val="00711273"/>
    <w:rsid w:val="007114D9"/>
    <w:rsid w:val="00711510"/>
    <w:rsid w:val="00711538"/>
    <w:rsid w:val="007119B2"/>
    <w:rsid w:val="00711CDD"/>
    <w:rsid w:val="0071273C"/>
    <w:rsid w:val="0071282D"/>
    <w:rsid w:val="0071308B"/>
    <w:rsid w:val="007132C3"/>
    <w:rsid w:val="00713999"/>
    <w:rsid w:val="0071434A"/>
    <w:rsid w:val="007145AD"/>
    <w:rsid w:val="007145B0"/>
    <w:rsid w:val="00714CAF"/>
    <w:rsid w:val="00714CF2"/>
    <w:rsid w:val="007156B9"/>
    <w:rsid w:val="00715960"/>
    <w:rsid w:val="00715A17"/>
    <w:rsid w:val="00715A73"/>
    <w:rsid w:val="00715BEF"/>
    <w:rsid w:val="00715E6F"/>
    <w:rsid w:val="00716A6A"/>
    <w:rsid w:val="00717479"/>
    <w:rsid w:val="007174FE"/>
    <w:rsid w:val="00717ABC"/>
    <w:rsid w:val="00717BF7"/>
    <w:rsid w:val="00717F02"/>
    <w:rsid w:val="00717F35"/>
    <w:rsid w:val="007200C8"/>
    <w:rsid w:val="00720817"/>
    <w:rsid w:val="00720907"/>
    <w:rsid w:val="007209FB"/>
    <w:rsid w:val="00720A99"/>
    <w:rsid w:val="00721218"/>
    <w:rsid w:val="0072143C"/>
    <w:rsid w:val="0072144D"/>
    <w:rsid w:val="007214A5"/>
    <w:rsid w:val="007215E7"/>
    <w:rsid w:val="0072172F"/>
    <w:rsid w:val="00722059"/>
    <w:rsid w:val="00722385"/>
    <w:rsid w:val="00722850"/>
    <w:rsid w:val="007228BB"/>
    <w:rsid w:val="00722D86"/>
    <w:rsid w:val="00722F5B"/>
    <w:rsid w:val="0072340B"/>
    <w:rsid w:val="00723F8A"/>
    <w:rsid w:val="007241AE"/>
    <w:rsid w:val="00724303"/>
    <w:rsid w:val="007247B2"/>
    <w:rsid w:val="007253C5"/>
    <w:rsid w:val="00725B01"/>
    <w:rsid w:val="00725B56"/>
    <w:rsid w:val="0072614B"/>
    <w:rsid w:val="0072652B"/>
    <w:rsid w:val="0072720E"/>
    <w:rsid w:val="007276DD"/>
    <w:rsid w:val="00727E09"/>
    <w:rsid w:val="00727EE1"/>
    <w:rsid w:val="0073040F"/>
    <w:rsid w:val="00730511"/>
    <w:rsid w:val="00730714"/>
    <w:rsid w:val="00730F11"/>
    <w:rsid w:val="00731473"/>
    <w:rsid w:val="00731A0B"/>
    <w:rsid w:val="00731ABA"/>
    <w:rsid w:val="00731BCF"/>
    <w:rsid w:val="00731CFC"/>
    <w:rsid w:val="00731E05"/>
    <w:rsid w:val="00731E18"/>
    <w:rsid w:val="00732050"/>
    <w:rsid w:val="007320FB"/>
    <w:rsid w:val="007322FB"/>
    <w:rsid w:val="0073289D"/>
    <w:rsid w:val="00732ADC"/>
    <w:rsid w:val="00732CC7"/>
    <w:rsid w:val="00732EBC"/>
    <w:rsid w:val="00733495"/>
    <w:rsid w:val="0073353F"/>
    <w:rsid w:val="0073362C"/>
    <w:rsid w:val="007336CC"/>
    <w:rsid w:val="0073381D"/>
    <w:rsid w:val="00733AA6"/>
    <w:rsid w:val="00734360"/>
    <w:rsid w:val="00734A39"/>
    <w:rsid w:val="0073548E"/>
    <w:rsid w:val="007356A3"/>
    <w:rsid w:val="00735A91"/>
    <w:rsid w:val="00735CD0"/>
    <w:rsid w:val="00736345"/>
    <w:rsid w:val="0073668C"/>
    <w:rsid w:val="007366CA"/>
    <w:rsid w:val="0073699B"/>
    <w:rsid w:val="00737447"/>
    <w:rsid w:val="00737867"/>
    <w:rsid w:val="0074080A"/>
    <w:rsid w:val="00740BF5"/>
    <w:rsid w:val="00740C39"/>
    <w:rsid w:val="00740E71"/>
    <w:rsid w:val="00741187"/>
    <w:rsid w:val="00741306"/>
    <w:rsid w:val="00741EF5"/>
    <w:rsid w:val="00742B50"/>
    <w:rsid w:val="00742BE3"/>
    <w:rsid w:val="00742DE1"/>
    <w:rsid w:val="00742E45"/>
    <w:rsid w:val="00743B54"/>
    <w:rsid w:val="00743D8E"/>
    <w:rsid w:val="00744732"/>
    <w:rsid w:val="007447AF"/>
    <w:rsid w:val="0074481C"/>
    <w:rsid w:val="00744C05"/>
    <w:rsid w:val="00745524"/>
    <w:rsid w:val="00745A65"/>
    <w:rsid w:val="007460F8"/>
    <w:rsid w:val="00746135"/>
    <w:rsid w:val="007461DA"/>
    <w:rsid w:val="007463CE"/>
    <w:rsid w:val="0074640C"/>
    <w:rsid w:val="0074688F"/>
    <w:rsid w:val="00746D7B"/>
    <w:rsid w:val="00746DDB"/>
    <w:rsid w:val="0074784F"/>
    <w:rsid w:val="00750067"/>
    <w:rsid w:val="007500EE"/>
    <w:rsid w:val="0075043B"/>
    <w:rsid w:val="00750816"/>
    <w:rsid w:val="00750A3C"/>
    <w:rsid w:val="00750C62"/>
    <w:rsid w:val="0075153E"/>
    <w:rsid w:val="007516D3"/>
    <w:rsid w:val="0075170B"/>
    <w:rsid w:val="00752557"/>
    <w:rsid w:val="007527D3"/>
    <w:rsid w:val="00752A76"/>
    <w:rsid w:val="00752AB6"/>
    <w:rsid w:val="00754128"/>
    <w:rsid w:val="00754741"/>
    <w:rsid w:val="007548D6"/>
    <w:rsid w:val="00754C87"/>
    <w:rsid w:val="00754DF1"/>
    <w:rsid w:val="007551DD"/>
    <w:rsid w:val="00755573"/>
    <w:rsid w:val="0075579B"/>
    <w:rsid w:val="0075593A"/>
    <w:rsid w:val="00755BBA"/>
    <w:rsid w:val="00755DB3"/>
    <w:rsid w:val="00756081"/>
    <w:rsid w:val="0075623B"/>
    <w:rsid w:val="007565AC"/>
    <w:rsid w:val="00756694"/>
    <w:rsid w:val="00756CA3"/>
    <w:rsid w:val="00756D80"/>
    <w:rsid w:val="00756D9A"/>
    <w:rsid w:val="00756FFE"/>
    <w:rsid w:val="007572B5"/>
    <w:rsid w:val="00757475"/>
    <w:rsid w:val="00757C05"/>
    <w:rsid w:val="00760355"/>
    <w:rsid w:val="0076035D"/>
    <w:rsid w:val="00760AF0"/>
    <w:rsid w:val="0076156C"/>
    <w:rsid w:val="00761D58"/>
    <w:rsid w:val="007624DB"/>
    <w:rsid w:val="00762AAD"/>
    <w:rsid w:val="00762D9E"/>
    <w:rsid w:val="00762FB2"/>
    <w:rsid w:val="00762FD3"/>
    <w:rsid w:val="0076316B"/>
    <w:rsid w:val="00763361"/>
    <w:rsid w:val="00763721"/>
    <w:rsid w:val="0076372A"/>
    <w:rsid w:val="007637F3"/>
    <w:rsid w:val="00764AE1"/>
    <w:rsid w:val="00764FEB"/>
    <w:rsid w:val="007657C1"/>
    <w:rsid w:val="00765B45"/>
    <w:rsid w:val="00765F01"/>
    <w:rsid w:val="0076667A"/>
    <w:rsid w:val="007671EB"/>
    <w:rsid w:val="007673A3"/>
    <w:rsid w:val="007675D3"/>
    <w:rsid w:val="007679AE"/>
    <w:rsid w:val="00767D6B"/>
    <w:rsid w:val="00770030"/>
    <w:rsid w:val="007701C8"/>
    <w:rsid w:val="0077034E"/>
    <w:rsid w:val="00770C72"/>
    <w:rsid w:val="00770ECB"/>
    <w:rsid w:val="00772474"/>
    <w:rsid w:val="0077278D"/>
    <w:rsid w:val="0077313C"/>
    <w:rsid w:val="0077361E"/>
    <w:rsid w:val="00773A31"/>
    <w:rsid w:val="00773C3B"/>
    <w:rsid w:val="00773E37"/>
    <w:rsid w:val="00774631"/>
    <w:rsid w:val="00774874"/>
    <w:rsid w:val="00774AFE"/>
    <w:rsid w:val="007750D9"/>
    <w:rsid w:val="007758F3"/>
    <w:rsid w:val="00775DAD"/>
    <w:rsid w:val="00775DEA"/>
    <w:rsid w:val="007761AC"/>
    <w:rsid w:val="007761E2"/>
    <w:rsid w:val="007762AA"/>
    <w:rsid w:val="007762E4"/>
    <w:rsid w:val="00776377"/>
    <w:rsid w:val="00776747"/>
    <w:rsid w:val="00776839"/>
    <w:rsid w:val="0077689F"/>
    <w:rsid w:val="00776E2B"/>
    <w:rsid w:val="007774DD"/>
    <w:rsid w:val="0077755F"/>
    <w:rsid w:val="00777C0E"/>
    <w:rsid w:val="00777FD9"/>
    <w:rsid w:val="007802E2"/>
    <w:rsid w:val="00780A6B"/>
    <w:rsid w:val="00781028"/>
    <w:rsid w:val="0078106A"/>
    <w:rsid w:val="00781233"/>
    <w:rsid w:val="00781281"/>
    <w:rsid w:val="00781374"/>
    <w:rsid w:val="007813C0"/>
    <w:rsid w:val="007814EB"/>
    <w:rsid w:val="00781D71"/>
    <w:rsid w:val="007820AB"/>
    <w:rsid w:val="00782242"/>
    <w:rsid w:val="00782920"/>
    <w:rsid w:val="00782D80"/>
    <w:rsid w:val="00782E76"/>
    <w:rsid w:val="0078339F"/>
    <w:rsid w:val="00783515"/>
    <w:rsid w:val="00783705"/>
    <w:rsid w:val="007837BC"/>
    <w:rsid w:val="00783B54"/>
    <w:rsid w:val="007841CB"/>
    <w:rsid w:val="007842F8"/>
    <w:rsid w:val="007846B4"/>
    <w:rsid w:val="00784745"/>
    <w:rsid w:val="00784AD3"/>
    <w:rsid w:val="00784B7C"/>
    <w:rsid w:val="00785979"/>
    <w:rsid w:val="00785B5A"/>
    <w:rsid w:val="00786022"/>
    <w:rsid w:val="007864BA"/>
    <w:rsid w:val="00786743"/>
    <w:rsid w:val="00787226"/>
    <w:rsid w:val="00787268"/>
    <w:rsid w:val="007879C1"/>
    <w:rsid w:val="00787B0E"/>
    <w:rsid w:val="007900BE"/>
    <w:rsid w:val="00790100"/>
    <w:rsid w:val="00790B7C"/>
    <w:rsid w:val="00791121"/>
    <w:rsid w:val="0079120A"/>
    <w:rsid w:val="0079120C"/>
    <w:rsid w:val="0079130F"/>
    <w:rsid w:val="00791447"/>
    <w:rsid w:val="007919F3"/>
    <w:rsid w:val="00791A56"/>
    <w:rsid w:val="00791C63"/>
    <w:rsid w:val="007922EF"/>
    <w:rsid w:val="00792735"/>
    <w:rsid w:val="00792F54"/>
    <w:rsid w:val="0079308D"/>
    <w:rsid w:val="007936EE"/>
    <w:rsid w:val="00793CDA"/>
    <w:rsid w:val="007948DD"/>
    <w:rsid w:val="007950F8"/>
    <w:rsid w:val="007957A6"/>
    <w:rsid w:val="00795887"/>
    <w:rsid w:val="00795B5E"/>
    <w:rsid w:val="00795D06"/>
    <w:rsid w:val="00795EC2"/>
    <w:rsid w:val="00795FCB"/>
    <w:rsid w:val="007961C1"/>
    <w:rsid w:val="007965A0"/>
    <w:rsid w:val="00797A3C"/>
    <w:rsid w:val="007A004B"/>
    <w:rsid w:val="007A0149"/>
    <w:rsid w:val="007A037F"/>
    <w:rsid w:val="007A07CA"/>
    <w:rsid w:val="007A0893"/>
    <w:rsid w:val="007A0A37"/>
    <w:rsid w:val="007A12C5"/>
    <w:rsid w:val="007A1EE8"/>
    <w:rsid w:val="007A2616"/>
    <w:rsid w:val="007A30D1"/>
    <w:rsid w:val="007A389A"/>
    <w:rsid w:val="007A3CB2"/>
    <w:rsid w:val="007A3FC9"/>
    <w:rsid w:val="007A3FE7"/>
    <w:rsid w:val="007A404D"/>
    <w:rsid w:val="007A406D"/>
    <w:rsid w:val="007A4F61"/>
    <w:rsid w:val="007A565D"/>
    <w:rsid w:val="007A56A2"/>
    <w:rsid w:val="007A57A3"/>
    <w:rsid w:val="007A588A"/>
    <w:rsid w:val="007A5BA9"/>
    <w:rsid w:val="007A5D3B"/>
    <w:rsid w:val="007A5ECA"/>
    <w:rsid w:val="007A5F08"/>
    <w:rsid w:val="007A62B0"/>
    <w:rsid w:val="007A62BE"/>
    <w:rsid w:val="007A6B6A"/>
    <w:rsid w:val="007A706C"/>
    <w:rsid w:val="007A70A3"/>
    <w:rsid w:val="007A70E4"/>
    <w:rsid w:val="007A73B4"/>
    <w:rsid w:val="007A7881"/>
    <w:rsid w:val="007AA59F"/>
    <w:rsid w:val="007B0013"/>
    <w:rsid w:val="007B0AC5"/>
    <w:rsid w:val="007B0D8B"/>
    <w:rsid w:val="007B0EB1"/>
    <w:rsid w:val="007B1688"/>
    <w:rsid w:val="007B2266"/>
    <w:rsid w:val="007B31BE"/>
    <w:rsid w:val="007B38E5"/>
    <w:rsid w:val="007B41A1"/>
    <w:rsid w:val="007B42AD"/>
    <w:rsid w:val="007B43B4"/>
    <w:rsid w:val="007B4938"/>
    <w:rsid w:val="007B4B65"/>
    <w:rsid w:val="007B4E93"/>
    <w:rsid w:val="007B5686"/>
    <w:rsid w:val="007B5825"/>
    <w:rsid w:val="007B5B0E"/>
    <w:rsid w:val="007B5E4D"/>
    <w:rsid w:val="007B65F7"/>
    <w:rsid w:val="007B66E4"/>
    <w:rsid w:val="007B7452"/>
    <w:rsid w:val="007B75DD"/>
    <w:rsid w:val="007B79AA"/>
    <w:rsid w:val="007C026D"/>
    <w:rsid w:val="007C15C0"/>
    <w:rsid w:val="007C1670"/>
    <w:rsid w:val="007C1C0A"/>
    <w:rsid w:val="007C262F"/>
    <w:rsid w:val="007C26F6"/>
    <w:rsid w:val="007C2832"/>
    <w:rsid w:val="007C2C02"/>
    <w:rsid w:val="007C2E4E"/>
    <w:rsid w:val="007C3174"/>
    <w:rsid w:val="007C374B"/>
    <w:rsid w:val="007C3995"/>
    <w:rsid w:val="007C3A46"/>
    <w:rsid w:val="007C3D2F"/>
    <w:rsid w:val="007C3D66"/>
    <w:rsid w:val="007C3DEC"/>
    <w:rsid w:val="007C4125"/>
    <w:rsid w:val="007C4374"/>
    <w:rsid w:val="007C459F"/>
    <w:rsid w:val="007C46E8"/>
    <w:rsid w:val="007C487A"/>
    <w:rsid w:val="007C49CE"/>
    <w:rsid w:val="007C4A79"/>
    <w:rsid w:val="007C4A95"/>
    <w:rsid w:val="007C52FD"/>
    <w:rsid w:val="007C5A0C"/>
    <w:rsid w:val="007C6144"/>
    <w:rsid w:val="007C6146"/>
    <w:rsid w:val="007C64C5"/>
    <w:rsid w:val="007C66F1"/>
    <w:rsid w:val="007C67FE"/>
    <w:rsid w:val="007C6A54"/>
    <w:rsid w:val="007C6FF6"/>
    <w:rsid w:val="007C7134"/>
    <w:rsid w:val="007C724F"/>
    <w:rsid w:val="007C7A10"/>
    <w:rsid w:val="007C7CC1"/>
    <w:rsid w:val="007C7F00"/>
    <w:rsid w:val="007D01D2"/>
    <w:rsid w:val="007D04C0"/>
    <w:rsid w:val="007D14B2"/>
    <w:rsid w:val="007D18BB"/>
    <w:rsid w:val="007D19A3"/>
    <w:rsid w:val="007D1AE8"/>
    <w:rsid w:val="007D1C97"/>
    <w:rsid w:val="007D20DA"/>
    <w:rsid w:val="007D2669"/>
    <w:rsid w:val="007D26FA"/>
    <w:rsid w:val="007D2BAE"/>
    <w:rsid w:val="007D3022"/>
    <w:rsid w:val="007D33BB"/>
    <w:rsid w:val="007D3A6E"/>
    <w:rsid w:val="007D3CC4"/>
    <w:rsid w:val="007D3D1C"/>
    <w:rsid w:val="007D3FFF"/>
    <w:rsid w:val="007D40C0"/>
    <w:rsid w:val="007D542B"/>
    <w:rsid w:val="007D54F4"/>
    <w:rsid w:val="007D5882"/>
    <w:rsid w:val="007D5EEF"/>
    <w:rsid w:val="007D698A"/>
    <w:rsid w:val="007D6A13"/>
    <w:rsid w:val="007D6B13"/>
    <w:rsid w:val="007D76F0"/>
    <w:rsid w:val="007D78AA"/>
    <w:rsid w:val="007D792A"/>
    <w:rsid w:val="007E01AE"/>
    <w:rsid w:val="007E046C"/>
    <w:rsid w:val="007E0949"/>
    <w:rsid w:val="007E09F8"/>
    <w:rsid w:val="007E0F9A"/>
    <w:rsid w:val="007E0FEE"/>
    <w:rsid w:val="007E1349"/>
    <w:rsid w:val="007E14FB"/>
    <w:rsid w:val="007E162B"/>
    <w:rsid w:val="007E1AF4"/>
    <w:rsid w:val="007E2AB6"/>
    <w:rsid w:val="007E3C07"/>
    <w:rsid w:val="007E3E04"/>
    <w:rsid w:val="007E3EFA"/>
    <w:rsid w:val="007E3FDE"/>
    <w:rsid w:val="007E4707"/>
    <w:rsid w:val="007E4866"/>
    <w:rsid w:val="007E4925"/>
    <w:rsid w:val="007E5205"/>
    <w:rsid w:val="007E5208"/>
    <w:rsid w:val="007E5293"/>
    <w:rsid w:val="007E585D"/>
    <w:rsid w:val="007E5875"/>
    <w:rsid w:val="007E5926"/>
    <w:rsid w:val="007E5A82"/>
    <w:rsid w:val="007E620D"/>
    <w:rsid w:val="007E6340"/>
    <w:rsid w:val="007E6CC7"/>
    <w:rsid w:val="007E6E4D"/>
    <w:rsid w:val="007E6F13"/>
    <w:rsid w:val="007E7422"/>
    <w:rsid w:val="007E7659"/>
    <w:rsid w:val="007F03BE"/>
    <w:rsid w:val="007F0EEF"/>
    <w:rsid w:val="007F13C6"/>
    <w:rsid w:val="007F19FA"/>
    <w:rsid w:val="007F1D14"/>
    <w:rsid w:val="007F1E2B"/>
    <w:rsid w:val="007F1E44"/>
    <w:rsid w:val="007F2017"/>
    <w:rsid w:val="007F221E"/>
    <w:rsid w:val="007F22BF"/>
    <w:rsid w:val="007F25A2"/>
    <w:rsid w:val="007F2A80"/>
    <w:rsid w:val="007F30A3"/>
    <w:rsid w:val="007F31E9"/>
    <w:rsid w:val="007F37A5"/>
    <w:rsid w:val="007F4081"/>
    <w:rsid w:val="007F42D0"/>
    <w:rsid w:val="007F43DF"/>
    <w:rsid w:val="007F4691"/>
    <w:rsid w:val="007F4AE5"/>
    <w:rsid w:val="007F51E5"/>
    <w:rsid w:val="007F55EC"/>
    <w:rsid w:val="007F5658"/>
    <w:rsid w:val="007F5A18"/>
    <w:rsid w:val="007F5A1E"/>
    <w:rsid w:val="007F65C9"/>
    <w:rsid w:val="007F668B"/>
    <w:rsid w:val="007F67AD"/>
    <w:rsid w:val="007F6BF7"/>
    <w:rsid w:val="007F6C96"/>
    <w:rsid w:val="007F77B1"/>
    <w:rsid w:val="007F7882"/>
    <w:rsid w:val="007F7DD9"/>
    <w:rsid w:val="00801153"/>
    <w:rsid w:val="00801214"/>
    <w:rsid w:val="0080132C"/>
    <w:rsid w:val="00801404"/>
    <w:rsid w:val="00801452"/>
    <w:rsid w:val="0080176A"/>
    <w:rsid w:val="00802795"/>
    <w:rsid w:val="00802928"/>
    <w:rsid w:val="00802CBC"/>
    <w:rsid w:val="00802DA3"/>
    <w:rsid w:val="0080311E"/>
    <w:rsid w:val="008031B9"/>
    <w:rsid w:val="008034D8"/>
    <w:rsid w:val="0080390E"/>
    <w:rsid w:val="00803BD3"/>
    <w:rsid w:val="00804020"/>
    <w:rsid w:val="008047C3"/>
    <w:rsid w:val="00804AAF"/>
    <w:rsid w:val="00804B41"/>
    <w:rsid w:val="00804D9D"/>
    <w:rsid w:val="00805171"/>
    <w:rsid w:val="00805CB7"/>
    <w:rsid w:val="00806489"/>
    <w:rsid w:val="00806852"/>
    <w:rsid w:val="00806B2C"/>
    <w:rsid w:val="00806DCF"/>
    <w:rsid w:val="0080733C"/>
    <w:rsid w:val="00807F42"/>
    <w:rsid w:val="008100A2"/>
    <w:rsid w:val="0081038E"/>
    <w:rsid w:val="00810DFE"/>
    <w:rsid w:val="00810E9A"/>
    <w:rsid w:val="00810F7E"/>
    <w:rsid w:val="00811ACE"/>
    <w:rsid w:val="008123A1"/>
    <w:rsid w:val="008123F1"/>
    <w:rsid w:val="00812691"/>
    <w:rsid w:val="008126C7"/>
    <w:rsid w:val="008128F8"/>
    <w:rsid w:val="008129E4"/>
    <w:rsid w:val="00812DD5"/>
    <w:rsid w:val="0081335E"/>
    <w:rsid w:val="00813DF1"/>
    <w:rsid w:val="008144C6"/>
    <w:rsid w:val="008144D9"/>
    <w:rsid w:val="008147B6"/>
    <w:rsid w:val="00815036"/>
    <w:rsid w:val="008153C3"/>
    <w:rsid w:val="0081550E"/>
    <w:rsid w:val="008155CD"/>
    <w:rsid w:val="008159CF"/>
    <w:rsid w:val="00815CAE"/>
    <w:rsid w:val="00815E67"/>
    <w:rsid w:val="00815FAB"/>
    <w:rsid w:val="00816452"/>
    <w:rsid w:val="0081689B"/>
    <w:rsid w:val="008169FE"/>
    <w:rsid w:val="00816A59"/>
    <w:rsid w:val="00816C58"/>
    <w:rsid w:val="00816D90"/>
    <w:rsid w:val="00816E05"/>
    <w:rsid w:val="00817B2F"/>
    <w:rsid w:val="00817C54"/>
    <w:rsid w:val="00817E0D"/>
    <w:rsid w:val="008201D6"/>
    <w:rsid w:val="0082033E"/>
    <w:rsid w:val="00820413"/>
    <w:rsid w:val="00820558"/>
    <w:rsid w:val="00820704"/>
    <w:rsid w:val="0082072D"/>
    <w:rsid w:val="00820812"/>
    <w:rsid w:val="00820949"/>
    <w:rsid w:val="00820DE7"/>
    <w:rsid w:val="00821134"/>
    <w:rsid w:val="008215CA"/>
    <w:rsid w:val="00821810"/>
    <w:rsid w:val="00821CB8"/>
    <w:rsid w:val="00821EDB"/>
    <w:rsid w:val="0082272E"/>
    <w:rsid w:val="00822D6A"/>
    <w:rsid w:val="00822E42"/>
    <w:rsid w:val="008233CD"/>
    <w:rsid w:val="008239F7"/>
    <w:rsid w:val="00823AD5"/>
    <w:rsid w:val="00823E7D"/>
    <w:rsid w:val="008249C8"/>
    <w:rsid w:val="00824A9F"/>
    <w:rsid w:val="00825332"/>
    <w:rsid w:val="00825383"/>
    <w:rsid w:val="00825627"/>
    <w:rsid w:val="00825648"/>
    <w:rsid w:val="00825D4B"/>
    <w:rsid w:val="0082622B"/>
    <w:rsid w:val="00826333"/>
    <w:rsid w:val="00826351"/>
    <w:rsid w:val="0082683F"/>
    <w:rsid w:val="00826F62"/>
    <w:rsid w:val="0082729C"/>
    <w:rsid w:val="00827603"/>
    <w:rsid w:val="00827AEF"/>
    <w:rsid w:val="008300DD"/>
    <w:rsid w:val="008301FC"/>
    <w:rsid w:val="008303B4"/>
    <w:rsid w:val="008308DE"/>
    <w:rsid w:val="00830FC2"/>
    <w:rsid w:val="00831005"/>
    <w:rsid w:val="0083128A"/>
    <w:rsid w:val="008316AE"/>
    <w:rsid w:val="00831811"/>
    <w:rsid w:val="00831CEC"/>
    <w:rsid w:val="00831D0E"/>
    <w:rsid w:val="008322BD"/>
    <w:rsid w:val="008328F3"/>
    <w:rsid w:val="00833285"/>
    <w:rsid w:val="008337AD"/>
    <w:rsid w:val="008339BB"/>
    <w:rsid w:val="00834144"/>
    <w:rsid w:val="00834288"/>
    <w:rsid w:val="008347CE"/>
    <w:rsid w:val="00834977"/>
    <w:rsid w:val="00834F86"/>
    <w:rsid w:val="0083579E"/>
    <w:rsid w:val="008358A6"/>
    <w:rsid w:val="00835E57"/>
    <w:rsid w:val="00836E38"/>
    <w:rsid w:val="0083727A"/>
    <w:rsid w:val="00837922"/>
    <w:rsid w:val="00837BCF"/>
    <w:rsid w:val="00840491"/>
    <w:rsid w:val="008407D6"/>
    <w:rsid w:val="00840D8A"/>
    <w:rsid w:val="00840D98"/>
    <w:rsid w:val="00840DF8"/>
    <w:rsid w:val="00840FAD"/>
    <w:rsid w:val="00841525"/>
    <w:rsid w:val="00842468"/>
    <w:rsid w:val="0084257B"/>
    <w:rsid w:val="0084294B"/>
    <w:rsid w:val="00842CBF"/>
    <w:rsid w:val="00842E37"/>
    <w:rsid w:val="00842E39"/>
    <w:rsid w:val="00842F07"/>
    <w:rsid w:val="008431C4"/>
    <w:rsid w:val="00843400"/>
    <w:rsid w:val="0084389D"/>
    <w:rsid w:val="00843C15"/>
    <w:rsid w:val="00843E5A"/>
    <w:rsid w:val="0084414D"/>
    <w:rsid w:val="008443CE"/>
    <w:rsid w:val="00844448"/>
    <w:rsid w:val="00844770"/>
    <w:rsid w:val="00844DAD"/>
    <w:rsid w:val="00844E4B"/>
    <w:rsid w:val="00844EAF"/>
    <w:rsid w:val="0084515C"/>
    <w:rsid w:val="0084586A"/>
    <w:rsid w:val="00845976"/>
    <w:rsid w:val="00845FF6"/>
    <w:rsid w:val="00845FFF"/>
    <w:rsid w:val="00846148"/>
    <w:rsid w:val="00846351"/>
    <w:rsid w:val="008467A4"/>
    <w:rsid w:val="00846873"/>
    <w:rsid w:val="00846AF1"/>
    <w:rsid w:val="00846C56"/>
    <w:rsid w:val="00846CD0"/>
    <w:rsid w:val="00847042"/>
    <w:rsid w:val="0085008E"/>
    <w:rsid w:val="00850391"/>
    <w:rsid w:val="008505FF"/>
    <w:rsid w:val="00850AE4"/>
    <w:rsid w:val="00850C90"/>
    <w:rsid w:val="00850E10"/>
    <w:rsid w:val="00851634"/>
    <w:rsid w:val="00851D15"/>
    <w:rsid w:val="00852369"/>
    <w:rsid w:val="008523A9"/>
    <w:rsid w:val="00852A58"/>
    <w:rsid w:val="00852EEB"/>
    <w:rsid w:val="00853283"/>
    <w:rsid w:val="008533B5"/>
    <w:rsid w:val="00853A12"/>
    <w:rsid w:val="00853CEA"/>
    <w:rsid w:val="00854506"/>
    <w:rsid w:val="00855246"/>
    <w:rsid w:val="00855716"/>
    <w:rsid w:val="008560AF"/>
    <w:rsid w:val="008567D3"/>
    <w:rsid w:val="00856A63"/>
    <w:rsid w:val="00856D3C"/>
    <w:rsid w:val="00857024"/>
    <w:rsid w:val="00857F75"/>
    <w:rsid w:val="00860128"/>
    <w:rsid w:val="00860500"/>
    <w:rsid w:val="00860562"/>
    <w:rsid w:val="00860802"/>
    <w:rsid w:val="00860B44"/>
    <w:rsid w:val="00860CAC"/>
    <w:rsid w:val="00860D44"/>
    <w:rsid w:val="00860FB1"/>
    <w:rsid w:val="0086162F"/>
    <w:rsid w:val="008616D4"/>
    <w:rsid w:val="00861AF9"/>
    <w:rsid w:val="00861D41"/>
    <w:rsid w:val="00862468"/>
    <w:rsid w:val="00862A6D"/>
    <w:rsid w:val="00862C24"/>
    <w:rsid w:val="00863587"/>
    <w:rsid w:val="00863A85"/>
    <w:rsid w:val="00863AB9"/>
    <w:rsid w:val="0086419A"/>
    <w:rsid w:val="008643F4"/>
    <w:rsid w:val="00864818"/>
    <w:rsid w:val="00864E6E"/>
    <w:rsid w:val="008650F5"/>
    <w:rsid w:val="00865307"/>
    <w:rsid w:val="0086609A"/>
    <w:rsid w:val="008664DE"/>
    <w:rsid w:val="00866A4A"/>
    <w:rsid w:val="00866BCC"/>
    <w:rsid w:val="00866EA4"/>
    <w:rsid w:val="00866FD3"/>
    <w:rsid w:val="008671B9"/>
    <w:rsid w:val="008671C1"/>
    <w:rsid w:val="008672B0"/>
    <w:rsid w:val="00867369"/>
    <w:rsid w:val="00867EB2"/>
    <w:rsid w:val="0087023B"/>
    <w:rsid w:val="00870604"/>
    <w:rsid w:val="00870762"/>
    <w:rsid w:val="00870D53"/>
    <w:rsid w:val="00871033"/>
    <w:rsid w:val="00872C14"/>
    <w:rsid w:val="008732F6"/>
    <w:rsid w:val="00873498"/>
    <w:rsid w:val="00873C08"/>
    <w:rsid w:val="00873D39"/>
    <w:rsid w:val="00873FAA"/>
    <w:rsid w:val="008747C4"/>
    <w:rsid w:val="0087494A"/>
    <w:rsid w:val="00874FD4"/>
    <w:rsid w:val="008750B7"/>
    <w:rsid w:val="008750E4"/>
    <w:rsid w:val="00875C34"/>
    <w:rsid w:val="00875CD4"/>
    <w:rsid w:val="008762AE"/>
    <w:rsid w:val="00876667"/>
    <w:rsid w:val="00876F73"/>
    <w:rsid w:val="0087721E"/>
    <w:rsid w:val="008774D1"/>
    <w:rsid w:val="00877869"/>
    <w:rsid w:val="00877C94"/>
    <w:rsid w:val="00877D37"/>
    <w:rsid w:val="00877F8F"/>
    <w:rsid w:val="00880453"/>
    <w:rsid w:val="00880C8D"/>
    <w:rsid w:val="00880E07"/>
    <w:rsid w:val="00880F72"/>
    <w:rsid w:val="00881421"/>
    <w:rsid w:val="00881A4A"/>
    <w:rsid w:val="00881B8D"/>
    <w:rsid w:val="00881C1F"/>
    <w:rsid w:val="008820D5"/>
    <w:rsid w:val="00882110"/>
    <w:rsid w:val="00882FE2"/>
    <w:rsid w:val="008835F1"/>
    <w:rsid w:val="00883793"/>
    <w:rsid w:val="00884259"/>
    <w:rsid w:val="0088467B"/>
    <w:rsid w:val="0088475A"/>
    <w:rsid w:val="00884920"/>
    <w:rsid w:val="00884DBB"/>
    <w:rsid w:val="008852CD"/>
    <w:rsid w:val="0088530D"/>
    <w:rsid w:val="00885627"/>
    <w:rsid w:val="0088584E"/>
    <w:rsid w:val="0088585E"/>
    <w:rsid w:val="008858DF"/>
    <w:rsid w:val="0088616B"/>
    <w:rsid w:val="008864FD"/>
    <w:rsid w:val="008867D3"/>
    <w:rsid w:val="00886F25"/>
    <w:rsid w:val="00886F89"/>
    <w:rsid w:val="0088702B"/>
    <w:rsid w:val="008871A8"/>
    <w:rsid w:val="00887C6F"/>
    <w:rsid w:val="00887F83"/>
    <w:rsid w:val="0089002A"/>
    <w:rsid w:val="00890EA1"/>
    <w:rsid w:val="008915A2"/>
    <w:rsid w:val="00891747"/>
    <w:rsid w:val="008918BD"/>
    <w:rsid w:val="00892058"/>
    <w:rsid w:val="00892747"/>
    <w:rsid w:val="00892D9E"/>
    <w:rsid w:val="00893466"/>
    <w:rsid w:val="00893881"/>
    <w:rsid w:val="00893D67"/>
    <w:rsid w:val="008946AB"/>
    <w:rsid w:val="00894FA4"/>
    <w:rsid w:val="008950CE"/>
    <w:rsid w:val="008953F2"/>
    <w:rsid w:val="00895664"/>
    <w:rsid w:val="00895E26"/>
    <w:rsid w:val="0089619A"/>
    <w:rsid w:val="008962B6"/>
    <w:rsid w:val="00896306"/>
    <w:rsid w:val="00896D14"/>
    <w:rsid w:val="00896F55"/>
    <w:rsid w:val="00897045"/>
    <w:rsid w:val="0089748B"/>
    <w:rsid w:val="008977BE"/>
    <w:rsid w:val="008A0026"/>
    <w:rsid w:val="008A02A5"/>
    <w:rsid w:val="008A08BF"/>
    <w:rsid w:val="008A0A54"/>
    <w:rsid w:val="008A0CB5"/>
    <w:rsid w:val="008A179F"/>
    <w:rsid w:val="008A1B34"/>
    <w:rsid w:val="008A22BA"/>
    <w:rsid w:val="008A2CE5"/>
    <w:rsid w:val="008A3687"/>
    <w:rsid w:val="008A3E58"/>
    <w:rsid w:val="008A3E8A"/>
    <w:rsid w:val="008A44BF"/>
    <w:rsid w:val="008A4757"/>
    <w:rsid w:val="008A481D"/>
    <w:rsid w:val="008A5148"/>
    <w:rsid w:val="008A53A8"/>
    <w:rsid w:val="008A5703"/>
    <w:rsid w:val="008A5AF9"/>
    <w:rsid w:val="008A5B8E"/>
    <w:rsid w:val="008A5DD9"/>
    <w:rsid w:val="008A6464"/>
    <w:rsid w:val="008A67CB"/>
    <w:rsid w:val="008A70C8"/>
    <w:rsid w:val="008A70D8"/>
    <w:rsid w:val="008A763C"/>
    <w:rsid w:val="008A792F"/>
    <w:rsid w:val="008A7D99"/>
    <w:rsid w:val="008B00A5"/>
    <w:rsid w:val="008B0864"/>
    <w:rsid w:val="008B093B"/>
    <w:rsid w:val="008B0B4E"/>
    <w:rsid w:val="008B0D8F"/>
    <w:rsid w:val="008B0F1B"/>
    <w:rsid w:val="008B13BE"/>
    <w:rsid w:val="008B16FE"/>
    <w:rsid w:val="008B175A"/>
    <w:rsid w:val="008B1A18"/>
    <w:rsid w:val="008B1C76"/>
    <w:rsid w:val="008B221C"/>
    <w:rsid w:val="008B2372"/>
    <w:rsid w:val="008B2896"/>
    <w:rsid w:val="008B298C"/>
    <w:rsid w:val="008B2BFF"/>
    <w:rsid w:val="008B2C09"/>
    <w:rsid w:val="008B3328"/>
    <w:rsid w:val="008B35E5"/>
    <w:rsid w:val="008B3C47"/>
    <w:rsid w:val="008B43CF"/>
    <w:rsid w:val="008B47FB"/>
    <w:rsid w:val="008B4AEE"/>
    <w:rsid w:val="008B4C89"/>
    <w:rsid w:val="008B4CD4"/>
    <w:rsid w:val="008B4F3E"/>
    <w:rsid w:val="008B5A8E"/>
    <w:rsid w:val="008B610D"/>
    <w:rsid w:val="008B63B5"/>
    <w:rsid w:val="008B68D6"/>
    <w:rsid w:val="008B69FA"/>
    <w:rsid w:val="008B708D"/>
    <w:rsid w:val="008B7306"/>
    <w:rsid w:val="008B75D3"/>
    <w:rsid w:val="008B7CB7"/>
    <w:rsid w:val="008B7EEC"/>
    <w:rsid w:val="008C02B7"/>
    <w:rsid w:val="008C0556"/>
    <w:rsid w:val="008C0C68"/>
    <w:rsid w:val="008C11A0"/>
    <w:rsid w:val="008C29A7"/>
    <w:rsid w:val="008C307F"/>
    <w:rsid w:val="008C3102"/>
    <w:rsid w:val="008C318C"/>
    <w:rsid w:val="008C31EB"/>
    <w:rsid w:val="008C37A6"/>
    <w:rsid w:val="008C38FA"/>
    <w:rsid w:val="008C3A10"/>
    <w:rsid w:val="008C3CB7"/>
    <w:rsid w:val="008C3D1B"/>
    <w:rsid w:val="008C3DC2"/>
    <w:rsid w:val="008C3FB5"/>
    <w:rsid w:val="008C43AB"/>
    <w:rsid w:val="008C4697"/>
    <w:rsid w:val="008C4EB9"/>
    <w:rsid w:val="008C4FCC"/>
    <w:rsid w:val="008C5200"/>
    <w:rsid w:val="008C535E"/>
    <w:rsid w:val="008C627C"/>
    <w:rsid w:val="008C673B"/>
    <w:rsid w:val="008C68A8"/>
    <w:rsid w:val="008C7413"/>
    <w:rsid w:val="008D0DE7"/>
    <w:rsid w:val="008D16B7"/>
    <w:rsid w:val="008D1D61"/>
    <w:rsid w:val="008D2177"/>
    <w:rsid w:val="008D2191"/>
    <w:rsid w:val="008D2B6A"/>
    <w:rsid w:val="008D3014"/>
    <w:rsid w:val="008D344D"/>
    <w:rsid w:val="008D3798"/>
    <w:rsid w:val="008D3BBA"/>
    <w:rsid w:val="008D3CFC"/>
    <w:rsid w:val="008D432D"/>
    <w:rsid w:val="008D481B"/>
    <w:rsid w:val="008D4A91"/>
    <w:rsid w:val="008D4DDD"/>
    <w:rsid w:val="008D535D"/>
    <w:rsid w:val="008D597E"/>
    <w:rsid w:val="008D59B9"/>
    <w:rsid w:val="008D5B5E"/>
    <w:rsid w:val="008D5D6E"/>
    <w:rsid w:val="008D6374"/>
    <w:rsid w:val="008D6842"/>
    <w:rsid w:val="008D6B31"/>
    <w:rsid w:val="008D6DB9"/>
    <w:rsid w:val="008D710A"/>
    <w:rsid w:val="008D71DD"/>
    <w:rsid w:val="008D73AD"/>
    <w:rsid w:val="008D7C17"/>
    <w:rsid w:val="008D7CD7"/>
    <w:rsid w:val="008E0952"/>
    <w:rsid w:val="008E0CD7"/>
    <w:rsid w:val="008E0D20"/>
    <w:rsid w:val="008E10D4"/>
    <w:rsid w:val="008E10E7"/>
    <w:rsid w:val="008E126D"/>
    <w:rsid w:val="008E1900"/>
    <w:rsid w:val="008E1D08"/>
    <w:rsid w:val="008E1FD5"/>
    <w:rsid w:val="008E27BC"/>
    <w:rsid w:val="008E2858"/>
    <w:rsid w:val="008E4247"/>
    <w:rsid w:val="008E429D"/>
    <w:rsid w:val="008E4504"/>
    <w:rsid w:val="008E45FA"/>
    <w:rsid w:val="008E4796"/>
    <w:rsid w:val="008E4E06"/>
    <w:rsid w:val="008E4F6E"/>
    <w:rsid w:val="008E508E"/>
    <w:rsid w:val="008E50B3"/>
    <w:rsid w:val="008E512D"/>
    <w:rsid w:val="008E5177"/>
    <w:rsid w:val="008E5370"/>
    <w:rsid w:val="008E543B"/>
    <w:rsid w:val="008E5E14"/>
    <w:rsid w:val="008E5E83"/>
    <w:rsid w:val="008E5E8A"/>
    <w:rsid w:val="008E5F7A"/>
    <w:rsid w:val="008E60D7"/>
    <w:rsid w:val="008E6250"/>
    <w:rsid w:val="008E6AE6"/>
    <w:rsid w:val="008E6D80"/>
    <w:rsid w:val="008E6ED2"/>
    <w:rsid w:val="008E70D1"/>
    <w:rsid w:val="008E7A89"/>
    <w:rsid w:val="008E7C41"/>
    <w:rsid w:val="008E7C5D"/>
    <w:rsid w:val="008E7D72"/>
    <w:rsid w:val="008E7D91"/>
    <w:rsid w:val="008F0116"/>
    <w:rsid w:val="008F04D6"/>
    <w:rsid w:val="008F08FD"/>
    <w:rsid w:val="008F0A94"/>
    <w:rsid w:val="008F0AB7"/>
    <w:rsid w:val="008F0B4C"/>
    <w:rsid w:val="008F0EF1"/>
    <w:rsid w:val="008F1144"/>
    <w:rsid w:val="008F11A9"/>
    <w:rsid w:val="008F143D"/>
    <w:rsid w:val="008F1CB8"/>
    <w:rsid w:val="008F1F6C"/>
    <w:rsid w:val="008F2638"/>
    <w:rsid w:val="008F269A"/>
    <w:rsid w:val="008F28DC"/>
    <w:rsid w:val="008F290F"/>
    <w:rsid w:val="008F296C"/>
    <w:rsid w:val="008F2AFB"/>
    <w:rsid w:val="008F2CA3"/>
    <w:rsid w:val="008F2DE3"/>
    <w:rsid w:val="008F324F"/>
    <w:rsid w:val="008F33BD"/>
    <w:rsid w:val="008F4272"/>
    <w:rsid w:val="008F44F1"/>
    <w:rsid w:val="008F523A"/>
    <w:rsid w:val="008F5D3E"/>
    <w:rsid w:val="008F65CF"/>
    <w:rsid w:val="008F6AC2"/>
    <w:rsid w:val="0090002E"/>
    <w:rsid w:val="00900189"/>
    <w:rsid w:val="00900307"/>
    <w:rsid w:val="00900DE7"/>
    <w:rsid w:val="009013CF"/>
    <w:rsid w:val="00901823"/>
    <w:rsid w:val="00901896"/>
    <w:rsid w:val="0090257B"/>
    <w:rsid w:val="00902AF1"/>
    <w:rsid w:val="00902B0B"/>
    <w:rsid w:val="00902C9C"/>
    <w:rsid w:val="00902DFD"/>
    <w:rsid w:val="00902E08"/>
    <w:rsid w:val="00902E9C"/>
    <w:rsid w:val="00903297"/>
    <w:rsid w:val="00904D3F"/>
    <w:rsid w:val="00905308"/>
    <w:rsid w:val="009053D6"/>
    <w:rsid w:val="00905740"/>
    <w:rsid w:val="0090580E"/>
    <w:rsid w:val="00906537"/>
    <w:rsid w:val="00906941"/>
    <w:rsid w:val="00906EF5"/>
    <w:rsid w:val="009072ED"/>
    <w:rsid w:val="00907E79"/>
    <w:rsid w:val="0091041E"/>
    <w:rsid w:val="00910619"/>
    <w:rsid w:val="00910882"/>
    <w:rsid w:val="00910A0B"/>
    <w:rsid w:val="00910F22"/>
    <w:rsid w:val="00911026"/>
    <w:rsid w:val="009112DC"/>
    <w:rsid w:val="0091166C"/>
    <w:rsid w:val="00911996"/>
    <w:rsid w:val="00911BB9"/>
    <w:rsid w:val="0091206E"/>
    <w:rsid w:val="0091265C"/>
    <w:rsid w:val="00912859"/>
    <w:rsid w:val="00912BA0"/>
    <w:rsid w:val="00912BC1"/>
    <w:rsid w:val="009133FB"/>
    <w:rsid w:val="009139B2"/>
    <w:rsid w:val="00913FEE"/>
    <w:rsid w:val="0091427F"/>
    <w:rsid w:val="009144FE"/>
    <w:rsid w:val="00914789"/>
    <w:rsid w:val="009147E6"/>
    <w:rsid w:val="00915003"/>
    <w:rsid w:val="009153B5"/>
    <w:rsid w:val="00915828"/>
    <w:rsid w:val="00915CB7"/>
    <w:rsid w:val="009166D7"/>
    <w:rsid w:val="00916970"/>
    <w:rsid w:val="0091736C"/>
    <w:rsid w:val="0091776E"/>
    <w:rsid w:val="00917975"/>
    <w:rsid w:val="00917FF9"/>
    <w:rsid w:val="0092135A"/>
    <w:rsid w:val="0092180C"/>
    <w:rsid w:val="00921C9B"/>
    <w:rsid w:val="00923422"/>
    <w:rsid w:val="009237A2"/>
    <w:rsid w:val="00923C11"/>
    <w:rsid w:val="00924568"/>
    <w:rsid w:val="009249DF"/>
    <w:rsid w:val="00924D8D"/>
    <w:rsid w:val="00924D8E"/>
    <w:rsid w:val="0092527C"/>
    <w:rsid w:val="00925714"/>
    <w:rsid w:val="00925B9A"/>
    <w:rsid w:val="00925F84"/>
    <w:rsid w:val="00927464"/>
    <w:rsid w:val="009274E8"/>
    <w:rsid w:val="00927D97"/>
    <w:rsid w:val="009305DD"/>
    <w:rsid w:val="009308E6"/>
    <w:rsid w:val="0093133C"/>
    <w:rsid w:val="009313AD"/>
    <w:rsid w:val="009315D4"/>
    <w:rsid w:val="00931690"/>
    <w:rsid w:val="009319DC"/>
    <w:rsid w:val="00931A18"/>
    <w:rsid w:val="00931AF9"/>
    <w:rsid w:val="00932865"/>
    <w:rsid w:val="009328A7"/>
    <w:rsid w:val="0093358E"/>
    <w:rsid w:val="009339EE"/>
    <w:rsid w:val="00933A35"/>
    <w:rsid w:val="0093403D"/>
    <w:rsid w:val="00934234"/>
    <w:rsid w:val="009346C4"/>
    <w:rsid w:val="009349FB"/>
    <w:rsid w:val="00934BC5"/>
    <w:rsid w:val="00934FA3"/>
    <w:rsid w:val="00935630"/>
    <w:rsid w:val="0093585B"/>
    <w:rsid w:val="00935E3D"/>
    <w:rsid w:val="00936366"/>
    <w:rsid w:val="00936B2B"/>
    <w:rsid w:val="0093723E"/>
    <w:rsid w:val="00937436"/>
    <w:rsid w:val="00937654"/>
    <w:rsid w:val="00937716"/>
    <w:rsid w:val="00937DAE"/>
    <w:rsid w:val="00940EBD"/>
    <w:rsid w:val="0094197E"/>
    <w:rsid w:val="00941F54"/>
    <w:rsid w:val="00942838"/>
    <w:rsid w:val="00942A2D"/>
    <w:rsid w:val="00943478"/>
    <w:rsid w:val="00943710"/>
    <w:rsid w:val="009437FB"/>
    <w:rsid w:val="00943805"/>
    <w:rsid w:val="00943812"/>
    <w:rsid w:val="009439BC"/>
    <w:rsid w:val="00943A89"/>
    <w:rsid w:val="00943C33"/>
    <w:rsid w:val="00943FEE"/>
    <w:rsid w:val="009441AF"/>
    <w:rsid w:val="00944430"/>
    <w:rsid w:val="009444F7"/>
    <w:rsid w:val="00944A8B"/>
    <w:rsid w:val="00944B52"/>
    <w:rsid w:val="00945490"/>
    <w:rsid w:val="00945495"/>
    <w:rsid w:val="00945A14"/>
    <w:rsid w:val="00945BA0"/>
    <w:rsid w:val="00946368"/>
    <w:rsid w:val="00946672"/>
    <w:rsid w:val="00946745"/>
    <w:rsid w:val="00946FA5"/>
    <w:rsid w:val="00947386"/>
    <w:rsid w:val="00947BD6"/>
    <w:rsid w:val="00947F18"/>
    <w:rsid w:val="009500FF"/>
    <w:rsid w:val="00950EE1"/>
    <w:rsid w:val="00950F98"/>
    <w:rsid w:val="009513F6"/>
    <w:rsid w:val="009521F8"/>
    <w:rsid w:val="0095227D"/>
    <w:rsid w:val="00952382"/>
    <w:rsid w:val="009524EE"/>
    <w:rsid w:val="009524FF"/>
    <w:rsid w:val="00952717"/>
    <w:rsid w:val="00952CBF"/>
    <w:rsid w:val="009530E2"/>
    <w:rsid w:val="009532EF"/>
    <w:rsid w:val="00953C7C"/>
    <w:rsid w:val="00954279"/>
    <w:rsid w:val="009544D6"/>
    <w:rsid w:val="00954592"/>
    <w:rsid w:val="00954988"/>
    <w:rsid w:val="00956C3C"/>
    <w:rsid w:val="00957991"/>
    <w:rsid w:val="00957E74"/>
    <w:rsid w:val="00960A41"/>
    <w:rsid w:val="00960C33"/>
    <w:rsid w:val="00960FDD"/>
    <w:rsid w:val="00961A6B"/>
    <w:rsid w:val="00961D34"/>
    <w:rsid w:val="00961D98"/>
    <w:rsid w:val="00962126"/>
    <w:rsid w:val="00962F60"/>
    <w:rsid w:val="009631D6"/>
    <w:rsid w:val="009643DA"/>
    <w:rsid w:val="009647FA"/>
    <w:rsid w:val="009648B7"/>
    <w:rsid w:val="00965316"/>
    <w:rsid w:val="00965A8D"/>
    <w:rsid w:val="00966495"/>
    <w:rsid w:val="00966590"/>
    <w:rsid w:val="009669B2"/>
    <w:rsid w:val="00966E77"/>
    <w:rsid w:val="00966F23"/>
    <w:rsid w:val="00967BBB"/>
    <w:rsid w:val="00967C8B"/>
    <w:rsid w:val="00967CBC"/>
    <w:rsid w:val="00967FAA"/>
    <w:rsid w:val="00970388"/>
    <w:rsid w:val="009708A0"/>
    <w:rsid w:val="00970BF0"/>
    <w:rsid w:val="00970BF8"/>
    <w:rsid w:val="00970EC7"/>
    <w:rsid w:val="009715B1"/>
    <w:rsid w:val="009718C8"/>
    <w:rsid w:val="00971B44"/>
    <w:rsid w:val="00971CB4"/>
    <w:rsid w:val="00973251"/>
    <w:rsid w:val="009732CA"/>
    <w:rsid w:val="00973304"/>
    <w:rsid w:val="00973D21"/>
    <w:rsid w:val="00974376"/>
    <w:rsid w:val="00974528"/>
    <w:rsid w:val="009746E5"/>
    <w:rsid w:val="00975072"/>
    <w:rsid w:val="0097604B"/>
    <w:rsid w:val="00976526"/>
    <w:rsid w:val="00976709"/>
    <w:rsid w:val="009769F4"/>
    <w:rsid w:val="009773B5"/>
    <w:rsid w:val="00977804"/>
    <w:rsid w:val="00977E2A"/>
    <w:rsid w:val="00977FD1"/>
    <w:rsid w:val="00980506"/>
    <w:rsid w:val="009807D1"/>
    <w:rsid w:val="00980866"/>
    <w:rsid w:val="00980A62"/>
    <w:rsid w:val="00980B40"/>
    <w:rsid w:val="00980F60"/>
    <w:rsid w:val="009810CC"/>
    <w:rsid w:val="0098138E"/>
    <w:rsid w:val="0098167A"/>
    <w:rsid w:val="009817C1"/>
    <w:rsid w:val="00981C23"/>
    <w:rsid w:val="00982CE4"/>
    <w:rsid w:val="009837D8"/>
    <w:rsid w:val="00983D23"/>
    <w:rsid w:val="00983F32"/>
    <w:rsid w:val="00984704"/>
    <w:rsid w:val="00984CF4"/>
    <w:rsid w:val="00984E7A"/>
    <w:rsid w:val="009853E5"/>
    <w:rsid w:val="009853E9"/>
    <w:rsid w:val="00985499"/>
    <w:rsid w:val="009857D9"/>
    <w:rsid w:val="00985B2F"/>
    <w:rsid w:val="009862EF"/>
    <w:rsid w:val="0098655A"/>
    <w:rsid w:val="009865DF"/>
    <w:rsid w:val="00986758"/>
    <w:rsid w:val="00986783"/>
    <w:rsid w:val="00986A6D"/>
    <w:rsid w:val="00986DD3"/>
    <w:rsid w:val="00986EDC"/>
    <w:rsid w:val="00987032"/>
    <w:rsid w:val="009876AD"/>
    <w:rsid w:val="009876EA"/>
    <w:rsid w:val="00987961"/>
    <w:rsid w:val="00987A94"/>
    <w:rsid w:val="00990041"/>
    <w:rsid w:val="00990F44"/>
    <w:rsid w:val="00990F97"/>
    <w:rsid w:val="00991002"/>
    <w:rsid w:val="009912BB"/>
    <w:rsid w:val="00992442"/>
    <w:rsid w:val="009924BC"/>
    <w:rsid w:val="00992B1D"/>
    <w:rsid w:val="00992CAE"/>
    <w:rsid w:val="00992EA1"/>
    <w:rsid w:val="009931B0"/>
    <w:rsid w:val="00993322"/>
    <w:rsid w:val="009941FD"/>
    <w:rsid w:val="009945A8"/>
    <w:rsid w:val="0099468F"/>
    <w:rsid w:val="00994947"/>
    <w:rsid w:val="00994D54"/>
    <w:rsid w:val="0099579E"/>
    <w:rsid w:val="00995B17"/>
    <w:rsid w:val="00995E98"/>
    <w:rsid w:val="00995F04"/>
    <w:rsid w:val="00996781"/>
    <w:rsid w:val="00997085"/>
    <w:rsid w:val="00997578"/>
    <w:rsid w:val="00997794"/>
    <w:rsid w:val="00997FDC"/>
    <w:rsid w:val="009A0032"/>
    <w:rsid w:val="009A0655"/>
    <w:rsid w:val="009A0D48"/>
    <w:rsid w:val="009A0EA5"/>
    <w:rsid w:val="009A134C"/>
    <w:rsid w:val="009A168D"/>
    <w:rsid w:val="009A18B7"/>
    <w:rsid w:val="009A1A6F"/>
    <w:rsid w:val="009A1AE0"/>
    <w:rsid w:val="009A1BDC"/>
    <w:rsid w:val="009A1F2A"/>
    <w:rsid w:val="009A2499"/>
    <w:rsid w:val="009A2A57"/>
    <w:rsid w:val="009A3313"/>
    <w:rsid w:val="009A347A"/>
    <w:rsid w:val="009A3553"/>
    <w:rsid w:val="009A378B"/>
    <w:rsid w:val="009A3B7A"/>
    <w:rsid w:val="009A3E73"/>
    <w:rsid w:val="009A4094"/>
    <w:rsid w:val="009A4298"/>
    <w:rsid w:val="009A47C0"/>
    <w:rsid w:val="009A4A41"/>
    <w:rsid w:val="009A5332"/>
    <w:rsid w:val="009A5DDB"/>
    <w:rsid w:val="009A61FF"/>
    <w:rsid w:val="009A6530"/>
    <w:rsid w:val="009A6E36"/>
    <w:rsid w:val="009A6E98"/>
    <w:rsid w:val="009A7223"/>
    <w:rsid w:val="009A78A3"/>
    <w:rsid w:val="009A7E69"/>
    <w:rsid w:val="009A7F25"/>
    <w:rsid w:val="009B026B"/>
    <w:rsid w:val="009B05FC"/>
    <w:rsid w:val="009B0875"/>
    <w:rsid w:val="009B094B"/>
    <w:rsid w:val="009B0B13"/>
    <w:rsid w:val="009B0E2F"/>
    <w:rsid w:val="009B1162"/>
    <w:rsid w:val="009B17C7"/>
    <w:rsid w:val="009B1C56"/>
    <w:rsid w:val="009B1C5F"/>
    <w:rsid w:val="009B1FC8"/>
    <w:rsid w:val="009B265A"/>
    <w:rsid w:val="009B2849"/>
    <w:rsid w:val="009B2989"/>
    <w:rsid w:val="009B3150"/>
    <w:rsid w:val="009B348E"/>
    <w:rsid w:val="009B3493"/>
    <w:rsid w:val="009B3663"/>
    <w:rsid w:val="009B3CF6"/>
    <w:rsid w:val="009B3E25"/>
    <w:rsid w:val="009B46A2"/>
    <w:rsid w:val="009B49CB"/>
    <w:rsid w:val="009B4BE3"/>
    <w:rsid w:val="009B5033"/>
    <w:rsid w:val="009B5135"/>
    <w:rsid w:val="009B533E"/>
    <w:rsid w:val="009B550B"/>
    <w:rsid w:val="009B5941"/>
    <w:rsid w:val="009B5D08"/>
    <w:rsid w:val="009B5EB8"/>
    <w:rsid w:val="009B614D"/>
    <w:rsid w:val="009B62E9"/>
    <w:rsid w:val="009B6FE8"/>
    <w:rsid w:val="009B7221"/>
    <w:rsid w:val="009B7342"/>
    <w:rsid w:val="009B74D6"/>
    <w:rsid w:val="009B7BFB"/>
    <w:rsid w:val="009C0033"/>
    <w:rsid w:val="009C0186"/>
    <w:rsid w:val="009C0B7B"/>
    <w:rsid w:val="009C0EF1"/>
    <w:rsid w:val="009C0F8D"/>
    <w:rsid w:val="009C11DC"/>
    <w:rsid w:val="009C1233"/>
    <w:rsid w:val="009C13BE"/>
    <w:rsid w:val="009C13E3"/>
    <w:rsid w:val="009C1A2C"/>
    <w:rsid w:val="009C1C6C"/>
    <w:rsid w:val="009C1E72"/>
    <w:rsid w:val="009C2392"/>
    <w:rsid w:val="009C24B4"/>
    <w:rsid w:val="009C24CA"/>
    <w:rsid w:val="009C28FC"/>
    <w:rsid w:val="009C2A6B"/>
    <w:rsid w:val="009C2B7D"/>
    <w:rsid w:val="009C32DC"/>
    <w:rsid w:val="009C32EC"/>
    <w:rsid w:val="009C35DA"/>
    <w:rsid w:val="009C3BAC"/>
    <w:rsid w:val="009C4018"/>
    <w:rsid w:val="009C4029"/>
    <w:rsid w:val="009C42A0"/>
    <w:rsid w:val="009C4507"/>
    <w:rsid w:val="009C4959"/>
    <w:rsid w:val="009C4D1E"/>
    <w:rsid w:val="009C51F2"/>
    <w:rsid w:val="009C5D3E"/>
    <w:rsid w:val="009C5FA0"/>
    <w:rsid w:val="009C61DC"/>
    <w:rsid w:val="009C622A"/>
    <w:rsid w:val="009C649F"/>
    <w:rsid w:val="009C6649"/>
    <w:rsid w:val="009C668F"/>
    <w:rsid w:val="009C6960"/>
    <w:rsid w:val="009C6EF7"/>
    <w:rsid w:val="009C73DB"/>
    <w:rsid w:val="009C7463"/>
    <w:rsid w:val="009C749E"/>
    <w:rsid w:val="009C75B6"/>
    <w:rsid w:val="009D0D35"/>
    <w:rsid w:val="009D0EBA"/>
    <w:rsid w:val="009D109F"/>
    <w:rsid w:val="009D20B2"/>
    <w:rsid w:val="009D28EF"/>
    <w:rsid w:val="009D2DA9"/>
    <w:rsid w:val="009D2FCC"/>
    <w:rsid w:val="009D2FED"/>
    <w:rsid w:val="009D34CF"/>
    <w:rsid w:val="009D389C"/>
    <w:rsid w:val="009D397A"/>
    <w:rsid w:val="009D3A7A"/>
    <w:rsid w:val="009D3B61"/>
    <w:rsid w:val="009D3DB4"/>
    <w:rsid w:val="009D455C"/>
    <w:rsid w:val="009D5057"/>
    <w:rsid w:val="009D55DB"/>
    <w:rsid w:val="009D58A7"/>
    <w:rsid w:val="009D5D8C"/>
    <w:rsid w:val="009D5F5C"/>
    <w:rsid w:val="009D634C"/>
    <w:rsid w:val="009D6A6B"/>
    <w:rsid w:val="009D6D39"/>
    <w:rsid w:val="009D7E1D"/>
    <w:rsid w:val="009E0521"/>
    <w:rsid w:val="009E05DC"/>
    <w:rsid w:val="009E0E2C"/>
    <w:rsid w:val="009E10F1"/>
    <w:rsid w:val="009E1581"/>
    <w:rsid w:val="009E2413"/>
    <w:rsid w:val="009E2CED"/>
    <w:rsid w:val="009E2D93"/>
    <w:rsid w:val="009E2FB8"/>
    <w:rsid w:val="009E3494"/>
    <w:rsid w:val="009E3885"/>
    <w:rsid w:val="009E3C76"/>
    <w:rsid w:val="009E3D84"/>
    <w:rsid w:val="009E3EE1"/>
    <w:rsid w:val="009E4493"/>
    <w:rsid w:val="009E4A60"/>
    <w:rsid w:val="009E4B6E"/>
    <w:rsid w:val="009E4E28"/>
    <w:rsid w:val="009E521B"/>
    <w:rsid w:val="009E52CB"/>
    <w:rsid w:val="009E5388"/>
    <w:rsid w:val="009E551A"/>
    <w:rsid w:val="009E58CA"/>
    <w:rsid w:val="009E5C43"/>
    <w:rsid w:val="009E6052"/>
    <w:rsid w:val="009E6AF4"/>
    <w:rsid w:val="009E7C7F"/>
    <w:rsid w:val="009F01E7"/>
    <w:rsid w:val="009F0770"/>
    <w:rsid w:val="009F0810"/>
    <w:rsid w:val="009F09DF"/>
    <w:rsid w:val="009F0A16"/>
    <w:rsid w:val="009F0B50"/>
    <w:rsid w:val="009F0CF8"/>
    <w:rsid w:val="009F10F3"/>
    <w:rsid w:val="009F194F"/>
    <w:rsid w:val="009F1BE3"/>
    <w:rsid w:val="009F2093"/>
    <w:rsid w:val="009F2454"/>
    <w:rsid w:val="009F290A"/>
    <w:rsid w:val="009F2C0D"/>
    <w:rsid w:val="009F2E4A"/>
    <w:rsid w:val="009F344E"/>
    <w:rsid w:val="009F39C4"/>
    <w:rsid w:val="009F3B40"/>
    <w:rsid w:val="009F3C38"/>
    <w:rsid w:val="009F540B"/>
    <w:rsid w:val="009F5B5F"/>
    <w:rsid w:val="009F5CCD"/>
    <w:rsid w:val="009F5FDA"/>
    <w:rsid w:val="009F62C4"/>
    <w:rsid w:val="009F6442"/>
    <w:rsid w:val="009F6632"/>
    <w:rsid w:val="009F6637"/>
    <w:rsid w:val="009F6860"/>
    <w:rsid w:val="009F68C9"/>
    <w:rsid w:val="009F6A2F"/>
    <w:rsid w:val="009F799A"/>
    <w:rsid w:val="009F7E72"/>
    <w:rsid w:val="009F7FCB"/>
    <w:rsid w:val="00A00658"/>
    <w:rsid w:val="00A0099A"/>
    <w:rsid w:val="00A00A70"/>
    <w:rsid w:val="00A01701"/>
    <w:rsid w:val="00A01963"/>
    <w:rsid w:val="00A01C2A"/>
    <w:rsid w:val="00A01D63"/>
    <w:rsid w:val="00A01EE4"/>
    <w:rsid w:val="00A02402"/>
    <w:rsid w:val="00A027B3"/>
    <w:rsid w:val="00A02E09"/>
    <w:rsid w:val="00A02E1F"/>
    <w:rsid w:val="00A03526"/>
    <w:rsid w:val="00A037F1"/>
    <w:rsid w:val="00A03C76"/>
    <w:rsid w:val="00A04106"/>
    <w:rsid w:val="00A048CA"/>
    <w:rsid w:val="00A04AAA"/>
    <w:rsid w:val="00A04C87"/>
    <w:rsid w:val="00A04D47"/>
    <w:rsid w:val="00A04ECE"/>
    <w:rsid w:val="00A04EE4"/>
    <w:rsid w:val="00A055AE"/>
    <w:rsid w:val="00A05A5C"/>
    <w:rsid w:val="00A05AAA"/>
    <w:rsid w:val="00A05CAE"/>
    <w:rsid w:val="00A062DA"/>
    <w:rsid w:val="00A06343"/>
    <w:rsid w:val="00A06449"/>
    <w:rsid w:val="00A0665B"/>
    <w:rsid w:val="00A0691C"/>
    <w:rsid w:val="00A06C17"/>
    <w:rsid w:val="00A06C9A"/>
    <w:rsid w:val="00A0724B"/>
    <w:rsid w:val="00A07989"/>
    <w:rsid w:val="00A079E1"/>
    <w:rsid w:val="00A07AC7"/>
    <w:rsid w:val="00A07C63"/>
    <w:rsid w:val="00A11567"/>
    <w:rsid w:val="00A116AA"/>
    <w:rsid w:val="00A117DC"/>
    <w:rsid w:val="00A11CF4"/>
    <w:rsid w:val="00A11E88"/>
    <w:rsid w:val="00A127DC"/>
    <w:rsid w:val="00A12890"/>
    <w:rsid w:val="00A12B71"/>
    <w:rsid w:val="00A137B4"/>
    <w:rsid w:val="00A1397B"/>
    <w:rsid w:val="00A14315"/>
    <w:rsid w:val="00A14C90"/>
    <w:rsid w:val="00A14C96"/>
    <w:rsid w:val="00A15928"/>
    <w:rsid w:val="00A15A39"/>
    <w:rsid w:val="00A1608F"/>
    <w:rsid w:val="00A168BC"/>
    <w:rsid w:val="00A16C07"/>
    <w:rsid w:val="00A16C65"/>
    <w:rsid w:val="00A171D6"/>
    <w:rsid w:val="00A174A0"/>
    <w:rsid w:val="00A17756"/>
    <w:rsid w:val="00A1791D"/>
    <w:rsid w:val="00A17CE0"/>
    <w:rsid w:val="00A17DC2"/>
    <w:rsid w:val="00A20D38"/>
    <w:rsid w:val="00A21019"/>
    <w:rsid w:val="00A21C2B"/>
    <w:rsid w:val="00A22621"/>
    <w:rsid w:val="00A233FD"/>
    <w:rsid w:val="00A23D48"/>
    <w:rsid w:val="00A2406D"/>
    <w:rsid w:val="00A244B2"/>
    <w:rsid w:val="00A246EB"/>
    <w:rsid w:val="00A24735"/>
    <w:rsid w:val="00A247B0"/>
    <w:rsid w:val="00A24906"/>
    <w:rsid w:val="00A24AAF"/>
    <w:rsid w:val="00A24D93"/>
    <w:rsid w:val="00A251D1"/>
    <w:rsid w:val="00A25466"/>
    <w:rsid w:val="00A25BE2"/>
    <w:rsid w:val="00A25C12"/>
    <w:rsid w:val="00A26050"/>
    <w:rsid w:val="00A2639E"/>
    <w:rsid w:val="00A2641D"/>
    <w:rsid w:val="00A264E8"/>
    <w:rsid w:val="00A26564"/>
    <w:rsid w:val="00A268F7"/>
    <w:rsid w:val="00A26C26"/>
    <w:rsid w:val="00A26D2E"/>
    <w:rsid w:val="00A26F7A"/>
    <w:rsid w:val="00A27BDF"/>
    <w:rsid w:val="00A30044"/>
    <w:rsid w:val="00A30558"/>
    <w:rsid w:val="00A30AA2"/>
    <w:rsid w:val="00A30DE3"/>
    <w:rsid w:val="00A310CB"/>
    <w:rsid w:val="00A31C56"/>
    <w:rsid w:val="00A31D12"/>
    <w:rsid w:val="00A3266E"/>
    <w:rsid w:val="00A3277B"/>
    <w:rsid w:val="00A32962"/>
    <w:rsid w:val="00A32C8F"/>
    <w:rsid w:val="00A33528"/>
    <w:rsid w:val="00A339DF"/>
    <w:rsid w:val="00A33B5A"/>
    <w:rsid w:val="00A33B76"/>
    <w:rsid w:val="00A34032"/>
    <w:rsid w:val="00A34968"/>
    <w:rsid w:val="00A34B04"/>
    <w:rsid w:val="00A34B6B"/>
    <w:rsid w:val="00A34CDC"/>
    <w:rsid w:val="00A35102"/>
    <w:rsid w:val="00A35AA1"/>
    <w:rsid w:val="00A35D18"/>
    <w:rsid w:val="00A35D96"/>
    <w:rsid w:val="00A369B7"/>
    <w:rsid w:val="00A369CD"/>
    <w:rsid w:val="00A37037"/>
    <w:rsid w:val="00A372B6"/>
    <w:rsid w:val="00A375FB"/>
    <w:rsid w:val="00A37A40"/>
    <w:rsid w:val="00A37DFC"/>
    <w:rsid w:val="00A4066E"/>
    <w:rsid w:val="00A40719"/>
    <w:rsid w:val="00A4095F"/>
    <w:rsid w:val="00A420D1"/>
    <w:rsid w:val="00A42306"/>
    <w:rsid w:val="00A42AAD"/>
    <w:rsid w:val="00A42EAD"/>
    <w:rsid w:val="00A4318A"/>
    <w:rsid w:val="00A43351"/>
    <w:rsid w:val="00A43526"/>
    <w:rsid w:val="00A4360C"/>
    <w:rsid w:val="00A438B0"/>
    <w:rsid w:val="00A43960"/>
    <w:rsid w:val="00A439A9"/>
    <w:rsid w:val="00A440BD"/>
    <w:rsid w:val="00A44582"/>
    <w:rsid w:val="00A445BF"/>
    <w:rsid w:val="00A44606"/>
    <w:rsid w:val="00A44A0A"/>
    <w:rsid w:val="00A44C5B"/>
    <w:rsid w:val="00A44E8D"/>
    <w:rsid w:val="00A450D2"/>
    <w:rsid w:val="00A45334"/>
    <w:rsid w:val="00A45429"/>
    <w:rsid w:val="00A45500"/>
    <w:rsid w:val="00A45A64"/>
    <w:rsid w:val="00A461B6"/>
    <w:rsid w:val="00A46477"/>
    <w:rsid w:val="00A468CD"/>
    <w:rsid w:val="00A46EA8"/>
    <w:rsid w:val="00A46F9A"/>
    <w:rsid w:val="00A4718A"/>
    <w:rsid w:val="00A471C3"/>
    <w:rsid w:val="00A47B2D"/>
    <w:rsid w:val="00A47BAD"/>
    <w:rsid w:val="00A47CCC"/>
    <w:rsid w:val="00A50121"/>
    <w:rsid w:val="00A505E2"/>
    <w:rsid w:val="00A505E8"/>
    <w:rsid w:val="00A5078A"/>
    <w:rsid w:val="00A5126D"/>
    <w:rsid w:val="00A5157D"/>
    <w:rsid w:val="00A51725"/>
    <w:rsid w:val="00A51B1F"/>
    <w:rsid w:val="00A51BE4"/>
    <w:rsid w:val="00A52A5E"/>
    <w:rsid w:val="00A53193"/>
    <w:rsid w:val="00A532BA"/>
    <w:rsid w:val="00A535A8"/>
    <w:rsid w:val="00A537B1"/>
    <w:rsid w:val="00A537B5"/>
    <w:rsid w:val="00A53D88"/>
    <w:rsid w:val="00A53DB4"/>
    <w:rsid w:val="00A540D8"/>
    <w:rsid w:val="00A5451D"/>
    <w:rsid w:val="00A54E38"/>
    <w:rsid w:val="00A54F33"/>
    <w:rsid w:val="00A556BF"/>
    <w:rsid w:val="00A557F2"/>
    <w:rsid w:val="00A55A84"/>
    <w:rsid w:val="00A55ACD"/>
    <w:rsid w:val="00A55D04"/>
    <w:rsid w:val="00A55D0C"/>
    <w:rsid w:val="00A55E43"/>
    <w:rsid w:val="00A5603B"/>
    <w:rsid w:val="00A5609D"/>
    <w:rsid w:val="00A564B9"/>
    <w:rsid w:val="00A56BC4"/>
    <w:rsid w:val="00A574DD"/>
    <w:rsid w:val="00A57703"/>
    <w:rsid w:val="00A57C09"/>
    <w:rsid w:val="00A602E1"/>
    <w:rsid w:val="00A6048E"/>
    <w:rsid w:val="00A6066B"/>
    <w:rsid w:val="00A606C2"/>
    <w:rsid w:val="00A60965"/>
    <w:rsid w:val="00A61518"/>
    <w:rsid w:val="00A61B13"/>
    <w:rsid w:val="00A62D6B"/>
    <w:rsid w:val="00A62F87"/>
    <w:rsid w:val="00A63423"/>
    <w:rsid w:val="00A6392C"/>
    <w:rsid w:val="00A64201"/>
    <w:rsid w:val="00A64221"/>
    <w:rsid w:val="00A64356"/>
    <w:rsid w:val="00A6494C"/>
    <w:rsid w:val="00A64E0A"/>
    <w:rsid w:val="00A65066"/>
    <w:rsid w:val="00A65AC7"/>
    <w:rsid w:val="00A65CB0"/>
    <w:rsid w:val="00A65CDB"/>
    <w:rsid w:val="00A65D08"/>
    <w:rsid w:val="00A66D54"/>
    <w:rsid w:val="00A66DDA"/>
    <w:rsid w:val="00A66E75"/>
    <w:rsid w:val="00A6756D"/>
    <w:rsid w:val="00A677A1"/>
    <w:rsid w:val="00A67966"/>
    <w:rsid w:val="00A67D3F"/>
    <w:rsid w:val="00A7020B"/>
    <w:rsid w:val="00A706CE"/>
    <w:rsid w:val="00A7100E"/>
    <w:rsid w:val="00A71664"/>
    <w:rsid w:val="00A719E7"/>
    <w:rsid w:val="00A71AE6"/>
    <w:rsid w:val="00A729C5"/>
    <w:rsid w:val="00A734DA"/>
    <w:rsid w:val="00A73F61"/>
    <w:rsid w:val="00A7470B"/>
    <w:rsid w:val="00A74842"/>
    <w:rsid w:val="00A74973"/>
    <w:rsid w:val="00A74A86"/>
    <w:rsid w:val="00A74B47"/>
    <w:rsid w:val="00A74B4F"/>
    <w:rsid w:val="00A75925"/>
    <w:rsid w:val="00A75C00"/>
    <w:rsid w:val="00A75ECD"/>
    <w:rsid w:val="00A763B2"/>
    <w:rsid w:val="00A765A8"/>
    <w:rsid w:val="00A76629"/>
    <w:rsid w:val="00A76771"/>
    <w:rsid w:val="00A768FD"/>
    <w:rsid w:val="00A773F3"/>
    <w:rsid w:val="00A779FB"/>
    <w:rsid w:val="00A77E80"/>
    <w:rsid w:val="00A77EA8"/>
    <w:rsid w:val="00A80498"/>
    <w:rsid w:val="00A80984"/>
    <w:rsid w:val="00A80CFE"/>
    <w:rsid w:val="00A80F24"/>
    <w:rsid w:val="00A810C9"/>
    <w:rsid w:val="00A8117A"/>
    <w:rsid w:val="00A81236"/>
    <w:rsid w:val="00A81595"/>
    <w:rsid w:val="00A8218E"/>
    <w:rsid w:val="00A821CA"/>
    <w:rsid w:val="00A82A31"/>
    <w:rsid w:val="00A83373"/>
    <w:rsid w:val="00A83590"/>
    <w:rsid w:val="00A836AD"/>
    <w:rsid w:val="00A83725"/>
    <w:rsid w:val="00A8384D"/>
    <w:rsid w:val="00A83A48"/>
    <w:rsid w:val="00A83C7C"/>
    <w:rsid w:val="00A84065"/>
    <w:rsid w:val="00A84079"/>
    <w:rsid w:val="00A8411E"/>
    <w:rsid w:val="00A84156"/>
    <w:rsid w:val="00A84D27"/>
    <w:rsid w:val="00A84FC9"/>
    <w:rsid w:val="00A853E5"/>
    <w:rsid w:val="00A855B1"/>
    <w:rsid w:val="00A855EE"/>
    <w:rsid w:val="00A85D27"/>
    <w:rsid w:val="00A85E19"/>
    <w:rsid w:val="00A85F72"/>
    <w:rsid w:val="00A86065"/>
    <w:rsid w:val="00A86174"/>
    <w:rsid w:val="00A862A4"/>
    <w:rsid w:val="00A863C0"/>
    <w:rsid w:val="00A8669A"/>
    <w:rsid w:val="00A868AA"/>
    <w:rsid w:val="00A86B49"/>
    <w:rsid w:val="00A87299"/>
    <w:rsid w:val="00A87790"/>
    <w:rsid w:val="00A878CD"/>
    <w:rsid w:val="00A90108"/>
    <w:rsid w:val="00A90E90"/>
    <w:rsid w:val="00A91140"/>
    <w:rsid w:val="00A91460"/>
    <w:rsid w:val="00A9154D"/>
    <w:rsid w:val="00A917DC"/>
    <w:rsid w:val="00A918E8"/>
    <w:rsid w:val="00A91A11"/>
    <w:rsid w:val="00A91C1B"/>
    <w:rsid w:val="00A91DB3"/>
    <w:rsid w:val="00A9206A"/>
    <w:rsid w:val="00A9255D"/>
    <w:rsid w:val="00A9273E"/>
    <w:rsid w:val="00A931BA"/>
    <w:rsid w:val="00A93614"/>
    <w:rsid w:val="00A93B8A"/>
    <w:rsid w:val="00A9401D"/>
    <w:rsid w:val="00A94931"/>
    <w:rsid w:val="00A953FE"/>
    <w:rsid w:val="00A9669C"/>
    <w:rsid w:val="00A96B31"/>
    <w:rsid w:val="00A96BD6"/>
    <w:rsid w:val="00A96D0F"/>
    <w:rsid w:val="00A96D8E"/>
    <w:rsid w:val="00A96FBD"/>
    <w:rsid w:val="00A97051"/>
    <w:rsid w:val="00A970E6"/>
    <w:rsid w:val="00A975B4"/>
    <w:rsid w:val="00A97C7A"/>
    <w:rsid w:val="00AA05BD"/>
    <w:rsid w:val="00AA107C"/>
    <w:rsid w:val="00AA1504"/>
    <w:rsid w:val="00AA17B0"/>
    <w:rsid w:val="00AA1AC5"/>
    <w:rsid w:val="00AA1B26"/>
    <w:rsid w:val="00AA1CA1"/>
    <w:rsid w:val="00AA1D76"/>
    <w:rsid w:val="00AA2412"/>
    <w:rsid w:val="00AA262B"/>
    <w:rsid w:val="00AA273F"/>
    <w:rsid w:val="00AA2D2C"/>
    <w:rsid w:val="00AA303E"/>
    <w:rsid w:val="00AA3090"/>
    <w:rsid w:val="00AA32D6"/>
    <w:rsid w:val="00AA3371"/>
    <w:rsid w:val="00AA3745"/>
    <w:rsid w:val="00AA410B"/>
    <w:rsid w:val="00AA44A4"/>
    <w:rsid w:val="00AA44F3"/>
    <w:rsid w:val="00AA5452"/>
    <w:rsid w:val="00AA5563"/>
    <w:rsid w:val="00AA5B91"/>
    <w:rsid w:val="00AA609D"/>
    <w:rsid w:val="00AA6629"/>
    <w:rsid w:val="00AA6C8D"/>
    <w:rsid w:val="00AA6DD9"/>
    <w:rsid w:val="00AA6FAE"/>
    <w:rsid w:val="00AA7027"/>
    <w:rsid w:val="00AA709F"/>
    <w:rsid w:val="00AA7405"/>
    <w:rsid w:val="00AA7AF8"/>
    <w:rsid w:val="00AA7E7D"/>
    <w:rsid w:val="00AB010B"/>
    <w:rsid w:val="00AB01A9"/>
    <w:rsid w:val="00AB037C"/>
    <w:rsid w:val="00AB07D0"/>
    <w:rsid w:val="00AB07F5"/>
    <w:rsid w:val="00AB0C9C"/>
    <w:rsid w:val="00AB0F0A"/>
    <w:rsid w:val="00AB18B0"/>
    <w:rsid w:val="00AB1E93"/>
    <w:rsid w:val="00AB206D"/>
    <w:rsid w:val="00AB2230"/>
    <w:rsid w:val="00AB2394"/>
    <w:rsid w:val="00AB2C9F"/>
    <w:rsid w:val="00AB2D81"/>
    <w:rsid w:val="00AB33FC"/>
    <w:rsid w:val="00AB3AEB"/>
    <w:rsid w:val="00AB4722"/>
    <w:rsid w:val="00AB4AB8"/>
    <w:rsid w:val="00AB4D3C"/>
    <w:rsid w:val="00AB5BAC"/>
    <w:rsid w:val="00AB5EBD"/>
    <w:rsid w:val="00AB5FC0"/>
    <w:rsid w:val="00AB635D"/>
    <w:rsid w:val="00AB6515"/>
    <w:rsid w:val="00AB657A"/>
    <w:rsid w:val="00AB6700"/>
    <w:rsid w:val="00AB68CC"/>
    <w:rsid w:val="00AB6D6C"/>
    <w:rsid w:val="00AB74F7"/>
    <w:rsid w:val="00AB756C"/>
    <w:rsid w:val="00AB7875"/>
    <w:rsid w:val="00AB78DB"/>
    <w:rsid w:val="00AB7983"/>
    <w:rsid w:val="00AB7B47"/>
    <w:rsid w:val="00AB7F0E"/>
    <w:rsid w:val="00AB7F89"/>
    <w:rsid w:val="00AC0032"/>
    <w:rsid w:val="00AC0516"/>
    <w:rsid w:val="00AC09ED"/>
    <w:rsid w:val="00AC10A2"/>
    <w:rsid w:val="00AC181F"/>
    <w:rsid w:val="00AC18D8"/>
    <w:rsid w:val="00AC1F29"/>
    <w:rsid w:val="00AC2371"/>
    <w:rsid w:val="00AC3146"/>
    <w:rsid w:val="00AC3F39"/>
    <w:rsid w:val="00AC427F"/>
    <w:rsid w:val="00AC4399"/>
    <w:rsid w:val="00AC4464"/>
    <w:rsid w:val="00AC4490"/>
    <w:rsid w:val="00AC44AA"/>
    <w:rsid w:val="00AC4B80"/>
    <w:rsid w:val="00AC4C10"/>
    <w:rsid w:val="00AC4F8C"/>
    <w:rsid w:val="00AC51B6"/>
    <w:rsid w:val="00AC5206"/>
    <w:rsid w:val="00AC5293"/>
    <w:rsid w:val="00AC5879"/>
    <w:rsid w:val="00AC5B37"/>
    <w:rsid w:val="00AC5D88"/>
    <w:rsid w:val="00AC6170"/>
    <w:rsid w:val="00AC6644"/>
    <w:rsid w:val="00AC68EE"/>
    <w:rsid w:val="00AC6A93"/>
    <w:rsid w:val="00AC6EB5"/>
    <w:rsid w:val="00AC6EE1"/>
    <w:rsid w:val="00AC77AF"/>
    <w:rsid w:val="00AC79E4"/>
    <w:rsid w:val="00AC7A0A"/>
    <w:rsid w:val="00AC7C41"/>
    <w:rsid w:val="00AD01E0"/>
    <w:rsid w:val="00AD0455"/>
    <w:rsid w:val="00AD05B7"/>
    <w:rsid w:val="00AD05E7"/>
    <w:rsid w:val="00AD0686"/>
    <w:rsid w:val="00AD0811"/>
    <w:rsid w:val="00AD081B"/>
    <w:rsid w:val="00AD0DED"/>
    <w:rsid w:val="00AD0E6D"/>
    <w:rsid w:val="00AD10DF"/>
    <w:rsid w:val="00AD126B"/>
    <w:rsid w:val="00AD1380"/>
    <w:rsid w:val="00AD173A"/>
    <w:rsid w:val="00AD21F9"/>
    <w:rsid w:val="00AD23EE"/>
    <w:rsid w:val="00AD2A4E"/>
    <w:rsid w:val="00AD2CF2"/>
    <w:rsid w:val="00AD2E9B"/>
    <w:rsid w:val="00AD348A"/>
    <w:rsid w:val="00AD37AD"/>
    <w:rsid w:val="00AD4557"/>
    <w:rsid w:val="00AD4866"/>
    <w:rsid w:val="00AD486A"/>
    <w:rsid w:val="00AD4935"/>
    <w:rsid w:val="00AD4AD2"/>
    <w:rsid w:val="00AD54A8"/>
    <w:rsid w:val="00AD5C37"/>
    <w:rsid w:val="00AD5D19"/>
    <w:rsid w:val="00AD61BE"/>
    <w:rsid w:val="00AD61D2"/>
    <w:rsid w:val="00AD6780"/>
    <w:rsid w:val="00AD6B67"/>
    <w:rsid w:val="00AD71BB"/>
    <w:rsid w:val="00AD7B19"/>
    <w:rsid w:val="00AD7C21"/>
    <w:rsid w:val="00AE097E"/>
    <w:rsid w:val="00AE109F"/>
    <w:rsid w:val="00AE1345"/>
    <w:rsid w:val="00AE1C26"/>
    <w:rsid w:val="00AE1DF0"/>
    <w:rsid w:val="00AE2681"/>
    <w:rsid w:val="00AE282D"/>
    <w:rsid w:val="00AE2D6F"/>
    <w:rsid w:val="00AE2EF3"/>
    <w:rsid w:val="00AE35F9"/>
    <w:rsid w:val="00AE383D"/>
    <w:rsid w:val="00AE38B1"/>
    <w:rsid w:val="00AE3AD8"/>
    <w:rsid w:val="00AE3BA7"/>
    <w:rsid w:val="00AE3C08"/>
    <w:rsid w:val="00AE3CBF"/>
    <w:rsid w:val="00AE40C1"/>
    <w:rsid w:val="00AE4176"/>
    <w:rsid w:val="00AE4B02"/>
    <w:rsid w:val="00AE4B89"/>
    <w:rsid w:val="00AE4E7B"/>
    <w:rsid w:val="00AE518E"/>
    <w:rsid w:val="00AE579F"/>
    <w:rsid w:val="00AE5D99"/>
    <w:rsid w:val="00AE5DBB"/>
    <w:rsid w:val="00AE683C"/>
    <w:rsid w:val="00AE6C58"/>
    <w:rsid w:val="00AE70DA"/>
    <w:rsid w:val="00AE725F"/>
    <w:rsid w:val="00AE7D2A"/>
    <w:rsid w:val="00AF00FC"/>
    <w:rsid w:val="00AF0107"/>
    <w:rsid w:val="00AF1476"/>
    <w:rsid w:val="00AF19B9"/>
    <w:rsid w:val="00AF1B74"/>
    <w:rsid w:val="00AF2672"/>
    <w:rsid w:val="00AF2BF2"/>
    <w:rsid w:val="00AF2CF8"/>
    <w:rsid w:val="00AF2DF0"/>
    <w:rsid w:val="00AF33D7"/>
    <w:rsid w:val="00AF36A2"/>
    <w:rsid w:val="00AF38EE"/>
    <w:rsid w:val="00AF3A58"/>
    <w:rsid w:val="00AF4A9A"/>
    <w:rsid w:val="00AF4D5A"/>
    <w:rsid w:val="00AF505D"/>
    <w:rsid w:val="00AF56E8"/>
    <w:rsid w:val="00AF5AFF"/>
    <w:rsid w:val="00AF5BC2"/>
    <w:rsid w:val="00AF6780"/>
    <w:rsid w:val="00AF6B18"/>
    <w:rsid w:val="00AF6C5D"/>
    <w:rsid w:val="00AF6DA4"/>
    <w:rsid w:val="00AF6EBE"/>
    <w:rsid w:val="00AF7386"/>
    <w:rsid w:val="00AF73AC"/>
    <w:rsid w:val="00B0085C"/>
    <w:rsid w:val="00B01021"/>
    <w:rsid w:val="00B01211"/>
    <w:rsid w:val="00B01290"/>
    <w:rsid w:val="00B01544"/>
    <w:rsid w:val="00B0181D"/>
    <w:rsid w:val="00B01C43"/>
    <w:rsid w:val="00B01E07"/>
    <w:rsid w:val="00B01F7E"/>
    <w:rsid w:val="00B0207D"/>
    <w:rsid w:val="00B022C4"/>
    <w:rsid w:val="00B02340"/>
    <w:rsid w:val="00B024E1"/>
    <w:rsid w:val="00B029D0"/>
    <w:rsid w:val="00B02B32"/>
    <w:rsid w:val="00B02EF0"/>
    <w:rsid w:val="00B02FE5"/>
    <w:rsid w:val="00B03497"/>
    <w:rsid w:val="00B03AE1"/>
    <w:rsid w:val="00B03B1A"/>
    <w:rsid w:val="00B03C97"/>
    <w:rsid w:val="00B03F0D"/>
    <w:rsid w:val="00B0402B"/>
    <w:rsid w:val="00B04523"/>
    <w:rsid w:val="00B04C29"/>
    <w:rsid w:val="00B04E2F"/>
    <w:rsid w:val="00B056EE"/>
    <w:rsid w:val="00B058E7"/>
    <w:rsid w:val="00B0599A"/>
    <w:rsid w:val="00B05A4C"/>
    <w:rsid w:val="00B05EC4"/>
    <w:rsid w:val="00B064E7"/>
    <w:rsid w:val="00B06889"/>
    <w:rsid w:val="00B06912"/>
    <w:rsid w:val="00B0697E"/>
    <w:rsid w:val="00B06BE8"/>
    <w:rsid w:val="00B06CD0"/>
    <w:rsid w:val="00B06E66"/>
    <w:rsid w:val="00B06F82"/>
    <w:rsid w:val="00B0715E"/>
    <w:rsid w:val="00B0732D"/>
    <w:rsid w:val="00B073AE"/>
    <w:rsid w:val="00B07711"/>
    <w:rsid w:val="00B10380"/>
    <w:rsid w:val="00B105D8"/>
    <w:rsid w:val="00B1067D"/>
    <w:rsid w:val="00B1087E"/>
    <w:rsid w:val="00B10B72"/>
    <w:rsid w:val="00B10C66"/>
    <w:rsid w:val="00B10FE0"/>
    <w:rsid w:val="00B11070"/>
    <w:rsid w:val="00B11310"/>
    <w:rsid w:val="00B1146C"/>
    <w:rsid w:val="00B1201B"/>
    <w:rsid w:val="00B12098"/>
    <w:rsid w:val="00B124B8"/>
    <w:rsid w:val="00B12535"/>
    <w:rsid w:val="00B125F9"/>
    <w:rsid w:val="00B12A6D"/>
    <w:rsid w:val="00B12CA4"/>
    <w:rsid w:val="00B13051"/>
    <w:rsid w:val="00B13A9F"/>
    <w:rsid w:val="00B13AA9"/>
    <w:rsid w:val="00B13E2D"/>
    <w:rsid w:val="00B148A5"/>
    <w:rsid w:val="00B1499D"/>
    <w:rsid w:val="00B14D9A"/>
    <w:rsid w:val="00B15048"/>
    <w:rsid w:val="00B155B9"/>
    <w:rsid w:val="00B15959"/>
    <w:rsid w:val="00B15B17"/>
    <w:rsid w:val="00B16513"/>
    <w:rsid w:val="00B1655E"/>
    <w:rsid w:val="00B1668A"/>
    <w:rsid w:val="00B166DC"/>
    <w:rsid w:val="00B16742"/>
    <w:rsid w:val="00B16C2A"/>
    <w:rsid w:val="00B16E74"/>
    <w:rsid w:val="00B179A1"/>
    <w:rsid w:val="00B17CA6"/>
    <w:rsid w:val="00B2082D"/>
    <w:rsid w:val="00B20898"/>
    <w:rsid w:val="00B20A32"/>
    <w:rsid w:val="00B20E09"/>
    <w:rsid w:val="00B2116D"/>
    <w:rsid w:val="00B21265"/>
    <w:rsid w:val="00B21D5D"/>
    <w:rsid w:val="00B226F0"/>
    <w:rsid w:val="00B22EFF"/>
    <w:rsid w:val="00B22FA0"/>
    <w:rsid w:val="00B231AE"/>
    <w:rsid w:val="00B247D9"/>
    <w:rsid w:val="00B255F3"/>
    <w:rsid w:val="00B25792"/>
    <w:rsid w:val="00B25920"/>
    <w:rsid w:val="00B26356"/>
    <w:rsid w:val="00B26E5C"/>
    <w:rsid w:val="00B2723C"/>
    <w:rsid w:val="00B27745"/>
    <w:rsid w:val="00B27800"/>
    <w:rsid w:val="00B27902"/>
    <w:rsid w:val="00B27B77"/>
    <w:rsid w:val="00B306CB"/>
    <w:rsid w:val="00B3087D"/>
    <w:rsid w:val="00B30CD1"/>
    <w:rsid w:val="00B30FE1"/>
    <w:rsid w:val="00B31025"/>
    <w:rsid w:val="00B3144C"/>
    <w:rsid w:val="00B319E1"/>
    <w:rsid w:val="00B323A7"/>
    <w:rsid w:val="00B327C7"/>
    <w:rsid w:val="00B32A2C"/>
    <w:rsid w:val="00B32B91"/>
    <w:rsid w:val="00B33897"/>
    <w:rsid w:val="00B339EB"/>
    <w:rsid w:val="00B34794"/>
    <w:rsid w:val="00B347E9"/>
    <w:rsid w:val="00B3492D"/>
    <w:rsid w:val="00B34B81"/>
    <w:rsid w:val="00B34CA5"/>
    <w:rsid w:val="00B353BE"/>
    <w:rsid w:val="00B353E5"/>
    <w:rsid w:val="00B3651D"/>
    <w:rsid w:val="00B3655B"/>
    <w:rsid w:val="00B365BF"/>
    <w:rsid w:val="00B36877"/>
    <w:rsid w:val="00B36C93"/>
    <w:rsid w:val="00B36CED"/>
    <w:rsid w:val="00B375BD"/>
    <w:rsid w:val="00B3762A"/>
    <w:rsid w:val="00B37638"/>
    <w:rsid w:val="00B37A06"/>
    <w:rsid w:val="00B37D7A"/>
    <w:rsid w:val="00B40172"/>
    <w:rsid w:val="00B404D5"/>
    <w:rsid w:val="00B40860"/>
    <w:rsid w:val="00B40938"/>
    <w:rsid w:val="00B40C0F"/>
    <w:rsid w:val="00B41222"/>
    <w:rsid w:val="00B41999"/>
    <w:rsid w:val="00B426A2"/>
    <w:rsid w:val="00B428DB"/>
    <w:rsid w:val="00B42BC5"/>
    <w:rsid w:val="00B432AC"/>
    <w:rsid w:val="00B44B17"/>
    <w:rsid w:val="00B44B59"/>
    <w:rsid w:val="00B44D21"/>
    <w:rsid w:val="00B4535C"/>
    <w:rsid w:val="00B454CC"/>
    <w:rsid w:val="00B4581B"/>
    <w:rsid w:val="00B459C9"/>
    <w:rsid w:val="00B45D89"/>
    <w:rsid w:val="00B46020"/>
    <w:rsid w:val="00B46737"/>
    <w:rsid w:val="00B46A44"/>
    <w:rsid w:val="00B46B8F"/>
    <w:rsid w:val="00B46C28"/>
    <w:rsid w:val="00B46C75"/>
    <w:rsid w:val="00B46E4C"/>
    <w:rsid w:val="00B476C1"/>
    <w:rsid w:val="00B47779"/>
    <w:rsid w:val="00B47A43"/>
    <w:rsid w:val="00B50916"/>
    <w:rsid w:val="00B50C9F"/>
    <w:rsid w:val="00B51432"/>
    <w:rsid w:val="00B51715"/>
    <w:rsid w:val="00B51C88"/>
    <w:rsid w:val="00B51DE7"/>
    <w:rsid w:val="00B5276E"/>
    <w:rsid w:val="00B52B02"/>
    <w:rsid w:val="00B52B6A"/>
    <w:rsid w:val="00B52FC6"/>
    <w:rsid w:val="00B53F1C"/>
    <w:rsid w:val="00B53F80"/>
    <w:rsid w:val="00B53FA3"/>
    <w:rsid w:val="00B5407C"/>
    <w:rsid w:val="00B542A5"/>
    <w:rsid w:val="00B54439"/>
    <w:rsid w:val="00B546E3"/>
    <w:rsid w:val="00B5481E"/>
    <w:rsid w:val="00B5485E"/>
    <w:rsid w:val="00B554F9"/>
    <w:rsid w:val="00B55711"/>
    <w:rsid w:val="00B557A4"/>
    <w:rsid w:val="00B559F1"/>
    <w:rsid w:val="00B55BF9"/>
    <w:rsid w:val="00B55CC3"/>
    <w:rsid w:val="00B55E84"/>
    <w:rsid w:val="00B560C2"/>
    <w:rsid w:val="00B569FF"/>
    <w:rsid w:val="00B56DDC"/>
    <w:rsid w:val="00B57048"/>
    <w:rsid w:val="00B572AD"/>
    <w:rsid w:val="00B5740D"/>
    <w:rsid w:val="00B57494"/>
    <w:rsid w:val="00B60421"/>
    <w:rsid w:val="00B60BF7"/>
    <w:rsid w:val="00B60CD8"/>
    <w:rsid w:val="00B60CDE"/>
    <w:rsid w:val="00B61490"/>
    <w:rsid w:val="00B61560"/>
    <w:rsid w:val="00B6157E"/>
    <w:rsid w:val="00B61F69"/>
    <w:rsid w:val="00B62612"/>
    <w:rsid w:val="00B626B9"/>
    <w:rsid w:val="00B628BA"/>
    <w:rsid w:val="00B62DAB"/>
    <w:rsid w:val="00B63077"/>
    <w:rsid w:val="00B637A1"/>
    <w:rsid w:val="00B63867"/>
    <w:rsid w:val="00B63F2A"/>
    <w:rsid w:val="00B645B9"/>
    <w:rsid w:val="00B646A4"/>
    <w:rsid w:val="00B64A10"/>
    <w:rsid w:val="00B653A0"/>
    <w:rsid w:val="00B653C2"/>
    <w:rsid w:val="00B6576B"/>
    <w:rsid w:val="00B659A8"/>
    <w:rsid w:val="00B65A0C"/>
    <w:rsid w:val="00B669D9"/>
    <w:rsid w:val="00B66EC7"/>
    <w:rsid w:val="00B66F1C"/>
    <w:rsid w:val="00B6730A"/>
    <w:rsid w:val="00B67437"/>
    <w:rsid w:val="00B6756A"/>
    <w:rsid w:val="00B677F2"/>
    <w:rsid w:val="00B67994"/>
    <w:rsid w:val="00B67E94"/>
    <w:rsid w:val="00B701ED"/>
    <w:rsid w:val="00B7078A"/>
    <w:rsid w:val="00B70800"/>
    <w:rsid w:val="00B70E2C"/>
    <w:rsid w:val="00B71575"/>
    <w:rsid w:val="00B71A80"/>
    <w:rsid w:val="00B71B9A"/>
    <w:rsid w:val="00B721FB"/>
    <w:rsid w:val="00B723C8"/>
    <w:rsid w:val="00B732D2"/>
    <w:rsid w:val="00B73B95"/>
    <w:rsid w:val="00B73D42"/>
    <w:rsid w:val="00B73D9B"/>
    <w:rsid w:val="00B74216"/>
    <w:rsid w:val="00B7422F"/>
    <w:rsid w:val="00B747E3"/>
    <w:rsid w:val="00B74BB5"/>
    <w:rsid w:val="00B74CAE"/>
    <w:rsid w:val="00B755F7"/>
    <w:rsid w:val="00B759A8"/>
    <w:rsid w:val="00B75BD9"/>
    <w:rsid w:val="00B7640E"/>
    <w:rsid w:val="00B76C10"/>
    <w:rsid w:val="00B778F4"/>
    <w:rsid w:val="00B77FD8"/>
    <w:rsid w:val="00B801E4"/>
    <w:rsid w:val="00B80205"/>
    <w:rsid w:val="00B80495"/>
    <w:rsid w:val="00B80547"/>
    <w:rsid w:val="00B80861"/>
    <w:rsid w:val="00B808D4"/>
    <w:rsid w:val="00B80A13"/>
    <w:rsid w:val="00B80D79"/>
    <w:rsid w:val="00B80F04"/>
    <w:rsid w:val="00B8157D"/>
    <w:rsid w:val="00B81EB6"/>
    <w:rsid w:val="00B8215F"/>
    <w:rsid w:val="00B824DD"/>
    <w:rsid w:val="00B82670"/>
    <w:rsid w:val="00B82743"/>
    <w:rsid w:val="00B82A49"/>
    <w:rsid w:val="00B83B77"/>
    <w:rsid w:val="00B83C1E"/>
    <w:rsid w:val="00B84727"/>
    <w:rsid w:val="00B848FB"/>
    <w:rsid w:val="00B84EA9"/>
    <w:rsid w:val="00B859A1"/>
    <w:rsid w:val="00B859A2"/>
    <w:rsid w:val="00B85BBF"/>
    <w:rsid w:val="00B85BF2"/>
    <w:rsid w:val="00B860BB"/>
    <w:rsid w:val="00B862A5"/>
    <w:rsid w:val="00B86561"/>
    <w:rsid w:val="00B86842"/>
    <w:rsid w:val="00B8687F"/>
    <w:rsid w:val="00B86D23"/>
    <w:rsid w:val="00B87246"/>
    <w:rsid w:val="00B87311"/>
    <w:rsid w:val="00B87487"/>
    <w:rsid w:val="00B877A6"/>
    <w:rsid w:val="00B877C6"/>
    <w:rsid w:val="00B87A0A"/>
    <w:rsid w:val="00B87ED2"/>
    <w:rsid w:val="00B87F47"/>
    <w:rsid w:val="00B90F49"/>
    <w:rsid w:val="00B916B4"/>
    <w:rsid w:val="00B91B25"/>
    <w:rsid w:val="00B91B51"/>
    <w:rsid w:val="00B92075"/>
    <w:rsid w:val="00B930EE"/>
    <w:rsid w:val="00B9314A"/>
    <w:rsid w:val="00B93535"/>
    <w:rsid w:val="00B936E7"/>
    <w:rsid w:val="00B9390A"/>
    <w:rsid w:val="00B93B80"/>
    <w:rsid w:val="00B93E0E"/>
    <w:rsid w:val="00B943C4"/>
    <w:rsid w:val="00B9451A"/>
    <w:rsid w:val="00B9452C"/>
    <w:rsid w:val="00B945C8"/>
    <w:rsid w:val="00B94EE5"/>
    <w:rsid w:val="00B94FAE"/>
    <w:rsid w:val="00B95079"/>
    <w:rsid w:val="00B96345"/>
    <w:rsid w:val="00B9671E"/>
    <w:rsid w:val="00B9696D"/>
    <w:rsid w:val="00B96E54"/>
    <w:rsid w:val="00B9705B"/>
    <w:rsid w:val="00B97B17"/>
    <w:rsid w:val="00BA0509"/>
    <w:rsid w:val="00BA1063"/>
    <w:rsid w:val="00BA1261"/>
    <w:rsid w:val="00BA155D"/>
    <w:rsid w:val="00BA15D4"/>
    <w:rsid w:val="00BA15DC"/>
    <w:rsid w:val="00BA17C0"/>
    <w:rsid w:val="00BA1AA0"/>
    <w:rsid w:val="00BA1BE4"/>
    <w:rsid w:val="00BA1ED4"/>
    <w:rsid w:val="00BA298A"/>
    <w:rsid w:val="00BA2BE9"/>
    <w:rsid w:val="00BA3138"/>
    <w:rsid w:val="00BA329B"/>
    <w:rsid w:val="00BA363F"/>
    <w:rsid w:val="00BA37D9"/>
    <w:rsid w:val="00BA3871"/>
    <w:rsid w:val="00BA3A78"/>
    <w:rsid w:val="00BA3BCA"/>
    <w:rsid w:val="00BA3C49"/>
    <w:rsid w:val="00BA3E0D"/>
    <w:rsid w:val="00BA3F11"/>
    <w:rsid w:val="00BA41EB"/>
    <w:rsid w:val="00BA44C5"/>
    <w:rsid w:val="00BA4787"/>
    <w:rsid w:val="00BA47C2"/>
    <w:rsid w:val="00BA4934"/>
    <w:rsid w:val="00BA499D"/>
    <w:rsid w:val="00BA4D5F"/>
    <w:rsid w:val="00BA5112"/>
    <w:rsid w:val="00BA5654"/>
    <w:rsid w:val="00BA587E"/>
    <w:rsid w:val="00BA5AD7"/>
    <w:rsid w:val="00BA5AE2"/>
    <w:rsid w:val="00BA5AE9"/>
    <w:rsid w:val="00BA5D49"/>
    <w:rsid w:val="00BA6067"/>
    <w:rsid w:val="00BA61DA"/>
    <w:rsid w:val="00BA6C80"/>
    <w:rsid w:val="00BA79A1"/>
    <w:rsid w:val="00BA7C04"/>
    <w:rsid w:val="00BB017F"/>
    <w:rsid w:val="00BB0243"/>
    <w:rsid w:val="00BB04EB"/>
    <w:rsid w:val="00BB0A9D"/>
    <w:rsid w:val="00BB0ACF"/>
    <w:rsid w:val="00BB0AF2"/>
    <w:rsid w:val="00BB0BAE"/>
    <w:rsid w:val="00BB0DB5"/>
    <w:rsid w:val="00BB0E67"/>
    <w:rsid w:val="00BB11C6"/>
    <w:rsid w:val="00BB1272"/>
    <w:rsid w:val="00BB148B"/>
    <w:rsid w:val="00BB1AEC"/>
    <w:rsid w:val="00BB1B2C"/>
    <w:rsid w:val="00BB1CB2"/>
    <w:rsid w:val="00BB1F25"/>
    <w:rsid w:val="00BB22A2"/>
    <w:rsid w:val="00BB2694"/>
    <w:rsid w:val="00BB36E3"/>
    <w:rsid w:val="00BB40D5"/>
    <w:rsid w:val="00BB411B"/>
    <w:rsid w:val="00BB4192"/>
    <w:rsid w:val="00BB42E8"/>
    <w:rsid w:val="00BB4655"/>
    <w:rsid w:val="00BB51AA"/>
    <w:rsid w:val="00BB5250"/>
    <w:rsid w:val="00BB59D0"/>
    <w:rsid w:val="00BB5CD8"/>
    <w:rsid w:val="00BB5DC7"/>
    <w:rsid w:val="00BB674E"/>
    <w:rsid w:val="00BB6938"/>
    <w:rsid w:val="00BB6C48"/>
    <w:rsid w:val="00BB75A1"/>
    <w:rsid w:val="00BB7810"/>
    <w:rsid w:val="00BC093F"/>
    <w:rsid w:val="00BC0982"/>
    <w:rsid w:val="00BC129F"/>
    <w:rsid w:val="00BC148D"/>
    <w:rsid w:val="00BC161E"/>
    <w:rsid w:val="00BC1746"/>
    <w:rsid w:val="00BC19FF"/>
    <w:rsid w:val="00BC1EC6"/>
    <w:rsid w:val="00BC2057"/>
    <w:rsid w:val="00BC24AD"/>
    <w:rsid w:val="00BC2B37"/>
    <w:rsid w:val="00BC2D71"/>
    <w:rsid w:val="00BC3476"/>
    <w:rsid w:val="00BC37BD"/>
    <w:rsid w:val="00BC3CB9"/>
    <w:rsid w:val="00BC4043"/>
    <w:rsid w:val="00BC463D"/>
    <w:rsid w:val="00BC4957"/>
    <w:rsid w:val="00BC4B3E"/>
    <w:rsid w:val="00BC4D1C"/>
    <w:rsid w:val="00BC4DC7"/>
    <w:rsid w:val="00BC5312"/>
    <w:rsid w:val="00BC539B"/>
    <w:rsid w:val="00BC5406"/>
    <w:rsid w:val="00BC5818"/>
    <w:rsid w:val="00BC5B7B"/>
    <w:rsid w:val="00BC60B6"/>
    <w:rsid w:val="00BC6207"/>
    <w:rsid w:val="00BC65AB"/>
    <w:rsid w:val="00BC67EB"/>
    <w:rsid w:val="00BC757E"/>
    <w:rsid w:val="00BC76E0"/>
    <w:rsid w:val="00BC7860"/>
    <w:rsid w:val="00BC7E67"/>
    <w:rsid w:val="00BD0782"/>
    <w:rsid w:val="00BD079A"/>
    <w:rsid w:val="00BD1168"/>
    <w:rsid w:val="00BD1175"/>
    <w:rsid w:val="00BD14C2"/>
    <w:rsid w:val="00BD17D2"/>
    <w:rsid w:val="00BD17E8"/>
    <w:rsid w:val="00BD1ADD"/>
    <w:rsid w:val="00BD1C20"/>
    <w:rsid w:val="00BD268C"/>
    <w:rsid w:val="00BD2732"/>
    <w:rsid w:val="00BD2757"/>
    <w:rsid w:val="00BD2E0E"/>
    <w:rsid w:val="00BD3F7E"/>
    <w:rsid w:val="00BD4040"/>
    <w:rsid w:val="00BD44D3"/>
    <w:rsid w:val="00BD5140"/>
    <w:rsid w:val="00BD6304"/>
    <w:rsid w:val="00BD636C"/>
    <w:rsid w:val="00BD64F0"/>
    <w:rsid w:val="00BD674E"/>
    <w:rsid w:val="00BD6997"/>
    <w:rsid w:val="00BD69D1"/>
    <w:rsid w:val="00BD7313"/>
    <w:rsid w:val="00BD774B"/>
    <w:rsid w:val="00BD7FDC"/>
    <w:rsid w:val="00BE0B0D"/>
    <w:rsid w:val="00BE0B9E"/>
    <w:rsid w:val="00BE14FE"/>
    <w:rsid w:val="00BE171E"/>
    <w:rsid w:val="00BE17E4"/>
    <w:rsid w:val="00BE1850"/>
    <w:rsid w:val="00BE1855"/>
    <w:rsid w:val="00BE19EB"/>
    <w:rsid w:val="00BE1BB9"/>
    <w:rsid w:val="00BE1C41"/>
    <w:rsid w:val="00BE1C60"/>
    <w:rsid w:val="00BE1E35"/>
    <w:rsid w:val="00BE2241"/>
    <w:rsid w:val="00BE267E"/>
    <w:rsid w:val="00BE26E5"/>
    <w:rsid w:val="00BE2741"/>
    <w:rsid w:val="00BE2916"/>
    <w:rsid w:val="00BE2EA9"/>
    <w:rsid w:val="00BE32E7"/>
    <w:rsid w:val="00BE348B"/>
    <w:rsid w:val="00BE3635"/>
    <w:rsid w:val="00BE369A"/>
    <w:rsid w:val="00BE417E"/>
    <w:rsid w:val="00BE430B"/>
    <w:rsid w:val="00BE4C0A"/>
    <w:rsid w:val="00BE4C39"/>
    <w:rsid w:val="00BE4C4F"/>
    <w:rsid w:val="00BE509D"/>
    <w:rsid w:val="00BE50BB"/>
    <w:rsid w:val="00BE530A"/>
    <w:rsid w:val="00BE531A"/>
    <w:rsid w:val="00BE615A"/>
    <w:rsid w:val="00BE644D"/>
    <w:rsid w:val="00BE65E1"/>
    <w:rsid w:val="00BE6923"/>
    <w:rsid w:val="00BE6D88"/>
    <w:rsid w:val="00BE720E"/>
    <w:rsid w:val="00BE7AF4"/>
    <w:rsid w:val="00BF01F9"/>
    <w:rsid w:val="00BF06AA"/>
    <w:rsid w:val="00BF07DC"/>
    <w:rsid w:val="00BF0B86"/>
    <w:rsid w:val="00BF0E53"/>
    <w:rsid w:val="00BF1115"/>
    <w:rsid w:val="00BF1255"/>
    <w:rsid w:val="00BF1383"/>
    <w:rsid w:val="00BF1AAC"/>
    <w:rsid w:val="00BF1B36"/>
    <w:rsid w:val="00BF1CF3"/>
    <w:rsid w:val="00BF2043"/>
    <w:rsid w:val="00BF2060"/>
    <w:rsid w:val="00BF23B2"/>
    <w:rsid w:val="00BF260C"/>
    <w:rsid w:val="00BF2923"/>
    <w:rsid w:val="00BF29A8"/>
    <w:rsid w:val="00BF3373"/>
    <w:rsid w:val="00BF3382"/>
    <w:rsid w:val="00BF390B"/>
    <w:rsid w:val="00BF4482"/>
    <w:rsid w:val="00BF44FD"/>
    <w:rsid w:val="00BF464E"/>
    <w:rsid w:val="00BF46AC"/>
    <w:rsid w:val="00BF514E"/>
    <w:rsid w:val="00BF559F"/>
    <w:rsid w:val="00BF5856"/>
    <w:rsid w:val="00BF5899"/>
    <w:rsid w:val="00BF5CA0"/>
    <w:rsid w:val="00BF6076"/>
    <w:rsid w:val="00BF6405"/>
    <w:rsid w:val="00BF642C"/>
    <w:rsid w:val="00BF64B2"/>
    <w:rsid w:val="00BF6655"/>
    <w:rsid w:val="00BF6813"/>
    <w:rsid w:val="00BF68E4"/>
    <w:rsid w:val="00BF6939"/>
    <w:rsid w:val="00BF6AD9"/>
    <w:rsid w:val="00BF6C17"/>
    <w:rsid w:val="00BF6FBC"/>
    <w:rsid w:val="00BF7198"/>
    <w:rsid w:val="00BF77DF"/>
    <w:rsid w:val="00C000D9"/>
    <w:rsid w:val="00C0034B"/>
    <w:rsid w:val="00C003C6"/>
    <w:rsid w:val="00C007D8"/>
    <w:rsid w:val="00C009D3"/>
    <w:rsid w:val="00C00CBE"/>
    <w:rsid w:val="00C00D42"/>
    <w:rsid w:val="00C01213"/>
    <w:rsid w:val="00C01446"/>
    <w:rsid w:val="00C01675"/>
    <w:rsid w:val="00C01C91"/>
    <w:rsid w:val="00C01C9B"/>
    <w:rsid w:val="00C01DF6"/>
    <w:rsid w:val="00C02238"/>
    <w:rsid w:val="00C024F2"/>
    <w:rsid w:val="00C02B96"/>
    <w:rsid w:val="00C02E39"/>
    <w:rsid w:val="00C0329B"/>
    <w:rsid w:val="00C035DA"/>
    <w:rsid w:val="00C036DA"/>
    <w:rsid w:val="00C03B33"/>
    <w:rsid w:val="00C03E7A"/>
    <w:rsid w:val="00C03F91"/>
    <w:rsid w:val="00C040F6"/>
    <w:rsid w:val="00C045F7"/>
    <w:rsid w:val="00C04CB1"/>
    <w:rsid w:val="00C04D12"/>
    <w:rsid w:val="00C04E4F"/>
    <w:rsid w:val="00C05492"/>
    <w:rsid w:val="00C0598F"/>
    <w:rsid w:val="00C059A5"/>
    <w:rsid w:val="00C05AA2"/>
    <w:rsid w:val="00C05DE7"/>
    <w:rsid w:val="00C060FC"/>
    <w:rsid w:val="00C0610D"/>
    <w:rsid w:val="00C06614"/>
    <w:rsid w:val="00C0661C"/>
    <w:rsid w:val="00C069E7"/>
    <w:rsid w:val="00C06A13"/>
    <w:rsid w:val="00C07E2D"/>
    <w:rsid w:val="00C07EA6"/>
    <w:rsid w:val="00C07FA0"/>
    <w:rsid w:val="00C10953"/>
    <w:rsid w:val="00C109BE"/>
    <w:rsid w:val="00C10B5F"/>
    <w:rsid w:val="00C10E6B"/>
    <w:rsid w:val="00C10EE7"/>
    <w:rsid w:val="00C1137E"/>
    <w:rsid w:val="00C11AA3"/>
    <w:rsid w:val="00C11F80"/>
    <w:rsid w:val="00C12E02"/>
    <w:rsid w:val="00C1371D"/>
    <w:rsid w:val="00C137AA"/>
    <w:rsid w:val="00C13974"/>
    <w:rsid w:val="00C13BCD"/>
    <w:rsid w:val="00C14009"/>
    <w:rsid w:val="00C14159"/>
    <w:rsid w:val="00C1426E"/>
    <w:rsid w:val="00C14915"/>
    <w:rsid w:val="00C14AC7"/>
    <w:rsid w:val="00C14CDF"/>
    <w:rsid w:val="00C1578E"/>
    <w:rsid w:val="00C15A4E"/>
    <w:rsid w:val="00C15D25"/>
    <w:rsid w:val="00C15D36"/>
    <w:rsid w:val="00C161B6"/>
    <w:rsid w:val="00C162F4"/>
    <w:rsid w:val="00C166A0"/>
    <w:rsid w:val="00C16C06"/>
    <w:rsid w:val="00C175DA"/>
    <w:rsid w:val="00C17E84"/>
    <w:rsid w:val="00C2091A"/>
    <w:rsid w:val="00C20AD9"/>
    <w:rsid w:val="00C213C5"/>
    <w:rsid w:val="00C2173D"/>
    <w:rsid w:val="00C217BB"/>
    <w:rsid w:val="00C21DE6"/>
    <w:rsid w:val="00C2381B"/>
    <w:rsid w:val="00C23C2E"/>
    <w:rsid w:val="00C23DAB"/>
    <w:rsid w:val="00C2400A"/>
    <w:rsid w:val="00C25D82"/>
    <w:rsid w:val="00C25DAA"/>
    <w:rsid w:val="00C2619F"/>
    <w:rsid w:val="00C26549"/>
    <w:rsid w:val="00C267DC"/>
    <w:rsid w:val="00C26939"/>
    <w:rsid w:val="00C2794D"/>
    <w:rsid w:val="00C27C33"/>
    <w:rsid w:val="00C307CF"/>
    <w:rsid w:val="00C309C8"/>
    <w:rsid w:val="00C30C41"/>
    <w:rsid w:val="00C3108D"/>
    <w:rsid w:val="00C312EC"/>
    <w:rsid w:val="00C31407"/>
    <w:rsid w:val="00C31AA1"/>
    <w:rsid w:val="00C31E83"/>
    <w:rsid w:val="00C32261"/>
    <w:rsid w:val="00C324BB"/>
    <w:rsid w:val="00C32B82"/>
    <w:rsid w:val="00C3303E"/>
    <w:rsid w:val="00C33124"/>
    <w:rsid w:val="00C33346"/>
    <w:rsid w:val="00C33441"/>
    <w:rsid w:val="00C334C9"/>
    <w:rsid w:val="00C3367C"/>
    <w:rsid w:val="00C336DB"/>
    <w:rsid w:val="00C339F0"/>
    <w:rsid w:val="00C3467F"/>
    <w:rsid w:val="00C34A15"/>
    <w:rsid w:val="00C34A6D"/>
    <w:rsid w:val="00C34DB8"/>
    <w:rsid w:val="00C34DCF"/>
    <w:rsid w:val="00C34E8C"/>
    <w:rsid w:val="00C3539B"/>
    <w:rsid w:val="00C35433"/>
    <w:rsid w:val="00C354F5"/>
    <w:rsid w:val="00C35CA0"/>
    <w:rsid w:val="00C363CE"/>
    <w:rsid w:val="00C3641F"/>
    <w:rsid w:val="00C36854"/>
    <w:rsid w:val="00C36C20"/>
    <w:rsid w:val="00C36FBF"/>
    <w:rsid w:val="00C36FD8"/>
    <w:rsid w:val="00C37546"/>
    <w:rsid w:val="00C37616"/>
    <w:rsid w:val="00C37714"/>
    <w:rsid w:val="00C37A17"/>
    <w:rsid w:val="00C37B28"/>
    <w:rsid w:val="00C40192"/>
    <w:rsid w:val="00C40624"/>
    <w:rsid w:val="00C409DC"/>
    <w:rsid w:val="00C416BB"/>
    <w:rsid w:val="00C41A0B"/>
    <w:rsid w:val="00C420ED"/>
    <w:rsid w:val="00C42190"/>
    <w:rsid w:val="00C421DB"/>
    <w:rsid w:val="00C43973"/>
    <w:rsid w:val="00C43D01"/>
    <w:rsid w:val="00C43DB0"/>
    <w:rsid w:val="00C43E54"/>
    <w:rsid w:val="00C43FD3"/>
    <w:rsid w:val="00C44454"/>
    <w:rsid w:val="00C44587"/>
    <w:rsid w:val="00C44F3B"/>
    <w:rsid w:val="00C456A8"/>
    <w:rsid w:val="00C4612A"/>
    <w:rsid w:val="00C461B8"/>
    <w:rsid w:val="00C461CA"/>
    <w:rsid w:val="00C4621B"/>
    <w:rsid w:val="00C46477"/>
    <w:rsid w:val="00C46703"/>
    <w:rsid w:val="00C46C95"/>
    <w:rsid w:val="00C46CEF"/>
    <w:rsid w:val="00C46E24"/>
    <w:rsid w:val="00C470B2"/>
    <w:rsid w:val="00C47468"/>
    <w:rsid w:val="00C475C4"/>
    <w:rsid w:val="00C4760B"/>
    <w:rsid w:val="00C47788"/>
    <w:rsid w:val="00C477B8"/>
    <w:rsid w:val="00C4796F"/>
    <w:rsid w:val="00C479A2"/>
    <w:rsid w:val="00C47DF1"/>
    <w:rsid w:val="00C47FF9"/>
    <w:rsid w:val="00C504D5"/>
    <w:rsid w:val="00C507C6"/>
    <w:rsid w:val="00C50B47"/>
    <w:rsid w:val="00C50C29"/>
    <w:rsid w:val="00C50EB8"/>
    <w:rsid w:val="00C50EC0"/>
    <w:rsid w:val="00C512BB"/>
    <w:rsid w:val="00C5148D"/>
    <w:rsid w:val="00C514A6"/>
    <w:rsid w:val="00C514DE"/>
    <w:rsid w:val="00C5161E"/>
    <w:rsid w:val="00C517EE"/>
    <w:rsid w:val="00C52284"/>
    <w:rsid w:val="00C522C1"/>
    <w:rsid w:val="00C5254A"/>
    <w:rsid w:val="00C52F1C"/>
    <w:rsid w:val="00C5304F"/>
    <w:rsid w:val="00C53096"/>
    <w:rsid w:val="00C535CE"/>
    <w:rsid w:val="00C536F4"/>
    <w:rsid w:val="00C537F0"/>
    <w:rsid w:val="00C53FDE"/>
    <w:rsid w:val="00C541D5"/>
    <w:rsid w:val="00C547BE"/>
    <w:rsid w:val="00C54A90"/>
    <w:rsid w:val="00C54D81"/>
    <w:rsid w:val="00C54DCF"/>
    <w:rsid w:val="00C551DE"/>
    <w:rsid w:val="00C5566F"/>
    <w:rsid w:val="00C556BC"/>
    <w:rsid w:val="00C55794"/>
    <w:rsid w:val="00C55BF0"/>
    <w:rsid w:val="00C55C90"/>
    <w:rsid w:val="00C56061"/>
    <w:rsid w:val="00C5662D"/>
    <w:rsid w:val="00C568BD"/>
    <w:rsid w:val="00C57C19"/>
    <w:rsid w:val="00C57D89"/>
    <w:rsid w:val="00C600B4"/>
    <w:rsid w:val="00C60B0E"/>
    <w:rsid w:val="00C60CA6"/>
    <w:rsid w:val="00C621CC"/>
    <w:rsid w:val="00C62321"/>
    <w:rsid w:val="00C62402"/>
    <w:rsid w:val="00C62950"/>
    <w:rsid w:val="00C6298E"/>
    <w:rsid w:val="00C62BEF"/>
    <w:rsid w:val="00C62D16"/>
    <w:rsid w:val="00C63334"/>
    <w:rsid w:val="00C633CC"/>
    <w:rsid w:val="00C6359C"/>
    <w:rsid w:val="00C63C6E"/>
    <w:rsid w:val="00C6461C"/>
    <w:rsid w:val="00C654F9"/>
    <w:rsid w:val="00C65A91"/>
    <w:rsid w:val="00C65AAE"/>
    <w:rsid w:val="00C65CF8"/>
    <w:rsid w:val="00C67422"/>
    <w:rsid w:val="00C67478"/>
    <w:rsid w:val="00C67EDC"/>
    <w:rsid w:val="00C703F3"/>
    <w:rsid w:val="00C706D6"/>
    <w:rsid w:val="00C70A2C"/>
    <w:rsid w:val="00C7108C"/>
    <w:rsid w:val="00C713D1"/>
    <w:rsid w:val="00C7195D"/>
    <w:rsid w:val="00C719FC"/>
    <w:rsid w:val="00C71E48"/>
    <w:rsid w:val="00C72043"/>
    <w:rsid w:val="00C72082"/>
    <w:rsid w:val="00C72359"/>
    <w:rsid w:val="00C7266A"/>
    <w:rsid w:val="00C727C5"/>
    <w:rsid w:val="00C73635"/>
    <w:rsid w:val="00C73693"/>
    <w:rsid w:val="00C741DA"/>
    <w:rsid w:val="00C74338"/>
    <w:rsid w:val="00C747EC"/>
    <w:rsid w:val="00C748B7"/>
    <w:rsid w:val="00C7492D"/>
    <w:rsid w:val="00C749BD"/>
    <w:rsid w:val="00C74B8A"/>
    <w:rsid w:val="00C74FF4"/>
    <w:rsid w:val="00C75092"/>
    <w:rsid w:val="00C75558"/>
    <w:rsid w:val="00C75CFC"/>
    <w:rsid w:val="00C75F09"/>
    <w:rsid w:val="00C76281"/>
    <w:rsid w:val="00C7645C"/>
    <w:rsid w:val="00C76560"/>
    <w:rsid w:val="00C76FBF"/>
    <w:rsid w:val="00C77197"/>
    <w:rsid w:val="00C7744B"/>
    <w:rsid w:val="00C7751C"/>
    <w:rsid w:val="00C77AD0"/>
    <w:rsid w:val="00C77F54"/>
    <w:rsid w:val="00C80020"/>
    <w:rsid w:val="00C8006C"/>
    <w:rsid w:val="00C80A82"/>
    <w:rsid w:val="00C8107A"/>
    <w:rsid w:val="00C813FF"/>
    <w:rsid w:val="00C81407"/>
    <w:rsid w:val="00C81744"/>
    <w:rsid w:val="00C82322"/>
    <w:rsid w:val="00C8242C"/>
    <w:rsid w:val="00C824ED"/>
    <w:rsid w:val="00C82A24"/>
    <w:rsid w:val="00C82F85"/>
    <w:rsid w:val="00C832A0"/>
    <w:rsid w:val="00C8341D"/>
    <w:rsid w:val="00C8363D"/>
    <w:rsid w:val="00C83729"/>
    <w:rsid w:val="00C83B92"/>
    <w:rsid w:val="00C842F3"/>
    <w:rsid w:val="00C84499"/>
    <w:rsid w:val="00C85294"/>
    <w:rsid w:val="00C8532D"/>
    <w:rsid w:val="00C857B6"/>
    <w:rsid w:val="00C859A8"/>
    <w:rsid w:val="00C867B3"/>
    <w:rsid w:val="00C8697C"/>
    <w:rsid w:val="00C8739C"/>
    <w:rsid w:val="00C87566"/>
    <w:rsid w:val="00C87611"/>
    <w:rsid w:val="00C878D5"/>
    <w:rsid w:val="00C87AC5"/>
    <w:rsid w:val="00C87C51"/>
    <w:rsid w:val="00C87D74"/>
    <w:rsid w:val="00C87D92"/>
    <w:rsid w:val="00C9033B"/>
    <w:rsid w:val="00C90345"/>
    <w:rsid w:val="00C90456"/>
    <w:rsid w:val="00C90D88"/>
    <w:rsid w:val="00C913A1"/>
    <w:rsid w:val="00C914C7"/>
    <w:rsid w:val="00C91FD7"/>
    <w:rsid w:val="00C921F7"/>
    <w:rsid w:val="00C926FE"/>
    <w:rsid w:val="00C9283F"/>
    <w:rsid w:val="00C92A78"/>
    <w:rsid w:val="00C92FBA"/>
    <w:rsid w:val="00C93373"/>
    <w:rsid w:val="00C93536"/>
    <w:rsid w:val="00C93A37"/>
    <w:rsid w:val="00C93ACC"/>
    <w:rsid w:val="00C94149"/>
    <w:rsid w:val="00C94729"/>
    <w:rsid w:val="00C94E22"/>
    <w:rsid w:val="00C952DC"/>
    <w:rsid w:val="00C953DC"/>
    <w:rsid w:val="00C95B0B"/>
    <w:rsid w:val="00C95F88"/>
    <w:rsid w:val="00C96A1E"/>
    <w:rsid w:val="00C97235"/>
    <w:rsid w:val="00C97840"/>
    <w:rsid w:val="00C97B71"/>
    <w:rsid w:val="00C97D20"/>
    <w:rsid w:val="00CA0865"/>
    <w:rsid w:val="00CA13DB"/>
    <w:rsid w:val="00CA169D"/>
    <w:rsid w:val="00CA182F"/>
    <w:rsid w:val="00CA19D4"/>
    <w:rsid w:val="00CA19E8"/>
    <w:rsid w:val="00CA1AB1"/>
    <w:rsid w:val="00CA216A"/>
    <w:rsid w:val="00CA221E"/>
    <w:rsid w:val="00CA2425"/>
    <w:rsid w:val="00CA2DD2"/>
    <w:rsid w:val="00CA30A5"/>
    <w:rsid w:val="00CA316F"/>
    <w:rsid w:val="00CA324A"/>
    <w:rsid w:val="00CA34FF"/>
    <w:rsid w:val="00CA3A3B"/>
    <w:rsid w:val="00CA3A98"/>
    <w:rsid w:val="00CA3E42"/>
    <w:rsid w:val="00CA408C"/>
    <w:rsid w:val="00CA415F"/>
    <w:rsid w:val="00CA45AF"/>
    <w:rsid w:val="00CA46AA"/>
    <w:rsid w:val="00CA49C1"/>
    <w:rsid w:val="00CA50E1"/>
    <w:rsid w:val="00CA5158"/>
    <w:rsid w:val="00CA52C0"/>
    <w:rsid w:val="00CA54A9"/>
    <w:rsid w:val="00CA5656"/>
    <w:rsid w:val="00CA5AFE"/>
    <w:rsid w:val="00CA60DA"/>
    <w:rsid w:val="00CA68C5"/>
    <w:rsid w:val="00CA6BF4"/>
    <w:rsid w:val="00CA6C19"/>
    <w:rsid w:val="00CA6DC0"/>
    <w:rsid w:val="00CA7212"/>
    <w:rsid w:val="00CA7BE3"/>
    <w:rsid w:val="00CA7F3F"/>
    <w:rsid w:val="00CB0EB1"/>
    <w:rsid w:val="00CB1085"/>
    <w:rsid w:val="00CB149C"/>
    <w:rsid w:val="00CB1B73"/>
    <w:rsid w:val="00CB1D49"/>
    <w:rsid w:val="00CB1F6A"/>
    <w:rsid w:val="00CB2220"/>
    <w:rsid w:val="00CB2B54"/>
    <w:rsid w:val="00CB2BA9"/>
    <w:rsid w:val="00CB2BE8"/>
    <w:rsid w:val="00CB2C82"/>
    <w:rsid w:val="00CB3193"/>
    <w:rsid w:val="00CB3494"/>
    <w:rsid w:val="00CB3663"/>
    <w:rsid w:val="00CB3B7D"/>
    <w:rsid w:val="00CB4F48"/>
    <w:rsid w:val="00CB4F51"/>
    <w:rsid w:val="00CB59D4"/>
    <w:rsid w:val="00CB5AAA"/>
    <w:rsid w:val="00CB67D5"/>
    <w:rsid w:val="00CB707C"/>
    <w:rsid w:val="00CB79EB"/>
    <w:rsid w:val="00CB7BA5"/>
    <w:rsid w:val="00CB7C69"/>
    <w:rsid w:val="00CC0047"/>
    <w:rsid w:val="00CC01FD"/>
    <w:rsid w:val="00CC052F"/>
    <w:rsid w:val="00CC09E9"/>
    <w:rsid w:val="00CC0B87"/>
    <w:rsid w:val="00CC0D32"/>
    <w:rsid w:val="00CC199C"/>
    <w:rsid w:val="00CC1A8F"/>
    <w:rsid w:val="00CC1B67"/>
    <w:rsid w:val="00CC1CBD"/>
    <w:rsid w:val="00CC24AF"/>
    <w:rsid w:val="00CC24B6"/>
    <w:rsid w:val="00CC25F7"/>
    <w:rsid w:val="00CC26EA"/>
    <w:rsid w:val="00CC28E0"/>
    <w:rsid w:val="00CC2B5C"/>
    <w:rsid w:val="00CC2BFE"/>
    <w:rsid w:val="00CC34C0"/>
    <w:rsid w:val="00CC35FE"/>
    <w:rsid w:val="00CC3738"/>
    <w:rsid w:val="00CC3A7D"/>
    <w:rsid w:val="00CC46DD"/>
    <w:rsid w:val="00CC491F"/>
    <w:rsid w:val="00CC4925"/>
    <w:rsid w:val="00CC4C51"/>
    <w:rsid w:val="00CC5380"/>
    <w:rsid w:val="00CC53A2"/>
    <w:rsid w:val="00CC5ACD"/>
    <w:rsid w:val="00CC5BE1"/>
    <w:rsid w:val="00CC609F"/>
    <w:rsid w:val="00CC6494"/>
    <w:rsid w:val="00CC6A99"/>
    <w:rsid w:val="00CC6B16"/>
    <w:rsid w:val="00CC6CC1"/>
    <w:rsid w:val="00CC7877"/>
    <w:rsid w:val="00CD0C1F"/>
    <w:rsid w:val="00CD0E2A"/>
    <w:rsid w:val="00CD0ED6"/>
    <w:rsid w:val="00CD0EFA"/>
    <w:rsid w:val="00CD14EF"/>
    <w:rsid w:val="00CD18D5"/>
    <w:rsid w:val="00CD1C3B"/>
    <w:rsid w:val="00CD1C64"/>
    <w:rsid w:val="00CD1F60"/>
    <w:rsid w:val="00CD2818"/>
    <w:rsid w:val="00CD2EAC"/>
    <w:rsid w:val="00CD2FDD"/>
    <w:rsid w:val="00CD339A"/>
    <w:rsid w:val="00CD360A"/>
    <w:rsid w:val="00CD374C"/>
    <w:rsid w:val="00CD37EC"/>
    <w:rsid w:val="00CD3996"/>
    <w:rsid w:val="00CD3DE8"/>
    <w:rsid w:val="00CD40FD"/>
    <w:rsid w:val="00CD469D"/>
    <w:rsid w:val="00CD4D7A"/>
    <w:rsid w:val="00CD4F6A"/>
    <w:rsid w:val="00CD57E8"/>
    <w:rsid w:val="00CD5A1F"/>
    <w:rsid w:val="00CD6280"/>
    <w:rsid w:val="00CD63FD"/>
    <w:rsid w:val="00CD6406"/>
    <w:rsid w:val="00CD6C1E"/>
    <w:rsid w:val="00CD6F16"/>
    <w:rsid w:val="00CD7626"/>
    <w:rsid w:val="00CD77F1"/>
    <w:rsid w:val="00CE01BE"/>
    <w:rsid w:val="00CE0224"/>
    <w:rsid w:val="00CE0451"/>
    <w:rsid w:val="00CE0580"/>
    <w:rsid w:val="00CE09EE"/>
    <w:rsid w:val="00CE0FA4"/>
    <w:rsid w:val="00CE14BB"/>
    <w:rsid w:val="00CE1E2B"/>
    <w:rsid w:val="00CE1FB2"/>
    <w:rsid w:val="00CE25F5"/>
    <w:rsid w:val="00CE262F"/>
    <w:rsid w:val="00CE2BA0"/>
    <w:rsid w:val="00CE2BD1"/>
    <w:rsid w:val="00CE2BFA"/>
    <w:rsid w:val="00CE2D4A"/>
    <w:rsid w:val="00CE2DBE"/>
    <w:rsid w:val="00CE2E94"/>
    <w:rsid w:val="00CE38A9"/>
    <w:rsid w:val="00CE3946"/>
    <w:rsid w:val="00CE40AD"/>
    <w:rsid w:val="00CE4297"/>
    <w:rsid w:val="00CE42E8"/>
    <w:rsid w:val="00CE43B3"/>
    <w:rsid w:val="00CE48E2"/>
    <w:rsid w:val="00CE4A27"/>
    <w:rsid w:val="00CE4A2B"/>
    <w:rsid w:val="00CE4E7D"/>
    <w:rsid w:val="00CE54D0"/>
    <w:rsid w:val="00CE5553"/>
    <w:rsid w:val="00CE585C"/>
    <w:rsid w:val="00CE5974"/>
    <w:rsid w:val="00CE5A8E"/>
    <w:rsid w:val="00CE5B6B"/>
    <w:rsid w:val="00CE5BCC"/>
    <w:rsid w:val="00CE6035"/>
    <w:rsid w:val="00CE606D"/>
    <w:rsid w:val="00CE67A2"/>
    <w:rsid w:val="00CE6A1D"/>
    <w:rsid w:val="00CE7751"/>
    <w:rsid w:val="00CE78DC"/>
    <w:rsid w:val="00CE79DD"/>
    <w:rsid w:val="00CE7AF2"/>
    <w:rsid w:val="00CE7DB6"/>
    <w:rsid w:val="00CF001B"/>
    <w:rsid w:val="00CF0036"/>
    <w:rsid w:val="00CF029B"/>
    <w:rsid w:val="00CF04E4"/>
    <w:rsid w:val="00CF0B75"/>
    <w:rsid w:val="00CF0D2E"/>
    <w:rsid w:val="00CF139E"/>
    <w:rsid w:val="00CF13C1"/>
    <w:rsid w:val="00CF1ACB"/>
    <w:rsid w:val="00CF1D2F"/>
    <w:rsid w:val="00CF237E"/>
    <w:rsid w:val="00CF2763"/>
    <w:rsid w:val="00CF2A13"/>
    <w:rsid w:val="00CF2DA4"/>
    <w:rsid w:val="00CF2FAC"/>
    <w:rsid w:val="00CF3103"/>
    <w:rsid w:val="00CF3163"/>
    <w:rsid w:val="00CF3630"/>
    <w:rsid w:val="00CF389E"/>
    <w:rsid w:val="00CF4249"/>
    <w:rsid w:val="00CF4DFC"/>
    <w:rsid w:val="00CF638D"/>
    <w:rsid w:val="00CF6C81"/>
    <w:rsid w:val="00CF6EF3"/>
    <w:rsid w:val="00CF7124"/>
    <w:rsid w:val="00CF73CB"/>
    <w:rsid w:val="00CF767F"/>
    <w:rsid w:val="00CF787E"/>
    <w:rsid w:val="00CF7ADB"/>
    <w:rsid w:val="00D00AA3"/>
    <w:rsid w:val="00D01252"/>
    <w:rsid w:val="00D01868"/>
    <w:rsid w:val="00D01922"/>
    <w:rsid w:val="00D0196B"/>
    <w:rsid w:val="00D0216D"/>
    <w:rsid w:val="00D024AE"/>
    <w:rsid w:val="00D0276E"/>
    <w:rsid w:val="00D03704"/>
    <w:rsid w:val="00D03BF6"/>
    <w:rsid w:val="00D03DA9"/>
    <w:rsid w:val="00D03FDE"/>
    <w:rsid w:val="00D040FF"/>
    <w:rsid w:val="00D04534"/>
    <w:rsid w:val="00D0458A"/>
    <w:rsid w:val="00D04712"/>
    <w:rsid w:val="00D04818"/>
    <w:rsid w:val="00D04E6D"/>
    <w:rsid w:val="00D0504E"/>
    <w:rsid w:val="00D05514"/>
    <w:rsid w:val="00D0588E"/>
    <w:rsid w:val="00D05A24"/>
    <w:rsid w:val="00D05E7B"/>
    <w:rsid w:val="00D06067"/>
    <w:rsid w:val="00D06510"/>
    <w:rsid w:val="00D0679E"/>
    <w:rsid w:val="00D0692D"/>
    <w:rsid w:val="00D06B2D"/>
    <w:rsid w:val="00D06F9F"/>
    <w:rsid w:val="00D079EB"/>
    <w:rsid w:val="00D07E8F"/>
    <w:rsid w:val="00D07EE6"/>
    <w:rsid w:val="00D07F16"/>
    <w:rsid w:val="00D07F73"/>
    <w:rsid w:val="00D100F5"/>
    <w:rsid w:val="00D1016B"/>
    <w:rsid w:val="00D1047D"/>
    <w:rsid w:val="00D10B2D"/>
    <w:rsid w:val="00D10D8F"/>
    <w:rsid w:val="00D10EB2"/>
    <w:rsid w:val="00D10FDF"/>
    <w:rsid w:val="00D111F4"/>
    <w:rsid w:val="00D11958"/>
    <w:rsid w:val="00D119BB"/>
    <w:rsid w:val="00D125CA"/>
    <w:rsid w:val="00D136CD"/>
    <w:rsid w:val="00D136FE"/>
    <w:rsid w:val="00D13A15"/>
    <w:rsid w:val="00D13E1C"/>
    <w:rsid w:val="00D14844"/>
    <w:rsid w:val="00D14F32"/>
    <w:rsid w:val="00D150A0"/>
    <w:rsid w:val="00D1558E"/>
    <w:rsid w:val="00D15694"/>
    <w:rsid w:val="00D15D63"/>
    <w:rsid w:val="00D1616E"/>
    <w:rsid w:val="00D1631F"/>
    <w:rsid w:val="00D16566"/>
    <w:rsid w:val="00D1669F"/>
    <w:rsid w:val="00D167F7"/>
    <w:rsid w:val="00D1684E"/>
    <w:rsid w:val="00D16EE7"/>
    <w:rsid w:val="00D17271"/>
    <w:rsid w:val="00D1735E"/>
    <w:rsid w:val="00D175BD"/>
    <w:rsid w:val="00D176E6"/>
    <w:rsid w:val="00D17A02"/>
    <w:rsid w:val="00D17C3A"/>
    <w:rsid w:val="00D20026"/>
    <w:rsid w:val="00D2014D"/>
    <w:rsid w:val="00D2041C"/>
    <w:rsid w:val="00D205ED"/>
    <w:rsid w:val="00D20ABF"/>
    <w:rsid w:val="00D2116D"/>
    <w:rsid w:val="00D21BAE"/>
    <w:rsid w:val="00D21FEC"/>
    <w:rsid w:val="00D21FF3"/>
    <w:rsid w:val="00D22034"/>
    <w:rsid w:val="00D22051"/>
    <w:rsid w:val="00D223B8"/>
    <w:rsid w:val="00D2292B"/>
    <w:rsid w:val="00D22A7C"/>
    <w:rsid w:val="00D2338C"/>
    <w:rsid w:val="00D235A7"/>
    <w:rsid w:val="00D236AA"/>
    <w:rsid w:val="00D23F94"/>
    <w:rsid w:val="00D2409B"/>
    <w:rsid w:val="00D24961"/>
    <w:rsid w:val="00D24B25"/>
    <w:rsid w:val="00D24B36"/>
    <w:rsid w:val="00D24C17"/>
    <w:rsid w:val="00D25237"/>
    <w:rsid w:val="00D25ADE"/>
    <w:rsid w:val="00D26518"/>
    <w:rsid w:val="00D26880"/>
    <w:rsid w:val="00D269B9"/>
    <w:rsid w:val="00D26BA4"/>
    <w:rsid w:val="00D26DFB"/>
    <w:rsid w:val="00D272F4"/>
    <w:rsid w:val="00D27317"/>
    <w:rsid w:val="00D27697"/>
    <w:rsid w:val="00D27A15"/>
    <w:rsid w:val="00D300B6"/>
    <w:rsid w:val="00D30E72"/>
    <w:rsid w:val="00D3103F"/>
    <w:rsid w:val="00D31158"/>
    <w:rsid w:val="00D313D2"/>
    <w:rsid w:val="00D31DE2"/>
    <w:rsid w:val="00D32880"/>
    <w:rsid w:val="00D336D6"/>
    <w:rsid w:val="00D33F06"/>
    <w:rsid w:val="00D341ED"/>
    <w:rsid w:val="00D3447D"/>
    <w:rsid w:val="00D347A2"/>
    <w:rsid w:val="00D34801"/>
    <w:rsid w:val="00D35159"/>
    <w:rsid w:val="00D36209"/>
    <w:rsid w:val="00D365B5"/>
    <w:rsid w:val="00D36941"/>
    <w:rsid w:val="00D3699A"/>
    <w:rsid w:val="00D36F0D"/>
    <w:rsid w:val="00D371F6"/>
    <w:rsid w:val="00D37A84"/>
    <w:rsid w:val="00D37C41"/>
    <w:rsid w:val="00D402DD"/>
    <w:rsid w:val="00D41044"/>
    <w:rsid w:val="00D41578"/>
    <w:rsid w:val="00D41691"/>
    <w:rsid w:val="00D417E2"/>
    <w:rsid w:val="00D41D95"/>
    <w:rsid w:val="00D41F9F"/>
    <w:rsid w:val="00D41FDF"/>
    <w:rsid w:val="00D4203B"/>
    <w:rsid w:val="00D421F1"/>
    <w:rsid w:val="00D42A5C"/>
    <w:rsid w:val="00D42B4C"/>
    <w:rsid w:val="00D42E1D"/>
    <w:rsid w:val="00D4318B"/>
    <w:rsid w:val="00D43252"/>
    <w:rsid w:val="00D43297"/>
    <w:rsid w:val="00D43611"/>
    <w:rsid w:val="00D43AF2"/>
    <w:rsid w:val="00D43D9A"/>
    <w:rsid w:val="00D4444E"/>
    <w:rsid w:val="00D446CB"/>
    <w:rsid w:val="00D44C6A"/>
    <w:rsid w:val="00D44DB6"/>
    <w:rsid w:val="00D45428"/>
    <w:rsid w:val="00D4555C"/>
    <w:rsid w:val="00D457DE"/>
    <w:rsid w:val="00D45A69"/>
    <w:rsid w:val="00D45ED7"/>
    <w:rsid w:val="00D46086"/>
    <w:rsid w:val="00D46ACE"/>
    <w:rsid w:val="00D472B7"/>
    <w:rsid w:val="00D47568"/>
    <w:rsid w:val="00D47BF9"/>
    <w:rsid w:val="00D47C2E"/>
    <w:rsid w:val="00D47E0C"/>
    <w:rsid w:val="00D50108"/>
    <w:rsid w:val="00D50119"/>
    <w:rsid w:val="00D50239"/>
    <w:rsid w:val="00D504A8"/>
    <w:rsid w:val="00D50857"/>
    <w:rsid w:val="00D50DAE"/>
    <w:rsid w:val="00D50ED0"/>
    <w:rsid w:val="00D51512"/>
    <w:rsid w:val="00D51647"/>
    <w:rsid w:val="00D519EC"/>
    <w:rsid w:val="00D51EC9"/>
    <w:rsid w:val="00D52164"/>
    <w:rsid w:val="00D52572"/>
    <w:rsid w:val="00D52F3D"/>
    <w:rsid w:val="00D5317D"/>
    <w:rsid w:val="00D53276"/>
    <w:rsid w:val="00D539B6"/>
    <w:rsid w:val="00D53C44"/>
    <w:rsid w:val="00D53C73"/>
    <w:rsid w:val="00D53DBE"/>
    <w:rsid w:val="00D54082"/>
    <w:rsid w:val="00D54121"/>
    <w:rsid w:val="00D54197"/>
    <w:rsid w:val="00D54321"/>
    <w:rsid w:val="00D54833"/>
    <w:rsid w:val="00D54AE2"/>
    <w:rsid w:val="00D55A26"/>
    <w:rsid w:val="00D56568"/>
    <w:rsid w:val="00D5677F"/>
    <w:rsid w:val="00D56A2F"/>
    <w:rsid w:val="00D5707B"/>
    <w:rsid w:val="00D5744C"/>
    <w:rsid w:val="00D577ED"/>
    <w:rsid w:val="00D5789E"/>
    <w:rsid w:val="00D57BFA"/>
    <w:rsid w:val="00D57C95"/>
    <w:rsid w:val="00D57F87"/>
    <w:rsid w:val="00D60304"/>
    <w:rsid w:val="00D60AA6"/>
    <w:rsid w:val="00D614F7"/>
    <w:rsid w:val="00D61894"/>
    <w:rsid w:val="00D61954"/>
    <w:rsid w:val="00D62725"/>
    <w:rsid w:val="00D62841"/>
    <w:rsid w:val="00D62BDB"/>
    <w:rsid w:val="00D62F69"/>
    <w:rsid w:val="00D6304C"/>
    <w:rsid w:val="00D63787"/>
    <w:rsid w:val="00D637F4"/>
    <w:rsid w:val="00D63A39"/>
    <w:rsid w:val="00D63A8D"/>
    <w:rsid w:val="00D64514"/>
    <w:rsid w:val="00D645E7"/>
    <w:rsid w:val="00D64D31"/>
    <w:rsid w:val="00D64FD1"/>
    <w:rsid w:val="00D6507D"/>
    <w:rsid w:val="00D654A4"/>
    <w:rsid w:val="00D656A4"/>
    <w:rsid w:val="00D657D7"/>
    <w:rsid w:val="00D65A8E"/>
    <w:rsid w:val="00D6608D"/>
    <w:rsid w:val="00D6637C"/>
    <w:rsid w:val="00D664ED"/>
    <w:rsid w:val="00D6674D"/>
    <w:rsid w:val="00D668B3"/>
    <w:rsid w:val="00D66FA0"/>
    <w:rsid w:val="00D670BA"/>
    <w:rsid w:val="00D676F5"/>
    <w:rsid w:val="00D677E4"/>
    <w:rsid w:val="00D67B19"/>
    <w:rsid w:val="00D67C38"/>
    <w:rsid w:val="00D67D0D"/>
    <w:rsid w:val="00D67D24"/>
    <w:rsid w:val="00D70042"/>
    <w:rsid w:val="00D701B0"/>
    <w:rsid w:val="00D70200"/>
    <w:rsid w:val="00D704CF"/>
    <w:rsid w:val="00D709BB"/>
    <w:rsid w:val="00D70D0D"/>
    <w:rsid w:val="00D70EBA"/>
    <w:rsid w:val="00D710B6"/>
    <w:rsid w:val="00D71228"/>
    <w:rsid w:val="00D71C44"/>
    <w:rsid w:val="00D71E19"/>
    <w:rsid w:val="00D722D9"/>
    <w:rsid w:val="00D727EB"/>
    <w:rsid w:val="00D72C83"/>
    <w:rsid w:val="00D72CD0"/>
    <w:rsid w:val="00D73044"/>
    <w:rsid w:val="00D73260"/>
    <w:rsid w:val="00D7363A"/>
    <w:rsid w:val="00D7386D"/>
    <w:rsid w:val="00D73DE6"/>
    <w:rsid w:val="00D741FF"/>
    <w:rsid w:val="00D74A9B"/>
    <w:rsid w:val="00D74B42"/>
    <w:rsid w:val="00D74C03"/>
    <w:rsid w:val="00D74CF2"/>
    <w:rsid w:val="00D74F57"/>
    <w:rsid w:val="00D751BB"/>
    <w:rsid w:val="00D7576B"/>
    <w:rsid w:val="00D757B2"/>
    <w:rsid w:val="00D757EB"/>
    <w:rsid w:val="00D758D2"/>
    <w:rsid w:val="00D75B0D"/>
    <w:rsid w:val="00D75BAD"/>
    <w:rsid w:val="00D75BE5"/>
    <w:rsid w:val="00D75E1B"/>
    <w:rsid w:val="00D7606D"/>
    <w:rsid w:val="00D76201"/>
    <w:rsid w:val="00D7638E"/>
    <w:rsid w:val="00D76706"/>
    <w:rsid w:val="00D769A8"/>
    <w:rsid w:val="00D76EEF"/>
    <w:rsid w:val="00D774AC"/>
    <w:rsid w:val="00D77A4D"/>
    <w:rsid w:val="00D77E21"/>
    <w:rsid w:val="00D77EA3"/>
    <w:rsid w:val="00D8041B"/>
    <w:rsid w:val="00D80FCA"/>
    <w:rsid w:val="00D814BF"/>
    <w:rsid w:val="00D814E8"/>
    <w:rsid w:val="00D818EC"/>
    <w:rsid w:val="00D81C2A"/>
    <w:rsid w:val="00D82463"/>
    <w:rsid w:val="00D82A43"/>
    <w:rsid w:val="00D82E01"/>
    <w:rsid w:val="00D82F6B"/>
    <w:rsid w:val="00D8321A"/>
    <w:rsid w:val="00D83379"/>
    <w:rsid w:val="00D83393"/>
    <w:rsid w:val="00D83694"/>
    <w:rsid w:val="00D83AEB"/>
    <w:rsid w:val="00D83CC6"/>
    <w:rsid w:val="00D83DD9"/>
    <w:rsid w:val="00D840DB"/>
    <w:rsid w:val="00D8452D"/>
    <w:rsid w:val="00D8481E"/>
    <w:rsid w:val="00D84C5C"/>
    <w:rsid w:val="00D84D6F"/>
    <w:rsid w:val="00D85101"/>
    <w:rsid w:val="00D85252"/>
    <w:rsid w:val="00D858C9"/>
    <w:rsid w:val="00D85CC2"/>
    <w:rsid w:val="00D86333"/>
    <w:rsid w:val="00D86816"/>
    <w:rsid w:val="00D86CDB"/>
    <w:rsid w:val="00D86FBB"/>
    <w:rsid w:val="00D87BED"/>
    <w:rsid w:val="00D87D42"/>
    <w:rsid w:val="00D87D55"/>
    <w:rsid w:val="00D90340"/>
    <w:rsid w:val="00D90869"/>
    <w:rsid w:val="00D90B2F"/>
    <w:rsid w:val="00D90D50"/>
    <w:rsid w:val="00D90DA1"/>
    <w:rsid w:val="00D9115B"/>
    <w:rsid w:val="00D912B3"/>
    <w:rsid w:val="00D91491"/>
    <w:rsid w:val="00D91524"/>
    <w:rsid w:val="00D91550"/>
    <w:rsid w:val="00D91CE0"/>
    <w:rsid w:val="00D91CEF"/>
    <w:rsid w:val="00D922B1"/>
    <w:rsid w:val="00D9255F"/>
    <w:rsid w:val="00D92624"/>
    <w:rsid w:val="00D92796"/>
    <w:rsid w:val="00D92AE1"/>
    <w:rsid w:val="00D92F6B"/>
    <w:rsid w:val="00D92F7E"/>
    <w:rsid w:val="00D93423"/>
    <w:rsid w:val="00D93985"/>
    <w:rsid w:val="00D939EB"/>
    <w:rsid w:val="00D939F0"/>
    <w:rsid w:val="00D93B7C"/>
    <w:rsid w:val="00D93DCC"/>
    <w:rsid w:val="00D94DC3"/>
    <w:rsid w:val="00D959FE"/>
    <w:rsid w:val="00D95A5C"/>
    <w:rsid w:val="00D95DE7"/>
    <w:rsid w:val="00D96248"/>
    <w:rsid w:val="00D966BA"/>
    <w:rsid w:val="00D966D2"/>
    <w:rsid w:val="00D97081"/>
    <w:rsid w:val="00D970F0"/>
    <w:rsid w:val="00D97256"/>
    <w:rsid w:val="00D9731A"/>
    <w:rsid w:val="00D97854"/>
    <w:rsid w:val="00D9788B"/>
    <w:rsid w:val="00D97C12"/>
    <w:rsid w:val="00D97C15"/>
    <w:rsid w:val="00D97E9D"/>
    <w:rsid w:val="00DA03CB"/>
    <w:rsid w:val="00DA04A5"/>
    <w:rsid w:val="00DA05F0"/>
    <w:rsid w:val="00DA08E0"/>
    <w:rsid w:val="00DA0A2A"/>
    <w:rsid w:val="00DA112C"/>
    <w:rsid w:val="00DA1B4F"/>
    <w:rsid w:val="00DA1C03"/>
    <w:rsid w:val="00DA1E25"/>
    <w:rsid w:val="00DA29A6"/>
    <w:rsid w:val="00DA2AF1"/>
    <w:rsid w:val="00DA2DFB"/>
    <w:rsid w:val="00DA3024"/>
    <w:rsid w:val="00DA3961"/>
    <w:rsid w:val="00DA3E2A"/>
    <w:rsid w:val="00DA44E3"/>
    <w:rsid w:val="00DA47E1"/>
    <w:rsid w:val="00DA4932"/>
    <w:rsid w:val="00DA4BC1"/>
    <w:rsid w:val="00DA4CF6"/>
    <w:rsid w:val="00DA5065"/>
    <w:rsid w:val="00DA52AC"/>
    <w:rsid w:val="00DA66E7"/>
    <w:rsid w:val="00DA6B2E"/>
    <w:rsid w:val="00DA6F62"/>
    <w:rsid w:val="00DA715F"/>
    <w:rsid w:val="00DA754D"/>
    <w:rsid w:val="00DA7B5D"/>
    <w:rsid w:val="00DA7E2A"/>
    <w:rsid w:val="00DA7F2A"/>
    <w:rsid w:val="00DA7F53"/>
    <w:rsid w:val="00DB0268"/>
    <w:rsid w:val="00DB0360"/>
    <w:rsid w:val="00DB0889"/>
    <w:rsid w:val="00DB12E0"/>
    <w:rsid w:val="00DB14A6"/>
    <w:rsid w:val="00DB2288"/>
    <w:rsid w:val="00DB23E7"/>
    <w:rsid w:val="00DB248A"/>
    <w:rsid w:val="00DB2749"/>
    <w:rsid w:val="00DB27AC"/>
    <w:rsid w:val="00DB293E"/>
    <w:rsid w:val="00DB3000"/>
    <w:rsid w:val="00DB346B"/>
    <w:rsid w:val="00DB37CE"/>
    <w:rsid w:val="00DB3A5D"/>
    <w:rsid w:val="00DB3B91"/>
    <w:rsid w:val="00DB3BE0"/>
    <w:rsid w:val="00DB3D7F"/>
    <w:rsid w:val="00DB3E45"/>
    <w:rsid w:val="00DB41BA"/>
    <w:rsid w:val="00DB423D"/>
    <w:rsid w:val="00DB4BFB"/>
    <w:rsid w:val="00DB4FC5"/>
    <w:rsid w:val="00DB518D"/>
    <w:rsid w:val="00DB544B"/>
    <w:rsid w:val="00DB553B"/>
    <w:rsid w:val="00DB5613"/>
    <w:rsid w:val="00DB56F7"/>
    <w:rsid w:val="00DB5D19"/>
    <w:rsid w:val="00DB5E90"/>
    <w:rsid w:val="00DB5ECF"/>
    <w:rsid w:val="00DB62DD"/>
    <w:rsid w:val="00DB6396"/>
    <w:rsid w:val="00DB651A"/>
    <w:rsid w:val="00DB70FE"/>
    <w:rsid w:val="00DB72DF"/>
    <w:rsid w:val="00DB757A"/>
    <w:rsid w:val="00DB759E"/>
    <w:rsid w:val="00DB787E"/>
    <w:rsid w:val="00DB7AC3"/>
    <w:rsid w:val="00DB7EF0"/>
    <w:rsid w:val="00DC01FD"/>
    <w:rsid w:val="00DC022E"/>
    <w:rsid w:val="00DC0274"/>
    <w:rsid w:val="00DC0535"/>
    <w:rsid w:val="00DC142A"/>
    <w:rsid w:val="00DC1C7E"/>
    <w:rsid w:val="00DC21F9"/>
    <w:rsid w:val="00DC23C1"/>
    <w:rsid w:val="00DC260B"/>
    <w:rsid w:val="00DC276D"/>
    <w:rsid w:val="00DC28D7"/>
    <w:rsid w:val="00DC2A2D"/>
    <w:rsid w:val="00DC2B14"/>
    <w:rsid w:val="00DC2B47"/>
    <w:rsid w:val="00DC2B7E"/>
    <w:rsid w:val="00DC3237"/>
    <w:rsid w:val="00DC3CF7"/>
    <w:rsid w:val="00DC3D0D"/>
    <w:rsid w:val="00DC3EF3"/>
    <w:rsid w:val="00DC42F6"/>
    <w:rsid w:val="00DC4449"/>
    <w:rsid w:val="00DC46AF"/>
    <w:rsid w:val="00DC4E77"/>
    <w:rsid w:val="00DC510E"/>
    <w:rsid w:val="00DC5B3F"/>
    <w:rsid w:val="00DC5DA2"/>
    <w:rsid w:val="00DC60FC"/>
    <w:rsid w:val="00DC6498"/>
    <w:rsid w:val="00DC6536"/>
    <w:rsid w:val="00DC661B"/>
    <w:rsid w:val="00DC6876"/>
    <w:rsid w:val="00DC6ADD"/>
    <w:rsid w:val="00DC7189"/>
    <w:rsid w:val="00DC765B"/>
    <w:rsid w:val="00DC77C1"/>
    <w:rsid w:val="00DD01D8"/>
    <w:rsid w:val="00DD0428"/>
    <w:rsid w:val="00DD044B"/>
    <w:rsid w:val="00DD0817"/>
    <w:rsid w:val="00DD0B50"/>
    <w:rsid w:val="00DD0FAB"/>
    <w:rsid w:val="00DD1C4F"/>
    <w:rsid w:val="00DD1E15"/>
    <w:rsid w:val="00DD2323"/>
    <w:rsid w:val="00DD2367"/>
    <w:rsid w:val="00DD2A0B"/>
    <w:rsid w:val="00DD326E"/>
    <w:rsid w:val="00DD365F"/>
    <w:rsid w:val="00DD36AF"/>
    <w:rsid w:val="00DD461E"/>
    <w:rsid w:val="00DD494B"/>
    <w:rsid w:val="00DD4D77"/>
    <w:rsid w:val="00DD5767"/>
    <w:rsid w:val="00DD5939"/>
    <w:rsid w:val="00DD5A5D"/>
    <w:rsid w:val="00DD5C5E"/>
    <w:rsid w:val="00DD5CA3"/>
    <w:rsid w:val="00DD60F9"/>
    <w:rsid w:val="00DD619E"/>
    <w:rsid w:val="00DD6517"/>
    <w:rsid w:val="00DD7041"/>
    <w:rsid w:val="00DD7595"/>
    <w:rsid w:val="00DD7C57"/>
    <w:rsid w:val="00DD7DA8"/>
    <w:rsid w:val="00DE094D"/>
    <w:rsid w:val="00DE0D5B"/>
    <w:rsid w:val="00DE1303"/>
    <w:rsid w:val="00DE15B1"/>
    <w:rsid w:val="00DE15B9"/>
    <w:rsid w:val="00DE1C64"/>
    <w:rsid w:val="00DE20FD"/>
    <w:rsid w:val="00DE2880"/>
    <w:rsid w:val="00DE294A"/>
    <w:rsid w:val="00DE31F5"/>
    <w:rsid w:val="00DE3481"/>
    <w:rsid w:val="00DE34EE"/>
    <w:rsid w:val="00DE3B4D"/>
    <w:rsid w:val="00DE3C88"/>
    <w:rsid w:val="00DE4028"/>
    <w:rsid w:val="00DE4330"/>
    <w:rsid w:val="00DE4A81"/>
    <w:rsid w:val="00DE4EA7"/>
    <w:rsid w:val="00DE4FAF"/>
    <w:rsid w:val="00DE508D"/>
    <w:rsid w:val="00DE5322"/>
    <w:rsid w:val="00DE5FA3"/>
    <w:rsid w:val="00DE6931"/>
    <w:rsid w:val="00DE6C8F"/>
    <w:rsid w:val="00DE6E82"/>
    <w:rsid w:val="00DE6F31"/>
    <w:rsid w:val="00DE71AF"/>
    <w:rsid w:val="00DE78AD"/>
    <w:rsid w:val="00DE795F"/>
    <w:rsid w:val="00DE796D"/>
    <w:rsid w:val="00DE7B76"/>
    <w:rsid w:val="00DF06F7"/>
    <w:rsid w:val="00DF0ABF"/>
    <w:rsid w:val="00DF0E72"/>
    <w:rsid w:val="00DF1299"/>
    <w:rsid w:val="00DF12D3"/>
    <w:rsid w:val="00DF1336"/>
    <w:rsid w:val="00DF1A0D"/>
    <w:rsid w:val="00DF1B9C"/>
    <w:rsid w:val="00DF1F00"/>
    <w:rsid w:val="00DF1F58"/>
    <w:rsid w:val="00DF2179"/>
    <w:rsid w:val="00DF2261"/>
    <w:rsid w:val="00DF2ED5"/>
    <w:rsid w:val="00DF3429"/>
    <w:rsid w:val="00DF35EA"/>
    <w:rsid w:val="00DF3678"/>
    <w:rsid w:val="00DF3B85"/>
    <w:rsid w:val="00DF47DC"/>
    <w:rsid w:val="00DF49D1"/>
    <w:rsid w:val="00DF5470"/>
    <w:rsid w:val="00DF549E"/>
    <w:rsid w:val="00DF559F"/>
    <w:rsid w:val="00DF56E9"/>
    <w:rsid w:val="00DF5763"/>
    <w:rsid w:val="00DF58E7"/>
    <w:rsid w:val="00DF5A48"/>
    <w:rsid w:val="00DF5B85"/>
    <w:rsid w:val="00DF5B8C"/>
    <w:rsid w:val="00DF6710"/>
    <w:rsid w:val="00DF68A1"/>
    <w:rsid w:val="00DF7210"/>
    <w:rsid w:val="00DF7403"/>
    <w:rsid w:val="00DF7725"/>
    <w:rsid w:val="00DF7BF7"/>
    <w:rsid w:val="00DF7DBA"/>
    <w:rsid w:val="00DF7E33"/>
    <w:rsid w:val="00DF7EB8"/>
    <w:rsid w:val="00E00124"/>
    <w:rsid w:val="00E002B9"/>
    <w:rsid w:val="00E0050C"/>
    <w:rsid w:val="00E00626"/>
    <w:rsid w:val="00E006E7"/>
    <w:rsid w:val="00E018A3"/>
    <w:rsid w:val="00E01919"/>
    <w:rsid w:val="00E01D8E"/>
    <w:rsid w:val="00E01F3E"/>
    <w:rsid w:val="00E024F3"/>
    <w:rsid w:val="00E02CB1"/>
    <w:rsid w:val="00E02E56"/>
    <w:rsid w:val="00E030C5"/>
    <w:rsid w:val="00E0348E"/>
    <w:rsid w:val="00E04507"/>
    <w:rsid w:val="00E0476A"/>
    <w:rsid w:val="00E047B0"/>
    <w:rsid w:val="00E04915"/>
    <w:rsid w:val="00E04FD6"/>
    <w:rsid w:val="00E057E1"/>
    <w:rsid w:val="00E05F85"/>
    <w:rsid w:val="00E06960"/>
    <w:rsid w:val="00E06A46"/>
    <w:rsid w:val="00E06C4B"/>
    <w:rsid w:val="00E0741A"/>
    <w:rsid w:val="00E07AE4"/>
    <w:rsid w:val="00E10296"/>
    <w:rsid w:val="00E10688"/>
    <w:rsid w:val="00E10839"/>
    <w:rsid w:val="00E10859"/>
    <w:rsid w:val="00E11207"/>
    <w:rsid w:val="00E11403"/>
    <w:rsid w:val="00E11876"/>
    <w:rsid w:val="00E118DF"/>
    <w:rsid w:val="00E119CF"/>
    <w:rsid w:val="00E11BAE"/>
    <w:rsid w:val="00E11D2D"/>
    <w:rsid w:val="00E1264A"/>
    <w:rsid w:val="00E12DC5"/>
    <w:rsid w:val="00E1304C"/>
    <w:rsid w:val="00E1351B"/>
    <w:rsid w:val="00E13724"/>
    <w:rsid w:val="00E14E7A"/>
    <w:rsid w:val="00E14F51"/>
    <w:rsid w:val="00E155FF"/>
    <w:rsid w:val="00E15A95"/>
    <w:rsid w:val="00E15AC5"/>
    <w:rsid w:val="00E15C47"/>
    <w:rsid w:val="00E15D20"/>
    <w:rsid w:val="00E15DAD"/>
    <w:rsid w:val="00E15F8E"/>
    <w:rsid w:val="00E1607D"/>
    <w:rsid w:val="00E164C9"/>
    <w:rsid w:val="00E164E6"/>
    <w:rsid w:val="00E16A06"/>
    <w:rsid w:val="00E16EC6"/>
    <w:rsid w:val="00E17167"/>
    <w:rsid w:val="00E17958"/>
    <w:rsid w:val="00E17D68"/>
    <w:rsid w:val="00E17FE6"/>
    <w:rsid w:val="00E2022B"/>
    <w:rsid w:val="00E20235"/>
    <w:rsid w:val="00E20A22"/>
    <w:rsid w:val="00E20CAB"/>
    <w:rsid w:val="00E21537"/>
    <w:rsid w:val="00E21830"/>
    <w:rsid w:val="00E218EC"/>
    <w:rsid w:val="00E21B1D"/>
    <w:rsid w:val="00E22100"/>
    <w:rsid w:val="00E22206"/>
    <w:rsid w:val="00E222E9"/>
    <w:rsid w:val="00E22877"/>
    <w:rsid w:val="00E22B0F"/>
    <w:rsid w:val="00E22D6A"/>
    <w:rsid w:val="00E22FB0"/>
    <w:rsid w:val="00E23227"/>
    <w:rsid w:val="00E236E2"/>
    <w:rsid w:val="00E2392C"/>
    <w:rsid w:val="00E23CBB"/>
    <w:rsid w:val="00E23F1B"/>
    <w:rsid w:val="00E242E8"/>
    <w:rsid w:val="00E24921"/>
    <w:rsid w:val="00E24BDD"/>
    <w:rsid w:val="00E24CC3"/>
    <w:rsid w:val="00E24E87"/>
    <w:rsid w:val="00E25314"/>
    <w:rsid w:val="00E25522"/>
    <w:rsid w:val="00E255F1"/>
    <w:rsid w:val="00E256AF"/>
    <w:rsid w:val="00E257D6"/>
    <w:rsid w:val="00E2593E"/>
    <w:rsid w:val="00E25A43"/>
    <w:rsid w:val="00E26368"/>
    <w:rsid w:val="00E2639E"/>
    <w:rsid w:val="00E26967"/>
    <w:rsid w:val="00E26EB1"/>
    <w:rsid w:val="00E2726E"/>
    <w:rsid w:val="00E27649"/>
    <w:rsid w:val="00E279DA"/>
    <w:rsid w:val="00E30A91"/>
    <w:rsid w:val="00E31324"/>
    <w:rsid w:val="00E315F5"/>
    <w:rsid w:val="00E3179E"/>
    <w:rsid w:val="00E31ABE"/>
    <w:rsid w:val="00E31BFC"/>
    <w:rsid w:val="00E32AC3"/>
    <w:rsid w:val="00E32B70"/>
    <w:rsid w:val="00E334D6"/>
    <w:rsid w:val="00E337DD"/>
    <w:rsid w:val="00E33A13"/>
    <w:rsid w:val="00E33ADA"/>
    <w:rsid w:val="00E33B54"/>
    <w:rsid w:val="00E33F7F"/>
    <w:rsid w:val="00E34167"/>
    <w:rsid w:val="00E3467E"/>
    <w:rsid w:val="00E34A4E"/>
    <w:rsid w:val="00E34AA4"/>
    <w:rsid w:val="00E34C17"/>
    <w:rsid w:val="00E34EB5"/>
    <w:rsid w:val="00E34F2E"/>
    <w:rsid w:val="00E353B8"/>
    <w:rsid w:val="00E357DA"/>
    <w:rsid w:val="00E36C0D"/>
    <w:rsid w:val="00E36E18"/>
    <w:rsid w:val="00E37050"/>
    <w:rsid w:val="00E37083"/>
    <w:rsid w:val="00E3718A"/>
    <w:rsid w:val="00E3751D"/>
    <w:rsid w:val="00E37548"/>
    <w:rsid w:val="00E376DE"/>
    <w:rsid w:val="00E37B59"/>
    <w:rsid w:val="00E37D0A"/>
    <w:rsid w:val="00E37D2D"/>
    <w:rsid w:val="00E40687"/>
    <w:rsid w:val="00E40EFA"/>
    <w:rsid w:val="00E418D2"/>
    <w:rsid w:val="00E41D00"/>
    <w:rsid w:val="00E4266E"/>
    <w:rsid w:val="00E429E3"/>
    <w:rsid w:val="00E42BEA"/>
    <w:rsid w:val="00E43102"/>
    <w:rsid w:val="00E432EA"/>
    <w:rsid w:val="00E437AD"/>
    <w:rsid w:val="00E4391A"/>
    <w:rsid w:val="00E44A50"/>
    <w:rsid w:val="00E45233"/>
    <w:rsid w:val="00E45CE9"/>
    <w:rsid w:val="00E46E16"/>
    <w:rsid w:val="00E47170"/>
    <w:rsid w:val="00E471C8"/>
    <w:rsid w:val="00E47506"/>
    <w:rsid w:val="00E47FF5"/>
    <w:rsid w:val="00E50414"/>
    <w:rsid w:val="00E50AF2"/>
    <w:rsid w:val="00E50B54"/>
    <w:rsid w:val="00E50D7D"/>
    <w:rsid w:val="00E5144E"/>
    <w:rsid w:val="00E518D4"/>
    <w:rsid w:val="00E52012"/>
    <w:rsid w:val="00E52317"/>
    <w:rsid w:val="00E52546"/>
    <w:rsid w:val="00E5275E"/>
    <w:rsid w:val="00E52872"/>
    <w:rsid w:val="00E5338A"/>
    <w:rsid w:val="00E53438"/>
    <w:rsid w:val="00E53996"/>
    <w:rsid w:val="00E53C42"/>
    <w:rsid w:val="00E54371"/>
    <w:rsid w:val="00E54E30"/>
    <w:rsid w:val="00E54F34"/>
    <w:rsid w:val="00E556FB"/>
    <w:rsid w:val="00E559B5"/>
    <w:rsid w:val="00E55D73"/>
    <w:rsid w:val="00E55E23"/>
    <w:rsid w:val="00E55FE1"/>
    <w:rsid w:val="00E56AF8"/>
    <w:rsid w:val="00E56B67"/>
    <w:rsid w:val="00E57178"/>
    <w:rsid w:val="00E57182"/>
    <w:rsid w:val="00E5722C"/>
    <w:rsid w:val="00E572DA"/>
    <w:rsid w:val="00E57851"/>
    <w:rsid w:val="00E579B9"/>
    <w:rsid w:val="00E57CF0"/>
    <w:rsid w:val="00E57FC3"/>
    <w:rsid w:val="00E60021"/>
    <w:rsid w:val="00E60236"/>
    <w:rsid w:val="00E6039B"/>
    <w:rsid w:val="00E605F8"/>
    <w:rsid w:val="00E607C3"/>
    <w:rsid w:val="00E60BA0"/>
    <w:rsid w:val="00E60DEA"/>
    <w:rsid w:val="00E613F8"/>
    <w:rsid w:val="00E61C45"/>
    <w:rsid w:val="00E623A2"/>
    <w:rsid w:val="00E625DD"/>
    <w:rsid w:val="00E63393"/>
    <w:rsid w:val="00E639CC"/>
    <w:rsid w:val="00E63B72"/>
    <w:rsid w:val="00E64030"/>
    <w:rsid w:val="00E643CD"/>
    <w:rsid w:val="00E64689"/>
    <w:rsid w:val="00E64898"/>
    <w:rsid w:val="00E64A87"/>
    <w:rsid w:val="00E64E43"/>
    <w:rsid w:val="00E64FCD"/>
    <w:rsid w:val="00E650FC"/>
    <w:rsid w:val="00E65A59"/>
    <w:rsid w:val="00E65FFE"/>
    <w:rsid w:val="00E66791"/>
    <w:rsid w:val="00E66892"/>
    <w:rsid w:val="00E66A6B"/>
    <w:rsid w:val="00E674E7"/>
    <w:rsid w:val="00E675E6"/>
    <w:rsid w:val="00E67631"/>
    <w:rsid w:val="00E67A6B"/>
    <w:rsid w:val="00E67DB7"/>
    <w:rsid w:val="00E7019E"/>
    <w:rsid w:val="00E703BE"/>
    <w:rsid w:val="00E705E6"/>
    <w:rsid w:val="00E70720"/>
    <w:rsid w:val="00E70888"/>
    <w:rsid w:val="00E7090B"/>
    <w:rsid w:val="00E70935"/>
    <w:rsid w:val="00E70C52"/>
    <w:rsid w:val="00E70E78"/>
    <w:rsid w:val="00E710F4"/>
    <w:rsid w:val="00E71648"/>
    <w:rsid w:val="00E7193B"/>
    <w:rsid w:val="00E71CC6"/>
    <w:rsid w:val="00E71D5C"/>
    <w:rsid w:val="00E71EED"/>
    <w:rsid w:val="00E71FAE"/>
    <w:rsid w:val="00E7204A"/>
    <w:rsid w:val="00E7253B"/>
    <w:rsid w:val="00E725FC"/>
    <w:rsid w:val="00E74B2C"/>
    <w:rsid w:val="00E74B69"/>
    <w:rsid w:val="00E74C4C"/>
    <w:rsid w:val="00E74C6A"/>
    <w:rsid w:val="00E74E4A"/>
    <w:rsid w:val="00E74E5D"/>
    <w:rsid w:val="00E75AE8"/>
    <w:rsid w:val="00E75D38"/>
    <w:rsid w:val="00E75D7F"/>
    <w:rsid w:val="00E75E39"/>
    <w:rsid w:val="00E76807"/>
    <w:rsid w:val="00E76BF5"/>
    <w:rsid w:val="00E76F1D"/>
    <w:rsid w:val="00E776F8"/>
    <w:rsid w:val="00E77EA0"/>
    <w:rsid w:val="00E801B3"/>
    <w:rsid w:val="00E80A3D"/>
    <w:rsid w:val="00E80C35"/>
    <w:rsid w:val="00E80D69"/>
    <w:rsid w:val="00E80EEA"/>
    <w:rsid w:val="00E81044"/>
    <w:rsid w:val="00E8106D"/>
    <w:rsid w:val="00E81496"/>
    <w:rsid w:val="00E81570"/>
    <w:rsid w:val="00E81CA0"/>
    <w:rsid w:val="00E82147"/>
    <w:rsid w:val="00E8223E"/>
    <w:rsid w:val="00E826CB"/>
    <w:rsid w:val="00E82892"/>
    <w:rsid w:val="00E828E0"/>
    <w:rsid w:val="00E82C1A"/>
    <w:rsid w:val="00E83045"/>
    <w:rsid w:val="00E835B3"/>
    <w:rsid w:val="00E836F2"/>
    <w:rsid w:val="00E8375C"/>
    <w:rsid w:val="00E83BD9"/>
    <w:rsid w:val="00E83C0E"/>
    <w:rsid w:val="00E8407C"/>
    <w:rsid w:val="00E84E7C"/>
    <w:rsid w:val="00E84FF1"/>
    <w:rsid w:val="00E8571B"/>
    <w:rsid w:val="00E85F33"/>
    <w:rsid w:val="00E85FC1"/>
    <w:rsid w:val="00E85FFB"/>
    <w:rsid w:val="00E86282"/>
    <w:rsid w:val="00E86841"/>
    <w:rsid w:val="00E868FF"/>
    <w:rsid w:val="00E86C63"/>
    <w:rsid w:val="00E8768C"/>
    <w:rsid w:val="00E879CD"/>
    <w:rsid w:val="00E87C25"/>
    <w:rsid w:val="00E87FD4"/>
    <w:rsid w:val="00E9012D"/>
    <w:rsid w:val="00E9013E"/>
    <w:rsid w:val="00E90666"/>
    <w:rsid w:val="00E90A04"/>
    <w:rsid w:val="00E90F6F"/>
    <w:rsid w:val="00E91304"/>
    <w:rsid w:val="00E915A7"/>
    <w:rsid w:val="00E91668"/>
    <w:rsid w:val="00E91FC1"/>
    <w:rsid w:val="00E92D3C"/>
    <w:rsid w:val="00E930AF"/>
    <w:rsid w:val="00E932E3"/>
    <w:rsid w:val="00E9346F"/>
    <w:rsid w:val="00E93D46"/>
    <w:rsid w:val="00E93E6C"/>
    <w:rsid w:val="00E93F22"/>
    <w:rsid w:val="00E94000"/>
    <w:rsid w:val="00E94550"/>
    <w:rsid w:val="00E94CCC"/>
    <w:rsid w:val="00E9577E"/>
    <w:rsid w:val="00E95AAC"/>
    <w:rsid w:val="00E95BE7"/>
    <w:rsid w:val="00E95E9C"/>
    <w:rsid w:val="00E96784"/>
    <w:rsid w:val="00E96915"/>
    <w:rsid w:val="00E96A85"/>
    <w:rsid w:val="00E96BA8"/>
    <w:rsid w:val="00E9714E"/>
    <w:rsid w:val="00E9718E"/>
    <w:rsid w:val="00E97A7C"/>
    <w:rsid w:val="00E97E2F"/>
    <w:rsid w:val="00EA08AC"/>
    <w:rsid w:val="00EA12B5"/>
    <w:rsid w:val="00EA147A"/>
    <w:rsid w:val="00EA1524"/>
    <w:rsid w:val="00EA192A"/>
    <w:rsid w:val="00EA1A6D"/>
    <w:rsid w:val="00EA1CE6"/>
    <w:rsid w:val="00EA1EDE"/>
    <w:rsid w:val="00EA209D"/>
    <w:rsid w:val="00EA24BE"/>
    <w:rsid w:val="00EA27C1"/>
    <w:rsid w:val="00EA2B41"/>
    <w:rsid w:val="00EA2D5F"/>
    <w:rsid w:val="00EA3182"/>
    <w:rsid w:val="00EA31EB"/>
    <w:rsid w:val="00EA36C6"/>
    <w:rsid w:val="00EA390F"/>
    <w:rsid w:val="00EA3C13"/>
    <w:rsid w:val="00EA4541"/>
    <w:rsid w:val="00EA464B"/>
    <w:rsid w:val="00EA5404"/>
    <w:rsid w:val="00EA5D22"/>
    <w:rsid w:val="00EA5E84"/>
    <w:rsid w:val="00EA6083"/>
    <w:rsid w:val="00EA6101"/>
    <w:rsid w:val="00EA6739"/>
    <w:rsid w:val="00EA697F"/>
    <w:rsid w:val="00EA7376"/>
    <w:rsid w:val="00EA7427"/>
    <w:rsid w:val="00EA7724"/>
    <w:rsid w:val="00EA7E04"/>
    <w:rsid w:val="00EA7E66"/>
    <w:rsid w:val="00EB01B0"/>
    <w:rsid w:val="00EB0221"/>
    <w:rsid w:val="00EB0F94"/>
    <w:rsid w:val="00EB12A9"/>
    <w:rsid w:val="00EB1BC5"/>
    <w:rsid w:val="00EB2807"/>
    <w:rsid w:val="00EB291B"/>
    <w:rsid w:val="00EB2A73"/>
    <w:rsid w:val="00EB3129"/>
    <w:rsid w:val="00EB3768"/>
    <w:rsid w:val="00EB37ED"/>
    <w:rsid w:val="00EB3E83"/>
    <w:rsid w:val="00EB3EF8"/>
    <w:rsid w:val="00EB4A83"/>
    <w:rsid w:val="00EB4AF5"/>
    <w:rsid w:val="00EB50C0"/>
    <w:rsid w:val="00EB5142"/>
    <w:rsid w:val="00EB5405"/>
    <w:rsid w:val="00EB65E3"/>
    <w:rsid w:val="00EB67B0"/>
    <w:rsid w:val="00EB69D7"/>
    <w:rsid w:val="00EB6AE3"/>
    <w:rsid w:val="00EB6CCA"/>
    <w:rsid w:val="00EB6CEF"/>
    <w:rsid w:val="00EB7525"/>
    <w:rsid w:val="00EB7707"/>
    <w:rsid w:val="00EB778D"/>
    <w:rsid w:val="00EB7833"/>
    <w:rsid w:val="00EB7A05"/>
    <w:rsid w:val="00EB7C90"/>
    <w:rsid w:val="00EC01C5"/>
    <w:rsid w:val="00EC02E0"/>
    <w:rsid w:val="00EC0434"/>
    <w:rsid w:val="00EC057F"/>
    <w:rsid w:val="00EC05B0"/>
    <w:rsid w:val="00EC07D0"/>
    <w:rsid w:val="00EC090A"/>
    <w:rsid w:val="00EC0F8D"/>
    <w:rsid w:val="00EC1460"/>
    <w:rsid w:val="00EC146D"/>
    <w:rsid w:val="00EC1E30"/>
    <w:rsid w:val="00EC20A0"/>
    <w:rsid w:val="00EC21E9"/>
    <w:rsid w:val="00EC2B77"/>
    <w:rsid w:val="00EC30F9"/>
    <w:rsid w:val="00EC31AC"/>
    <w:rsid w:val="00EC35B5"/>
    <w:rsid w:val="00EC3A1E"/>
    <w:rsid w:val="00EC3BC4"/>
    <w:rsid w:val="00EC3EE4"/>
    <w:rsid w:val="00EC40CB"/>
    <w:rsid w:val="00EC5022"/>
    <w:rsid w:val="00EC5671"/>
    <w:rsid w:val="00EC6326"/>
    <w:rsid w:val="00EC637F"/>
    <w:rsid w:val="00EC6427"/>
    <w:rsid w:val="00EC6AA1"/>
    <w:rsid w:val="00EC6AF3"/>
    <w:rsid w:val="00EC6E18"/>
    <w:rsid w:val="00EC6E8C"/>
    <w:rsid w:val="00EC7208"/>
    <w:rsid w:val="00EC77E5"/>
    <w:rsid w:val="00EC7BBA"/>
    <w:rsid w:val="00ED0E2C"/>
    <w:rsid w:val="00ED1179"/>
    <w:rsid w:val="00ED1298"/>
    <w:rsid w:val="00ED12D1"/>
    <w:rsid w:val="00ED131A"/>
    <w:rsid w:val="00ED1999"/>
    <w:rsid w:val="00ED1B49"/>
    <w:rsid w:val="00ED27D5"/>
    <w:rsid w:val="00ED2CED"/>
    <w:rsid w:val="00ED3001"/>
    <w:rsid w:val="00ED31B3"/>
    <w:rsid w:val="00ED31E2"/>
    <w:rsid w:val="00ED3251"/>
    <w:rsid w:val="00ED32B6"/>
    <w:rsid w:val="00ED3576"/>
    <w:rsid w:val="00ED3685"/>
    <w:rsid w:val="00ED36AE"/>
    <w:rsid w:val="00ED374B"/>
    <w:rsid w:val="00ED38CE"/>
    <w:rsid w:val="00ED489B"/>
    <w:rsid w:val="00ED4DF9"/>
    <w:rsid w:val="00ED4F25"/>
    <w:rsid w:val="00ED5237"/>
    <w:rsid w:val="00ED5323"/>
    <w:rsid w:val="00ED5435"/>
    <w:rsid w:val="00ED5725"/>
    <w:rsid w:val="00ED5E72"/>
    <w:rsid w:val="00ED6124"/>
    <w:rsid w:val="00ED6856"/>
    <w:rsid w:val="00ED6A4B"/>
    <w:rsid w:val="00ED6BE1"/>
    <w:rsid w:val="00ED7031"/>
    <w:rsid w:val="00ED72BF"/>
    <w:rsid w:val="00ED7BCD"/>
    <w:rsid w:val="00ED7EB9"/>
    <w:rsid w:val="00EE02E3"/>
    <w:rsid w:val="00EE07CB"/>
    <w:rsid w:val="00EE0A04"/>
    <w:rsid w:val="00EE0AF1"/>
    <w:rsid w:val="00EE0B31"/>
    <w:rsid w:val="00EE1895"/>
    <w:rsid w:val="00EE1A3B"/>
    <w:rsid w:val="00EE1C04"/>
    <w:rsid w:val="00EE1C8D"/>
    <w:rsid w:val="00EE277C"/>
    <w:rsid w:val="00EE2B3A"/>
    <w:rsid w:val="00EE3060"/>
    <w:rsid w:val="00EE3114"/>
    <w:rsid w:val="00EE3545"/>
    <w:rsid w:val="00EE36C3"/>
    <w:rsid w:val="00EE3A0C"/>
    <w:rsid w:val="00EE3B1D"/>
    <w:rsid w:val="00EE3D5E"/>
    <w:rsid w:val="00EE4152"/>
    <w:rsid w:val="00EE4315"/>
    <w:rsid w:val="00EE4335"/>
    <w:rsid w:val="00EE47D0"/>
    <w:rsid w:val="00EE491F"/>
    <w:rsid w:val="00EE4A9A"/>
    <w:rsid w:val="00EE510E"/>
    <w:rsid w:val="00EE5490"/>
    <w:rsid w:val="00EE5CB9"/>
    <w:rsid w:val="00EE5CE0"/>
    <w:rsid w:val="00EE5DBD"/>
    <w:rsid w:val="00EE5E36"/>
    <w:rsid w:val="00EE6AAE"/>
    <w:rsid w:val="00EE708A"/>
    <w:rsid w:val="00EE70CA"/>
    <w:rsid w:val="00EE70E6"/>
    <w:rsid w:val="00EE7240"/>
    <w:rsid w:val="00EE7333"/>
    <w:rsid w:val="00EE751E"/>
    <w:rsid w:val="00EE7540"/>
    <w:rsid w:val="00EE7632"/>
    <w:rsid w:val="00EE77A3"/>
    <w:rsid w:val="00EE792C"/>
    <w:rsid w:val="00EE7BDB"/>
    <w:rsid w:val="00EF0014"/>
    <w:rsid w:val="00EF01A1"/>
    <w:rsid w:val="00EF0353"/>
    <w:rsid w:val="00EF059A"/>
    <w:rsid w:val="00EF07BE"/>
    <w:rsid w:val="00EF07C9"/>
    <w:rsid w:val="00EF0939"/>
    <w:rsid w:val="00EF09FD"/>
    <w:rsid w:val="00EF11F9"/>
    <w:rsid w:val="00EF1F8F"/>
    <w:rsid w:val="00EF234A"/>
    <w:rsid w:val="00EF24FA"/>
    <w:rsid w:val="00EF3560"/>
    <w:rsid w:val="00EF3DD4"/>
    <w:rsid w:val="00EF3F7A"/>
    <w:rsid w:val="00EF4058"/>
    <w:rsid w:val="00EF4163"/>
    <w:rsid w:val="00EF4210"/>
    <w:rsid w:val="00EF42EB"/>
    <w:rsid w:val="00EF439A"/>
    <w:rsid w:val="00EF491B"/>
    <w:rsid w:val="00EF4C68"/>
    <w:rsid w:val="00EF4D88"/>
    <w:rsid w:val="00EF4DEA"/>
    <w:rsid w:val="00EF5377"/>
    <w:rsid w:val="00EF5574"/>
    <w:rsid w:val="00EF59B7"/>
    <w:rsid w:val="00EF5C7D"/>
    <w:rsid w:val="00EF5D08"/>
    <w:rsid w:val="00EF624A"/>
    <w:rsid w:val="00EF6925"/>
    <w:rsid w:val="00EF7719"/>
    <w:rsid w:val="00F0003D"/>
    <w:rsid w:val="00F00730"/>
    <w:rsid w:val="00F00803"/>
    <w:rsid w:val="00F0092E"/>
    <w:rsid w:val="00F00F00"/>
    <w:rsid w:val="00F00F35"/>
    <w:rsid w:val="00F015F6"/>
    <w:rsid w:val="00F01A41"/>
    <w:rsid w:val="00F01A4B"/>
    <w:rsid w:val="00F01A8A"/>
    <w:rsid w:val="00F01CE7"/>
    <w:rsid w:val="00F021FD"/>
    <w:rsid w:val="00F034F8"/>
    <w:rsid w:val="00F03501"/>
    <w:rsid w:val="00F03A93"/>
    <w:rsid w:val="00F03AFB"/>
    <w:rsid w:val="00F03D7A"/>
    <w:rsid w:val="00F042B4"/>
    <w:rsid w:val="00F04552"/>
    <w:rsid w:val="00F04F8D"/>
    <w:rsid w:val="00F058E8"/>
    <w:rsid w:val="00F05B87"/>
    <w:rsid w:val="00F05DE3"/>
    <w:rsid w:val="00F06084"/>
    <w:rsid w:val="00F0621E"/>
    <w:rsid w:val="00F063C5"/>
    <w:rsid w:val="00F0674F"/>
    <w:rsid w:val="00F069EA"/>
    <w:rsid w:val="00F06A1D"/>
    <w:rsid w:val="00F079A1"/>
    <w:rsid w:val="00F07CD3"/>
    <w:rsid w:val="00F1029E"/>
    <w:rsid w:val="00F103EA"/>
    <w:rsid w:val="00F11025"/>
    <w:rsid w:val="00F1118C"/>
    <w:rsid w:val="00F1128F"/>
    <w:rsid w:val="00F119D6"/>
    <w:rsid w:val="00F11D94"/>
    <w:rsid w:val="00F12118"/>
    <w:rsid w:val="00F12561"/>
    <w:rsid w:val="00F126A1"/>
    <w:rsid w:val="00F128C9"/>
    <w:rsid w:val="00F12970"/>
    <w:rsid w:val="00F12C91"/>
    <w:rsid w:val="00F12FF4"/>
    <w:rsid w:val="00F136A5"/>
    <w:rsid w:val="00F13949"/>
    <w:rsid w:val="00F13A17"/>
    <w:rsid w:val="00F14510"/>
    <w:rsid w:val="00F1499B"/>
    <w:rsid w:val="00F14C55"/>
    <w:rsid w:val="00F1507E"/>
    <w:rsid w:val="00F15C7D"/>
    <w:rsid w:val="00F16157"/>
    <w:rsid w:val="00F161A6"/>
    <w:rsid w:val="00F16370"/>
    <w:rsid w:val="00F16374"/>
    <w:rsid w:val="00F1705D"/>
    <w:rsid w:val="00F1705F"/>
    <w:rsid w:val="00F170EE"/>
    <w:rsid w:val="00F17634"/>
    <w:rsid w:val="00F179B9"/>
    <w:rsid w:val="00F17A82"/>
    <w:rsid w:val="00F17E43"/>
    <w:rsid w:val="00F20398"/>
    <w:rsid w:val="00F2066A"/>
    <w:rsid w:val="00F2083D"/>
    <w:rsid w:val="00F20BF4"/>
    <w:rsid w:val="00F21252"/>
    <w:rsid w:val="00F21277"/>
    <w:rsid w:val="00F213E2"/>
    <w:rsid w:val="00F214D9"/>
    <w:rsid w:val="00F21B9E"/>
    <w:rsid w:val="00F21C59"/>
    <w:rsid w:val="00F21EA8"/>
    <w:rsid w:val="00F222C1"/>
    <w:rsid w:val="00F22427"/>
    <w:rsid w:val="00F22A14"/>
    <w:rsid w:val="00F22B9E"/>
    <w:rsid w:val="00F22DDC"/>
    <w:rsid w:val="00F22DE3"/>
    <w:rsid w:val="00F22E98"/>
    <w:rsid w:val="00F23579"/>
    <w:rsid w:val="00F235FE"/>
    <w:rsid w:val="00F23783"/>
    <w:rsid w:val="00F23871"/>
    <w:rsid w:val="00F238C8"/>
    <w:rsid w:val="00F23A7E"/>
    <w:rsid w:val="00F23CC9"/>
    <w:rsid w:val="00F23EAA"/>
    <w:rsid w:val="00F24295"/>
    <w:rsid w:val="00F2451D"/>
    <w:rsid w:val="00F2456D"/>
    <w:rsid w:val="00F245D2"/>
    <w:rsid w:val="00F249C7"/>
    <w:rsid w:val="00F25185"/>
    <w:rsid w:val="00F25249"/>
    <w:rsid w:val="00F256CD"/>
    <w:rsid w:val="00F2591C"/>
    <w:rsid w:val="00F262EE"/>
    <w:rsid w:val="00F26800"/>
    <w:rsid w:val="00F26A10"/>
    <w:rsid w:val="00F26AF2"/>
    <w:rsid w:val="00F26BBB"/>
    <w:rsid w:val="00F26BD6"/>
    <w:rsid w:val="00F26ED3"/>
    <w:rsid w:val="00F26FF5"/>
    <w:rsid w:val="00F2759D"/>
    <w:rsid w:val="00F2779A"/>
    <w:rsid w:val="00F27A06"/>
    <w:rsid w:val="00F27C01"/>
    <w:rsid w:val="00F27DE7"/>
    <w:rsid w:val="00F27FB3"/>
    <w:rsid w:val="00F30223"/>
    <w:rsid w:val="00F30623"/>
    <w:rsid w:val="00F306C9"/>
    <w:rsid w:val="00F30807"/>
    <w:rsid w:val="00F3086E"/>
    <w:rsid w:val="00F30FBF"/>
    <w:rsid w:val="00F30FDF"/>
    <w:rsid w:val="00F312AF"/>
    <w:rsid w:val="00F3160E"/>
    <w:rsid w:val="00F31A6B"/>
    <w:rsid w:val="00F31E5F"/>
    <w:rsid w:val="00F32355"/>
    <w:rsid w:val="00F325D4"/>
    <w:rsid w:val="00F32D02"/>
    <w:rsid w:val="00F32E1C"/>
    <w:rsid w:val="00F32F50"/>
    <w:rsid w:val="00F3359C"/>
    <w:rsid w:val="00F34087"/>
    <w:rsid w:val="00F340F2"/>
    <w:rsid w:val="00F342EA"/>
    <w:rsid w:val="00F34607"/>
    <w:rsid w:val="00F34656"/>
    <w:rsid w:val="00F34A9B"/>
    <w:rsid w:val="00F35072"/>
    <w:rsid w:val="00F350C5"/>
    <w:rsid w:val="00F35211"/>
    <w:rsid w:val="00F3526F"/>
    <w:rsid w:val="00F355ED"/>
    <w:rsid w:val="00F35B24"/>
    <w:rsid w:val="00F35F27"/>
    <w:rsid w:val="00F36389"/>
    <w:rsid w:val="00F375DC"/>
    <w:rsid w:val="00F37AE0"/>
    <w:rsid w:val="00F37CC3"/>
    <w:rsid w:val="00F40048"/>
    <w:rsid w:val="00F4037E"/>
    <w:rsid w:val="00F403CF"/>
    <w:rsid w:val="00F40556"/>
    <w:rsid w:val="00F40680"/>
    <w:rsid w:val="00F40781"/>
    <w:rsid w:val="00F40976"/>
    <w:rsid w:val="00F40E58"/>
    <w:rsid w:val="00F41210"/>
    <w:rsid w:val="00F413D9"/>
    <w:rsid w:val="00F4214E"/>
    <w:rsid w:val="00F422C8"/>
    <w:rsid w:val="00F42A51"/>
    <w:rsid w:val="00F42AA6"/>
    <w:rsid w:val="00F4304B"/>
    <w:rsid w:val="00F435DB"/>
    <w:rsid w:val="00F43869"/>
    <w:rsid w:val="00F43A99"/>
    <w:rsid w:val="00F43B6A"/>
    <w:rsid w:val="00F43FEF"/>
    <w:rsid w:val="00F44107"/>
    <w:rsid w:val="00F4432E"/>
    <w:rsid w:val="00F44507"/>
    <w:rsid w:val="00F44E05"/>
    <w:rsid w:val="00F453B6"/>
    <w:rsid w:val="00F4575C"/>
    <w:rsid w:val="00F457A8"/>
    <w:rsid w:val="00F45827"/>
    <w:rsid w:val="00F45C41"/>
    <w:rsid w:val="00F45DF9"/>
    <w:rsid w:val="00F45F4E"/>
    <w:rsid w:val="00F46899"/>
    <w:rsid w:val="00F4689C"/>
    <w:rsid w:val="00F46D76"/>
    <w:rsid w:val="00F46F1D"/>
    <w:rsid w:val="00F46F20"/>
    <w:rsid w:val="00F470E2"/>
    <w:rsid w:val="00F47291"/>
    <w:rsid w:val="00F472A5"/>
    <w:rsid w:val="00F47360"/>
    <w:rsid w:val="00F47402"/>
    <w:rsid w:val="00F47403"/>
    <w:rsid w:val="00F47B8F"/>
    <w:rsid w:val="00F50554"/>
    <w:rsid w:val="00F506A6"/>
    <w:rsid w:val="00F50811"/>
    <w:rsid w:val="00F50D36"/>
    <w:rsid w:val="00F50FB8"/>
    <w:rsid w:val="00F5115E"/>
    <w:rsid w:val="00F5116B"/>
    <w:rsid w:val="00F51C6A"/>
    <w:rsid w:val="00F51D05"/>
    <w:rsid w:val="00F52754"/>
    <w:rsid w:val="00F534A6"/>
    <w:rsid w:val="00F53891"/>
    <w:rsid w:val="00F53907"/>
    <w:rsid w:val="00F53A61"/>
    <w:rsid w:val="00F53AFC"/>
    <w:rsid w:val="00F53B32"/>
    <w:rsid w:val="00F5468A"/>
    <w:rsid w:val="00F54A9C"/>
    <w:rsid w:val="00F55191"/>
    <w:rsid w:val="00F55405"/>
    <w:rsid w:val="00F555BB"/>
    <w:rsid w:val="00F55A29"/>
    <w:rsid w:val="00F55B9E"/>
    <w:rsid w:val="00F55CBF"/>
    <w:rsid w:val="00F56104"/>
    <w:rsid w:val="00F56B0B"/>
    <w:rsid w:val="00F56FB7"/>
    <w:rsid w:val="00F570F0"/>
    <w:rsid w:val="00F573CB"/>
    <w:rsid w:val="00F5751C"/>
    <w:rsid w:val="00F577A1"/>
    <w:rsid w:val="00F57B0C"/>
    <w:rsid w:val="00F57C0F"/>
    <w:rsid w:val="00F57F25"/>
    <w:rsid w:val="00F60210"/>
    <w:rsid w:val="00F6023E"/>
    <w:rsid w:val="00F603B2"/>
    <w:rsid w:val="00F604FE"/>
    <w:rsid w:val="00F60569"/>
    <w:rsid w:val="00F60584"/>
    <w:rsid w:val="00F607E5"/>
    <w:rsid w:val="00F6095A"/>
    <w:rsid w:val="00F6103E"/>
    <w:rsid w:val="00F6107E"/>
    <w:rsid w:val="00F610D1"/>
    <w:rsid w:val="00F61122"/>
    <w:rsid w:val="00F61202"/>
    <w:rsid w:val="00F6182D"/>
    <w:rsid w:val="00F61E0D"/>
    <w:rsid w:val="00F629CC"/>
    <w:rsid w:val="00F62B7A"/>
    <w:rsid w:val="00F62DD9"/>
    <w:rsid w:val="00F62E93"/>
    <w:rsid w:val="00F63021"/>
    <w:rsid w:val="00F63354"/>
    <w:rsid w:val="00F63557"/>
    <w:rsid w:val="00F6397D"/>
    <w:rsid w:val="00F63E54"/>
    <w:rsid w:val="00F64385"/>
    <w:rsid w:val="00F6440A"/>
    <w:rsid w:val="00F64539"/>
    <w:rsid w:val="00F646C7"/>
    <w:rsid w:val="00F647FB"/>
    <w:rsid w:val="00F65C38"/>
    <w:rsid w:val="00F661C1"/>
    <w:rsid w:val="00F661F5"/>
    <w:rsid w:val="00F66B62"/>
    <w:rsid w:val="00F66E2E"/>
    <w:rsid w:val="00F66F26"/>
    <w:rsid w:val="00F66F6B"/>
    <w:rsid w:val="00F671A1"/>
    <w:rsid w:val="00F671A9"/>
    <w:rsid w:val="00F676DC"/>
    <w:rsid w:val="00F7091B"/>
    <w:rsid w:val="00F71A8A"/>
    <w:rsid w:val="00F71C6D"/>
    <w:rsid w:val="00F72051"/>
    <w:rsid w:val="00F7213F"/>
    <w:rsid w:val="00F722A1"/>
    <w:rsid w:val="00F724B3"/>
    <w:rsid w:val="00F72578"/>
    <w:rsid w:val="00F72738"/>
    <w:rsid w:val="00F72854"/>
    <w:rsid w:val="00F7289D"/>
    <w:rsid w:val="00F7293E"/>
    <w:rsid w:val="00F72C07"/>
    <w:rsid w:val="00F72F2D"/>
    <w:rsid w:val="00F7345E"/>
    <w:rsid w:val="00F742DF"/>
    <w:rsid w:val="00F7460F"/>
    <w:rsid w:val="00F748A0"/>
    <w:rsid w:val="00F75344"/>
    <w:rsid w:val="00F7540F"/>
    <w:rsid w:val="00F75475"/>
    <w:rsid w:val="00F75B9A"/>
    <w:rsid w:val="00F75BC9"/>
    <w:rsid w:val="00F75F67"/>
    <w:rsid w:val="00F7664F"/>
    <w:rsid w:val="00F76650"/>
    <w:rsid w:val="00F7691F"/>
    <w:rsid w:val="00F76943"/>
    <w:rsid w:val="00F76AC6"/>
    <w:rsid w:val="00F76AE6"/>
    <w:rsid w:val="00F76B65"/>
    <w:rsid w:val="00F76F3C"/>
    <w:rsid w:val="00F770B3"/>
    <w:rsid w:val="00F77351"/>
    <w:rsid w:val="00F77AF4"/>
    <w:rsid w:val="00F805C2"/>
    <w:rsid w:val="00F80C32"/>
    <w:rsid w:val="00F80C44"/>
    <w:rsid w:val="00F80D19"/>
    <w:rsid w:val="00F810A3"/>
    <w:rsid w:val="00F810FF"/>
    <w:rsid w:val="00F812FB"/>
    <w:rsid w:val="00F8138E"/>
    <w:rsid w:val="00F81452"/>
    <w:rsid w:val="00F816DA"/>
    <w:rsid w:val="00F81872"/>
    <w:rsid w:val="00F81B5A"/>
    <w:rsid w:val="00F82358"/>
    <w:rsid w:val="00F8246F"/>
    <w:rsid w:val="00F824F5"/>
    <w:rsid w:val="00F82D79"/>
    <w:rsid w:val="00F833E4"/>
    <w:rsid w:val="00F837FC"/>
    <w:rsid w:val="00F839C7"/>
    <w:rsid w:val="00F83C93"/>
    <w:rsid w:val="00F840DC"/>
    <w:rsid w:val="00F8476F"/>
    <w:rsid w:val="00F848E1"/>
    <w:rsid w:val="00F849AF"/>
    <w:rsid w:val="00F8527D"/>
    <w:rsid w:val="00F853D1"/>
    <w:rsid w:val="00F8555D"/>
    <w:rsid w:val="00F859FB"/>
    <w:rsid w:val="00F85CF7"/>
    <w:rsid w:val="00F85E61"/>
    <w:rsid w:val="00F8644F"/>
    <w:rsid w:val="00F86933"/>
    <w:rsid w:val="00F870C5"/>
    <w:rsid w:val="00F87610"/>
    <w:rsid w:val="00F87754"/>
    <w:rsid w:val="00F87DA6"/>
    <w:rsid w:val="00F9016E"/>
    <w:rsid w:val="00F9048B"/>
    <w:rsid w:val="00F904DE"/>
    <w:rsid w:val="00F90624"/>
    <w:rsid w:val="00F90743"/>
    <w:rsid w:val="00F909D5"/>
    <w:rsid w:val="00F90A7C"/>
    <w:rsid w:val="00F912ED"/>
    <w:rsid w:val="00F91810"/>
    <w:rsid w:val="00F91875"/>
    <w:rsid w:val="00F9187B"/>
    <w:rsid w:val="00F91F68"/>
    <w:rsid w:val="00F9213D"/>
    <w:rsid w:val="00F92385"/>
    <w:rsid w:val="00F92544"/>
    <w:rsid w:val="00F92D7D"/>
    <w:rsid w:val="00F9306A"/>
    <w:rsid w:val="00F937A2"/>
    <w:rsid w:val="00F93F90"/>
    <w:rsid w:val="00F9403A"/>
    <w:rsid w:val="00F94213"/>
    <w:rsid w:val="00F94906"/>
    <w:rsid w:val="00F94C57"/>
    <w:rsid w:val="00F94CD1"/>
    <w:rsid w:val="00F94CD6"/>
    <w:rsid w:val="00F95045"/>
    <w:rsid w:val="00F95916"/>
    <w:rsid w:val="00F95B41"/>
    <w:rsid w:val="00F96152"/>
    <w:rsid w:val="00F9633E"/>
    <w:rsid w:val="00F963C8"/>
    <w:rsid w:val="00F964EF"/>
    <w:rsid w:val="00F965EC"/>
    <w:rsid w:val="00F966B8"/>
    <w:rsid w:val="00F96923"/>
    <w:rsid w:val="00F96CE4"/>
    <w:rsid w:val="00F96E8D"/>
    <w:rsid w:val="00F96F4D"/>
    <w:rsid w:val="00F973E5"/>
    <w:rsid w:val="00F9784C"/>
    <w:rsid w:val="00F97935"/>
    <w:rsid w:val="00F97B57"/>
    <w:rsid w:val="00FA051F"/>
    <w:rsid w:val="00FA0B45"/>
    <w:rsid w:val="00FA0C53"/>
    <w:rsid w:val="00FA0DE9"/>
    <w:rsid w:val="00FA10DA"/>
    <w:rsid w:val="00FA1382"/>
    <w:rsid w:val="00FA1986"/>
    <w:rsid w:val="00FA1A47"/>
    <w:rsid w:val="00FA1B4F"/>
    <w:rsid w:val="00FA2101"/>
    <w:rsid w:val="00FA2545"/>
    <w:rsid w:val="00FA277D"/>
    <w:rsid w:val="00FA29D4"/>
    <w:rsid w:val="00FA2DEA"/>
    <w:rsid w:val="00FA304C"/>
    <w:rsid w:val="00FA32DE"/>
    <w:rsid w:val="00FA340E"/>
    <w:rsid w:val="00FA3AFE"/>
    <w:rsid w:val="00FA3CFC"/>
    <w:rsid w:val="00FA40C7"/>
    <w:rsid w:val="00FA4165"/>
    <w:rsid w:val="00FA433F"/>
    <w:rsid w:val="00FA4484"/>
    <w:rsid w:val="00FA46B5"/>
    <w:rsid w:val="00FA48E0"/>
    <w:rsid w:val="00FA4C3F"/>
    <w:rsid w:val="00FA5A23"/>
    <w:rsid w:val="00FA5A5E"/>
    <w:rsid w:val="00FA5F3A"/>
    <w:rsid w:val="00FA6424"/>
    <w:rsid w:val="00FA677D"/>
    <w:rsid w:val="00FA6EEA"/>
    <w:rsid w:val="00FA72BD"/>
    <w:rsid w:val="00FA7364"/>
    <w:rsid w:val="00FA769E"/>
    <w:rsid w:val="00FA7B72"/>
    <w:rsid w:val="00FB007B"/>
    <w:rsid w:val="00FB0669"/>
    <w:rsid w:val="00FB0718"/>
    <w:rsid w:val="00FB07F7"/>
    <w:rsid w:val="00FB0AAB"/>
    <w:rsid w:val="00FB0D81"/>
    <w:rsid w:val="00FB0DB9"/>
    <w:rsid w:val="00FB119A"/>
    <w:rsid w:val="00FB19DB"/>
    <w:rsid w:val="00FB1AB7"/>
    <w:rsid w:val="00FB1D83"/>
    <w:rsid w:val="00FB1EBD"/>
    <w:rsid w:val="00FB2280"/>
    <w:rsid w:val="00FB25DA"/>
    <w:rsid w:val="00FB2602"/>
    <w:rsid w:val="00FB28D3"/>
    <w:rsid w:val="00FB2974"/>
    <w:rsid w:val="00FB2BDA"/>
    <w:rsid w:val="00FB2DF8"/>
    <w:rsid w:val="00FB30B5"/>
    <w:rsid w:val="00FB38F8"/>
    <w:rsid w:val="00FB3AC7"/>
    <w:rsid w:val="00FB3C84"/>
    <w:rsid w:val="00FB3E23"/>
    <w:rsid w:val="00FB3F7B"/>
    <w:rsid w:val="00FB44FB"/>
    <w:rsid w:val="00FB48F1"/>
    <w:rsid w:val="00FB5705"/>
    <w:rsid w:val="00FB5A43"/>
    <w:rsid w:val="00FB5CD8"/>
    <w:rsid w:val="00FB60C8"/>
    <w:rsid w:val="00FB61D5"/>
    <w:rsid w:val="00FB66C1"/>
    <w:rsid w:val="00FB6A9F"/>
    <w:rsid w:val="00FB6B84"/>
    <w:rsid w:val="00FB6BE7"/>
    <w:rsid w:val="00FB7234"/>
    <w:rsid w:val="00FB72D0"/>
    <w:rsid w:val="00FB734D"/>
    <w:rsid w:val="00FB7A8E"/>
    <w:rsid w:val="00FB7CC9"/>
    <w:rsid w:val="00FB7D6C"/>
    <w:rsid w:val="00FC08BE"/>
    <w:rsid w:val="00FC08D2"/>
    <w:rsid w:val="00FC094D"/>
    <w:rsid w:val="00FC0B09"/>
    <w:rsid w:val="00FC1191"/>
    <w:rsid w:val="00FC15CA"/>
    <w:rsid w:val="00FC18C5"/>
    <w:rsid w:val="00FC236F"/>
    <w:rsid w:val="00FC2BA0"/>
    <w:rsid w:val="00FC2F5B"/>
    <w:rsid w:val="00FC3030"/>
    <w:rsid w:val="00FC3944"/>
    <w:rsid w:val="00FC40DF"/>
    <w:rsid w:val="00FC47F9"/>
    <w:rsid w:val="00FC4943"/>
    <w:rsid w:val="00FC4DCC"/>
    <w:rsid w:val="00FC56BA"/>
    <w:rsid w:val="00FC575B"/>
    <w:rsid w:val="00FC5915"/>
    <w:rsid w:val="00FC5EF4"/>
    <w:rsid w:val="00FC64D6"/>
    <w:rsid w:val="00FC6EA7"/>
    <w:rsid w:val="00FC7920"/>
    <w:rsid w:val="00FD06BC"/>
    <w:rsid w:val="00FD085B"/>
    <w:rsid w:val="00FD0F31"/>
    <w:rsid w:val="00FD101A"/>
    <w:rsid w:val="00FD130D"/>
    <w:rsid w:val="00FD15F2"/>
    <w:rsid w:val="00FD16D9"/>
    <w:rsid w:val="00FD191E"/>
    <w:rsid w:val="00FD19DB"/>
    <w:rsid w:val="00FD1DE8"/>
    <w:rsid w:val="00FD2339"/>
    <w:rsid w:val="00FD2503"/>
    <w:rsid w:val="00FD26CA"/>
    <w:rsid w:val="00FD2C8D"/>
    <w:rsid w:val="00FD2D20"/>
    <w:rsid w:val="00FD2EC0"/>
    <w:rsid w:val="00FD30FB"/>
    <w:rsid w:val="00FD3570"/>
    <w:rsid w:val="00FD418E"/>
    <w:rsid w:val="00FD432C"/>
    <w:rsid w:val="00FD4670"/>
    <w:rsid w:val="00FD4A61"/>
    <w:rsid w:val="00FD557B"/>
    <w:rsid w:val="00FD5775"/>
    <w:rsid w:val="00FD6140"/>
    <w:rsid w:val="00FD6746"/>
    <w:rsid w:val="00FD6848"/>
    <w:rsid w:val="00FD684B"/>
    <w:rsid w:val="00FD6953"/>
    <w:rsid w:val="00FD6B7A"/>
    <w:rsid w:val="00FD6C7F"/>
    <w:rsid w:val="00FD6C8C"/>
    <w:rsid w:val="00FD7309"/>
    <w:rsid w:val="00FD7851"/>
    <w:rsid w:val="00FD7F2A"/>
    <w:rsid w:val="00FE09EF"/>
    <w:rsid w:val="00FE0B4C"/>
    <w:rsid w:val="00FE0B54"/>
    <w:rsid w:val="00FE0CDD"/>
    <w:rsid w:val="00FE1976"/>
    <w:rsid w:val="00FE1ED5"/>
    <w:rsid w:val="00FE20ED"/>
    <w:rsid w:val="00FE230C"/>
    <w:rsid w:val="00FE2351"/>
    <w:rsid w:val="00FE2A2B"/>
    <w:rsid w:val="00FE2BFB"/>
    <w:rsid w:val="00FE337D"/>
    <w:rsid w:val="00FE347C"/>
    <w:rsid w:val="00FE355F"/>
    <w:rsid w:val="00FE356A"/>
    <w:rsid w:val="00FE37D8"/>
    <w:rsid w:val="00FE3B36"/>
    <w:rsid w:val="00FE43CD"/>
    <w:rsid w:val="00FE4CA7"/>
    <w:rsid w:val="00FE4D52"/>
    <w:rsid w:val="00FE4E43"/>
    <w:rsid w:val="00FE54B6"/>
    <w:rsid w:val="00FE5580"/>
    <w:rsid w:val="00FE5AF7"/>
    <w:rsid w:val="00FE5EA7"/>
    <w:rsid w:val="00FE6392"/>
    <w:rsid w:val="00FE66DA"/>
    <w:rsid w:val="00FE676C"/>
    <w:rsid w:val="00FE696D"/>
    <w:rsid w:val="00FE7424"/>
    <w:rsid w:val="00FE7533"/>
    <w:rsid w:val="00FE7777"/>
    <w:rsid w:val="00FE7C73"/>
    <w:rsid w:val="00FF087A"/>
    <w:rsid w:val="00FF0A19"/>
    <w:rsid w:val="00FF0A34"/>
    <w:rsid w:val="00FF0CEE"/>
    <w:rsid w:val="00FF110C"/>
    <w:rsid w:val="00FF1233"/>
    <w:rsid w:val="00FF157E"/>
    <w:rsid w:val="00FF18F5"/>
    <w:rsid w:val="00FF1DC3"/>
    <w:rsid w:val="00FF1F0F"/>
    <w:rsid w:val="00FF21A2"/>
    <w:rsid w:val="00FF2293"/>
    <w:rsid w:val="00FF27F2"/>
    <w:rsid w:val="00FF339C"/>
    <w:rsid w:val="00FF350F"/>
    <w:rsid w:val="00FF369C"/>
    <w:rsid w:val="00FF3874"/>
    <w:rsid w:val="00FF3927"/>
    <w:rsid w:val="00FF39AD"/>
    <w:rsid w:val="00FF39E2"/>
    <w:rsid w:val="00FF3AE9"/>
    <w:rsid w:val="00FF3DDF"/>
    <w:rsid w:val="00FF49D4"/>
    <w:rsid w:val="00FF4B3F"/>
    <w:rsid w:val="00FF4D97"/>
    <w:rsid w:val="00FF4EE4"/>
    <w:rsid w:val="00FF4F55"/>
    <w:rsid w:val="00FF4FEA"/>
    <w:rsid w:val="00FF5457"/>
    <w:rsid w:val="00FF564C"/>
    <w:rsid w:val="00FF5775"/>
    <w:rsid w:val="00FF5B30"/>
    <w:rsid w:val="00FF60F9"/>
    <w:rsid w:val="00FF62CA"/>
    <w:rsid w:val="00FF63C5"/>
    <w:rsid w:val="00FF64C2"/>
    <w:rsid w:val="00FF653D"/>
    <w:rsid w:val="00FF68A9"/>
    <w:rsid w:val="00FF6905"/>
    <w:rsid w:val="00FF6AF8"/>
    <w:rsid w:val="00FF6F06"/>
    <w:rsid w:val="00FF7722"/>
    <w:rsid w:val="00FF7811"/>
    <w:rsid w:val="00FF7C35"/>
    <w:rsid w:val="016F2A26"/>
    <w:rsid w:val="0291BA21"/>
    <w:rsid w:val="02BA6524"/>
    <w:rsid w:val="046C1DF7"/>
    <w:rsid w:val="05E22439"/>
    <w:rsid w:val="089ED0C6"/>
    <w:rsid w:val="0A305C42"/>
    <w:rsid w:val="0BAEAD0F"/>
    <w:rsid w:val="0BD9088B"/>
    <w:rsid w:val="0E698E95"/>
    <w:rsid w:val="0F95B46A"/>
    <w:rsid w:val="0FA0BDBF"/>
    <w:rsid w:val="116CB16D"/>
    <w:rsid w:val="11BAB461"/>
    <w:rsid w:val="12F170C7"/>
    <w:rsid w:val="133E877D"/>
    <w:rsid w:val="1345E77C"/>
    <w:rsid w:val="13AF42D2"/>
    <w:rsid w:val="1531D6B1"/>
    <w:rsid w:val="1570C7CE"/>
    <w:rsid w:val="16A99015"/>
    <w:rsid w:val="178DDA7C"/>
    <w:rsid w:val="1817A706"/>
    <w:rsid w:val="190260AC"/>
    <w:rsid w:val="191F4D7C"/>
    <w:rsid w:val="1949B9F9"/>
    <w:rsid w:val="198BC44D"/>
    <w:rsid w:val="1BE3B7FA"/>
    <w:rsid w:val="1C123621"/>
    <w:rsid w:val="1D04E81C"/>
    <w:rsid w:val="1D32F1BC"/>
    <w:rsid w:val="1DE53DEB"/>
    <w:rsid w:val="1F0BBA89"/>
    <w:rsid w:val="1FBB2742"/>
    <w:rsid w:val="21100F88"/>
    <w:rsid w:val="2152A937"/>
    <w:rsid w:val="225BAFDC"/>
    <w:rsid w:val="23F0849A"/>
    <w:rsid w:val="24B55886"/>
    <w:rsid w:val="251FAE71"/>
    <w:rsid w:val="255CD0E4"/>
    <w:rsid w:val="26355795"/>
    <w:rsid w:val="26921AC6"/>
    <w:rsid w:val="273184D7"/>
    <w:rsid w:val="27EC91F9"/>
    <w:rsid w:val="28FFC110"/>
    <w:rsid w:val="29236F01"/>
    <w:rsid w:val="29832204"/>
    <w:rsid w:val="29B205FD"/>
    <w:rsid w:val="2AD686E4"/>
    <w:rsid w:val="2B69673F"/>
    <w:rsid w:val="2E0C059C"/>
    <w:rsid w:val="301A0EAF"/>
    <w:rsid w:val="304F9D73"/>
    <w:rsid w:val="316E7B8D"/>
    <w:rsid w:val="316FAEF1"/>
    <w:rsid w:val="32278437"/>
    <w:rsid w:val="326F2681"/>
    <w:rsid w:val="3394C779"/>
    <w:rsid w:val="342A8C33"/>
    <w:rsid w:val="3478651E"/>
    <w:rsid w:val="348C037B"/>
    <w:rsid w:val="34F7365C"/>
    <w:rsid w:val="35C63B14"/>
    <w:rsid w:val="37E4AC9A"/>
    <w:rsid w:val="3856F3B7"/>
    <w:rsid w:val="39279659"/>
    <w:rsid w:val="39778EF7"/>
    <w:rsid w:val="3A596791"/>
    <w:rsid w:val="3A65F429"/>
    <w:rsid w:val="3B588439"/>
    <w:rsid w:val="3BE08062"/>
    <w:rsid w:val="3D045DF3"/>
    <w:rsid w:val="3D23E95B"/>
    <w:rsid w:val="3D9684DF"/>
    <w:rsid w:val="3ED3886D"/>
    <w:rsid w:val="3FBC2CD4"/>
    <w:rsid w:val="4038E695"/>
    <w:rsid w:val="4047393D"/>
    <w:rsid w:val="410C1BD7"/>
    <w:rsid w:val="4261F5E7"/>
    <w:rsid w:val="42D04E50"/>
    <w:rsid w:val="43D87B56"/>
    <w:rsid w:val="446B035C"/>
    <w:rsid w:val="4528B93C"/>
    <w:rsid w:val="46DCB924"/>
    <w:rsid w:val="46F2F6A7"/>
    <w:rsid w:val="4731A3B3"/>
    <w:rsid w:val="4814498F"/>
    <w:rsid w:val="4990638E"/>
    <w:rsid w:val="4CE10681"/>
    <w:rsid w:val="4D04D8FC"/>
    <w:rsid w:val="4DD9C033"/>
    <w:rsid w:val="4E07433B"/>
    <w:rsid w:val="4E0B5554"/>
    <w:rsid w:val="4EA316EF"/>
    <w:rsid w:val="4EAE91D4"/>
    <w:rsid w:val="5158F14C"/>
    <w:rsid w:val="51930349"/>
    <w:rsid w:val="51BC1680"/>
    <w:rsid w:val="537E1A07"/>
    <w:rsid w:val="53A935BA"/>
    <w:rsid w:val="54228765"/>
    <w:rsid w:val="544F6BFC"/>
    <w:rsid w:val="54B3A73C"/>
    <w:rsid w:val="54EE27F4"/>
    <w:rsid w:val="55343E4D"/>
    <w:rsid w:val="57694BC3"/>
    <w:rsid w:val="591B7106"/>
    <w:rsid w:val="59A7474E"/>
    <w:rsid w:val="5A2CC9F9"/>
    <w:rsid w:val="5A8F8845"/>
    <w:rsid w:val="5B9199DD"/>
    <w:rsid w:val="5BAF784E"/>
    <w:rsid w:val="5C297092"/>
    <w:rsid w:val="5C78EF1E"/>
    <w:rsid w:val="5CC75F8F"/>
    <w:rsid w:val="5F5650A7"/>
    <w:rsid w:val="5F5CD5F0"/>
    <w:rsid w:val="620830DC"/>
    <w:rsid w:val="6313CE0C"/>
    <w:rsid w:val="64F5C0C4"/>
    <w:rsid w:val="653C7DA5"/>
    <w:rsid w:val="6585EFBD"/>
    <w:rsid w:val="68D39EAE"/>
    <w:rsid w:val="69C395C9"/>
    <w:rsid w:val="6A0EF210"/>
    <w:rsid w:val="6A2C6A66"/>
    <w:rsid w:val="6BFDCBE0"/>
    <w:rsid w:val="6CF4170A"/>
    <w:rsid w:val="6F62864A"/>
    <w:rsid w:val="6FE8534B"/>
    <w:rsid w:val="7007F942"/>
    <w:rsid w:val="7134AD82"/>
    <w:rsid w:val="728F4667"/>
    <w:rsid w:val="74BF9755"/>
    <w:rsid w:val="75074BF6"/>
    <w:rsid w:val="75A01851"/>
    <w:rsid w:val="75C7286B"/>
    <w:rsid w:val="76853794"/>
    <w:rsid w:val="76CD5BCA"/>
    <w:rsid w:val="77F8A818"/>
    <w:rsid w:val="7999B418"/>
    <w:rsid w:val="7CF38624"/>
    <w:rsid w:val="7DA793F5"/>
    <w:rsid w:val="7E4E3D68"/>
    <w:rsid w:val="7F5F8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3CF9"/>
  <w15:chartTrackingRefBased/>
  <w15:docId w15:val="{CA9F760E-9924-4060-A5C7-18D4C6F08B01}"/>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uiPriority="4"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0C90"/>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27315F"/>
    <w:pPr>
      <w:numPr>
        <w:numId w:val="30"/>
      </w:numPr>
      <w:ind w:right="2160"/>
    </w:pPr>
    <w:rPr>
      <w:rFonts w:eastAsiaTheme="majorEastAsia" w:cstheme="majorBidi"/>
      <w:szCs w:val="32"/>
    </w:rPr>
  </w:style>
  <w:style w:type="paragraph" w:styleId="Heading2">
    <w:name w:val="heading 2"/>
    <w:basedOn w:val="Dummy"/>
    <w:next w:val="Standard"/>
    <w:link w:val="Heading2Char"/>
    <w:uiPriority w:val="4"/>
    <w:qFormat/>
    <w:rsid w:val="0027315F"/>
    <w:pPr>
      <w:numPr>
        <w:ilvl w:val="1"/>
        <w:numId w:val="30"/>
      </w:numPr>
      <w:ind w:right="2160"/>
      <w:outlineLvl w:val="1"/>
    </w:pPr>
  </w:style>
  <w:style w:type="paragraph" w:styleId="Heading3">
    <w:name w:val="heading 3"/>
    <w:basedOn w:val="Dummy"/>
    <w:next w:val="Standard"/>
    <w:link w:val="Heading3Char"/>
    <w:uiPriority w:val="4"/>
    <w:qFormat/>
    <w:rsid w:val="002B2E36"/>
    <w:pPr>
      <w:numPr>
        <w:ilvl w:val="2"/>
        <w:numId w:val="30"/>
      </w:numPr>
      <w:ind w:right="1728"/>
      <w:outlineLvl w:val="2"/>
    </w:pPr>
    <w:rPr>
      <w:rFonts w:eastAsiaTheme="majorEastAsia" w:cstheme="majorBidi"/>
      <w:szCs w:val="24"/>
    </w:rPr>
  </w:style>
  <w:style w:type="paragraph" w:styleId="Heading4">
    <w:name w:val="heading 4"/>
    <w:basedOn w:val="Dummy"/>
    <w:next w:val="Standard"/>
    <w:link w:val="Heading4Char"/>
    <w:uiPriority w:val="4"/>
    <w:rsid w:val="002B2E36"/>
    <w:pPr>
      <w:numPr>
        <w:ilvl w:val="3"/>
        <w:numId w:val="30"/>
      </w:numPr>
      <w:ind w:right="720"/>
      <w:outlineLvl w:val="3"/>
    </w:pPr>
    <w:rPr>
      <w:rFonts w:eastAsiaTheme="majorEastAsia" w:cstheme="majorBidi"/>
      <w:iCs/>
    </w:rPr>
  </w:style>
  <w:style w:type="paragraph" w:styleId="Heading5">
    <w:name w:val="heading 5"/>
    <w:basedOn w:val="Dummy"/>
    <w:next w:val="Standard"/>
    <w:link w:val="Heading5Char"/>
    <w:uiPriority w:val="4"/>
    <w:rsid w:val="0027315F"/>
    <w:pPr>
      <w:numPr>
        <w:ilvl w:val="4"/>
        <w:numId w:val="30"/>
      </w:numPr>
      <w:ind w:right="2160"/>
      <w:outlineLvl w:val="4"/>
    </w:pPr>
    <w:rPr>
      <w:rFonts w:eastAsiaTheme="majorEastAsia" w:cstheme="majorBidi"/>
    </w:rPr>
  </w:style>
  <w:style w:type="paragraph" w:styleId="Heading6">
    <w:name w:val="heading 6"/>
    <w:basedOn w:val="Dummy"/>
    <w:next w:val="Standard"/>
    <w:link w:val="Heading6Char"/>
    <w:uiPriority w:val="4"/>
    <w:rsid w:val="0027315F"/>
    <w:pPr>
      <w:numPr>
        <w:ilvl w:val="5"/>
        <w:numId w:val="30"/>
      </w:numPr>
      <w:spacing w:before="40"/>
      <w:ind w:right="216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345911"/>
    <w:pPr>
      <w:keepNext/>
      <w:keepLines/>
      <w:spacing w:before="40" w:line="259" w:lineRule="auto"/>
      <w:ind w:firstLine="0"/>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345911"/>
    <w:pPr>
      <w:keepNext/>
      <w:keepLines/>
      <w:spacing w:line="259" w:lineRule="auto"/>
      <w:ind w:firstLine="0"/>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345911"/>
    <w:pPr>
      <w:keepNext/>
      <w:keepLines/>
      <w:spacing w:line="259" w:lineRule="auto"/>
      <w:ind w:firstLine="0"/>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7315F"/>
    <w:rPr>
      <w:rFonts w:ascii="Arial" w:eastAsiaTheme="majorEastAsia" w:hAnsi="Arial" w:cstheme="majorBidi"/>
      <w:b/>
      <w:sz w:val="26"/>
      <w:szCs w:val="32"/>
    </w:rPr>
  </w:style>
  <w:style w:type="paragraph" w:styleId="TOCHeading">
    <w:name w:val="TOC Heading"/>
    <w:next w:val="Normal"/>
    <w:uiPriority w:val="39"/>
    <w:unhideWhenUsed/>
    <w:rsid w:val="00E15AC5"/>
    <w:pPr>
      <w:spacing w:line="240" w:lineRule="auto"/>
      <w:jc w:val="center"/>
    </w:pPr>
    <w:rPr>
      <w:rFonts w:ascii="Book Antiqua" w:eastAsiaTheme="majorEastAsia" w:hAnsi="Book Antiqua" w:cstheme="majorBidi"/>
      <w:b/>
      <w:sz w:val="26"/>
      <w:szCs w:val="32"/>
    </w:rPr>
  </w:style>
  <w:style w:type="paragraph" w:styleId="Title">
    <w:name w:val="Title"/>
    <w:basedOn w:val="Dummy"/>
    <w:next w:val="Normal"/>
    <w:link w:val="TitleChar"/>
    <w:uiPriority w:val="10"/>
    <w:qFormat/>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7315F"/>
    <w:rPr>
      <w:rFonts w:ascii="Arial" w:hAnsi="Arial" w:cs="Arial"/>
      <w:b/>
      <w:sz w:val="26"/>
      <w:szCs w:val="26"/>
    </w:rPr>
  </w:style>
  <w:style w:type="character" w:customStyle="1" w:styleId="Heading3Char">
    <w:name w:val="Heading 3 Char"/>
    <w:basedOn w:val="DefaultParagraphFont"/>
    <w:link w:val="Heading3"/>
    <w:uiPriority w:val="4"/>
    <w:rsid w:val="002B2E36"/>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B2E36"/>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7315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187175"/>
    <w:pPr>
      <w:spacing w:line="240" w:lineRule="auto"/>
      <w:ind w:left="1123" w:right="720" w:hanging="648"/>
    </w:pPr>
    <w:rPr>
      <w:rFonts w:eastAsiaTheme="minorEastAsia" w:cs="Times New Roman"/>
    </w:rPr>
  </w:style>
  <w:style w:type="paragraph" w:styleId="TOC1">
    <w:name w:val="toc 1"/>
    <w:basedOn w:val="Normal"/>
    <w:next w:val="Normal"/>
    <w:uiPriority w:val="39"/>
    <w:unhideWhenUsed/>
    <w:rsid w:val="00645D56"/>
    <w:pPr>
      <w:spacing w:line="240" w:lineRule="auto"/>
      <w:ind w:left="475" w:right="720" w:hanging="475"/>
    </w:pPr>
    <w:rPr>
      <w:rFonts w:eastAsiaTheme="minorEastAsia" w:cs="Times New Roman"/>
    </w:rPr>
  </w:style>
  <w:style w:type="paragraph" w:styleId="TOC3">
    <w:name w:val="toc 3"/>
    <w:basedOn w:val="Normal"/>
    <w:next w:val="Normal"/>
    <w:uiPriority w:val="39"/>
    <w:unhideWhenUsed/>
    <w:rsid w:val="00187175"/>
    <w:pPr>
      <w:spacing w:line="240" w:lineRule="auto"/>
      <w:ind w:left="1987" w:right="720" w:hanging="864"/>
    </w:pPr>
    <w:rPr>
      <w:rFonts w:eastAsiaTheme="minorEastAsia" w:cs="Times New Roman"/>
    </w:rPr>
  </w:style>
  <w:style w:type="character" w:styleId="Hyperlink">
    <w:name w:val="Hyperlink"/>
    <w:basedOn w:val="DefaultParagraphFont"/>
    <w:uiPriority w:val="99"/>
    <w:rsid w:val="00645D56"/>
    <w:rPr>
      <w:rFonts w:ascii="Book Antiqua" w:hAnsi="Book Antiqua"/>
      <w:color w:val="0563C1" w:themeColor="hyperlink"/>
      <w:u w:val="single"/>
    </w:rPr>
  </w:style>
  <w:style w:type="numbering" w:customStyle="1" w:styleId="FoFCoLOP">
    <w:name w:val="FoF/CoL/OP"/>
    <w:uiPriority w:val="99"/>
    <w:rsid w:val="00D27317"/>
    <w:pPr>
      <w:numPr>
        <w:numId w:val="1"/>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FOOT"/>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rsid w:val="007657C1"/>
    <w:rPr>
      <w:rFonts w:ascii="Book Antiqua" w:hAnsi="Book Antiqua"/>
      <w:szCs w:val="20"/>
    </w:rPr>
  </w:style>
  <w:style w:type="character" w:styleId="FootnoteReference">
    <w:name w:val="footnote reference"/>
    <w:aliases w:val="o,fr,o1,o2,o3,o4,o5,o6,o11,o21,o7,Style 12,(NECG) Footnote Reference,Appel note de bas de p,Style 124,o + Times New Roman,Style 3,Style 17,Style 20,Style 13,fr1,fr2,fr3,FR,Footnote Reference/,Style 6,Style 58,-E Funotenzeichen,A"/>
    <w:basedOn w:val="DefaultParagraphFont"/>
    <w:unhideWhenUsed/>
    <w:qFormat/>
    <w:rsid w:val="00DF58E7"/>
    <w:rPr>
      <w:vertAlign w:val="superscript"/>
    </w:rPr>
  </w:style>
  <w:style w:type="paragraph" w:customStyle="1" w:styleId="FoF">
    <w:name w:val="FoF"/>
    <w:basedOn w:val="Standard"/>
    <w:uiPriority w:val="6"/>
    <w:qFormat/>
    <w:rsid w:val="005D0A23"/>
    <w:pPr>
      <w:numPr>
        <w:numId w:val="44"/>
      </w:numPr>
    </w:pPr>
  </w:style>
  <w:style w:type="paragraph" w:customStyle="1" w:styleId="CoL">
    <w:name w:val="CoL"/>
    <w:basedOn w:val="Standard"/>
    <w:uiPriority w:val="7"/>
    <w:qFormat/>
    <w:rsid w:val="0034726E"/>
    <w:pPr>
      <w:numPr>
        <w:numId w:val="40"/>
      </w:numPr>
    </w:pPr>
  </w:style>
  <w:style w:type="paragraph" w:styleId="NoSpacing">
    <w:name w:val="No Spacing"/>
    <w:basedOn w:val="Standard"/>
    <w:link w:val="NoSpacingChar"/>
    <w:qFormat/>
    <w:rsid w:val="00287BC5"/>
    <w:pPr>
      <w:spacing w:after="120" w:line="240" w:lineRule="auto"/>
      <w:ind w:firstLine="0"/>
      <w:contextualSpacing/>
    </w:pPr>
  </w:style>
  <w:style w:type="paragraph" w:customStyle="1" w:styleId="OP">
    <w:name w:val="OP"/>
    <w:basedOn w:val="Standard"/>
    <w:uiPriority w:val="8"/>
    <w:qFormat/>
    <w:rsid w:val="00D27317"/>
    <w:pPr>
      <w:ind w:firstLine="54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3"/>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30"/>
      </w:numPr>
      <w:spacing w:after="120" w:line="240" w:lineRule="auto"/>
    </w:pPr>
  </w:style>
  <w:style w:type="paragraph" w:styleId="ListBullet">
    <w:name w:val="List Bullet"/>
    <w:basedOn w:val="Standard"/>
    <w:uiPriority w:val="4"/>
    <w:qFormat/>
    <w:rsid w:val="001F2819"/>
    <w:pPr>
      <w:numPr>
        <w:numId w:val="4"/>
      </w:numPr>
      <w:tabs>
        <w:tab w:val="clear" w:pos="360"/>
      </w:tabs>
      <w:spacing w:after="120" w:line="240" w:lineRule="auto"/>
      <w:ind w:left="1080"/>
    </w:pPr>
  </w:style>
  <w:style w:type="character" w:customStyle="1" w:styleId="Heading6Char">
    <w:name w:val="Heading 6 Char"/>
    <w:basedOn w:val="DefaultParagraphFont"/>
    <w:link w:val="Heading6"/>
    <w:uiPriority w:val="4"/>
    <w:rsid w:val="0027315F"/>
    <w:rPr>
      <w:rFonts w:ascii="Arial" w:eastAsiaTheme="majorEastAsia" w:hAnsi="Arial" w:cstheme="majorBidi"/>
      <w:b/>
      <w:sz w:val="26"/>
      <w:szCs w:val="26"/>
    </w:rPr>
  </w:style>
  <w:style w:type="paragraph" w:styleId="TOC4">
    <w:name w:val="toc 4"/>
    <w:basedOn w:val="Normal"/>
    <w:next w:val="Normal"/>
    <w:autoRedefine/>
    <w:uiPriority w:val="39"/>
    <w:unhideWhenUsed/>
    <w:rsid w:val="00187175"/>
    <w:pPr>
      <w:spacing w:line="240" w:lineRule="auto"/>
      <w:ind w:left="2995" w:right="720" w:hanging="1008"/>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30"/>
      </w:numPr>
      <w:spacing w:after="120" w:line="240" w:lineRule="auto"/>
    </w:pPr>
  </w:style>
  <w:style w:type="paragraph" w:customStyle="1" w:styleId="main0">
    <w:name w:val="main"/>
    <w:basedOn w:val="Normal"/>
    <w:link w:val="mainChar"/>
    <w:rsid w:val="00946FA5"/>
    <w:pPr>
      <w:spacing w:line="240" w:lineRule="auto"/>
      <w:ind w:firstLine="0"/>
      <w:jc w:val="center"/>
    </w:pPr>
    <w:rPr>
      <w:rFonts w:ascii="Helvetica" w:eastAsia="Times New Roman" w:hAnsi="Helvetica" w:cs="Times New Roman"/>
      <w:b/>
      <w:szCs w:val="20"/>
    </w:rPr>
  </w:style>
  <w:style w:type="paragraph" w:customStyle="1" w:styleId="num1">
    <w:name w:val="num1"/>
    <w:basedOn w:val="Normal"/>
    <w:link w:val="num1Char"/>
    <w:rsid w:val="00946FA5"/>
    <w:pPr>
      <w:tabs>
        <w:tab w:val="left" w:pos="-720"/>
      </w:tabs>
      <w:suppressAutoHyphens/>
      <w:ind w:firstLine="360"/>
    </w:pPr>
    <w:rPr>
      <w:rFonts w:ascii="Palatino" w:eastAsia="Times New Roman" w:hAnsi="Palatino" w:cs="Times New Roman"/>
      <w:szCs w:val="20"/>
    </w:rPr>
  </w:style>
  <w:style w:type="character" w:customStyle="1" w:styleId="num1Char">
    <w:name w:val="num1 Char"/>
    <w:link w:val="num1"/>
    <w:rsid w:val="00946FA5"/>
    <w:rPr>
      <w:rFonts w:ascii="Palatino" w:eastAsia="Times New Roman" w:hAnsi="Palatino" w:cs="Times New Roman"/>
      <w:sz w:val="26"/>
      <w:szCs w:val="20"/>
    </w:rPr>
  </w:style>
  <w:style w:type="character" w:customStyle="1" w:styleId="mainChar">
    <w:name w:val="main Char"/>
    <w:link w:val="main0"/>
    <w:rsid w:val="00946FA5"/>
    <w:rPr>
      <w:rFonts w:ascii="Helvetica" w:eastAsia="Times New Roman" w:hAnsi="Helvetica" w:cs="Times New Roman"/>
      <w:b/>
      <w:sz w:val="26"/>
      <w:szCs w:val="20"/>
    </w:rPr>
  </w:style>
  <w:style w:type="paragraph" w:customStyle="1" w:styleId="num2">
    <w:name w:val="num2"/>
    <w:basedOn w:val="num1"/>
    <w:rsid w:val="00862468"/>
    <w:pPr>
      <w:ind w:firstLine="270"/>
    </w:pPr>
  </w:style>
  <w:style w:type="paragraph" w:customStyle="1" w:styleId="bullets">
    <w:name w:val="bullets"/>
    <w:basedOn w:val="Standard"/>
    <w:rsid w:val="00862468"/>
    <w:pPr>
      <w:numPr>
        <w:numId w:val="6"/>
      </w:numPr>
      <w:spacing w:after="120" w:line="240" w:lineRule="auto"/>
    </w:pPr>
    <w:rPr>
      <w:rFonts w:ascii="Palatino" w:eastAsia="Times New Roman" w:hAnsi="Palatino" w:cs="Times New Roman"/>
      <w:bCs/>
      <w:szCs w:val="20"/>
    </w:rPr>
  </w:style>
  <w:style w:type="paragraph" w:customStyle="1" w:styleId="bullet1">
    <w:name w:val="bullet1"/>
    <w:basedOn w:val="bullets"/>
    <w:rsid w:val="00862468"/>
    <w:pPr>
      <w:numPr>
        <w:numId w:val="5"/>
      </w:numPr>
      <w:ind w:firstLine="0"/>
    </w:pPr>
  </w:style>
  <w:style w:type="character" w:styleId="CommentReference">
    <w:name w:val="annotation reference"/>
    <w:basedOn w:val="DefaultParagraphFont"/>
    <w:uiPriority w:val="99"/>
    <w:semiHidden/>
    <w:unhideWhenUsed/>
    <w:rsid w:val="00AB07F5"/>
    <w:rPr>
      <w:sz w:val="16"/>
      <w:szCs w:val="16"/>
    </w:rPr>
  </w:style>
  <w:style w:type="paragraph" w:styleId="CommentText">
    <w:name w:val="annotation text"/>
    <w:basedOn w:val="Normal"/>
    <w:link w:val="CommentTextChar"/>
    <w:uiPriority w:val="99"/>
    <w:unhideWhenUsed/>
    <w:rsid w:val="00AB07F5"/>
    <w:pPr>
      <w:spacing w:line="240" w:lineRule="auto"/>
    </w:pPr>
    <w:rPr>
      <w:sz w:val="20"/>
      <w:szCs w:val="20"/>
    </w:rPr>
  </w:style>
  <w:style w:type="character" w:customStyle="1" w:styleId="CommentTextChar">
    <w:name w:val="Comment Text Char"/>
    <w:basedOn w:val="DefaultParagraphFont"/>
    <w:link w:val="CommentText"/>
    <w:uiPriority w:val="99"/>
    <w:rsid w:val="00AB07F5"/>
    <w:rPr>
      <w:rFonts w:ascii="Book Antiqua" w:hAnsi="Book Antiqua"/>
      <w:sz w:val="20"/>
      <w:szCs w:val="20"/>
    </w:rPr>
  </w:style>
  <w:style w:type="character" w:styleId="Mention">
    <w:name w:val="Mention"/>
    <w:basedOn w:val="DefaultParagraphFont"/>
    <w:uiPriority w:val="99"/>
    <w:unhideWhenUsed/>
    <w:rsid w:val="00AB07F5"/>
    <w:rPr>
      <w:color w:val="2B579A"/>
      <w:shd w:val="clear" w:color="auto" w:fill="E1DFDD"/>
    </w:rPr>
  </w:style>
  <w:style w:type="paragraph" w:customStyle="1" w:styleId="SectionTitle">
    <w:name w:val="SectionTitle"/>
    <w:basedOn w:val="Standard"/>
    <w:rsid w:val="00BA3BCA"/>
    <w:pPr>
      <w:keepNext/>
      <w:ind w:firstLine="0"/>
    </w:pPr>
    <w:rPr>
      <w:u w:val="single"/>
    </w:rPr>
  </w:style>
  <w:style w:type="paragraph" w:customStyle="1" w:styleId="BlockQuoteH033">
    <w:name w:val="BlockQuoteH033"/>
    <w:basedOn w:val="BlockQuote0"/>
    <w:qFormat/>
    <w:rsid w:val="004F25A0"/>
    <w:pPr>
      <w:ind w:left="1195" w:hanging="475"/>
    </w:pPr>
  </w:style>
  <w:style w:type="paragraph" w:styleId="ListParagraph">
    <w:name w:val="List Paragraph"/>
    <w:basedOn w:val="Normal"/>
    <w:uiPriority w:val="34"/>
    <w:qFormat/>
    <w:rsid w:val="00E164C9"/>
    <w:pPr>
      <w:spacing w:after="160" w:line="259" w:lineRule="auto"/>
      <w:ind w:left="720" w:firstLine="0"/>
      <w:contextualSpacing/>
    </w:pPr>
    <w:rPr>
      <w:rFonts w:asciiTheme="minorHAnsi" w:hAnsiTheme="minorHAnsi"/>
      <w:sz w:val="22"/>
    </w:rPr>
  </w:style>
  <w:style w:type="paragraph" w:customStyle="1" w:styleId="Quote1">
    <w:name w:val="Quote1"/>
    <w:basedOn w:val="Normal"/>
    <w:next w:val="Normal"/>
    <w:rsid w:val="00F66B62"/>
    <w:pPr>
      <w:spacing w:before="120" w:after="240" w:line="240" w:lineRule="auto"/>
      <w:ind w:left="720" w:right="720" w:firstLine="0"/>
    </w:pPr>
    <w:rPr>
      <w:rFonts w:eastAsia="Times New Roman" w:cs="Times New Roman"/>
      <w:szCs w:val="20"/>
    </w:rPr>
  </w:style>
  <w:style w:type="paragraph" w:customStyle="1" w:styleId="sub1">
    <w:name w:val="sub1"/>
    <w:basedOn w:val="Normal"/>
    <w:rsid w:val="00E24E87"/>
    <w:pPr>
      <w:ind w:firstLine="1440"/>
    </w:pPr>
    <w:rPr>
      <w:rFonts w:ascii="Palatino" w:eastAsia="Times New Roman" w:hAnsi="Palatino" w:cs="Times New Roman"/>
      <w:szCs w:val="20"/>
    </w:rPr>
  </w:style>
  <w:style w:type="paragraph" w:customStyle="1" w:styleId="level1">
    <w:name w:val="level1"/>
    <w:basedOn w:val="ListParagraph"/>
    <w:qFormat/>
    <w:rsid w:val="00E24E87"/>
    <w:pPr>
      <w:tabs>
        <w:tab w:val="num" w:pos="360"/>
      </w:tabs>
      <w:spacing w:after="120" w:line="240" w:lineRule="auto"/>
      <w:ind w:right="1440"/>
      <w:contextualSpacing w:val="0"/>
    </w:pPr>
    <w:rPr>
      <w:rFonts w:ascii="Book Antiqua" w:eastAsia="Times New Roman" w:hAnsi="Book Antiqua" w:cs="Times New Roman"/>
      <w:sz w:val="26"/>
      <w:szCs w:val="20"/>
    </w:rPr>
  </w:style>
  <w:style w:type="character" w:customStyle="1" w:styleId="NoSpacingChar">
    <w:name w:val="No Spacing Char"/>
    <w:basedOn w:val="DefaultParagraphFont"/>
    <w:link w:val="NoSpacing"/>
    <w:rsid w:val="00596B2C"/>
    <w:rPr>
      <w:rFonts w:ascii="Book Antiqua" w:hAnsi="Book Antiqua"/>
      <w:sz w:val="26"/>
    </w:rPr>
  </w:style>
  <w:style w:type="paragraph" w:styleId="Revision">
    <w:name w:val="Revision"/>
    <w:hidden/>
    <w:uiPriority w:val="99"/>
    <w:semiHidden/>
    <w:rsid w:val="00596B2C"/>
    <w:pPr>
      <w:spacing w:after="0" w:line="240" w:lineRule="auto"/>
    </w:pPr>
    <w:rPr>
      <w:rFonts w:ascii="Book Antiqua" w:hAnsi="Book Antiqua"/>
      <w:sz w:val="26"/>
    </w:rPr>
  </w:style>
  <w:style w:type="paragraph" w:styleId="CommentSubject">
    <w:name w:val="annotation subject"/>
    <w:basedOn w:val="CommentText"/>
    <w:next w:val="CommentText"/>
    <w:link w:val="CommentSubjectChar"/>
    <w:uiPriority w:val="99"/>
    <w:semiHidden/>
    <w:unhideWhenUsed/>
    <w:rsid w:val="00596B2C"/>
    <w:rPr>
      <w:b/>
      <w:bCs/>
    </w:rPr>
  </w:style>
  <w:style w:type="character" w:customStyle="1" w:styleId="CommentSubjectChar">
    <w:name w:val="Comment Subject Char"/>
    <w:basedOn w:val="CommentTextChar"/>
    <w:link w:val="CommentSubject"/>
    <w:uiPriority w:val="99"/>
    <w:semiHidden/>
    <w:rsid w:val="00596B2C"/>
    <w:rPr>
      <w:rFonts w:ascii="Book Antiqua" w:hAnsi="Book Antiqua"/>
      <w:b/>
      <w:bCs/>
      <w:sz w:val="20"/>
      <w:szCs w:val="20"/>
    </w:rPr>
  </w:style>
  <w:style w:type="character" w:customStyle="1" w:styleId="normaltextrun">
    <w:name w:val="normaltextrun"/>
    <w:basedOn w:val="DefaultParagraphFont"/>
    <w:rsid w:val="00291C36"/>
  </w:style>
  <w:style w:type="character" w:customStyle="1" w:styleId="eop">
    <w:name w:val="eop"/>
    <w:basedOn w:val="DefaultParagraphFont"/>
    <w:rsid w:val="00291C36"/>
  </w:style>
  <w:style w:type="paragraph" w:customStyle="1" w:styleId="Quote2">
    <w:name w:val="Quote2"/>
    <w:basedOn w:val="Normal"/>
    <w:next w:val="Normal"/>
    <w:rsid w:val="00F66B62"/>
    <w:pPr>
      <w:spacing w:before="120" w:after="240" w:line="240" w:lineRule="auto"/>
      <w:ind w:left="720" w:right="720" w:firstLine="0"/>
    </w:pPr>
    <w:rPr>
      <w:rFonts w:eastAsia="Times New Roman" w:cs="Times New Roman"/>
      <w:szCs w:val="20"/>
    </w:rPr>
  </w:style>
  <w:style w:type="character" w:customStyle="1" w:styleId="spellingerror">
    <w:name w:val="spellingerror"/>
    <w:basedOn w:val="DefaultParagraphFont"/>
    <w:rsid w:val="00155E59"/>
  </w:style>
  <w:style w:type="paragraph" w:customStyle="1" w:styleId="AppendixCover">
    <w:name w:val="AppendixCover"/>
    <w:basedOn w:val="Normal"/>
    <w:rsid w:val="00D83AEB"/>
    <w:pPr>
      <w:jc w:val="center"/>
    </w:pPr>
    <w:rPr>
      <w:b/>
      <w:sz w:val="44"/>
      <w:szCs w:val="44"/>
    </w:rPr>
  </w:style>
  <w:style w:type="paragraph" w:customStyle="1" w:styleId="AppendixTitle">
    <w:name w:val="AppendixTitle"/>
    <w:basedOn w:val="Normal"/>
    <w:rsid w:val="00C02238"/>
    <w:pPr>
      <w:jc w:val="center"/>
    </w:pPr>
    <w:rPr>
      <w:b/>
    </w:rPr>
  </w:style>
  <w:style w:type="paragraph" w:styleId="NormalWeb">
    <w:name w:val="Normal (Web)"/>
    <w:basedOn w:val="Normal"/>
    <w:uiPriority w:val="99"/>
    <w:unhideWhenUsed/>
    <w:rsid w:val="00705E50"/>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C3FB5"/>
    <w:rPr>
      <w:color w:val="605E5C"/>
      <w:shd w:val="clear" w:color="auto" w:fill="E1DFDD"/>
    </w:rPr>
  </w:style>
  <w:style w:type="character" w:customStyle="1" w:styleId="Heading7Char">
    <w:name w:val="Heading 7 Char"/>
    <w:basedOn w:val="DefaultParagraphFont"/>
    <w:link w:val="Heading7"/>
    <w:uiPriority w:val="9"/>
    <w:semiHidden/>
    <w:rsid w:val="0034591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34591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345911"/>
    <w:rPr>
      <w:rFonts w:eastAsiaTheme="majorEastAsia" w:cstheme="majorBidi"/>
      <w:color w:val="272727" w:themeColor="text1" w:themeTint="D8"/>
      <w:kern w:val="2"/>
      <w14:ligatures w14:val="standardContextual"/>
    </w:rPr>
  </w:style>
  <w:style w:type="numbering" w:customStyle="1" w:styleId="NoList1">
    <w:name w:val="No List1"/>
    <w:next w:val="NoList"/>
    <w:uiPriority w:val="99"/>
    <w:semiHidden/>
    <w:unhideWhenUsed/>
    <w:rsid w:val="00345911"/>
  </w:style>
  <w:style w:type="paragraph" w:styleId="Subtitle">
    <w:name w:val="Subtitle"/>
    <w:basedOn w:val="Normal"/>
    <w:next w:val="Normal"/>
    <w:link w:val="SubtitleChar"/>
    <w:uiPriority w:val="11"/>
    <w:qFormat/>
    <w:rsid w:val="00345911"/>
    <w:pPr>
      <w:numPr>
        <w:ilvl w:val="1"/>
      </w:numPr>
      <w:spacing w:after="160" w:line="259" w:lineRule="auto"/>
      <w:ind w:firstLine="72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591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345911"/>
    <w:pPr>
      <w:spacing w:before="160" w:after="160" w:line="259" w:lineRule="auto"/>
      <w:ind w:firstLine="0"/>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345911"/>
    <w:rPr>
      <w:i/>
      <w:iCs/>
      <w:color w:val="404040" w:themeColor="text1" w:themeTint="BF"/>
      <w:kern w:val="2"/>
      <w14:ligatures w14:val="standardContextual"/>
    </w:rPr>
  </w:style>
  <w:style w:type="character" w:styleId="IntenseEmphasis">
    <w:name w:val="Intense Emphasis"/>
    <w:basedOn w:val="DefaultParagraphFont"/>
    <w:uiPriority w:val="21"/>
    <w:qFormat/>
    <w:rsid w:val="00345911"/>
    <w:rPr>
      <w:i/>
      <w:iCs/>
      <w:color w:val="2F5496" w:themeColor="accent1" w:themeShade="BF"/>
    </w:rPr>
  </w:style>
  <w:style w:type="paragraph" w:styleId="IntenseQuote">
    <w:name w:val="Intense Quote"/>
    <w:basedOn w:val="Normal"/>
    <w:next w:val="Normal"/>
    <w:link w:val="IntenseQuoteChar"/>
    <w:uiPriority w:val="30"/>
    <w:qFormat/>
    <w:rsid w:val="00345911"/>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hAnsiTheme="minorHAnsi"/>
      <w:i/>
      <w:iCs/>
      <w:color w:val="2F5496"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345911"/>
    <w:rPr>
      <w:i/>
      <w:iCs/>
      <w:color w:val="2F5496" w:themeColor="accent1" w:themeShade="BF"/>
      <w:kern w:val="2"/>
      <w14:ligatures w14:val="standardContextual"/>
    </w:rPr>
  </w:style>
  <w:style w:type="character" w:styleId="IntenseReference">
    <w:name w:val="Intense Reference"/>
    <w:basedOn w:val="DefaultParagraphFont"/>
    <w:uiPriority w:val="32"/>
    <w:qFormat/>
    <w:rsid w:val="00345911"/>
    <w:rPr>
      <w:b/>
      <w:bCs/>
      <w:smallCaps/>
      <w:color w:val="2F5496" w:themeColor="accent1" w:themeShade="BF"/>
      <w:spacing w:val="5"/>
    </w:rPr>
  </w:style>
  <w:style w:type="character" w:styleId="FollowedHyperlink">
    <w:name w:val="FollowedHyperlink"/>
    <w:basedOn w:val="DefaultParagraphFont"/>
    <w:uiPriority w:val="99"/>
    <w:semiHidden/>
    <w:unhideWhenUsed/>
    <w:rsid w:val="00345911"/>
    <w:rPr>
      <w:color w:val="96607D"/>
      <w:u w:val="single"/>
    </w:rPr>
  </w:style>
  <w:style w:type="paragraph" w:customStyle="1" w:styleId="msonormal0">
    <w:name w:val="msonormal"/>
    <w:basedOn w:val="Normal"/>
    <w:rsid w:val="00345911"/>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xl65">
    <w:name w:val="xl65"/>
    <w:basedOn w:val="Normal"/>
    <w:rsid w:val="00345911"/>
    <w:pP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6">
    <w:name w:val="xl66"/>
    <w:basedOn w:val="Normal"/>
    <w:rsid w:val="00345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xl67">
    <w:name w:val="xl67"/>
    <w:basedOn w:val="Normal"/>
    <w:rsid w:val="00345911"/>
    <w:pP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345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9">
    <w:name w:val="xl69"/>
    <w:basedOn w:val="Normal"/>
    <w:rsid w:val="00345911"/>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345911"/>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34591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45911"/>
  </w:style>
  <w:style w:type="table" w:customStyle="1" w:styleId="TableGrid2">
    <w:name w:val="Table Grid2"/>
    <w:basedOn w:val="TableNormal"/>
    <w:next w:val="TableGrid"/>
    <w:uiPriority w:val="39"/>
    <w:rsid w:val="0034591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4591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0">
    <w:name w:val="BlockQuote"/>
    <w:basedOn w:val="Normal"/>
    <w:qFormat/>
    <w:rsid w:val="00A729C5"/>
    <w:pPr>
      <w:spacing w:after="120" w:line="240" w:lineRule="auto"/>
      <w:ind w:left="720" w:right="1440" w:firstLine="0"/>
    </w:pPr>
  </w:style>
  <w:style w:type="paragraph" w:customStyle="1" w:styleId="BlockQuoteH025">
    <w:name w:val="BlockQuoteH025"/>
    <w:basedOn w:val="Normal"/>
    <w:qFormat/>
    <w:rsid w:val="00B91B51"/>
    <w:pPr>
      <w:spacing w:after="120" w:line="240" w:lineRule="auto"/>
      <w:ind w:left="1080" w:right="1440" w:hanging="360"/>
    </w:pPr>
  </w:style>
  <w:style w:type="paragraph" w:customStyle="1" w:styleId="BlockQuoteH025subH025">
    <w:name w:val="BlockQuoteH025subH025"/>
    <w:basedOn w:val="Normal"/>
    <w:qFormat/>
    <w:rsid w:val="00B91B51"/>
    <w:pPr>
      <w:spacing w:after="120" w:line="240" w:lineRule="auto"/>
      <w:ind w:left="1404" w:right="1440" w:hanging="360"/>
    </w:pPr>
  </w:style>
  <w:style w:type="paragraph" w:customStyle="1" w:styleId="BlockQuoteBullet1">
    <w:name w:val="BlockQuoteBullet1"/>
    <w:basedOn w:val="Normal"/>
    <w:qFormat/>
    <w:rsid w:val="00A96D0F"/>
    <w:pPr>
      <w:spacing w:after="120" w:line="240" w:lineRule="auto"/>
      <w:ind w:right="1440" w:firstLine="0"/>
    </w:pPr>
  </w:style>
  <w:style w:type="paragraph" w:styleId="NormalIndent">
    <w:name w:val="Normal Indent"/>
    <w:basedOn w:val="Normal"/>
    <w:uiPriority w:val="99"/>
    <w:semiHidden/>
    <w:unhideWhenUsed/>
    <w:rsid w:val="00AC4F8C"/>
    <w:pPr>
      <w:ind w:left="720"/>
    </w:pPr>
  </w:style>
  <w:style w:type="paragraph" w:styleId="BodyText">
    <w:name w:val="Body Text"/>
    <w:basedOn w:val="Normal"/>
    <w:link w:val="BodyTextChar"/>
    <w:unhideWhenUsed/>
    <w:rsid w:val="00C03B33"/>
    <w:pPr>
      <w:tabs>
        <w:tab w:val="left" w:pos="2160"/>
        <w:tab w:val="left" w:pos="3600"/>
      </w:tabs>
      <w:spacing w:line="240" w:lineRule="auto"/>
      <w:ind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03B33"/>
    <w:rPr>
      <w:rFonts w:ascii="Times New Roman" w:eastAsia="Times New Roman" w:hAnsi="Times New Roman" w:cs="Times New Roman"/>
      <w:sz w:val="24"/>
      <w:szCs w:val="20"/>
    </w:rPr>
  </w:style>
  <w:style w:type="paragraph" w:customStyle="1" w:styleId="Note1">
    <w:name w:val="Note1"/>
    <w:basedOn w:val="Normal"/>
    <w:qFormat/>
    <w:rsid w:val="00C03B33"/>
    <w:pPr>
      <w:spacing w:line="240" w:lineRule="auto"/>
      <w:ind w:left="533" w:hanging="533"/>
    </w:pPr>
    <w:rPr>
      <w:rFonts w:ascii="Times New Roman" w:hAnsi="Times New Roman"/>
      <w:iCs/>
      <w:sz w:val="20"/>
    </w:rPr>
  </w:style>
  <w:style w:type="paragraph" w:customStyle="1" w:styleId="standard0">
    <w:name w:val="standard"/>
    <w:basedOn w:val="Normal"/>
    <w:link w:val="standardChar"/>
    <w:rsid w:val="00327AAF"/>
    <w:rPr>
      <w:rFonts w:ascii="Palatino" w:eastAsia="Times New Roman" w:hAnsi="Palatino" w:cs="Times New Roman"/>
      <w:szCs w:val="20"/>
    </w:rPr>
  </w:style>
  <w:style w:type="character" w:customStyle="1" w:styleId="standardChar">
    <w:name w:val="standard Char"/>
    <w:link w:val="standard0"/>
    <w:rsid w:val="00327AAF"/>
    <w:rPr>
      <w:rFonts w:ascii="Palatino" w:eastAsia="Times New Roman" w:hAnsi="Palatino"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2884">
      <w:bodyDiv w:val="1"/>
      <w:marLeft w:val="0"/>
      <w:marRight w:val="0"/>
      <w:marTop w:val="0"/>
      <w:marBottom w:val="0"/>
      <w:divBdr>
        <w:top w:val="none" w:sz="0" w:space="0" w:color="auto"/>
        <w:left w:val="none" w:sz="0" w:space="0" w:color="auto"/>
        <w:bottom w:val="none" w:sz="0" w:space="0" w:color="auto"/>
        <w:right w:val="none" w:sz="0" w:space="0" w:color="auto"/>
      </w:divBdr>
    </w:div>
    <w:div w:id="93132951">
      <w:bodyDiv w:val="1"/>
      <w:marLeft w:val="0"/>
      <w:marRight w:val="0"/>
      <w:marTop w:val="0"/>
      <w:marBottom w:val="0"/>
      <w:divBdr>
        <w:top w:val="none" w:sz="0" w:space="0" w:color="auto"/>
        <w:left w:val="none" w:sz="0" w:space="0" w:color="auto"/>
        <w:bottom w:val="none" w:sz="0" w:space="0" w:color="auto"/>
        <w:right w:val="none" w:sz="0" w:space="0" w:color="auto"/>
      </w:divBdr>
      <w:divsChild>
        <w:div w:id="385683238">
          <w:marLeft w:val="0"/>
          <w:marRight w:val="0"/>
          <w:marTop w:val="0"/>
          <w:marBottom w:val="0"/>
          <w:divBdr>
            <w:top w:val="none" w:sz="0" w:space="0" w:color="auto"/>
            <w:left w:val="none" w:sz="0" w:space="0" w:color="auto"/>
            <w:bottom w:val="none" w:sz="0" w:space="0" w:color="auto"/>
            <w:right w:val="none" w:sz="0" w:space="0" w:color="auto"/>
          </w:divBdr>
        </w:div>
        <w:div w:id="962733215">
          <w:marLeft w:val="0"/>
          <w:marRight w:val="0"/>
          <w:marTop w:val="0"/>
          <w:marBottom w:val="0"/>
          <w:divBdr>
            <w:top w:val="none" w:sz="0" w:space="0" w:color="auto"/>
            <w:left w:val="none" w:sz="0" w:space="0" w:color="auto"/>
            <w:bottom w:val="none" w:sz="0" w:space="0" w:color="auto"/>
            <w:right w:val="none" w:sz="0" w:space="0" w:color="auto"/>
          </w:divBdr>
        </w:div>
      </w:divsChild>
    </w:div>
    <w:div w:id="104155135">
      <w:bodyDiv w:val="1"/>
      <w:marLeft w:val="0"/>
      <w:marRight w:val="0"/>
      <w:marTop w:val="0"/>
      <w:marBottom w:val="0"/>
      <w:divBdr>
        <w:top w:val="none" w:sz="0" w:space="0" w:color="auto"/>
        <w:left w:val="none" w:sz="0" w:space="0" w:color="auto"/>
        <w:bottom w:val="none" w:sz="0" w:space="0" w:color="auto"/>
        <w:right w:val="none" w:sz="0" w:space="0" w:color="auto"/>
      </w:divBdr>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284584304">
      <w:bodyDiv w:val="1"/>
      <w:marLeft w:val="0"/>
      <w:marRight w:val="0"/>
      <w:marTop w:val="0"/>
      <w:marBottom w:val="0"/>
      <w:divBdr>
        <w:top w:val="none" w:sz="0" w:space="0" w:color="auto"/>
        <w:left w:val="none" w:sz="0" w:space="0" w:color="auto"/>
        <w:bottom w:val="none" w:sz="0" w:space="0" w:color="auto"/>
        <w:right w:val="none" w:sz="0" w:space="0" w:color="auto"/>
      </w:divBdr>
    </w:div>
    <w:div w:id="483814581">
      <w:bodyDiv w:val="1"/>
      <w:marLeft w:val="0"/>
      <w:marRight w:val="0"/>
      <w:marTop w:val="0"/>
      <w:marBottom w:val="0"/>
      <w:divBdr>
        <w:top w:val="none" w:sz="0" w:space="0" w:color="auto"/>
        <w:left w:val="none" w:sz="0" w:space="0" w:color="auto"/>
        <w:bottom w:val="none" w:sz="0" w:space="0" w:color="auto"/>
        <w:right w:val="none" w:sz="0" w:space="0" w:color="auto"/>
      </w:divBdr>
      <w:divsChild>
        <w:div w:id="1373187035">
          <w:marLeft w:val="0"/>
          <w:marRight w:val="0"/>
          <w:marTop w:val="0"/>
          <w:marBottom w:val="0"/>
          <w:divBdr>
            <w:top w:val="none" w:sz="0" w:space="0" w:color="auto"/>
            <w:left w:val="none" w:sz="0" w:space="0" w:color="auto"/>
            <w:bottom w:val="none" w:sz="0" w:space="0" w:color="auto"/>
            <w:right w:val="none" w:sz="0" w:space="0" w:color="auto"/>
          </w:divBdr>
        </w:div>
        <w:div w:id="184253856">
          <w:marLeft w:val="0"/>
          <w:marRight w:val="0"/>
          <w:marTop w:val="0"/>
          <w:marBottom w:val="0"/>
          <w:divBdr>
            <w:top w:val="none" w:sz="0" w:space="0" w:color="auto"/>
            <w:left w:val="none" w:sz="0" w:space="0" w:color="auto"/>
            <w:bottom w:val="none" w:sz="0" w:space="0" w:color="auto"/>
            <w:right w:val="none" w:sz="0" w:space="0" w:color="auto"/>
          </w:divBdr>
        </w:div>
        <w:div w:id="1669404291">
          <w:marLeft w:val="0"/>
          <w:marRight w:val="0"/>
          <w:marTop w:val="0"/>
          <w:marBottom w:val="0"/>
          <w:divBdr>
            <w:top w:val="none" w:sz="0" w:space="0" w:color="auto"/>
            <w:left w:val="none" w:sz="0" w:space="0" w:color="auto"/>
            <w:bottom w:val="none" w:sz="0" w:space="0" w:color="auto"/>
            <w:right w:val="none" w:sz="0" w:space="0" w:color="auto"/>
          </w:divBdr>
        </w:div>
        <w:div w:id="1941911961">
          <w:marLeft w:val="0"/>
          <w:marRight w:val="0"/>
          <w:marTop w:val="0"/>
          <w:marBottom w:val="0"/>
          <w:divBdr>
            <w:top w:val="none" w:sz="0" w:space="0" w:color="auto"/>
            <w:left w:val="none" w:sz="0" w:space="0" w:color="auto"/>
            <w:bottom w:val="none" w:sz="0" w:space="0" w:color="auto"/>
            <w:right w:val="none" w:sz="0" w:space="0" w:color="auto"/>
          </w:divBdr>
        </w:div>
        <w:div w:id="316882864">
          <w:marLeft w:val="0"/>
          <w:marRight w:val="0"/>
          <w:marTop w:val="0"/>
          <w:marBottom w:val="0"/>
          <w:divBdr>
            <w:top w:val="none" w:sz="0" w:space="0" w:color="auto"/>
            <w:left w:val="none" w:sz="0" w:space="0" w:color="auto"/>
            <w:bottom w:val="none" w:sz="0" w:space="0" w:color="auto"/>
            <w:right w:val="none" w:sz="0" w:space="0" w:color="auto"/>
          </w:divBdr>
        </w:div>
        <w:div w:id="2105104363">
          <w:marLeft w:val="0"/>
          <w:marRight w:val="0"/>
          <w:marTop w:val="0"/>
          <w:marBottom w:val="0"/>
          <w:divBdr>
            <w:top w:val="none" w:sz="0" w:space="0" w:color="auto"/>
            <w:left w:val="none" w:sz="0" w:space="0" w:color="auto"/>
            <w:bottom w:val="none" w:sz="0" w:space="0" w:color="auto"/>
            <w:right w:val="none" w:sz="0" w:space="0" w:color="auto"/>
          </w:divBdr>
        </w:div>
        <w:div w:id="1377311653">
          <w:marLeft w:val="0"/>
          <w:marRight w:val="0"/>
          <w:marTop w:val="0"/>
          <w:marBottom w:val="0"/>
          <w:divBdr>
            <w:top w:val="none" w:sz="0" w:space="0" w:color="auto"/>
            <w:left w:val="none" w:sz="0" w:space="0" w:color="auto"/>
            <w:bottom w:val="none" w:sz="0" w:space="0" w:color="auto"/>
            <w:right w:val="none" w:sz="0" w:space="0" w:color="auto"/>
          </w:divBdr>
        </w:div>
        <w:div w:id="1418674946">
          <w:marLeft w:val="0"/>
          <w:marRight w:val="0"/>
          <w:marTop w:val="0"/>
          <w:marBottom w:val="0"/>
          <w:divBdr>
            <w:top w:val="none" w:sz="0" w:space="0" w:color="auto"/>
            <w:left w:val="none" w:sz="0" w:space="0" w:color="auto"/>
            <w:bottom w:val="none" w:sz="0" w:space="0" w:color="auto"/>
            <w:right w:val="none" w:sz="0" w:space="0" w:color="auto"/>
          </w:divBdr>
        </w:div>
        <w:div w:id="1129205047">
          <w:marLeft w:val="0"/>
          <w:marRight w:val="0"/>
          <w:marTop w:val="0"/>
          <w:marBottom w:val="0"/>
          <w:divBdr>
            <w:top w:val="none" w:sz="0" w:space="0" w:color="auto"/>
            <w:left w:val="none" w:sz="0" w:space="0" w:color="auto"/>
            <w:bottom w:val="none" w:sz="0" w:space="0" w:color="auto"/>
            <w:right w:val="none" w:sz="0" w:space="0" w:color="auto"/>
          </w:divBdr>
        </w:div>
        <w:div w:id="685447667">
          <w:marLeft w:val="0"/>
          <w:marRight w:val="0"/>
          <w:marTop w:val="0"/>
          <w:marBottom w:val="0"/>
          <w:divBdr>
            <w:top w:val="none" w:sz="0" w:space="0" w:color="auto"/>
            <w:left w:val="none" w:sz="0" w:space="0" w:color="auto"/>
            <w:bottom w:val="none" w:sz="0" w:space="0" w:color="auto"/>
            <w:right w:val="none" w:sz="0" w:space="0" w:color="auto"/>
          </w:divBdr>
        </w:div>
        <w:div w:id="103690771">
          <w:marLeft w:val="0"/>
          <w:marRight w:val="0"/>
          <w:marTop w:val="0"/>
          <w:marBottom w:val="0"/>
          <w:divBdr>
            <w:top w:val="none" w:sz="0" w:space="0" w:color="auto"/>
            <w:left w:val="none" w:sz="0" w:space="0" w:color="auto"/>
            <w:bottom w:val="none" w:sz="0" w:space="0" w:color="auto"/>
            <w:right w:val="none" w:sz="0" w:space="0" w:color="auto"/>
          </w:divBdr>
        </w:div>
        <w:div w:id="2056464320">
          <w:marLeft w:val="0"/>
          <w:marRight w:val="0"/>
          <w:marTop w:val="0"/>
          <w:marBottom w:val="0"/>
          <w:divBdr>
            <w:top w:val="none" w:sz="0" w:space="0" w:color="auto"/>
            <w:left w:val="none" w:sz="0" w:space="0" w:color="auto"/>
            <w:bottom w:val="none" w:sz="0" w:space="0" w:color="auto"/>
            <w:right w:val="none" w:sz="0" w:space="0" w:color="auto"/>
          </w:divBdr>
        </w:div>
        <w:div w:id="77950290">
          <w:marLeft w:val="0"/>
          <w:marRight w:val="0"/>
          <w:marTop w:val="0"/>
          <w:marBottom w:val="0"/>
          <w:divBdr>
            <w:top w:val="none" w:sz="0" w:space="0" w:color="auto"/>
            <w:left w:val="none" w:sz="0" w:space="0" w:color="auto"/>
            <w:bottom w:val="none" w:sz="0" w:space="0" w:color="auto"/>
            <w:right w:val="none" w:sz="0" w:space="0" w:color="auto"/>
          </w:divBdr>
        </w:div>
        <w:div w:id="213081182">
          <w:marLeft w:val="0"/>
          <w:marRight w:val="0"/>
          <w:marTop w:val="0"/>
          <w:marBottom w:val="0"/>
          <w:divBdr>
            <w:top w:val="none" w:sz="0" w:space="0" w:color="auto"/>
            <w:left w:val="none" w:sz="0" w:space="0" w:color="auto"/>
            <w:bottom w:val="none" w:sz="0" w:space="0" w:color="auto"/>
            <w:right w:val="none" w:sz="0" w:space="0" w:color="auto"/>
          </w:divBdr>
        </w:div>
      </w:divsChild>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976033646">
      <w:bodyDiv w:val="1"/>
      <w:marLeft w:val="0"/>
      <w:marRight w:val="0"/>
      <w:marTop w:val="0"/>
      <w:marBottom w:val="0"/>
      <w:divBdr>
        <w:top w:val="none" w:sz="0" w:space="0" w:color="auto"/>
        <w:left w:val="none" w:sz="0" w:space="0" w:color="auto"/>
        <w:bottom w:val="none" w:sz="0" w:space="0" w:color="auto"/>
        <w:right w:val="none" w:sz="0" w:space="0" w:color="auto"/>
      </w:divBdr>
    </w:div>
    <w:div w:id="1051883970">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120997752">
      <w:bodyDiv w:val="1"/>
      <w:marLeft w:val="0"/>
      <w:marRight w:val="0"/>
      <w:marTop w:val="0"/>
      <w:marBottom w:val="0"/>
      <w:divBdr>
        <w:top w:val="none" w:sz="0" w:space="0" w:color="auto"/>
        <w:left w:val="none" w:sz="0" w:space="0" w:color="auto"/>
        <w:bottom w:val="none" w:sz="0" w:space="0" w:color="auto"/>
        <w:right w:val="none" w:sz="0" w:space="0" w:color="auto"/>
      </w:divBdr>
      <w:divsChild>
        <w:div w:id="2074770838">
          <w:marLeft w:val="0"/>
          <w:marRight w:val="0"/>
          <w:marTop w:val="0"/>
          <w:marBottom w:val="0"/>
          <w:divBdr>
            <w:top w:val="none" w:sz="0" w:space="0" w:color="auto"/>
            <w:left w:val="none" w:sz="0" w:space="0" w:color="auto"/>
            <w:bottom w:val="none" w:sz="0" w:space="0" w:color="auto"/>
            <w:right w:val="none" w:sz="0" w:space="0" w:color="auto"/>
          </w:divBdr>
        </w:div>
        <w:div w:id="900871010">
          <w:marLeft w:val="0"/>
          <w:marRight w:val="0"/>
          <w:marTop w:val="0"/>
          <w:marBottom w:val="0"/>
          <w:divBdr>
            <w:top w:val="none" w:sz="0" w:space="0" w:color="auto"/>
            <w:left w:val="none" w:sz="0" w:space="0" w:color="auto"/>
            <w:bottom w:val="none" w:sz="0" w:space="0" w:color="auto"/>
            <w:right w:val="none" w:sz="0" w:space="0" w:color="auto"/>
          </w:divBdr>
        </w:div>
        <w:div w:id="8456962">
          <w:marLeft w:val="0"/>
          <w:marRight w:val="0"/>
          <w:marTop w:val="0"/>
          <w:marBottom w:val="0"/>
          <w:divBdr>
            <w:top w:val="none" w:sz="0" w:space="0" w:color="auto"/>
            <w:left w:val="none" w:sz="0" w:space="0" w:color="auto"/>
            <w:bottom w:val="none" w:sz="0" w:space="0" w:color="auto"/>
            <w:right w:val="none" w:sz="0" w:space="0" w:color="auto"/>
          </w:divBdr>
        </w:div>
        <w:div w:id="203834337">
          <w:marLeft w:val="0"/>
          <w:marRight w:val="0"/>
          <w:marTop w:val="0"/>
          <w:marBottom w:val="0"/>
          <w:divBdr>
            <w:top w:val="none" w:sz="0" w:space="0" w:color="auto"/>
            <w:left w:val="none" w:sz="0" w:space="0" w:color="auto"/>
            <w:bottom w:val="none" w:sz="0" w:space="0" w:color="auto"/>
            <w:right w:val="none" w:sz="0" w:space="0" w:color="auto"/>
          </w:divBdr>
        </w:div>
        <w:div w:id="178743041">
          <w:marLeft w:val="0"/>
          <w:marRight w:val="0"/>
          <w:marTop w:val="0"/>
          <w:marBottom w:val="0"/>
          <w:divBdr>
            <w:top w:val="none" w:sz="0" w:space="0" w:color="auto"/>
            <w:left w:val="none" w:sz="0" w:space="0" w:color="auto"/>
            <w:bottom w:val="none" w:sz="0" w:space="0" w:color="auto"/>
            <w:right w:val="none" w:sz="0" w:space="0" w:color="auto"/>
          </w:divBdr>
        </w:div>
        <w:div w:id="1190532440">
          <w:marLeft w:val="0"/>
          <w:marRight w:val="0"/>
          <w:marTop w:val="0"/>
          <w:marBottom w:val="0"/>
          <w:divBdr>
            <w:top w:val="none" w:sz="0" w:space="0" w:color="auto"/>
            <w:left w:val="none" w:sz="0" w:space="0" w:color="auto"/>
            <w:bottom w:val="none" w:sz="0" w:space="0" w:color="auto"/>
            <w:right w:val="none" w:sz="0" w:space="0" w:color="auto"/>
          </w:divBdr>
        </w:div>
        <w:div w:id="98919667">
          <w:marLeft w:val="0"/>
          <w:marRight w:val="0"/>
          <w:marTop w:val="0"/>
          <w:marBottom w:val="0"/>
          <w:divBdr>
            <w:top w:val="none" w:sz="0" w:space="0" w:color="auto"/>
            <w:left w:val="none" w:sz="0" w:space="0" w:color="auto"/>
            <w:bottom w:val="none" w:sz="0" w:space="0" w:color="auto"/>
            <w:right w:val="none" w:sz="0" w:space="0" w:color="auto"/>
          </w:divBdr>
        </w:div>
        <w:div w:id="1127695723">
          <w:marLeft w:val="0"/>
          <w:marRight w:val="0"/>
          <w:marTop w:val="0"/>
          <w:marBottom w:val="0"/>
          <w:divBdr>
            <w:top w:val="none" w:sz="0" w:space="0" w:color="auto"/>
            <w:left w:val="none" w:sz="0" w:space="0" w:color="auto"/>
            <w:bottom w:val="none" w:sz="0" w:space="0" w:color="auto"/>
            <w:right w:val="none" w:sz="0" w:space="0" w:color="auto"/>
          </w:divBdr>
        </w:div>
        <w:div w:id="2036925042">
          <w:marLeft w:val="0"/>
          <w:marRight w:val="0"/>
          <w:marTop w:val="0"/>
          <w:marBottom w:val="0"/>
          <w:divBdr>
            <w:top w:val="none" w:sz="0" w:space="0" w:color="auto"/>
            <w:left w:val="none" w:sz="0" w:space="0" w:color="auto"/>
            <w:bottom w:val="none" w:sz="0" w:space="0" w:color="auto"/>
            <w:right w:val="none" w:sz="0" w:space="0" w:color="auto"/>
          </w:divBdr>
        </w:div>
        <w:div w:id="1850486290">
          <w:marLeft w:val="0"/>
          <w:marRight w:val="0"/>
          <w:marTop w:val="0"/>
          <w:marBottom w:val="0"/>
          <w:divBdr>
            <w:top w:val="none" w:sz="0" w:space="0" w:color="auto"/>
            <w:left w:val="none" w:sz="0" w:space="0" w:color="auto"/>
            <w:bottom w:val="none" w:sz="0" w:space="0" w:color="auto"/>
            <w:right w:val="none" w:sz="0" w:space="0" w:color="auto"/>
          </w:divBdr>
        </w:div>
        <w:div w:id="157114697">
          <w:marLeft w:val="0"/>
          <w:marRight w:val="0"/>
          <w:marTop w:val="0"/>
          <w:marBottom w:val="0"/>
          <w:divBdr>
            <w:top w:val="none" w:sz="0" w:space="0" w:color="auto"/>
            <w:left w:val="none" w:sz="0" w:space="0" w:color="auto"/>
            <w:bottom w:val="none" w:sz="0" w:space="0" w:color="auto"/>
            <w:right w:val="none" w:sz="0" w:space="0" w:color="auto"/>
          </w:divBdr>
        </w:div>
        <w:div w:id="2117674203">
          <w:marLeft w:val="0"/>
          <w:marRight w:val="0"/>
          <w:marTop w:val="0"/>
          <w:marBottom w:val="0"/>
          <w:divBdr>
            <w:top w:val="none" w:sz="0" w:space="0" w:color="auto"/>
            <w:left w:val="none" w:sz="0" w:space="0" w:color="auto"/>
            <w:bottom w:val="none" w:sz="0" w:space="0" w:color="auto"/>
            <w:right w:val="none" w:sz="0" w:space="0" w:color="auto"/>
          </w:divBdr>
        </w:div>
        <w:div w:id="190194215">
          <w:marLeft w:val="0"/>
          <w:marRight w:val="0"/>
          <w:marTop w:val="0"/>
          <w:marBottom w:val="0"/>
          <w:divBdr>
            <w:top w:val="none" w:sz="0" w:space="0" w:color="auto"/>
            <w:left w:val="none" w:sz="0" w:space="0" w:color="auto"/>
            <w:bottom w:val="none" w:sz="0" w:space="0" w:color="auto"/>
            <w:right w:val="none" w:sz="0" w:space="0" w:color="auto"/>
          </w:divBdr>
        </w:div>
        <w:div w:id="1134907204">
          <w:marLeft w:val="0"/>
          <w:marRight w:val="0"/>
          <w:marTop w:val="0"/>
          <w:marBottom w:val="0"/>
          <w:divBdr>
            <w:top w:val="none" w:sz="0" w:space="0" w:color="auto"/>
            <w:left w:val="none" w:sz="0" w:space="0" w:color="auto"/>
            <w:bottom w:val="none" w:sz="0" w:space="0" w:color="auto"/>
            <w:right w:val="none" w:sz="0" w:space="0" w:color="auto"/>
          </w:divBdr>
        </w:div>
        <w:div w:id="2136631125">
          <w:marLeft w:val="0"/>
          <w:marRight w:val="0"/>
          <w:marTop w:val="0"/>
          <w:marBottom w:val="0"/>
          <w:divBdr>
            <w:top w:val="none" w:sz="0" w:space="0" w:color="auto"/>
            <w:left w:val="none" w:sz="0" w:space="0" w:color="auto"/>
            <w:bottom w:val="none" w:sz="0" w:space="0" w:color="auto"/>
            <w:right w:val="none" w:sz="0" w:space="0" w:color="auto"/>
          </w:divBdr>
        </w:div>
      </w:divsChild>
    </w:div>
    <w:div w:id="1127623021">
      <w:bodyDiv w:val="1"/>
      <w:marLeft w:val="0"/>
      <w:marRight w:val="0"/>
      <w:marTop w:val="0"/>
      <w:marBottom w:val="0"/>
      <w:divBdr>
        <w:top w:val="none" w:sz="0" w:space="0" w:color="auto"/>
        <w:left w:val="none" w:sz="0" w:space="0" w:color="auto"/>
        <w:bottom w:val="none" w:sz="0" w:space="0" w:color="auto"/>
        <w:right w:val="none" w:sz="0" w:space="0" w:color="auto"/>
      </w:divBdr>
    </w:div>
    <w:div w:id="1339695586">
      <w:bodyDiv w:val="1"/>
      <w:marLeft w:val="0"/>
      <w:marRight w:val="0"/>
      <w:marTop w:val="0"/>
      <w:marBottom w:val="0"/>
      <w:divBdr>
        <w:top w:val="none" w:sz="0" w:space="0" w:color="auto"/>
        <w:left w:val="none" w:sz="0" w:space="0" w:color="auto"/>
        <w:bottom w:val="none" w:sz="0" w:space="0" w:color="auto"/>
        <w:right w:val="none" w:sz="0" w:space="0" w:color="auto"/>
      </w:divBdr>
    </w:div>
    <w:div w:id="1536962465">
      <w:bodyDiv w:val="1"/>
      <w:marLeft w:val="0"/>
      <w:marRight w:val="0"/>
      <w:marTop w:val="0"/>
      <w:marBottom w:val="0"/>
      <w:divBdr>
        <w:top w:val="none" w:sz="0" w:space="0" w:color="auto"/>
        <w:left w:val="none" w:sz="0" w:space="0" w:color="auto"/>
        <w:bottom w:val="none" w:sz="0" w:space="0" w:color="auto"/>
        <w:right w:val="none" w:sz="0" w:space="0" w:color="auto"/>
      </w:divBdr>
    </w:div>
    <w:div w:id="17538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mailto:CDCompliance@cpuc.ca.gov" TargetMode="External" Id="rId18" /><Relationship Type="http://schemas.openxmlformats.org/officeDocument/2006/relationships/hyperlink" Target="mailto:cdcompliance@cpuc.ca.gov" TargetMode="External" Id="rId26" /><Relationship Type="http://schemas.openxmlformats.org/officeDocument/2006/relationships/footer" Target="footer13.xml" Id="rId39" /><Relationship Type="http://schemas.openxmlformats.org/officeDocument/2006/relationships/hyperlink" Target="mailto:CDCompliance@cpuc.ca.gov" TargetMode="External" Id="rId21" /><Relationship Type="http://schemas.openxmlformats.org/officeDocument/2006/relationships/footer" Target="footer8.xml" Id="rId34" /><Relationship Type="http://schemas.openxmlformats.org/officeDocument/2006/relationships/footer" Target="footer16.xml"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CDCompliance@cpuc.ca.gov" TargetMode="External" Id="rId16"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cdcompliance@cpuc.ca.gov" TargetMode="External" Id="rId24" /><Relationship Type="http://schemas.openxmlformats.org/officeDocument/2006/relationships/footer" Target="footer6.xml" Id="rId32" /><Relationship Type="http://schemas.openxmlformats.org/officeDocument/2006/relationships/footer" Target="footer11.xml" Id="rId37" /><Relationship Type="http://schemas.openxmlformats.org/officeDocument/2006/relationships/footer" Target="footer14.xml" Id="rId40" /><Relationship Type="http://schemas.openxmlformats.org/officeDocument/2006/relationships/footer" Target="footer19.xml" Id="rId45" /><Relationship Type="http://schemas.openxmlformats.org/officeDocument/2006/relationships/numbering" Target="numbering.xml" Id="rId5" /><Relationship Type="http://schemas.openxmlformats.org/officeDocument/2006/relationships/hyperlink" Target="mailto:cdcompliance@cpuc.ca.gov" TargetMode="External" Id="rId15" /><Relationship Type="http://schemas.openxmlformats.org/officeDocument/2006/relationships/hyperlink" Target="mailto:cdcompliance@cpuc.ca.gov" TargetMode="External" Id="rId23" /><Relationship Type="http://schemas.openxmlformats.org/officeDocument/2006/relationships/hyperlink" Target="mailto:CDCompliance@cpuc.ca.gov" TargetMode="External" Id="rId28" /><Relationship Type="http://schemas.openxmlformats.org/officeDocument/2006/relationships/footer" Target="footer10.xml" Id="rId36" /><Relationship Type="http://schemas.openxmlformats.org/officeDocument/2006/relationships/endnotes" Target="endnotes.xml" Id="rId10" /><Relationship Type="http://schemas.openxmlformats.org/officeDocument/2006/relationships/hyperlink" Target="mailto:CDCompliance@cpuc.ca.gov" TargetMode="External" Id="rId19" /><Relationship Type="http://schemas.openxmlformats.org/officeDocument/2006/relationships/footer" Target="footer5.xml" Id="rId31" /><Relationship Type="http://schemas.openxmlformats.org/officeDocument/2006/relationships/footer" Target="footer18.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cdcompliance@cpuc.ca.gov" TargetMode="External" Id="rId22" /><Relationship Type="http://schemas.openxmlformats.org/officeDocument/2006/relationships/hyperlink" Target="mailto:cdcompliance@cpuc.ca.gov" TargetMode="External" Id="rId27" /><Relationship Type="http://schemas.openxmlformats.org/officeDocument/2006/relationships/footer" Target="footer4.xml" Id="rId30" /><Relationship Type="http://schemas.openxmlformats.org/officeDocument/2006/relationships/footer" Target="footer9.xml" Id="rId35" /><Relationship Type="http://schemas.openxmlformats.org/officeDocument/2006/relationships/footer" Target="footer17.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mailto:CDcompliance@cpuc.ca.gov" TargetMode="External" Id="rId17" /><Relationship Type="http://schemas.openxmlformats.org/officeDocument/2006/relationships/hyperlink" Target="mailto:cdcompliance@cpuc.ca.gov" TargetMode="External" Id="rId25" /><Relationship Type="http://schemas.openxmlformats.org/officeDocument/2006/relationships/footer" Target="footer7.xml" Id="rId33" /><Relationship Type="http://schemas.openxmlformats.org/officeDocument/2006/relationships/footer" Target="footer12.xml" Id="rId38" /><Relationship Type="http://schemas.openxmlformats.org/officeDocument/2006/relationships/fontTable" Target="fontTable.xml" Id="rId46" /><Relationship Type="http://schemas.openxmlformats.org/officeDocument/2006/relationships/hyperlink" Target="mailto:CDCompliance@cpuc.ca.gov" TargetMode="External" Id="rId20" /><Relationship Type="http://schemas.openxmlformats.org/officeDocument/2006/relationships/footer" Target="footer15.xml" Id="rId41" /><Relationship Type="http://schemas.openxmlformats.org/officeDocument/2006/relationships/hyperlink" Target="http://docs.cpuc.ca.gov/PublishedDocs/Published/G000/M545/K630/545630638.docx" TargetMode="External" Id="Rc714d636ba97483d" /><Relationship Type="http://schemas.openxmlformats.org/officeDocument/2006/relationships/hyperlink" Target="http://docs.cpuc.ca.gov/PublishedDocs/Published/G000/M545/K636/545636384.docx" TargetMode="External" Id="Re2c20def7644419e" /><Relationship Type="http://schemas.openxmlformats.org/officeDocument/2006/relationships/hyperlink" Target="http://docs.cpuc.ca.gov/PublishedDocs/Published/G000/M545/K646/545646885.docx" TargetMode="External" Id="R5bc08ff155b04479" /><Relationship Type="http://schemas.openxmlformats.org/officeDocument/2006/relationships/hyperlink" Target="http://docs.cpuc.ca.gov/PublishedDocs/Published/G000/M545/K345/545345591.pdf" TargetMode="External" Id="R0a8fd64070c24d7e" /></Relationships>
</file>

<file path=word/_rels/footnotes.xml.rels><?xml version="1.0" encoding="UTF-8" standalone="yes"?>
<Relationships xmlns="http://schemas.openxmlformats.org/package/2006/relationships"><Relationship Id="rId3" Type="http://schemas.openxmlformats.org/officeDocument/2006/relationships/hyperlink" Target="https://apps.cpuc.ca.gov/apex/f?p=102:1" TargetMode="External"/><Relationship Id="rId2" Type="http://schemas.openxmlformats.org/officeDocument/2006/relationships/hyperlink" Target="https://www.bls.gov/data/inflation_calculator.htm?ss=P" TargetMode="External"/><Relationship Id="rId1" Type="http://schemas.openxmlformats.org/officeDocument/2006/relationships/hyperlink" Target="https://www.fcc.gov/911-dispatchable-location" TargetMode="External"/><Relationship Id="rId5" Type="http://schemas.openxmlformats.org/officeDocument/2006/relationships/hyperlink" Target="https://www.cpuc.ca.gov/industries-and-topics/internet-and-phone/carrier-reporting-requirements/annual-report-forms" TargetMode="External"/><Relationship Id="rId4" Type="http://schemas.openxmlformats.org/officeDocument/2006/relationships/hyperlink" Target="https://www.cpuc.ca.gov/industries-and-topics/internet-and-phone/carrier-reporting-requirements/annual-repor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3" ma:contentTypeDescription="Create a new document." ma:contentTypeScope="" ma:versionID="362c4cbec342ebe9ed4aa4eb2b95e267">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b977e93953bc1eac0f125ced8ecd7c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2.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4.xml><?xml version="1.0" encoding="utf-8"?>
<ds:datastoreItem xmlns:ds="http://schemas.openxmlformats.org/officeDocument/2006/customXml" ds:itemID="{934E2DD0-8861-478F-A91C-85ADAB02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175</ap:Pages>
  <ap:Words>37151</ap:Words>
  <ap:Characters>211761</ap:Characters>
  <ap:Application>Microsoft Office Word</ap:Application>
  <ap:DocSecurity>0</ap:DocSecurity>
  <ap:Lines>1764</ap:Lines>
  <ap:Paragraphs>496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248416</ap:CharactersWithSpaces>
  <ap:SharedDoc>false</ap:SharedDoc>
  <ap:HLinks>
    <vt:vector baseType="variant" size="546">
      <vt:variant>
        <vt:i4>7340151</vt:i4>
      </vt:variant>
      <vt:variant>
        <vt:i4>453</vt:i4>
      </vt:variant>
      <vt:variant>
        <vt:i4>0</vt:i4>
      </vt:variant>
      <vt:variant>
        <vt:i4>5</vt:i4>
      </vt:variant>
      <vt:variant>
        <vt:lpwstr>https://www.cpuc.ca.gov/industries-and-topics/internet-and-phone/carrier-reporting-requirements/tariff-filing-requirements</vt:lpwstr>
      </vt:variant>
      <vt:variant>
        <vt:lpwstr/>
      </vt:variant>
      <vt:variant>
        <vt:i4>6094863</vt:i4>
      </vt:variant>
      <vt:variant>
        <vt:i4>450</vt:i4>
      </vt:variant>
      <vt:variant>
        <vt:i4>0</vt:i4>
      </vt:variant>
      <vt:variant>
        <vt:i4>5</vt:i4>
      </vt:variant>
      <vt:variant>
        <vt:lpwstr>https://www.cpuc.ca.gov/industries-and-topics/internet-and-phone/telecommunications-carrier-types-with-definition</vt:lpwstr>
      </vt:variant>
      <vt:variant>
        <vt:lpwstr/>
      </vt:variant>
      <vt:variant>
        <vt:i4>7602188</vt:i4>
      </vt:variant>
      <vt:variant>
        <vt:i4>447</vt:i4>
      </vt:variant>
      <vt:variant>
        <vt:i4>0</vt:i4>
      </vt:variant>
      <vt:variant>
        <vt:i4>5</vt:i4>
      </vt:variant>
      <vt:variant>
        <vt:lpwstr>mailto:telcosurcharge@cpuc.ca.gov</vt:lpwstr>
      </vt:variant>
      <vt:variant>
        <vt:lpwstr/>
      </vt:variant>
      <vt:variant>
        <vt:i4>7340151</vt:i4>
      </vt:variant>
      <vt:variant>
        <vt:i4>444</vt:i4>
      </vt:variant>
      <vt:variant>
        <vt:i4>0</vt:i4>
      </vt:variant>
      <vt:variant>
        <vt:i4>5</vt:i4>
      </vt:variant>
      <vt:variant>
        <vt:lpwstr>https://www.cpuc.ca.gov/industries-and-topics/internet-and-phone/carrier-reporting-requirements/tariff-filing-requirements</vt:lpwstr>
      </vt:variant>
      <vt:variant>
        <vt:lpwstr/>
      </vt:variant>
      <vt:variant>
        <vt:i4>2949143</vt:i4>
      </vt:variant>
      <vt:variant>
        <vt:i4>441</vt:i4>
      </vt:variant>
      <vt:variant>
        <vt:i4>0</vt:i4>
      </vt:variant>
      <vt:variant>
        <vt:i4>5</vt:i4>
      </vt:variant>
      <vt:variant>
        <vt:lpwstr>https://www.cpuc.ca.gov/-/media/cpuc-website/divisions/communications-division/documents/high-cost-support-and-surcharges/chcf-a-1/ilec-territories-2023_230412.pdf</vt:lpwstr>
      </vt:variant>
      <vt:variant>
        <vt:lpwstr/>
      </vt:variant>
      <vt:variant>
        <vt:i4>1048685</vt:i4>
      </vt:variant>
      <vt:variant>
        <vt:i4>438</vt:i4>
      </vt:variant>
      <vt:variant>
        <vt:i4>0</vt:i4>
      </vt:variant>
      <vt:variant>
        <vt:i4>5</vt:i4>
      </vt:variant>
      <vt:variant>
        <vt:lpwstr>mailto:CDcompliance@cpuc.ca.gov</vt:lpwstr>
      </vt:variant>
      <vt:variant>
        <vt:lpwstr/>
      </vt:variant>
      <vt:variant>
        <vt:i4>1048685</vt:i4>
      </vt:variant>
      <vt:variant>
        <vt:i4>435</vt:i4>
      </vt:variant>
      <vt:variant>
        <vt:i4>0</vt:i4>
      </vt:variant>
      <vt:variant>
        <vt:i4>5</vt:i4>
      </vt:variant>
      <vt:variant>
        <vt:lpwstr>mailto:CDCompliance@cpuc.ca.gov</vt:lpwstr>
      </vt:variant>
      <vt:variant>
        <vt:lpwstr/>
      </vt:variant>
      <vt:variant>
        <vt:i4>1048685</vt:i4>
      </vt:variant>
      <vt:variant>
        <vt:i4>432</vt:i4>
      </vt:variant>
      <vt:variant>
        <vt:i4>0</vt:i4>
      </vt:variant>
      <vt:variant>
        <vt:i4>5</vt:i4>
      </vt:variant>
      <vt:variant>
        <vt:lpwstr>mailto:cdcompliance@cpuc.ca.gov</vt:lpwstr>
      </vt:variant>
      <vt:variant>
        <vt:lpwstr/>
      </vt:variant>
      <vt:variant>
        <vt:i4>1048685</vt:i4>
      </vt:variant>
      <vt:variant>
        <vt:i4>429</vt:i4>
      </vt:variant>
      <vt:variant>
        <vt:i4>0</vt:i4>
      </vt:variant>
      <vt:variant>
        <vt:i4>5</vt:i4>
      </vt:variant>
      <vt:variant>
        <vt:lpwstr>mailto:cdcompliance@cpuc.ca.gov</vt:lpwstr>
      </vt:variant>
      <vt:variant>
        <vt:lpwstr/>
      </vt:variant>
      <vt:variant>
        <vt:i4>1048685</vt:i4>
      </vt:variant>
      <vt:variant>
        <vt:i4>426</vt:i4>
      </vt:variant>
      <vt:variant>
        <vt:i4>0</vt:i4>
      </vt:variant>
      <vt:variant>
        <vt:i4>5</vt:i4>
      </vt:variant>
      <vt:variant>
        <vt:lpwstr>mailto:cdcompliance@cpuc.ca.gov</vt:lpwstr>
      </vt:variant>
      <vt:variant>
        <vt:lpwstr/>
      </vt:variant>
      <vt:variant>
        <vt:i4>1048685</vt:i4>
      </vt:variant>
      <vt:variant>
        <vt:i4>423</vt:i4>
      </vt:variant>
      <vt:variant>
        <vt:i4>0</vt:i4>
      </vt:variant>
      <vt:variant>
        <vt:i4>5</vt:i4>
      </vt:variant>
      <vt:variant>
        <vt:lpwstr>mailto:cdcompliance@cpuc.ca.gov</vt:lpwstr>
      </vt:variant>
      <vt:variant>
        <vt:lpwstr/>
      </vt:variant>
      <vt:variant>
        <vt:i4>1048685</vt:i4>
      </vt:variant>
      <vt:variant>
        <vt:i4>420</vt:i4>
      </vt:variant>
      <vt:variant>
        <vt:i4>0</vt:i4>
      </vt:variant>
      <vt:variant>
        <vt:i4>5</vt:i4>
      </vt:variant>
      <vt:variant>
        <vt:lpwstr>mailto:cdcompliance@cpuc.ca.gov</vt:lpwstr>
      </vt:variant>
      <vt:variant>
        <vt:lpwstr/>
      </vt:variant>
      <vt:variant>
        <vt:i4>1048685</vt:i4>
      </vt:variant>
      <vt:variant>
        <vt:i4>417</vt:i4>
      </vt:variant>
      <vt:variant>
        <vt:i4>0</vt:i4>
      </vt:variant>
      <vt:variant>
        <vt:i4>5</vt:i4>
      </vt:variant>
      <vt:variant>
        <vt:lpwstr>mailto:cdcompliance@cpuc.ca.gov</vt:lpwstr>
      </vt:variant>
      <vt:variant>
        <vt:lpwstr/>
      </vt:variant>
      <vt:variant>
        <vt:i4>1048685</vt:i4>
      </vt:variant>
      <vt:variant>
        <vt:i4>414</vt:i4>
      </vt:variant>
      <vt:variant>
        <vt:i4>0</vt:i4>
      </vt:variant>
      <vt:variant>
        <vt:i4>5</vt:i4>
      </vt:variant>
      <vt:variant>
        <vt:lpwstr>mailto:CDCompliance@cpuc.ca.gov</vt:lpwstr>
      </vt:variant>
      <vt:variant>
        <vt:lpwstr/>
      </vt:variant>
      <vt:variant>
        <vt:i4>1048685</vt:i4>
      </vt:variant>
      <vt:variant>
        <vt:i4>411</vt:i4>
      </vt:variant>
      <vt:variant>
        <vt:i4>0</vt:i4>
      </vt:variant>
      <vt:variant>
        <vt:i4>5</vt:i4>
      </vt:variant>
      <vt:variant>
        <vt:lpwstr>mailto:CDCompliance@cpuc.ca.gov</vt:lpwstr>
      </vt:variant>
      <vt:variant>
        <vt:lpwstr/>
      </vt:variant>
      <vt:variant>
        <vt:i4>1048685</vt:i4>
      </vt:variant>
      <vt:variant>
        <vt:i4>408</vt:i4>
      </vt:variant>
      <vt:variant>
        <vt:i4>0</vt:i4>
      </vt:variant>
      <vt:variant>
        <vt:i4>5</vt:i4>
      </vt:variant>
      <vt:variant>
        <vt:lpwstr>mailto:CDCompliance@cpuc.ca.gov</vt:lpwstr>
      </vt:variant>
      <vt:variant>
        <vt:lpwstr/>
      </vt:variant>
      <vt:variant>
        <vt:i4>1048685</vt:i4>
      </vt:variant>
      <vt:variant>
        <vt:i4>405</vt:i4>
      </vt:variant>
      <vt:variant>
        <vt:i4>0</vt:i4>
      </vt:variant>
      <vt:variant>
        <vt:i4>5</vt:i4>
      </vt:variant>
      <vt:variant>
        <vt:lpwstr>mailto:CDCompliance@cpuc.ca.gov</vt:lpwstr>
      </vt:variant>
      <vt:variant>
        <vt:lpwstr/>
      </vt:variant>
      <vt:variant>
        <vt:i4>1048685</vt:i4>
      </vt:variant>
      <vt:variant>
        <vt:i4>402</vt:i4>
      </vt:variant>
      <vt:variant>
        <vt:i4>0</vt:i4>
      </vt:variant>
      <vt:variant>
        <vt:i4>5</vt:i4>
      </vt:variant>
      <vt:variant>
        <vt:lpwstr>mailto:CDcompliance@cpuc.ca.gov</vt:lpwstr>
      </vt:variant>
      <vt:variant>
        <vt:lpwstr/>
      </vt:variant>
      <vt:variant>
        <vt:i4>1048685</vt:i4>
      </vt:variant>
      <vt:variant>
        <vt:i4>399</vt:i4>
      </vt:variant>
      <vt:variant>
        <vt:i4>0</vt:i4>
      </vt:variant>
      <vt:variant>
        <vt:i4>5</vt:i4>
      </vt:variant>
      <vt:variant>
        <vt:lpwstr>mailto:CDCompliance@cpuc.ca.gov</vt:lpwstr>
      </vt:variant>
      <vt:variant>
        <vt:lpwstr/>
      </vt:variant>
      <vt:variant>
        <vt:i4>1048685</vt:i4>
      </vt:variant>
      <vt:variant>
        <vt:i4>396</vt:i4>
      </vt:variant>
      <vt:variant>
        <vt:i4>0</vt:i4>
      </vt:variant>
      <vt:variant>
        <vt:i4>5</vt:i4>
      </vt:variant>
      <vt:variant>
        <vt:lpwstr>mailto:cdcompliance@cpuc.ca.gov</vt:lpwstr>
      </vt:variant>
      <vt:variant>
        <vt:lpwstr/>
      </vt:variant>
      <vt:variant>
        <vt:i4>2031673</vt:i4>
      </vt:variant>
      <vt:variant>
        <vt:i4>389</vt:i4>
      </vt:variant>
      <vt:variant>
        <vt:i4>0</vt:i4>
      </vt:variant>
      <vt:variant>
        <vt:i4>5</vt:i4>
      </vt:variant>
      <vt:variant>
        <vt:lpwstr/>
      </vt:variant>
      <vt:variant>
        <vt:lpwstr>_Toc176770988</vt:lpwstr>
      </vt:variant>
      <vt:variant>
        <vt:i4>2031673</vt:i4>
      </vt:variant>
      <vt:variant>
        <vt:i4>383</vt:i4>
      </vt:variant>
      <vt:variant>
        <vt:i4>0</vt:i4>
      </vt:variant>
      <vt:variant>
        <vt:i4>5</vt:i4>
      </vt:variant>
      <vt:variant>
        <vt:lpwstr/>
      </vt:variant>
      <vt:variant>
        <vt:lpwstr>_Toc176770987</vt:lpwstr>
      </vt:variant>
      <vt:variant>
        <vt:i4>2031673</vt:i4>
      </vt:variant>
      <vt:variant>
        <vt:i4>377</vt:i4>
      </vt:variant>
      <vt:variant>
        <vt:i4>0</vt:i4>
      </vt:variant>
      <vt:variant>
        <vt:i4>5</vt:i4>
      </vt:variant>
      <vt:variant>
        <vt:lpwstr/>
      </vt:variant>
      <vt:variant>
        <vt:lpwstr>_Toc176770986</vt:lpwstr>
      </vt:variant>
      <vt:variant>
        <vt:i4>2031673</vt:i4>
      </vt:variant>
      <vt:variant>
        <vt:i4>371</vt:i4>
      </vt:variant>
      <vt:variant>
        <vt:i4>0</vt:i4>
      </vt:variant>
      <vt:variant>
        <vt:i4>5</vt:i4>
      </vt:variant>
      <vt:variant>
        <vt:lpwstr/>
      </vt:variant>
      <vt:variant>
        <vt:lpwstr>_Toc176770985</vt:lpwstr>
      </vt:variant>
      <vt:variant>
        <vt:i4>2031673</vt:i4>
      </vt:variant>
      <vt:variant>
        <vt:i4>365</vt:i4>
      </vt:variant>
      <vt:variant>
        <vt:i4>0</vt:i4>
      </vt:variant>
      <vt:variant>
        <vt:i4>5</vt:i4>
      </vt:variant>
      <vt:variant>
        <vt:lpwstr/>
      </vt:variant>
      <vt:variant>
        <vt:lpwstr>_Toc176770984</vt:lpwstr>
      </vt:variant>
      <vt:variant>
        <vt:i4>2031673</vt:i4>
      </vt:variant>
      <vt:variant>
        <vt:i4>359</vt:i4>
      </vt:variant>
      <vt:variant>
        <vt:i4>0</vt:i4>
      </vt:variant>
      <vt:variant>
        <vt:i4>5</vt:i4>
      </vt:variant>
      <vt:variant>
        <vt:lpwstr/>
      </vt:variant>
      <vt:variant>
        <vt:lpwstr>_Toc176770983</vt:lpwstr>
      </vt:variant>
      <vt:variant>
        <vt:i4>2031673</vt:i4>
      </vt:variant>
      <vt:variant>
        <vt:i4>353</vt:i4>
      </vt:variant>
      <vt:variant>
        <vt:i4>0</vt:i4>
      </vt:variant>
      <vt:variant>
        <vt:i4>5</vt:i4>
      </vt:variant>
      <vt:variant>
        <vt:lpwstr/>
      </vt:variant>
      <vt:variant>
        <vt:lpwstr>_Toc176770982</vt:lpwstr>
      </vt:variant>
      <vt:variant>
        <vt:i4>2031673</vt:i4>
      </vt:variant>
      <vt:variant>
        <vt:i4>347</vt:i4>
      </vt:variant>
      <vt:variant>
        <vt:i4>0</vt:i4>
      </vt:variant>
      <vt:variant>
        <vt:i4>5</vt:i4>
      </vt:variant>
      <vt:variant>
        <vt:lpwstr/>
      </vt:variant>
      <vt:variant>
        <vt:lpwstr>_Toc176770981</vt:lpwstr>
      </vt:variant>
      <vt:variant>
        <vt:i4>2031673</vt:i4>
      </vt:variant>
      <vt:variant>
        <vt:i4>341</vt:i4>
      </vt:variant>
      <vt:variant>
        <vt:i4>0</vt:i4>
      </vt:variant>
      <vt:variant>
        <vt:i4>5</vt:i4>
      </vt:variant>
      <vt:variant>
        <vt:lpwstr/>
      </vt:variant>
      <vt:variant>
        <vt:lpwstr>_Toc176770980</vt:lpwstr>
      </vt:variant>
      <vt:variant>
        <vt:i4>1048633</vt:i4>
      </vt:variant>
      <vt:variant>
        <vt:i4>335</vt:i4>
      </vt:variant>
      <vt:variant>
        <vt:i4>0</vt:i4>
      </vt:variant>
      <vt:variant>
        <vt:i4>5</vt:i4>
      </vt:variant>
      <vt:variant>
        <vt:lpwstr/>
      </vt:variant>
      <vt:variant>
        <vt:lpwstr>_Toc176770979</vt:lpwstr>
      </vt:variant>
      <vt:variant>
        <vt:i4>1048633</vt:i4>
      </vt:variant>
      <vt:variant>
        <vt:i4>329</vt:i4>
      </vt:variant>
      <vt:variant>
        <vt:i4>0</vt:i4>
      </vt:variant>
      <vt:variant>
        <vt:i4>5</vt:i4>
      </vt:variant>
      <vt:variant>
        <vt:lpwstr/>
      </vt:variant>
      <vt:variant>
        <vt:lpwstr>_Toc176770978</vt:lpwstr>
      </vt:variant>
      <vt:variant>
        <vt:i4>1048633</vt:i4>
      </vt:variant>
      <vt:variant>
        <vt:i4>323</vt:i4>
      </vt:variant>
      <vt:variant>
        <vt:i4>0</vt:i4>
      </vt:variant>
      <vt:variant>
        <vt:i4>5</vt:i4>
      </vt:variant>
      <vt:variant>
        <vt:lpwstr/>
      </vt:variant>
      <vt:variant>
        <vt:lpwstr>_Toc176770977</vt:lpwstr>
      </vt:variant>
      <vt:variant>
        <vt:i4>1048633</vt:i4>
      </vt:variant>
      <vt:variant>
        <vt:i4>317</vt:i4>
      </vt:variant>
      <vt:variant>
        <vt:i4>0</vt:i4>
      </vt:variant>
      <vt:variant>
        <vt:i4>5</vt:i4>
      </vt:variant>
      <vt:variant>
        <vt:lpwstr/>
      </vt:variant>
      <vt:variant>
        <vt:lpwstr>_Toc176770976</vt:lpwstr>
      </vt:variant>
      <vt:variant>
        <vt:i4>1048633</vt:i4>
      </vt:variant>
      <vt:variant>
        <vt:i4>311</vt:i4>
      </vt:variant>
      <vt:variant>
        <vt:i4>0</vt:i4>
      </vt:variant>
      <vt:variant>
        <vt:i4>5</vt:i4>
      </vt:variant>
      <vt:variant>
        <vt:lpwstr/>
      </vt:variant>
      <vt:variant>
        <vt:lpwstr>_Toc176770975</vt:lpwstr>
      </vt:variant>
      <vt:variant>
        <vt:i4>1048633</vt:i4>
      </vt:variant>
      <vt:variant>
        <vt:i4>305</vt:i4>
      </vt:variant>
      <vt:variant>
        <vt:i4>0</vt:i4>
      </vt:variant>
      <vt:variant>
        <vt:i4>5</vt:i4>
      </vt:variant>
      <vt:variant>
        <vt:lpwstr/>
      </vt:variant>
      <vt:variant>
        <vt:lpwstr>_Toc176770974</vt:lpwstr>
      </vt:variant>
      <vt:variant>
        <vt:i4>1048633</vt:i4>
      </vt:variant>
      <vt:variant>
        <vt:i4>299</vt:i4>
      </vt:variant>
      <vt:variant>
        <vt:i4>0</vt:i4>
      </vt:variant>
      <vt:variant>
        <vt:i4>5</vt:i4>
      </vt:variant>
      <vt:variant>
        <vt:lpwstr/>
      </vt:variant>
      <vt:variant>
        <vt:lpwstr>_Toc176770973</vt:lpwstr>
      </vt:variant>
      <vt:variant>
        <vt:i4>1048633</vt:i4>
      </vt:variant>
      <vt:variant>
        <vt:i4>293</vt:i4>
      </vt:variant>
      <vt:variant>
        <vt:i4>0</vt:i4>
      </vt:variant>
      <vt:variant>
        <vt:i4>5</vt:i4>
      </vt:variant>
      <vt:variant>
        <vt:lpwstr/>
      </vt:variant>
      <vt:variant>
        <vt:lpwstr>_Toc176770972</vt:lpwstr>
      </vt:variant>
      <vt:variant>
        <vt:i4>1048633</vt:i4>
      </vt:variant>
      <vt:variant>
        <vt:i4>287</vt:i4>
      </vt:variant>
      <vt:variant>
        <vt:i4>0</vt:i4>
      </vt:variant>
      <vt:variant>
        <vt:i4>5</vt:i4>
      </vt:variant>
      <vt:variant>
        <vt:lpwstr/>
      </vt:variant>
      <vt:variant>
        <vt:lpwstr>_Toc176770971</vt:lpwstr>
      </vt:variant>
      <vt:variant>
        <vt:i4>1048633</vt:i4>
      </vt:variant>
      <vt:variant>
        <vt:i4>281</vt:i4>
      </vt:variant>
      <vt:variant>
        <vt:i4>0</vt:i4>
      </vt:variant>
      <vt:variant>
        <vt:i4>5</vt:i4>
      </vt:variant>
      <vt:variant>
        <vt:lpwstr/>
      </vt:variant>
      <vt:variant>
        <vt:lpwstr>_Toc176770970</vt:lpwstr>
      </vt:variant>
      <vt:variant>
        <vt:i4>1114169</vt:i4>
      </vt:variant>
      <vt:variant>
        <vt:i4>275</vt:i4>
      </vt:variant>
      <vt:variant>
        <vt:i4>0</vt:i4>
      </vt:variant>
      <vt:variant>
        <vt:i4>5</vt:i4>
      </vt:variant>
      <vt:variant>
        <vt:lpwstr/>
      </vt:variant>
      <vt:variant>
        <vt:lpwstr>_Toc176770969</vt:lpwstr>
      </vt:variant>
      <vt:variant>
        <vt:i4>1114169</vt:i4>
      </vt:variant>
      <vt:variant>
        <vt:i4>269</vt:i4>
      </vt:variant>
      <vt:variant>
        <vt:i4>0</vt:i4>
      </vt:variant>
      <vt:variant>
        <vt:i4>5</vt:i4>
      </vt:variant>
      <vt:variant>
        <vt:lpwstr/>
      </vt:variant>
      <vt:variant>
        <vt:lpwstr>_Toc176770968</vt:lpwstr>
      </vt:variant>
      <vt:variant>
        <vt:i4>1114169</vt:i4>
      </vt:variant>
      <vt:variant>
        <vt:i4>263</vt:i4>
      </vt:variant>
      <vt:variant>
        <vt:i4>0</vt:i4>
      </vt:variant>
      <vt:variant>
        <vt:i4>5</vt:i4>
      </vt:variant>
      <vt:variant>
        <vt:lpwstr/>
      </vt:variant>
      <vt:variant>
        <vt:lpwstr>_Toc176770967</vt:lpwstr>
      </vt:variant>
      <vt:variant>
        <vt:i4>1114169</vt:i4>
      </vt:variant>
      <vt:variant>
        <vt:i4>257</vt:i4>
      </vt:variant>
      <vt:variant>
        <vt:i4>0</vt:i4>
      </vt:variant>
      <vt:variant>
        <vt:i4>5</vt:i4>
      </vt:variant>
      <vt:variant>
        <vt:lpwstr/>
      </vt:variant>
      <vt:variant>
        <vt:lpwstr>_Toc176770966</vt:lpwstr>
      </vt:variant>
      <vt:variant>
        <vt:i4>1114169</vt:i4>
      </vt:variant>
      <vt:variant>
        <vt:i4>251</vt:i4>
      </vt:variant>
      <vt:variant>
        <vt:i4>0</vt:i4>
      </vt:variant>
      <vt:variant>
        <vt:i4>5</vt:i4>
      </vt:variant>
      <vt:variant>
        <vt:lpwstr/>
      </vt:variant>
      <vt:variant>
        <vt:lpwstr>_Toc176770965</vt:lpwstr>
      </vt:variant>
      <vt:variant>
        <vt:i4>1114169</vt:i4>
      </vt:variant>
      <vt:variant>
        <vt:i4>245</vt:i4>
      </vt:variant>
      <vt:variant>
        <vt:i4>0</vt:i4>
      </vt:variant>
      <vt:variant>
        <vt:i4>5</vt:i4>
      </vt:variant>
      <vt:variant>
        <vt:lpwstr/>
      </vt:variant>
      <vt:variant>
        <vt:lpwstr>_Toc176770964</vt:lpwstr>
      </vt:variant>
      <vt:variant>
        <vt:i4>1114169</vt:i4>
      </vt:variant>
      <vt:variant>
        <vt:i4>239</vt:i4>
      </vt:variant>
      <vt:variant>
        <vt:i4>0</vt:i4>
      </vt:variant>
      <vt:variant>
        <vt:i4>5</vt:i4>
      </vt:variant>
      <vt:variant>
        <vt:lpwstr/>
      </vt:variant>
      <vt:variant>
        <vt:lpwstr>_Toc176770963</vt:lpwstr>
      </vt:variant>
      <vt:variant>
        <vt:i4>1114169</vt:i4>
      </vt:variant>
      <vt:variant>
        <vt:i4>233</vt:i4>
      </vt:variant>
      <vt:variant>
        <vt:i4>0</vt:i4>
      </vt:variant>
      <vt:variant>
        <vt:i4>5</vt:i4>
      </vt:variant>
      <vt:variant>
        <vt:lpwstr/>
      </vt:variant>
      <vt:variant>
        <vt:lpwstr>_Toc176770962</vt:lpwstr>
      </vt:variant>
      <vt:variant>
        <vt:i4>1114169</vt:i4>
      </vt:variant>
      <vt:variant>
        <vt:i4>227</vt:i4>
      </vt:variant>
      <vt:variant>
        <vt:i4>0</vt:i4>
      </vt:variant>
      <vt:variant>
        <vt:i4>5</vt:i4>
      </vt:variant>
      <vt:variant>
        <vt:lpwstr/>
      </vt:variant>
      <vt:variant>
        <vt:lpwstr>_Toc176770961</vt:lpwstr>
      </vt:variant>
      <vt:variant>
        <vt:i4>1114169</vt:i4>
      </vt:variant>
      <vt:variant>
        <vt:i4>221</vt:i4>
      </vt:variant>
      <vt:variant>
        <vt:i4>0</vt:i4>
      </vt:variant>
      <vt:variant>
        <vt:i4>5</vt:i4>
      </vt:variant>
      <vt:variant>
        <vt:lpwstr/>
      </vt:variant>
      <vt:variant>
        <vt:lpwstr>_Toc176770960</vt:lpwstr>
      </vt:variant>
      <vt:variant>
        <vt:i4>1179705</vt:i4>
      </vt:variant>
      <vt:variant>
        <vt:i4>215</vt:i4>
      </vt:variant>
      <vt:variant>
        <vt:i4>0</vt:i4>
      </vt:variant>
      <vt:variant>
        <vt:i4>5</vt:i4>
      </vt:variant>
      <vt:variant>
        <vt:lpwstr/>
      </vt:variant>
      <vt:variant>
        <vt:lpwstr>_Toc176770959</vt:lpwstr>
      </vt:variant>
      <vt:variant>
        <vt:i4>1179705</vt:i4>
      </vt:variant>
      <vt:variant>
        <vt:i4>209</vt:i4>
      </vt:variant>
      <vt:variant>
        <vt:i4>0</vt:i4>
      </vt:variant>
      <vt:variant>
        <vt:i4>5</vt:i4>
      </vt:variant>
      <vt:variant>
        <vt:lpwstr/>
      </vt:variant>
      <vt:variant>
        <vt:lpwstr>_Toc176770958</vt:lpwstr>
      </vt:variant>
      <vt:variant>
        <vt:i4>1179705</vt:i4>
      </vt:variant>
      <vt:variant>
        <vt:i4>203</vt:i4>
      </vt:variant>
      <vt:variant>
        <vt:i4>0</vt:i4>
      </vt:variant>
      <vt:variant>
        <vt:i4>5</vt:i4>
      </vt:variant>
      <vt:variant>
        <vt:lpwstr/>
      </vt:variant>
      <vt:variant>
        <vt:lpwstr>_Toc176770957</vt:lpwstr>
      </vt:variant>
      <vt:variant>
        <vt:i4>1179705</vt:i4>
      </vt:variant>
      <vt:variant>
        <vt:i4>197</vt:i4>
      </vt:variant>
      <vt:variant>
        <vt:i4>0</vt:i4>
      </vt:variant>
      <vt:variant>
        <vt:i4>5</vt:i4>
      </vt:variant>
      <vt:variant>
        <vt:lpwstr/>
      </vt:variant>
      <vt:variant>
        <vt:lpwstr>_Toc176770956</vt:lpwstr>
      </vt:variant>
      <vt:variant>
        <vt:i4>1179705</vt:i4>
      </vt:variant>
      <vt:variant>
        <vt:i4>191</vt:i4>
      </vt:variant>
      <vt:variant>
        <vt:i4>0</vt:i4>
      </vt:variant>
      <vt:variant>
        <vt:i4>5</vt:i4>
      </vt:variant>
      <vt:variant>
        <vt:lpwstr/>
      </vt:variant>
      <vt:variant>
        <vt:lpwstr>_Toc176770955</vt:lpwstr>
      </vt:variant>
      <vt:variant>
        <vt:i4>1179705</vt:i4>
      </vt:variant>
      <vt:variant>
        <vt:i4>185</vt:i4>
      </vt:variant>
      <vt:variant>
        <vt:i4>0</vt:i4>
      </vt:variant>
      <vt:variant>
        <vt:i4>5</vt:i4>
      </vt:variant>
      <vt:variant>
        <vt:lpwstr/>
      </vt:variant>
      <vt:variant>
        <vt:lpwstr>_Toc176770954</vt:lpwstr>
      </vt:variant>
      <vt:variant>
        <vt:i4>1179705</vt:i4>
      </vt:variant>
      <vt:variant>
        <vt:i4>179</vt:i4>
      </vt:variant>
      <vt:variant>
        <vt:i4>0</vt:i4>
      </vt:variant>
      <vt:variant>
        <vt:i4>5</vt:i4>
      </vt:variant>
      <vt:variant>
        <vt:lpwstr/>
      </vt:variant>
      <vt:variant>
        <vt:lpwstr>_Toc176770953</vt:lpwstr>
      </vt:variant>
      <vt:variant>
        <vt:i4>1179705</vt:i4>
      </vt:variant>
      <vt:variant>
        <vt:i4>173</vt:i4>
      </vt:variant>
      <vt:variant>
        <vt:i4>0</vt:i4>
      </vt:variant>
      <vt:variant>
        <vt:i4>5</vt:i4>
      </vt:variant>
      <vt:variant>
        <vt:lpwstr/>
      </vt:variant>
      <vt:variant>
        <vt:lpwstr>_Toc176770952</vt:lpwstr>
      </vt:variant>
      <vt:variant>
        <vt:i4>1179705</vt:i4>
      </vt:variant>
      <vt:variant>
        <vt:i4>167</vt:i4>
      </vt:variant>
      <vt:variant>
        <vt:i4>0</vt:i4>
      </vt:variant>
      <vt:variant>
        <vt:i4>5</vt:i4>
      </vt:variant>
      <vt:variant>
        <vt:lpwstr/>
      </vt:variant>
      <vt:variant>
        <vt:lpwstr>_Toc176770951</vt:lpwstr>
      </vt:variant>
      <vt:variant>
        <vt:i4>1179705</vt:i4>
      </vt:variant>
      <vt:variant>
        <vt:i4>161</vt:i4>
      </vt:variant>
      <vt:variant>
        <vt:i4>0</vt:i4>
      </vt:variant>
      <vt:variant>
        <vt:i4>5</vt:i4>
      </vt:variant>
      <vt:variant>
        <vt:lpwstr/>
      </vt:variant>
      <vt:variant>
        <vt:lpwstr>_Toc176770950</vt:lpwstr>
      </vt:variant>
      <vt:variant>
        <vt:i4>1245241</vt:i4>
      </vt:variant>
      <vt:variant>
        <vt:i4>155</vt:i4>
      </vt:variant>
      <vt:variant>
        <vt:i4>0</vt:i4>
      </vt:variant>
      <vt:variant>
        <vt:i4>5</vt:i4>
      </vt:variant>
      <vt:variant>
        <vt:lpwstr/>
      </vt:variant>
      <vt:variant>
        <vt:lpwstr>_Toc176770949</vt:lpwstr>
      </vt:variant>
      <vt:variant>
        <vt:i4>1245241</vt:i4>
      </vt:variant>
      <vt:variant>
        <vt:i4>149</vt:i4>
      </vt:variant>
      <vt:variant>
        <vt:i4>0</vt:i4>
      </vt:variant>
      <vt:variant>
        <vt:i4>5</vt:i4>
      </vt:variant>
      <vt:variant>
        <vt:lpwstr/>
      </vt:variant>
      <vt:variant>
        <vt:lpwstr>_Toc176770948</vt:lpwstr>
      </vt:variant>
      <vt:variant>
        <vt:i4>1245241</vt:i4>
      </vt:variant>
      <vt:variant>
        <vt:i4>143</vt:i4>
      </vt:variant>
      <vt:variant>
        <vt:i4>0</vt:i4>
      </vt:variant>
      <vt:variant>
        <vt:i4>5</vt:i4>
      </vt:variant>
      <vt:variant>
        <vt:lpwstr/>
      </vt:variant>
      <vt:variant>
        <vt:lpwstr>_Toc176770947</vt:lpwstr>
      </vt:variant>
      <vt:variant>
        <vt:i4>1245241</vt:i4>
      </vt:variant>
      <vt:variant>
        <vt:i4>137</vt:i4>
      </vt:variant>
      <vt:variant>
        <vt:i4>0</vt:i4>
      </vt:variant>
      <vt:variant>
        <vt:i4>5</vt:i4>
      </vt:variant>
      <vt:variant>
        <vt:lpwstr/>
      </vt:variant>
      <vt:variant>
        <vt:lpwstr>_Toc176770946</vt:lpwstr>
      </vt:variant>
      <vt:variant>
        <vt:i4>1245241</vt:i4>
      </vt:variant>
      <vt:variant>
        <vt:i4>131</vt:i4>
      </vt:variant>
      <vt:variant>
        <vt:i4>0</vt:i4>
      </vt:variant>
      <vt:variant>
        <vt:i4>5</vt:i4>
      </vt:variant>
      <vt:variant>
        <vt:lpwstr/>
      </vt:variant>
      <vt:variant>
        <vt:lpwstr>_Toc176770945</vt:lpwstr>
      </vt:variant>
      <vt:variant>
        <vt:i4>1245241</vt:i4>
      </vt:variant>
      <vt:variant>
        <vt:i4>125</vt:i4>
      </vt:variant>
      <vt:variant>
        <vt:i4>0</vt:i4>
      </vt:variant>
      <vt:variant>
        <vt:i4>5</vt:i4>
      </vt:variant>
      <vt:variant>
        <vt:lpwstr/>
      </vt:variant>
      <vt:variant>
        <vt:lpwstr>_Toc176770944</vt:lpwstr>
      </vt:variant>
      <vt:variant>
        <vt:i4>1245241</vt:i4>
      </vt:variant>
      <vt:variant>
        <vt:i4>119</vt:i4>
      </vt:variant>
      <vt:variant>
        <vt:i4>0</vt:i4>
      </vt:variant>
      <vt:variant>
        <vt:i4>5</vt:i4>
      </vt:variant>
      <vt:variant>
        <vt:lpwstr/>
      </vt:variant>
      <vt:variant>
        <vt:lpwstr>_Toc176770943</vt:lpwstr>
      </vt:variant>
      <vt:variant>
        <vt:i4>1245241</vt:i4>
      </vt:variant>
      <vt:variant>
        <vt:i4>113</vt:i4>
      </vt:variant>
      <vt:variant>
        <vt:i4>0</vt:i4>
      </vt:variant>
      <vt:variant>
        <vt:i4>5</vt:i4>
      </vt:variant>
      <vt:variant>
        <vt:lpwstr/>
      </vt:variant>
      <vt:variant>
        <vt:lpwstr>_Toc176770942</vt:lpwstr>
      </vt:variant>
      <vt:variant>
        <vt:i4>1245241</vt:i4>
      </vt:variant>
      <vt:variant>
        <vt:i4>107</vt:i4>
      </vt:variant>
      <vt:variant>
        <vt:i4>0</vt:i4>
      </vt:variant>
      <vt:variant>
        <vt:i4>5</vt:i4>
      </vt:variant>
      <vt:variant>
        <vt:lpwstr/>
      </vt:variant>
      <vt:variant>
        <vt:lpwstr>_Toc176770941</vt:lpwstr>
      </vt:variant>
      <vt:variant>
        <vt:i4>1245241</vt:i4>
      </vt:variant>
      <vt:variant>
        <vt:i4>101</vt:i4>
      </vt:variant>
      <vt:variant>
        <vt:i4>0</vt:i4>
      </vt:variant>
      <vt:variant>
        <vt:i4>5</vt:i4>
      </vt:variant>
      <vt:variant>
        <vt:lpwstr/>
      </vt:variant>
      <vt:variant>
        <vt:lpwstr>_Toc176770940</vt:lpwstr>
      </vt:variant>
      <vt:variant>
        <vt:i4>1310777</vt:i4>
      </vt:variant>
      <vt:variant>
        <vt:i4>95</vt:i4>
      </vt:variant>
      <vt:variant>
        <vt:i4>0</vt:i4>
      </vt:variant>
      <vt:variant>
        <vt:i4>5</vt:i4>
      </vt:variant>
      <vt:variant>
        <vt:lpwstr/>
      </vt:variant>
      <vt:variant>
        <vt:lpwstr>_Toc176770939</vt:lpwstr>
      </vt:variant>
      <vt:variant>
        <vt:i4>1310777</vt:i4>
      </vt:variant>
      <vt:variant>
        <vt:i4>89</vt:i4>
      </vt:variant>
      <vt:variant>
        <vt:i4>0</vt:i4>
      </vt:variant>
      <vt:variant>
        <vt:i4>5</vt:i4>
      </vt:variant>
      <vt:variant>
        <vt:lpwstr/>
      </vt:variant>
      <vt:variant>
        <vt:lpwstr>_Toc176770938</vt:lpwstr>
      </vt:variant>
      <vt:variant>
        <vt:i4>1310777</vt:i4>
      </vt:variant>
      <vt:variant>
        <vt:i4>83</vt:i4>
      </vt:variant>
      <vt:variant>
        <vt:i4>0</vt:i4>
      </vt:variant>
      <vt:variant>
        <vt:i4>5</vt:i4>
      </vt:variant>
      <vt:variant>
        <vt:lpwstr/>
      </vt:variant>
      <vt:variant>
        <vt:lpwstr>_Toc176770937</vt:lpwstr>
      </vt:variant>
      <vt:variant>
        <vt:i4>1310777</vt:i4>
      </vt:variant>
      <vt:variant>
        <vt:i4>77</vt:i4>
      </vt:variant>
      <vt:variant>
        <vt:i4>0</vt:i4>
      </vt:variant>
      <vt:variant>
        <vt:i4>5</vt:i4>
      </vt:variant>
      <vt:variant>
        <vt:lpwstr/>
      </vt:variant>
      <vt:variant>
        <vt:lpwstr>_Toc176770936</vt:lpwstr>
      </vt:variant>
      <vt:variant>
        <vt:i4>1310777</vt:i4>
      </vt:variant>
      <vt:variant>
        <vt:i4>71</vt:i4>
      </vt:variant>
      <vt:variant>
        <vt:i4>0</vt:i4>
      </vt:variant>
      <vt:variant>
        <vt:i4>5</vt:i4>
      </vt:variant>
      <vt:variant>
        <vt:lpwstr/>
      </vt:variant>
      <vt:variant>
        <vt:lpwstr>_Toc176770935</vt:lpwstr>
      </vt:variant>
      <vt:variant>
        <vt:i4>1310777</vt:i4>
      </vt:variant>
      <vt:variant>
        <vt:i4>65</vt:i4>
      </vt:variant>
      <vt:variant>
        <vt:i4>0</vt:i4>
      </vt:variant>
      <vt:variant>
        <vt:i4>5</vt:i4>
      </vt:variant>
      <vt:variant>
        <vt:lpwstr/>
      </vt:variant>
      <vt:variant>
        <vt:lpwstr>_Toc176770934</vt:lpwstr>
      </vt:variant>
      <vt:variant>
        <vt:i4>1310777</vt:i4>
      </vt:variant>
      <vt:variant>
        <vt:i4>59</vt:i4>
      </vt:variant>
      <vt:variant>
        <vt:i4>0</vt:i4>
      </vt:variant>
      <vt:variant>
        <vt:i4>5</vt:i4>
      </vt:variant>
      <vt:variant>
        <vt:lpwstr/>
      </vt:variant>
      <vt:variant>
        <vt:lpwstr>_Toc176770933</vt:lpwstr>
      </vt:variant>
      <vt:variant>
        <vt:i4>1310777</vt:i4>
      </vt:variant>
      <vt:variant>
        <vt:i4>53</vt:i4>
      </vt:variant>
      <vt:variant>
        <vt:i4>0</vt:i4>
      </vt:variant>
      <vt:variant>
        <vt:i4>5</vt:i4>
      </vt:variant>
      <vt:variant>
        <vt:lpwstr/>
      </vt:variant>
      <vt:variant>
        <vt:lpwstr>_Toc176770932</vt:lpwstr>
      </vt:variant>
      <vt:variant>
        <vt:i4>1310777</vt:i4>
      </vt:variant>
      <vt:variant>
        <vt:i4>47</vt:i4>
      </vt:variant>
      <vt:variant>
        <vt:i4>0</vt:i4>
      </vt:variant>
      <vt:variant>
        <vt:i4>5</vt:i4>
      </vt:variant>
      <vt:variant>
        <vt:lpwstr/>
      </vt:variant>
      <vt:variant>
        <vt:lpwstr>_Toc176770931</vt:lpwstr>
      </vt:variant>
      <vt:variant>
        <vt:i4>1310777</vt:i4>
      </vt:variant>
      <vt:variant>
        <vt:i4>41</vt:i4>
      </vt:variant>
      <vt:variant>
        <vt:i4>0</vt:i4>
      </vt:variant>
      <vt:variant>
        <vt:i4>5</vt:i4>
      </vt:variant>
      <vt:variant>
        <vt:lpwstr/>
      </vt:variant>
      <vt:variant>
        <vt:lpwstr>_Toc176770930</vt:lpwstr>
      </vt:variant>
      <vt:variant>
        <vt:i4>1376313</vt:i4>
      </vt:variant>
      <vt:variant>
        <vt:i4>35</vt:i4>
      </vt:variant>
      <vt:variant>
        <vt:i4>0</vt:i4>
      </vt:variant>
      <vt:variant>
        <vt:i4>5</vt:i4>
      </vt:variant>
      <vt:variant>
        <vt:lpwstr/>
      </vt:variant>
      <vt:variant>
        <vt:lpwstr>_Toc176770929</vt:lpwstr>
      </vt:variant>
      <vt:variant>
        <vt:i4>1376313</vt:i4>
      </vt:variant>
      <vt:variant>
        <vt:i4>29</vt:i4>
      </vt:variant>
      <vt:variant>
        <vt:i4>0</vt:i4>
      </vt:variant>
      <vt:variant>
        <vt:i4>5</vt:i4>
      </vt:variant>
      <vt:variant>
        <vt:lpwstr/>
      </vt:variant>
      <vt:variant>
        <vt:lpwstr>_Toc176770928</vt:lpwstr>
      </vt:variant>
      <vt:variant>
        <vt:i4>1376313</vt:i4>
      </vt:variant>
      <vt:variant>
        <vt:i4>23</vt:i4>
      </vt:variant>
      <vt:variant>
        <vt:i4>0</vt:i4>
      </vt:variant>
      <vt:variant>
        <vt:i4>5</vt:i4>
      </vt:variant>
      <vt:variant>
        <vt:lpwstr/>
      </vt:variant>
      <vt:variant>
        <vt:lpwstr>_Toc176770927</vt:lpwstr>
      </vt:variant>
      <vt:variant>
        <vt:i4>1376313</vt:i4>
      </vt:variant>
      <vt:variant>
        <vt:i4>17</vt:i4>
      </vt:variant>
      <vt:variant>
        <vt:i4>0</vt:i4>
      </vt:variant>
      <vt:variant>
        <vt:i4>5</vt:i4>
      </vt:variant>
      <vt:variant>
        <vt:lpwstr/>
      </vt:variant>
      <vt:variant>
        <vt:lpwstr>_Toc176770926</vt:lpwstr>
      </vt:variant>
      <vt:variant>
        <vt:i4>1376313</vt:i4>
      </vt:variant>
      <vt:variant>
        <vt:i4>11</vt:i4>
      </vt:variant>
      <vt:variant>
        <vt:i4>0</vt:i4>
      </vt:variant>
      <vt:variant>
        <vt:i4>5</vt:i4>
      </vt:variant>
      <vt:variant>
        <vt:lpwstr/>
      </vt:variant>
      <vt:variant>
        <vt:lpwstr>_Toc176770925</vt:lpwstr>
      </vt:variant>
      <vt:variant>
        <vt:i4>1376313</vt:i4>
      </vt:variant>
      <vt:variant>
        <vt:i4>5</vt:i4>
      </vt:variant>
      <vt:variant>
        <vt:i4>0</vt:i4>
      </vt:variant>
      <vt:variant>
        <vt:i4>5</vt:i4>
      </vt:variant>
      <vt:variant>
        <vt:lpwstr/>
      </vt:variant>
      <vt:variant>
        <vt:lpwstr>_Toc176770924</vt:lpwstr>
      </vt:variant>
      <vt:variant>
        <vt:i4>4718673</vt:i4>
      </vt:variant>
      <vt:variant>
        <vt:i4>15</vt:i4>
      </vt:variant>
      <vt:variant>
        <vt:i4>0</vt:i4>
      </vt:variant>
      <vt:variant>
        <vt:i4>5</vt:i4>
      </vt:variant>
      <vt:variant>
        <vt:lpwstr>https://docs.cpuc.ca.gov/PublishedDocs/WORD_PDF/FINAL_DECISION/81277.PDF</vt:lpwstr>
      </vt:variant>
      <vt:variant>
        <vt:lpwstr/>
      </vt:variant>
      <vt:variant>
        <vt:i4>2949143</vt:i4>
      </vt:variant>
      <vt:variant>
        <vt:i4>12</vt:i4>
      </vt:variant>
      <vt:variant>
        <vt:i4>0</vt:i4>
      </vt:variant>
      <vt:variant>
        <vt:i4>5</vt:i4>
      </vt:variant>
      <vt:variant>
        <vt:lpwstr>https://www.cpuc.ca.gov/-/media/cpuc-website/divisions/communications-division/documents/high-cost-support-and-surcharges/chcf-a-1/ilec-territories-2023_230412.pdf</vt:lpwstr>
      </vt:variant>
      <vt:variant>
        <vt:lpwstr/>
      </vt:variant>
      <vt:variant>
        <vt:i4>4718673</vt:i4>
      </vt:variant>
      <vt:variant>
        <vt:i4>9</vt:i4>
      </vt:variant>
      <vt:variant>
        <vt:i4>0</vt:i4>
      </vt:variant>
      <vt:variant>
        <vt:i4>5</vt:i4>
      </vt:variant>
      <vt:variant>
        <vt:lpwstr>https://docs.cpuc.ca.gov/PublishedDocs/WORD_PDF/FINAL_DECISION/81277.PDF</vt:lpwstr>
      </vt:variant>
      <vt:variant>
        <vt:lpwstr/>
      </vt:variant>
      <vt:variant>
        <vt:i4>7143530</vt:i4>
      </vt:variant>
      <vt:variant>
        <vt:i4>6</vt:i4>
      </vt:variant>
      <vt:variant>
        <vt:i4>0</vt:i4>
      </vt:variant>
      <vt:variant>
        <vt:i4>5</vt:i4>
      </vt:variant>
      <vt:variant>
        <vt:lpwstr>https://www.cpuc.ca.gov/industries-and-topics/internet-and-phone/carrier-reporting-requirements/annual-report-forms</vt:lpwstr>
      </vt:variant>
      <vt:variant>
        <vt:lpwstr/>
      </vt:variant>
      <vt:variant>
        <vt:i4>7143530</vt:i4>
      </vt:variant>
      <vt:variant>
        <vt:i4>3</vt:i4>
      </vt:variant>
      <vt:variant>
        <vt:i4>0</vt:i4>
      </vt:variant>
      <vt:variant>
        <vt:i4>5</vt:i4>
      </vt:variant>
      <vt:variant>
        <vt:lpwstr>https://www.cpuc.ca.gov/industries-and-topics/internet-and-phone/carrier-reporting-requirements/annual-report-forms</vt:lpwstr>
      </vt:variant>
      <vt:variant>
        <vt:lpwstr/>
      </vt:variant>
      <vt:variant>
        <vt:i4>7929980</vt:i4>
      </vt:variant>
      <vt:variant>
        <vt:i4>0</vt:i4>
      </vt:variant>
      <vt:variant>
        <vt:i4>0</vt:i4>
      </vt:variant>
      <vt:variant>
        <vt:i4>5</vt:i4>
      </vt:variant>
      <vt:variant>
        <vt:lpwstr>https://apps.cpuc.ca.gov/apex/f?p=102:1</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2024-11-05T01:05:00Z</cp:lastPrinted>
  <dcterms:created xsi:type="dcterms:W3CDTF">2024-11-06T11:25:54Z</dcterms:created>
  <dcterms:modified xsi:type="dcterms:W3CDTF">2024-11-06T11:25:54Z</dcterms:modified>
</cp:coreProperties>
</file>