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421" w:rsidP="00327C62" w:rsidRDefault="00514B68" w14:paraId="28A693E3" w14:textId="19356A80">
      <w:pPr>
        <w:tabs>
          <w:tab w:val="center" w:pos="4140"/>
          <w:tab w:val="right" w:pos="9360"/>
        </w:tabs>
        <w:spacing w:line="240" w:lineRule="auto"/>
        <w:ind w:firstLine="0"/>
      </w:pPr>
      <w:r>
        <w:t>ALJ</w:t>
      </w:r>
      <w:r w:rsidR="00DA7B5D">
        <w:t>/</w:t>
      </w:r>
      <w:r>
        <w:t>JR7</w:t>
      </w:r>
      <w:r w:rsidR="00DA7B5D">
        <w:t>/</w:t>
      </w:r>
      <w:r w:rsidR="00F77344">
        <w:t>avs</w:t>
      </w:r>
      <w:r w:rsidR="007E0FEE">
        <w:tab/>
      </w:r>
      <w:r w:rsidR="00DA7B5D">
        <w:rPr>
          <w:rFonts w:ascii="Arial" w:hAnsi="Arial" w:cs="Arial"/>
          <w:b/>
          <w:sz w:val="32"/>
          <w:szCs w:val="32"/>
        </w:rPr>
        <w:t>PROPOSED DECISION</w:t>
      </w:r>
      <w:r w:rsidR="00DA7B5D">
        <w:tab/>
      </w:r>
      <w:r w:rsidRPr="00EE4315" w:rsidR="00DA7B5D">
        <w:rPr>
          <w:b/>
        </w:rPr>
        <w:t>Agenda ID #</w:t>
      </w:r>
      <w:r w:rsidR="00212EF8">
        <w:rPr>
          <w:b/>
        </w:rPr>
        <w:t>23115</w:t>
      </w:r>
      <w:r w:rsidR="00327C62">
        <w:rPr>
          <w:b/>
        </w:rPr>
        <w:t xml:space="preserve"> (REV. 1)</w:t>
      </w:r>
    </w:p>
    <w:p w:rsidR="00DA7B5D" w:rsidP="00632207" w:rsidRDefault="00F77344" w14:paraId="19842397" w14:textId="75E44BA3">
      <w:pPr>
        <w:spacing w:line="240" w:lineRule="auto"/>
        <w:jc w:val="right"/>
        <w:rPr>
          <w:b/>
        </w:rPr>
      </w:pPr>
      <w:r>
        <w:rPr>
          <w:b/>
        </w:rPr>
        <w:t>Ratesetting</w:t>
      </w:r>
    </w:p>
    <w:p w:rsidRPr="00EE4315" w:rsidR="00327C62" w:rsidP="00632207" w:rsidRDefault="00327C62" w14:paraId="73AB1476" w14:textId="09DB1EBC">
      <w:pPr>
        <w:spacing w:line="240" w:lineRule="auto"/>
        <w:jc w:val="right"/>
        <w:rPr>
          <w:b/>
        </w:rPr>
      </w:pPr>
      <w:r>
        <w:rPr>
          <w:b/>
        </w:rPr>
        <w:t>12/19/2024  Item 30</w:t>
      </w:r>
    </w:p>
    <w:p w:rsidR="00DA7B5D" w:rsidP="008F0116" w:rsidRDefault="00DA7B5D" w14:paraId="7D560D33" w14:textId="77777777">
      <w:pPr>
        <w:ind w:firstLine="0"/>
      </w:pPr>
    </w:p>
    <w:p w:rsidRPr="00EE3060" w:rsidR="00DA7B5D" w:rsidP="0098655A" w:rsidRDefault="00DA7B5D" w14:paraId="69456A51" w14:textId="7734CB8E">
      <w:pPr>
        <w:ind w:left="1080" w:hanging="1080"/>
      </w:pPr>
      <w:r>
        <w:t xml:space="preserve">Decision </w:t>
      </w:r>
      <w:r w:rsidRPr="00F77344" w:rsidR="00F77344">
        <w:rPr>
          <w:b/>
          <w:bCs/>
          <w:u w:val="single"/>
        </w:rPr>
        <w:t>PROPOSED DECISION OF ALJ REGNIER</w:t>
      </w:r>
      <w:r w:rsidRPr="00F77344" w:rsidR="00F77344">
        <w:rPr>
          <w:b/>
          <w:bCs/>
        </w:rPr>
        <w:t xml:space="preserve">  (Mailed 11/</w:t>
      </w:r>
      <w:r w:rsidR="00212EF8">
        <w:rPr>
          <w:b/>
          <w:bCs/>
        </w:rPr>
        <w:t>25</w:t>
      </w:r>
      <w:r w:rsidRPr="00F77344" w:rsidR="00F77344">
        <w:rPr>
          <w:b/>
          <w:bCs/>
        </w:rPr>
        <w:t>/2024)</w:t>
      </w:r>
    </w:p>
    <w:p w:rsidR="00DA7B5D" w:rsidP="00BB0243" w:rsidRDefault="00DA7B5D" w14:paraId="270C8AF5" w14:textId="77777777">
      <w:pPr>
        <w:spacing w:line="240" w:lineRule="auto"/>
        <w:jc w:val="center"/>
        <w:rPr>
          <w:u w:val="single"/>
        </w:rPr>
      </w:pPr>
    </w:p>
    <w:p w:rsidR="00DA7B5D" w:rsidP="00BB0243" w:rsidRDefault="00DA7B5D" w14:paraId="273B9134"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333E3436"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13EC7C71" w14:textId="77777777">
        <w:trPr>
          <w:jc w:val="center"/>
        </w:trPr>
        <w:tc>
          <w:tcPr>
            <w:tcW w:w="5040" w:type="dxa"/>
            <w:tcBorders>
              <w:top w:val="nil"/>
              <w:left w:val="nil"/>
              <w:bottom w:val="single" w:color="auto" w:sz="4" w:space="0"/>
              <w:right w:val="single" w:color="auto" w:sz="4" w:space="0"/>
            </w:tcBorders>
          </w:tcPr>
          <w:p w:rsidR="00DA7B5D" w:rsidP="00C10B5F" w:rsidRDefault="00514B68" w14:paraId="53BDDC7C" w14:textId="77777777">
            <w:pPr>
              <w:spacing w:line="240" w:lineRule="auto"/>
              <w:ind w:firstLine="0"/>
              <w:rPr>
                <w:rFonts w:cs="Arial"/>
                <w:szCs w:val="26"/>
              </w:rPr>
            </w:pPr>
            <w:r w:rsidRPr="00514B68">
              <w:rPr>
                <w:rFonts w:cs="Arial"/>
                <w:szCs w:val="26"/>
              </w:rPr>
              <w:t>Application of Southern California Edison Company (U338E) For Approval of Its 2025 ERRA Forecast Proceeding Revenue Requirement</w:t>
            </w:r>
            <w:r w:rsidR="00F77344">
              <w:rPr>
                <w:rFonts w:cs="Arial"/>
                <w:szCs w:val="26"/>
              </w:rPr>
              <w:t>.</w:t>
            </w:r>
          </w:p>
          <w:p w:rsidRPr="00DA7B5D" w:rsidR="00F77344" w:rsidP="00C10B5F" w:rsidRDefault="00F77344" w14:paraId="7465B78F" w14:textId="00F35FE8">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514B68" w14:paraId="7D3FCEC6" w14:textId="5675694D">
            <w:pPr>
              <w:spacing w:line="240" w:lineRule="auto"/>
              <w:ind w:firstLine="0"/>
              <w:jc w:val="center"/>
              <w:rPr>
                <w:rFonts w:cs="Arial"/>
                <w:szCs w:val="26"/>
              </w:rPr>
            </w:pPr>
            <w:r>
              <w:rPr>
                <w:rFonts w:cs="Arial"/>
                <w:szCs w:val="26"/>
              </w:rPr>
              <w:t>Application 24-05-007</w:t>
            </w:r>
          </w:p>
        </w:tc>
      </w:tr>
    </w:tbl>
    <w:p w:rsidR="00DA7B5D" w:rsidP="008F0116" w:rsidRDefault="00DA7B5D" w14:paraId="726EADED" w14:textId="77777777">
      <w:pPr>
        <w:spacing w:line="240" w:lineRule="auto"/>
        <w:ind w:firstLine="0"/>
        <w:rPr>
          <w:rFonts w:ascii="Arial" w:hAnsi="Arial" w:cs="Arial"/>
          <w:sz w:val="24"/>
          <w:szCs w:val="24"/>
        </w:rPr>
      </w:pPr>
    </w:p>
    <w:p w:rsidR="00DA7B5D" w:rsidP="008F0116" w:rsidRDefault="00DA7B5D" w14:paraId="1B1343C1" w14:textId="77777777">
      <w:pPr>
        <w:spacing w:line="240" w:lineRule="auto"/>
        <w:ind w:firstLine="0"/>
        <w:rPr>
          <w:rFonts w:ascii="Arial" w:hAnsi="Arial" w:cs="Arial"/>
          <w:sz w:val="24"/>
          <w:szCs w:val="24"/>
        </w:rPr>
      </w:pPr>
    </w:p>
    <w:p w:rsidR="00F92385" w:rsidP="00B3087D" w:rsidRDefault="00514B68" w14:paraId="3424D792" w14:textId="0111CCDD">
      <w:pPr>
        <w:pStyle w:val="Dummy"/>
        <w:jc w:val="center"/>
      </w:pPr>
      <w:bookmarkStart w:name="_Toc183184257" w:id="0"/>
      <w:r w:rsidRPr="00514B68">
        <w:t>DECISION APPROVING SOUTHERN CALIFORNIA EDISON COMPANY’S 202</w:t>
      </w:r>
      <w:r w:rsidR="00742EBC">
        <w:t>5</w:t>
      </w:r>
      <w:r w:rsidRPr="00514B68">
        <w:t xml:space="preserve"> ENERGY RESOURCE RECOVERY ACCOUNT-RELATED </w:t>
      </w:r>
      <w:r w:rsidR="002306F8">
        <w:br/>
      </w:r>
      <w:r w:rsidRPr="00514B68">
        <w:t>FORECAST REVENUE REQUIREMENT</w:t>
      </w:r>
      <w:bookmarkEnd w:id="0"/>
      <w:r w:rsidRPr="00514B68">
        <w:t xml:space="preserve"> </w:t>
      </w:r>
    </w:p>
    <w:p w:rsidR="00F77344" w:rsidP="00F77344" w:rsidRDefault="00F77344" w14:paraId="28020D97" w14:textId="10999E07">
      <w:pPr>
        <w:tabs>
          <w:tab w:val="left" w:pos="3210"/>
        </w:tabs>
        <w:rPr>
          <w:rFonts w:ascii="Arial" w:hAnsi="Arial" w:cs="Arial"/>
          <w:b/>
          <w:szCs w:val="26"/>
        </w:rPr>
      </w:pPr>
      <w:r>
        <w:rPr>
          <w:rFonts w:ascii="Arial" w:hAnsi="Arial" w:cs="Arial"/>
          <w:b/>
          <w:szCs w:val="26"/>
        </w:rPr>
        <w:tab/>
      </w:r>
    </w:p>
    <w:p w:rsidR="00F77344" w:rsidP="00F77344" w:rsidRDefault="00F77344" w14:paraId="56CCF9D7" w14:textId="77777777">
      <w:pPr>
        <w:rPr>
          <w:rFonts w:ascii="Arial" w:hAnsi="Arial" w:cs="Arial"/>
          <w:b/>
          <w:szCs w:val="26"/>
        </w:rPr>
      </w:pPr>
    </w:p>
    <w:p w:rsidRPr="00F77344" w:rsidR="00F77344" w:rsidP="00F77344" w:rsidRDefault="00F77344" w14:paraId="4D1AF0E5" w14:textId="22EAF479">
      <w:pPr>
        <w:sectPr w:rsidRPr="00F77344" w:rsidR="00F77344" w:rsidSect="00F77344">
          <w:footerReference w:type="first" r:id="rId11"/>
          <w:pgSz w:w="12240" w:h="15840"/>
          <w:pgMar w:top="1440" w:right="1440" w:bottom="1440" w:left="1440" w:header="720" w:footer="720" w:gutter="0"/>
          <w:pgNumType w:start="1"/>
          <w:cols w:space="720"/>
          <w:titlePg/>
          <w:docGrid w:linePitch="360"/>
        </w:sectPr>
      </w:pPr>
    </w:p>
    <w:p w:rsidRPr="001E2A62" w:rsidR="00D50119" w:rsidP="00683EA9" w:rsidRDefault="00683EA9" w14:paraId="1D985A5C" w14:textId="6DABB47E">
      <w:pPr>
        <w:pStyle w:val="Main"/>
        <w:tabs>
          <w:tab w:val="center" w:pos="4680"/>
          <w:tab w:val="left" w:pos="8100"/>
        </w:tabs>
        <w:jc w:val="left"/>
        <w:rPr>
          <w:rFonts w:ascii="Book Antiqua" w:hAnsi="Book Antiqua"/>
        </w:rPr>
      </w:pPr>
      <w:r>
        <w:rPr>
          <w:rFonts w:ascii="Book Antiqua" w:hAnsi="Book Antiqua"/>
        </w:rPr>
        <w:lastRenderedPageBreak/>
        <w:tab/>
      </w:r>
      <w:r w:rsidRPr="001E2A62" w:rsidR="00D50119">
        <w:rPr>
          <w:rFonts w:ascii="Book Antiqua" w:hAnsi="Book Antiqua"/>
        </w:rPr>
        <w:t>TABLE OF CONTENTS</w:t>
      </w:r>
      <w:r>
        <w:rPr>
          <w:rFonts w:ascii="Book Antiqua" w:hAnsi="Book Antiqua"/>
        </w:rPr>
        <w:tab/>
      </w:r>
    </w:p>
    <w:p w:rsidRPr="00D50119" w:rsidR="00D50119" w:rsidP="007E0FEE" w:rsidRDefault="00D50119" w14:paraId="78CF34BD"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021F00" w:rsidP="00B642EB" w:rsidRDefault="008C7413" w14:paraId="2F2B9562" w14:textId="7ABECDC8">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83184257">
            <w:r w:rsidRPr="00360A73" w:rsidR="00021F00">
              <w:rPr>
                <w:rStyle w:val="Hyperlink"/>
                <w:noProof/>
              </w:rPr>
              <w:t>DECISION APPROVING SOUTHERN CALIFORNIA EDISON COMPANY’S 2025 ENERGY RESOURCE RECOVERY ACCOUNT-RELATED  FORECAST REVENUE REQUIREMENT</w:t>
            </w:r>
            <w:r w:rsidR="00021F00">
              <w:rPr>
                <w:noProof/>
                <w:webHidden/>
              </w:rPr>
              <w:tab/>
            </w:r>
            <w:r w:rsidR="00021F00">
              <w:rPr>
                <w:noProof/>
                <w:webHidden/>
              </w:rPr>
              <w:fldChar w:fldCharType="begin"/>
            </w:r>
            <w:r w:rsidR="00021F00">
              <w:rPr>
                <w:noProof/>
                <w:webHidden/>
              </w:rPr>
              <w:instrText xml:space="preserve"> PAGEREF _Toc183184257 \h </w:instrText>
            </w:r>
            <w:r w:rsidR="00021F00">
              <w:rPr>
                <w:noProof/>
                <w:webHidden/>
              </w:rPr>
            </w:r>
            <w:r w:rsidR="00021F00">
              <w:rPr>
                <w:noProof/>
                <w:webHidden/>
              </w:rPr>
              <w:fldChar w:fldCharType="separate"/>
            </w:r>
            <w:r w:rsidR="00E24263">
              <w:rPr>
                <w:noProof/>
                <w:webHidden/>
              </w:rPr>
              <w:t>1</w:t>
            </w:r>
            <w:r w:rsidR="00021F00">
              <w:rPr>
                <w:noProof/>
                <w:webHidden/>
              </w:rPr>
              <w:fldChar w:fldCharType="end"/>
            </w:r>
          </w:hyperlink>
        </w:p>
        <w:p w:rsidR="00021F00" w:rsidRDefault="00021F00" w14:paraId="360E9743" w14:textId="4A42C9FD">
          <w:pPr>
            <w:pStyle w:val="TOC1"/>
            <w:tabs>
              <w:tab w:val="right" w:leader="dot" w:pos="9350"/>
            </w:tabs>
            <w:rPr>
              <w:rFonts w:asciiTheme="minorHAnsi" w:hAnsiTheme="minorHAnsi" w:cstheme="minorBidi"/>
              <w:noProof/>
              <w:kern w:val="2"/>
              <w:sz w:val="24"/>
              <w:szCs w:val="24"/>
              <w14:ligatures w14:val="standardContextual"/>
            </w:rPr>
          </w:pPr>
          <w:hyperlink w:history="1" w:anchor="_Toc183184258">
            <w:r w:rsidRPr="00360A73">
              <w:rPr>
                <w:rStyle w:val="Hyperlink"/>
                <w:noProof/>
              </w:rPr>
              <w:t>Summary</w:t>
            </w:r>
            <w:r>
              <w:rPr>
                <w:noProof/>
                <w:webHidden/>
              </w:rPr>
              <w:tab/>
            </w:r>
            <w:r>
              <w:rPr>
                <w:noProof/>
                <w:webHidden/>
              </w:rPr>
              <w:fldChar w:fldCharType="begin"/>
            </w:r>
            <w:r>
              <w:rPr>
                <w:noProof/>
                <w:webHidden/>
              </w:rPr>
              <w:instrText xml:space="preserve"> PAGEREF _Toc183184258 \h </w:instrText>
            </w:r>
            <w:r>
              <w:rPr>
                <w:noProof/>
                <w:webHidden/>
              </w:rPr>
            </w:r>
            <w:r>
              <w:rPr>
                <w:noProof/>
                <w:webHidden/>
              </w:rPr>
              <w:fldChar w:fldCharType="separate"/>
            </w:r>
            <w:r w:rsidR="00E24263">
              <w:rPr>
                <w:noProof/>
                <w:webHidden/>
              </w:rPr>
              <w:t>2</w:t>
            </w:r>
            <w:r>
              <w:rPr>
                <w:noProof/>
                <w:webHidden/>
              </w:rPr>
              <w:fldChar w:fldCharType="end"/>
            </w:r>
          </w:hyperlink>
        </w:p>
        <w:p w:rsidR="00021F00" w:rsidRDefault="00021F00" w14:paraId="68CDA3D4" w14:textId="1C581D48">
          <w:pPr>
            <w:pStyle w:val="TOC1"/>
            <w:tabs>
              <w:tab w:val="right" w:leader="dot" w:pos="9350"/>
            </w:tabs>
            <w:rPr>
              <w:rFonts w:asciiTheme="minorHAnsi" w:hAnsiTheme="minorHAnsi" w:cstheme="minorBidi"/>
              <w:noProof/>
              <w:kern w:val="2"/>
              <w:sz w:val="24"/>
              <w:szCs w:val="24"/>
              <w14:ligatures w14:val="standardContextual"/>
            </w:rPr>
          </w:pPr>
          <w:hyperlink w:history="1" w:anchor="_Toc183184259">
            <w:r w:rsidRPr="00360A73">
              <w:rPr>
                <w:rStyle w:val="Hyperlink"/>
                <w:noProof/>
              </w:rPr>
              <w:t>1.</w:t>
            </w:r>
            <w:r>
              <w:rPr>
                <w:rFonts w:asciiTheme="minorHAnsi" w:hAnsiTheme="minorHAnsi" w:cstheme="minorBidi"/>
                <w:noProof/>
                <w:kern w:val="2"/>
                <w:sz w:val="24"/>
                <w:szCs w:val="24"/>
                <w14:ligatures w14:val="standardContextual"/>
              </w:rPr>
              <w:tab/>
            </w:r>
            <w:r w:rsidRPr="00360A73">
              <w:rPr>
                <w:rStyle w:val="Hyperlink"/>
                <w:noProof/>
              </w:rPr>
              <w:t>Background</w:t>
            </w:r>
            <w:r>
              <w:rPr>
                <w:noProof/>
                <w:webHidden/>
              </w:rPr>
              <w:tab/>
            </w:r>
            <w:r>
              <w:rPr>
                <w:noProof/>
                <w:webHidden/>
              </w:rPr>
              <w:fldChar w:fldCharType="begin"/>
            </w:r>
            <w:r>
              <w:rPr>
                <w:noProof/>
                <w:webHidden/>
              </w:rPr>
              <w:instrText xml:space="preserve"> PAGEREF _Toc183184259 \h </w:instrText>
            </w:r>
            <w:r>
              <w:rPr>
                <w:noProof/>
                <w:webHidden/>
              </w:rPr>
            </w:r>
            <w:r>
              <w:rPr>
                <w:noProof/>
                <w:webHidden/>
              </w:rPr>
              <w:fldChar w:fldCharType="separate"/>
            </w:r>
            <w:r w:rsidR="00E24263">
              <w:rPr>
                <w:noProof/>
                <w:webHidden/>
              </w:rPr>
              <w:t>5</w:t>
            </w:r>
            <w:r>
              <w:rPr>
                <w:noProof/>
                <w:webHidden/>
              </w:rPr>
              <w:fldChar w:fldCharType="end"/>
            </w:r>
          </w:hyperlink>
        </w:p>
        <w:p w:rsidR="00021F00" w:rsidRDefault="00021F00" w14:paraId="3412E896" w14:textId="64769C9F">
          <w:pPr>
            <w:pStyle w:val="TOC2"/>
            <w:tabs>
              <w:tab w:val="right" w:leader="dot" w:pos="9350"/>
            </w:tabs>
            <w:rPr>
              <w:rFonts w:asciiTheme="minorHAnsi" w:hAnsiTheme="minorHAnsi" w:cstheme="minorBidi"/>
              <w:noProof/>
              <w:kern w:val="2"/>
              <w:sz w:val="24"/>
              <w:szCs w:val="24"/>
              <w14:ligatures w14:val="standardContextual"/>
            </w:rPr>
          </w:pPr>
          <w:hyperlink w:history="1" w:anchor="_Toc183184260">
            <w:r w:rsidRPr="00360A73">
              <w:rPr>
                <w:rStyle w:val="Hyperlink"/>
                <w:noProof/>
              </w:rPr>
              <w:t>1.1.</w:t>
            </w:r>
            <w:r>
              <w:rPr>
                <w:rFonts w:asciiTheme="minorHAnsi" w:hAnsiTheme="minorHAnsi" w:cstheme="minorBidi"/>
                <w:noProof/>
                <w:kern w:val="2"/>
                <w:sz w:val="24"/>
                <w:szCs w:val="24"/>
                <w14:ligatures w14:val="standardContextual"/>
              </w:rPr>
              <w:tab/>
            </w:r>
            <w:r w:rsidRPr="00360A73">
              <w:rPr>
                <w:rStyle w:val="Hyperlink"/>
                <w:noProof/>
              </w:rPr>
              <w:t>Procedural Background</w:t>
            </w:r>
            <w:r>
              <w:rPr>
                <w:noProof/>
                <w:webHidden/>
              </w:rPr>
              <w:tab/>
            </w:r>
            <w:r>
              <w:rPr>
                <w:noProof/>
                <w:webHidden/>
              </w:rPr>
              <w:fldChar w:fldCharType="begin"/>
            </w:r>
            <w:r>
              <w:rPr>
                <w:noProof/>
                <w:webHidden/>
              </w:rPr>
              <w:instrText xml:space="preserve"> PAGEREF _Toc183184260 \h </w:instrText>
            </w:r>
            <w:r>
              <w:rPr>
                <w:noProof/>
                <w:webHidden/>
              </w:rPr>
            </w:r>
            <w:r>
              <w:rPr>
                <w:noProof/>
                <w:webHidden/>
              </w:rPr>
              <w:fldChar w:fldCharType="separate"/>
            </w:r>
            <w:r w:rsidR="00E24263">
              <w:rPr>
                <w:noProof/>
                <w:webHidden/>
              </w:rPr>
              <w:t>7</w:t>
            </w:r>
            <w:r>
              <w:rPr>
                <w:noProof/>
                <w:webHidden/>
              </w:rPr>
              <w:fldChar w:fldCharType="end"/>
            </w:r>
          </w:hyperlink>
        </w:p>
        <w:p w:rsidR="00021F00" w:rsidRDefault="00021F00" w14:paraId="5471A3E6" w14:textId="40852E34">
          <w:pPr>
            <w:pStyle w:val="TOC2"/>
            <w:tabs>
              <w:tab w:val="right" w:leader="dot" w:pos="9350"/>
            </w:tabs>
            <w:rPr>
              <w:rFonts w:asciiTheme="minorHAnsi" w:hAnsiTheme="minorHAnsi" w:cstheme="minorBidi"/>
              <w:noProof/>
              <w:kern w:val="2"/>
              <w:sz w:val="24"/>
              <w:szCs w:val="24"/>
              <w14:ligatures w14:val="standardContextual"/>
            </w:rPr>
          </w:pPr>
          <w:hyperlink w:history="1" w:anchor="_Toc183184261">
            <w:r w:rsidRPr="00360A73">
              <w:rPr>
                <w:rStyle w:val="Hyperlink"/>
                <w:noProof/>
              </w:rPr>
              <w:t>1.2.</w:t>
            </w:r>
            <w:r>
              <w:rPr>
                <w:rFonts w:asciiTheme="minorHAnsi" w:hAnsiTheme="minorHAnsi" w:cstheme="minorBidi"/>
                <w:noProof/>
                <w:kern w:val="2"/>
                <w:sz w:val="24"/>
                <w:szCs w:val="24"/>
                <w14:ligatures w14:val="standardContextual"/>
              </w:rPr>
              <w:tab/>
            </w:r>
            <w:r w:rsidRPr="00360A73">
              <w:rPr>
                <w:rStyle w:val="Hyperlink"/>
                <w:noProof/>
              </w:rPr>
              <w:t>Submission Date</w:t>
            </w:r>
            <w:r>
              <w:rPr>
                <w:noProof/>
                <w:webHidden/>
              </w:rPr>
              <w:tab/>
            </w:r>
            <w:r>
              <w:rPr>
                <w:noProof/>
                <w:webHidden/>
              </w:rPr>
              <w:fldChar w:fldCharType="begin"/>
            </w:r>
            <w:r>
              <w:rPr>
                <w:noProof/>
                <w:webHidden/>
              </w:rPr>
              <w:instrText xml:space="preserve"> PAGEREF _Toc183184261 \h </w:instrText>
            </w:r>
            <w:r>
              <w:rPr>
                <w:noProof/>
                <w:webHidden/>
              </w:rPr>
            </w:r>
            <w:r>
              <w:rPr>
                <w:noProof/>
                <w:webHidden/>
              </w:rPr>
              <w:fldChar w:fldCharType="separate"/>
            </w:r>
            <w:r w:rsidR="00E24263">
              <w:rPr>
                <w:noProof/>
                <w:webHidden/>
              </w:rPr>
              <w:t>12</w:t>
            </w:r>
            <w:r>
              <w:rPr>
                <w:noProof/>
                <w:webHidden/>
              </w:rPr>
              <w:fldChar w:fldCharType="end"/>
            </w:r>
          </w:hyperlink>
        </w:p>
        <w:p w:rsidR="00021F00" w:rsidRDefault="00021F00" w14:paraId="26A98D7E" w14:textId="4DAA5F13">
          <w:pPr>
            <w:pStyle w:val="TOC1"/>
            <w:tabs>
              <w:tab w:val="right" w:leader="dot" w:pos="9350"/>
            </w:tabs>
            <w:rPr>
              <w:rFonts w:asciiTheme="minorHAnsi" w:hAnsiTheme="minorHAnsi" w:cstheme="minorBidi"/>
              <w:noProof/>
              <w:kern w:val="2"/>
              <w:sz w:val="24"/>
              <w:szCs w:val="24"/>
              <w14:ligatures w14:val="standardContextual"/>
            </w:rPr>
          </w:pPr>
          <w:hyperlink w:history="1" w:anchor="_Toc183184262">
            <w:r w:rsidRPr="00360A73">
              <w:rPr>
                <w:rStyle w:val="Hyperlink"/>
                <w:noProof/>
              </w:rPr>
              <w:t>2.</w:t>
            </w:r>
            <w:r>
              <w:rPr>
                <w:rFonts w:asciiTheme="minorHAnsi" w:hAnsiTheme="minorHAnsi" w:cstheme="minorBidi"/>
                <w:noProof/>
                <w:kern w:val="2"/>
                <w:sz w:val="24"/>
                <w:szCs w:val="24"/>
                <w14:ligatures w14:val="standardContextual"/>
              </w:rPr>
              <w:tab/>
            </w:r>
            <w:r w:rsidRPr="00360A73">
              <w:rPr>
                <w:rStyle w:val="Hyperlink"/>
                <w:noProof/>
              </w:rPr>
              <w:t>Jurisdiction</w:t>
            </w:r>
            <w:r>
              <w:rPr>
                <w:noProof/>
                <w:webHidden/>
              </w:rPr>
              <w:tab/>
            </w:r>
            <w:r>
              <w:rPr>
                <w:noProof/>
                <w:webHidden/>
              </w:rPr>
              <w:fldChar w:fldCharType="begin"/>
            </w:r>
            <w:r>
              <w:rPr>
                <w:noProof/>
                <w:webHidden/>
              </w:rPr>
              <w:instrText xml:space="preserve"> PAGEREF _Toc183184262 \h </w:instrText>
            </w:r>
            <w:r>
              <w:rPr>
                <w:noProof/>
                <w:webHidden/>
              </w:rPr>
            </w:r>
            <w:r>
              <w:rPr>
                <w:noProof/>
                <w:webHidden/>
              </w:rPr>
              <w:fldChar w:fldCharType="separate"/>
            </w:r>
            <w:r w:rsidR="00E24263">
              <w:rPr>
                <w:noProof/>
                <w:webHidden/>
              </w:rPr>
              <w:t>12</w:t>
            </w:r>
            <w:r>
              <w:rPr>
                <w:noProof/>
                <w:webHidden/>
              </w:rPr>
              <w:fldChar w:fldCharType="end"/>
            </w:r>
          </w:hyperlink>
        </w:p>
        <w:p w:rsidR="00021F00" w:rsidRDefault="00021F00" w14:paraId="51A5D391" w14:textId="67281797">
          <w:pPr>
            <w:pStyle w:val="TOC1"/>
            <w:tabs>
              <w:tab w:val="right" w:leader="dot" w:pos="9350"/>
            </w:tabs>
            <w:rPr>
              <w:rFonts w:asciiTheme="minorHAnsi" w:hAnsiTheme="minorHAnsi" w:cstheme="minorBidi"/>
              <w:noProof/>
              <w:kern w:val="2"/>
              <w:sz w:val="24"/>
              <w:szCs w:val="24"/>
              <w14:ligatures w14:val="standardContextual"/>
            </w:rPr>
          </w:pPr>
          <w:hyperlink w:history="1" w:anchor="_Toc183184263">
            <w:r w:rsidRPr="00360A73">
              <w:rPr>
                <w:rStyle w:val="Hyperlink"/>
                <w:noProof/>
              </w:rPr>
              <w:t>3.</w:t>
            </w:r>
            <w:r>
              <w:rPr>
                <w:rFonts w:asciiTheme="minorHAnsi" w:hAnsiTheme="minorHAnsi" w:cstheme="minorBidi"/>
                <w:noProof/>
                <w:kern w:val="2"/>
                <w:sz w:val="24"/>
                <w:szCs w:val="24"/>
                <w14:ligatures w14:val="standardContextual"/>
              </w:rPr>
              <w:tab/>
            </w:r>
            <w:r w:rsidRPr="00360A73">
              <w:rPr>
                <w:rStyle w:val="Hyperlink"/>
                <w:noProof/>
              </w:rPr>
              <w:t>Issues Before the Commission</w:t>
            </w:r>
            <w:r>
              <w:rPr>
                <w:noProof/>
                <w:webHidden/>
              </w:rPr>
              <w:tab/>
            </w:r>
            <w:r>
              <w:rPr>
                <w:noProof/>
                <w:webHidden/>
              </w:rPr>
              <w:fldChar w:fldCharType="begin"/>
            </w:r>
            <w:r>
              <w:rPr>
                <w:noProof/>
                <w:webHidden/>
              </w:rPr>
              <w:instrText xml:space="preserve"> PAGEREF _Toc183184263 \h </w:instrText>
            </w:r>
            <w:r>
              <w:rPr>
                <w:noProof/>
                <w:webHidden/>
              </w:rPr>
            </w:r>
            <w:r>
              <w:rPr>
                <w:noProof/>
                <w:webHidden/>
              </w:rPr>
              <w:fldChar w:fldCharType="separate"/>
            </w:r>
            <w:r w:rsidR="00E24263">
              <w:rPr>
                <w:noProof/>
                <w:webHidden/>
              </w:rPr>
              <w:t>12</w:t>
            </w:r>
            <w:r>
              <w:rPr>
                <w:noProof/>
                <w:webHidden/>
              </w:rPr>
              <w:fldChar w:fldCharType="end"/>
            </w:r>
          </w:hyperlink>
        </w:p>
        <w:p w:rsidR="00021F00" w:rsidRDefault="00021F00" w14:paraId="61B255BD" w14:textId="009DE5A9">
          <w:pPr>
            <w:pStyle w:val="TOC1"/>
            <w:tabs>
              <w:tab w:val="right" w:leader="dot" w:pos="9350"/>
            </w:tabs>
            <w:rPr>
              <w:rFonts w:asciiTheme="minorHAnsi" w:hAnsiTheme="minorHAnsi" w:cstheme="minorBidi"/>
              <w:noProof/>
              <w:kern w:val="2"/>
              <w:sz w:val="24"/>
              <w:szCs w:val="24"/>
              <w14:ligatures w14:val="standardContextual"/>
            </w:rPr>
          </w:pPr>
          <w:hyperlink w:history="1" w:anchor="_Toc183184264">
            <w:r w:rsidRPr="00360A73">
              <w:rPr>
                <w:rStyle w:val="Hyperlink"/>
                <w:noProof/>
              </w:rPr>
              <w:t>4.</w:t>
            </w:r>
            <w:r>
              <w:rPr>
                <w:rFonts w:asciiTheme="minorHAnsi" w:hAnsiTheme="minorHAnsi" w:cstheme="minorBidi"/>
                <w:noProof/>
                <w:kern w:val="2"/>
                <w:sz w:val="24"/>
                <w:szCs w:val="24"/>
                <w14:ligatures w14:val="standardContextual"/>
              </w:rPr>
              <w:tab/>
            </w:r>
            <w:r w:rsidRPr="00360A73">
              <w:rPr>
                <w:rStyle w:val="Hyperlink"/>
                <w:noProof/>
              </w:rPr>
              <w:t>2025 Forecast Overview  and Methodology</w:t>
            </w:r>
            <w:r>
              <w:rPr>
                <w:noProof/>
                <w:webHidden/>
              </w:rPr>
              <w:tab/>
            </w:r>
            <w:r>
              <w:rPr>
                <w:noProof/>
                <w:webHidden/>
              </w:rPr>
              <w:fldChar w:fldCharType="begin"/>
            </w:r>
            <w:r>
              <w:rPr>
                <w:noProof/>
                <w:webHidden/>
              </w:rPr>
              <w:instrText xml:space="preserve"> PAGEREF _Toc183184264 \h </w:instrText>
            </w:r>
            <w:r>
              <w:rPr>
                <w:noProof/>
                <w:webHidden/>
              </w:rPr>
            </w:r>
            <w:r>
              <w:rPr>
                <w:noProof/>
                <w:webHidden/>
              </w:rPr>
              <w:fldChar w:fldCharType="separate"/>
            </w:r>
            <w:r w:rsidR="00E24263">
              <w:rPr>
                <w:noProof/>
                <w:webHidden/>
              </w:rPr>
              <w:t>14</w:t>
            </w:r>
            <w:r>
              <w:rPr>
                <w:noProof/>
                <w:webHidden/>
              </w:rPr>
              <w:fldChar w:fldCharType="end"/>
            </w:r>
          </w:hyperlink>
        </w:p>
        <w:p w:rsidR="00021F00" w:rsidRDefault="00021F00" w14:paraId="11901B5D" w14:textId="065F3284">
          <w:pPr>
            <w:pStyle w:val="TOC1"/>
            <w:tabs>
              <w:tab w:val="right" w:leader="dot" w:pos="9350"/>
            </w:tabs>
            <w:rPr>
              <w:rFonts w:asciiTheme="minorHAnsi" w:hAnsiTheme="minorHAnsi" w:cstheme="minorBidi"/>
              <w:noProof/>
              <w:kern w:val="2"/>
              <w:sz w:val="24"/>
              <w:szCs w:val="24"/>
              <w14:ligatures w14:val="standardContextual"/>
            </w:rPr>
          </w:pPr>
          <w:hyperlink w:history="1" w:anchor="_Toc183184265">
            <w:r w:rsidRPr="00360A73">
              <w:rPr>
                <w:rStyle w:val="Hyperlink"/>
                <w:noProof/>
              </w:rPr>
              <w:t>5.</w:t>
            </w:r>
            <w:r>
              <w:rPr>
                <w:rFonts w:asciiTheme="minorHAnsi" w:hAnsiTheme="minorHAnsi" w:cstheme="minorBidi"/>
                <w:noProof/>
                <w:kern w:val="2"/>
                <w:sz w:val="24"/>
                <w:szCs w:val="24"/>
                <w14:ligatures w14:val="standardContextual"/>
              </w:rPr>
              <w:tab/>
            </w:r>
            <w:r w:rsidRPr="00360A73">
              <w:rPr>
                <w:rStyle w:val="Hyperlink"/>
                <w:noProof/>
              </w:rPr>
              <w:t>SCE’s Portfolio of Resources for 2025</w:t>
            </w:r>
            <w:r>
              <w:rPr>
                <w:noProof/>
                <w:webHidden/>
              </w:rPr>
              <w:tab/>
            </w:r>
            <w:r>
              <w:rPr>
                <w:noProof/>
                <w:webHidden/>
              </w:rPr>
              <w:fldChar w:fldCharType="begin"/>
            </w:r>
            <w:r>
              <w:rPr>
                <w:noProof/>
                <w:webHidden/>
              </w:rPr>
              <w:instrText xml:space="preserve"> PAGEREF _Toc183184265 \h </w:instrText>
            </w:r>
            <w:r>
              <w:rPr>
                <w:noProof/>
                <w:webHidden/>
              </w:rPr>
            </w:r>
            <w:r>
              <w:rPr>
                <w:noProof/>
                <w:webHidden/>
              </w:rPr>
              <w:fldChar w:fldCharType="separate"/>
            </w:r>
            <w:r w:rsidR="00E24263">
              <w:rPr>
                <w:noProof/>
                <w:webHidden/>
              </w:rPr>
              <w:t>16</w:t>
            </w:r>
            <w:r>
              <w:rPr>
                <w:noProof/>
                <w:webHidden/>
              </w:rPr>
              <w:fldChar w:fldCharType="end"/>
            </w:r>
          </w:hyperlink>
        </w:p>
        <w:p w:rsidR="00021F00" w:rsidRDefault="00021F00" w14:paraId="6076813F" w14:textId="5EC5DF47">
          <w:pPr>
            <w:pStyle w:val="TOC2"/>
            <w:tabs>
              <w:tab w:val="right" w:leader="dot" w:pos="9350"/>
            </w:tabs>
            <w:rPr>
              <w:rFonts w:asciiTheme="minorHAnsi" w:hAnsiTheme="minorHAnsi" w:cstheme="minorBidi"/>
              <w:noProof/>
              <w:kern w:val="2"/>
              <w:sz w:val="24"/>
              <w:szCs w:val="24"/>
              <w14:ligatures w14:val="standardContextual"/>
            </w:rPr>
          </w:pPr>
          <w:hyperlink w:history="1" w:anchor="_Toc183184266">
            <w:r w:rsidRPr="00360A73">
              <w:rPr>
                <w:rStyle w:val="Hyperlink"/>
                <w:noProof/>
              </w:rPr>
              <w:t>5.1.</w:t>
            </w:r>
            <w:r>
              <w:rPr>
                <w:rFonts w:asciiTheme="minorHAnsi" w:hAnsiTheme="minorHAnsi" w:cstheme="minorBidi"/>
                <w:noProof/>
                <w:kern w:val="2"/>
                <w:sz w:val="24"/>
                <w:szCs w:val="24"/>
                <w14:ligatures w14:val="standardContextual"/>
              </w:rPr>
              <w:tab/>
            </w:r>
            <w:r w:rsidRPr="00360A73">
              <w:rPr>
                <w:rStyle w:val="Hyperlink"/>
                <w:noProof/>
              </w:rPr>
              <w:t>Utility-Owned Generation and  Purchased Power Contracts</w:t>
            </w:r>
            <w:r>
              <w:rPr>
                <w:noProof/>
                <w:webHidden/>
              </w:rPr>
              <w:tab/>
            </w:r>
            <w:r>
              <w:rPr>
                <w:noProof/>
                <w:webHidden/>
              </w:rPr>
              <w:fldChar w:fldCharType="begin"/>
            </w:r>
            <w:r>
              <w:rPr>
                <w:noProof/>
                <w:webHidden/>
              </w:rPr>
              <w:instrText xml:space="preserve"> PAGEREF _Toc183184266 \h </w:instrText>
            </w:r>
            <w:r>
              <w:rPr>
                <w:noProof/>
                <w:webHidden/>
              </w:rPr>
            </w:r>
            <w:r>
              <w:rPr>
                <w:noProof/>
                <w:webHidden/>
              </w:rPr>
              <w:fldChar w:fldCharType="separate"/>
            </w:r>
            <w:r w:rsidR="00E24263">
              <w:rPr>
                <w:noProof/>
                <w:webHidden/>
              </w:rPr>
              <w:t>17</w:t>
            </w:r>
            <w:r>
              <w:rPr>
                <w:noProof/>
                <w:webHidden/>
              </w:rPr>
              <w:fldChar w:fldCharType="end"/>
            </w:r>
          </w:hyperlink>
        </w:p>
        <w:p w:rsidR="00021F00" w:rsidRDefault="00021F00" w14:paraId="3D492C26" w14:textId="523FD5B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67">
            <w:r w:rsidRPr="00360A73">
              <w:rPr>
                <w:rStyle w:val="Hyperlink"/>
                <w:noProof/>
              </w:rPr>
              <w:t>5.1.1.</w:t>
            </w:r>
            <w:r>
              <w:rPr>
                <w:rFonts w:asciiTheme="minorHAnsi" w:hAnsiTheme="minorHAnsi" w:cstheme="minorBidi"/>
                <w:noProof/>
                <w:kern w:val="2"/>
                <w:sz w:val="24"/>
                <w:szCs w:val="24"/>
                <w14:ligatures w14:val="standardContextual"/>
              </w:rPr>
              <w:tab/>
            </w:r>
            <w:r w:rsidRPr="00360A73">
              <w:rPr>
                <w:rStyle w:val="Hyperlink"/>
                <w:noProof/>
              </w:rPr>
              <w:t>Hydroelectric Resources</w:t>
            </w:r>
            <w:r>
              <w:rPr>
                <w:noProof/>
                <w:webHidden/>
              </w:rPr>
              <w:tab/>
            </w:r>
            <w:r>
              <w:rPr>
                <w:noProof/>
                <w:webHidden/>
              </w:rPr>
              <w:fldChar w:fldCharType="begin"/>
            </w:r>
            <w:r>
              <w:rPr>
                <w:noProof/>
                <w:webHidden/>
              </w:rPr>
              <w:instrText xml:space="preserve"> PAGEREF _Toc183184267 \h </w:instrText>
            </w:r>
            <w:r>
              <w:rPr>
                <w:noProof/>
                <w:webHidden/>
              </w:rPr>
            </w:r>
            <w:r>
              <w:rPr>
                <w:noProof/>
                <w:webHidden/>
              </w:rPr>
              <w:fldChar w:fldCharType="separate"/>
            </w:r>
            <w:r w:rsidR="00E24263">
              <w:rPr>
                <w:noProof/>
                <w:webHidden/>
              </w:rPr>
              <w:t>18</w:t>
            </w:r>
            <w:r>
              <w:rPr>
                <w:noProof/>
                <w:webHidden/>
              </w:rPr>
              <w:fldChar w:fldCharType="end"/>
            </w:r>
          </w:hyperlink>
        </w:p>
        <w:p w:rsidR="00021F00" w:rsidRDefault="00021F00" w14:paraId="3B2F749D" w14:textId="2FC3954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68">
            <w:r w:rsidRPr="00360A73">
              <w:rPr>
                <w:rStyle w:val="Hyperlink"/>
                <w:noProof/>
              </w:rPr>
              <w:t>5.1.2.</w:t>
            </w:r>
            <w:r>
              <w:rPr>
                <w:rFonts w:asciiTheme="minorHAnsi" w:hAnsiTheme="minorHAnsi" w:cstheme="minorBidi"/>
                <w:noProof/>
                <w:kern w:val="2"/>
                <w:sz w:val="24"/>
                <w:szCs w:val="24"/>
                <w14:ligatures w14:val="standardContextual"/>
              </w:rPr>
              <w:tab/>
            </w:r>
            <w:r w:rsidRPr="00360A73">
              <w:rPr>
                <w:rStyle w:val="Hyperlink"/>
                <w:noProof/>
              </w:rPr>
              <w:t>SCE Solar Photovoltaic  Generation Program (SPVP)</w:t>
            </w:r>
            <w:r>
              <w:rPr>
                <w:noProof/>
                <w:webHidden/>
              </w:rPr>
              <w:tab/>
            </w:r>
            <w:r>
              <w:rPr>
                <w:noProof/>
                <w:webHidden/>
              </w:rPr>
              <w:fldChar w:fldCharType="begin"/>
            </w:r>
            <w:r>
              <w:rPr>
                <w:noProof/>
                <w:webHidden/>
              </w:rPr>
              <w:instrText xml:space="preserve"> PAGEREF _Toc183184268 \h </w:instrText>
            </w:r>
            <w:r>
              <w:rPr>
                <w:noProof/>
                <w:webHidden/>
              </w:rPr>
            </w:r>
            <w:r>
              <w:rPr>
                <w:noProof/>
                <w:webHidden/>
              </w:rPr>
              <w:fldChar w:fldCharType="separate"/>
            </w:r>
            <w:r w:rsidR="00E24263">
              <w:rPr>
                <w:noProof/>
                <w:webHidden/>
              </w:rPr>
              <w:t>18</w:t>
            </w:r>
            <w:r>
              <w:rPr>
                <w:noProof/>
                <w:webHidden/>
              </w:rPr>
              <w:fldChar w:fldCharType="end"/>
            </w:r>
          </w:hyperlink>
        </w:p>
        <w:p w:rsidR="00021F00" w:rsidRDefault="00021F00" w14:paraId="26997777" w14:textId="2D7430B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69">
            <w:r w:rsidRPr="00360A73">
              <w:rPr>
                <w:rStyle w:val="Hyperlink"/>
                <w:noProof/>
              </w:rPr>
              <w:t>5.1.3.</w:t>
            </w:r>
            <w:r>
              <w:rPr>
                <w:rFonts w:asciiTheme="minorHAnsi" w:hAnsiTheme="minorHAnsi" w:cstheme="minorBidi"/>
                <w:noProof/>
                <w:kern w:val="2"/>
                <w:sz w:val="24"/>
                <w:szCs w:val="24"/>
                <w14:ligatures w14:val="standardContextual"/>
              </w:rPr>
              <w:tab/>
            </w:r>
            <w:r w:rsidRPr="00360A73">
              <w:rPr>
                <w:rStyle w:val="Hyperlink"/>
                <w:noProof/>
              </w:rPr>
              <w:t>Combined Heat-and-Power  (Co-Generation) and Renewables</w:t>
            </w:r>
            <w:r>
              <w:rPr>
                <w:noProof/>
                <w:webHidden/>
              </w:rPr>
              <w:tab/>
            </w:r>
            <w:r>
              <w:rPr>
                <w:noProof/>
                <w:webHidden/>
              </w:rPr>
              <w:fldChar w:fldCharType="begin"/>
            </w:r>
            <w:r>
              <w:rPr>
                <w:noProof/>
                <w:webHidden/>
              </w:rPr>
              <w:instrText xml:space="preserve"> PAGEREF _Toc183184269 \h </w:instrText>
            </w:r>
            <w:r>
              <w:rPr>
                <w:noProof/>
                <w:webHidden/>
              </w:rPr>
            </w:r>
            <w:r>
              <w:rPr>
                <w:noProof/>
                <w:webHidden/>
              </w:rPr>
              <w:fldChar w:fldCharType="separate"/>
            </w:r>
            <w:r w:rsidR="00E24263">
              <w:rPr>
                <w:noProof/>
                <w:webHidden/>
              </w:rPr>
              <w:t>19</w:t>
            </w:r>
            <w:r>
              <w:rPr>
                <w:noProof/>
                <w:webHidden/>
              </w:rPr>
              <w:fldChar w:fldCharType="end"/>
            </w:r>
          </w:hyperlink>
        </w:p>
        <w:p w:rsidR="00021F00" w:rsidRDefault="00021F00" w14:paraId="6888CE32" w14:textId="0E00BD3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70">
            <w:r w:rsidRPr="00360A73">
              <w:rPr>
                <w:rStyle w:val="Hyperlink"/>
                <w:noProof/>
              </w:rPr>
              <w:t>5.1.4.</w:t>
            </w:r>
            <w:r>
              <w:rPr>
                <w:rFonts w:asciiTheme="minorHAnsi" w:hAnsiTheme="minorHAnsi" w:cstheme="minorBidi"/>
                <w:noProof/>
                <w:kern w:val="2"/>
                <w:sz w:val="24"/>
                <w:szCs w:val="24"/>
                <w14:ligatures w14:val="standardContextual"/>
              </w:rPr>
              <w:tab/>
            </w:r>
            <w:r w:rsidRPr="00360A73">
              <w:rPr>
                <w:rStyle w:val="Hyperlink"/>
                <w:noProof/>
              </w:rPr>
              <w:t>Utility Owned Natural Gas Facilities</w:t>
            </w:r>
            <w:r>
              <w:rPr>
                <w:noProof/>
                <w:webHidden/>
              </w:rPr>
              <w:tab/>
            </w:r>
            <w:r>
              <w:rPr>
                <w:noProof/>
                <w:webHidden/>
              </w:rPr>
              <w:fldChar w:fldCharType="begin"/>
            </w:r>
            <w:r>
              <w:rPr>
                <w:noProof/>
                <w:webHidden/>
              </w:rPr>
              <w:instrText xml:space="preserve"> PAGEREF _Toc183184270 \h </w:instrText>
            </w:r>
            <w:r>
              <w:rPr>
                <w:noProof/>
                <w:webHidden/>
              </w:rPr>
            </w:r>
            <w:r>
              <w:rPr>
                <w:noProof/>
                <w:webHidden/>
              </w:rPr>
              <w:fldChar w:fldCharType="separate"/>
            </w:r>
            <w:r w:rsidR="00E24263">
              <w:rPr>
                <w:noProof/>
                <w:webHidden/>
              </w:rPr>
              <w:t>20</w:t>
            </w:r>
            <w:r>
              <w:rPr>
                <w:noProof/>
                <w:webHidden/>
              </w:rPr>
              <w:fldChar w:fldCharType="end"/>
            </w:r>
          </w:hyperlink>
        </w:p>
        <w:p w:rsidR="00021F00" w:rsidRDefault="00021F00" w14:paraId="635B3651" w14:textId="1CD6729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71">
            <w:r w:rsidRPr="00360A73">
              <w:rPr>
                <w:rStyle w:val="Hyperlink"/>
                <w:noProof/>
              </w:rPr>
              <w:t>5.1.5.</w:t>
            </w:r>
            <w:r>
              <w:rPr>
                <w:rFonts w:asciiTheme="minorHAnsi" w:hAnsiTheme="minorHAnsi" w:cstheme="minorBidi"/>
                <w:noProof/>
                <w:kern w:val="2"/>
                <w:sz w:val="24"/>
                <w:szCs w:val="24"/>
                <w14:ligatures w14:val="standardContextual"/>
              </w:rPr>
              <w:tab/>
            </w:r>
            <w:r w:rsidRPr="00360A73">
              <w:rPr>
                <w:rStyle w:val="Hyperlink"/>
                <w:noProof/>
              </w:rPr>
              <w:t>Santa Catalina Island  Generation Fuel Costs</w:t>
            </w:r>
            <w:r>
              <w:rPr>
                <w:noProof/>
                <w:webHidden/>
              </w:rPr>
              <w:tab/>
            </w:r>
            <w:r>
              <w:rPr>
                <w:noProof/>
                <w:webHidden/>
              </w:rPr>
              <w:fldChar w:fldCharType="begin"/>
            </w:r>
            <w:r>
              <w:rPr>
                <w:noProof/>
                <w:webHidden/>
              </w:rPr>
              <w:instrText xml:space="preserve"> PAGEREF _Toc183184271 \h </w:instrText>
            </w:r>
            <w:r>
              <w:rPr>
                <w:noProof/>
                <w:webHidden/>
              </w:rPr>
            </w:r>
            <w:r>
              <w:rPr>
                <w:noProof/>
                <w:webHidden/>
              </w:rPr>
              <w:fldChar w:fldCharType="separate"/>
            </w:r>
            <w:r w:rsidR="00E24263">
              <w:rPr>
                <w:noProof/>
                <w:webHidden/>
              </w:rPr>
              <w:t>21</w:t>
            </w:r>
            <w:r>
              <w:rPr>
                <w:noProof/>
                <w:webHidden/>
              </w:rPr>
              <w:fldChar w:fldCharType="end"/>
            </w:r>
          </w:hyperlink>
        </w:p>
        <w:p w:rsidR="00021F00" w:rsidRDefault="00021F00" w14:paraId="3D3FBFAE" w14:textId="2153B00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72">
            <w:r w:rsidRPr="00360A73">
              <w:rPr>
                <w:rStyle w:val="Hyperlink"/>
                <w:noProof/>
              </w:rPr>
              <w:t>5.1.6.</w:t>
            </w:r>
            <w:r>
              <w:rPr>
                <w:rFonts w:asciiTheme="minorHAnsi" w:hAnsiTheme="minorHAnsi" w:cstheme="minorBidi"/>
                <w:noProof/>
                <w:kern w:val="2"/>
                <w:sz w:val="24"/>
                <w:szCs w:val="24"/>
                <w14:ligatures w14:val="standardContextual"/>
              </w:rPr>
              <w:tab/>
            </w:r>
            <w:r w:rsidRPr="00360A73">
              <w:rPr>
                <w:rStyle w:val="Hyperlink"/>
                <w:noProof/>
              </w:rPr>
              <w:t>Utility Owned Storage (UOS)</w:t>
            </w:r>
            <w:r>
              <w:rPr>
                <w:noProof/>
                <w:webHidden/>
              </w:rPr>
              <w:tab/>
            </w:r>
            <w:r>
              <w:rPr>
                <w:noProof/>
                <w:webHidden/>
              </w:rPr>
              <w:fldChar w:fldCharType="begin"/>
            </w:r>
            <w:r>
              <w:rPr>
                <w:noProof/>
                <w:webHidden/>
              </w:rPr>
              <w:instrText xml:space="preserve"> PAGEREF _Toc183184272 \h </w:instrText>
            </w:r>
            <w:r>
              <w:rPr>
                <w:noProof/>
                <w:webHidden/>
              </w:rPr>
            </w:r>
            <w:r>
              <w:rPr>
                <w:noProof/>
                <w:webHidden/>
              </w:rPr>
              <w:fldChar w:fldCharType="separate"/>
            </w:r>
            <w:r w:rsidR="00E24263">
              <w:rPr>
                <w:noProof/>
                <w:webHidden/>
              </w:rPr>
              <w:t>22</w:t>
            </w:r>
            <w:r>
              <w:rPr>
                <w:noProof/>
                <w:webHidden/>
              </w:rPr>
              <w:fldChar w:fldCharType="end"/>
            </w:r>
          </w:hyperlink>
        </w:p>
        <w:p w:rsidR="00021F00" w:rsidRDefault="00021F00" w14:paraId="51A95286" w14:textId="4B519EC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73">
            <w:r w:rsidRPr="00360A73">
              <w:rPr>
                <w:rStyle w:val="Hyperlink"/>
                <w:noProof/>
              </w:rPr>
              <w:t>5.1.7.</w:t>
            </w:r>
            <w:r>
              <w:rPr>
                <w:rFonts w:asciiTheme="minorHAnsi" w:hAnsiTheme="minorHAnsi" w:cstheme="minorBidi"/>
                <w:noProof/>
                <w:kern w:val="2"/>
                <w:sz w:val="24"/>
                <w:szCs w:val="24"/>
                <w14:ligatures w14:val="standardContextual"/>
              </w:rPr>
              <w:tab/>
            </w:r>
            <w:r w:rsidRPr="00360A73">
              <w:rPr>
                <w:rStyle w:val="Hyperlink"/>
                <w:noProof/>
              </w:rPr>
              <w:t>Inter-Agency Contract Production</w:t>
            </w:r>
            <w:r>
              <w:rPr>
                <w:noProof/>
                <w:webHidden/>
              </w:rPr>
              <w:tab/>
            </w:r>
            <w:r>
              <w:rPr>
                <w:noProof/>
                <w:webHidden/>
              </w:rPr>
              <w:fldChar w:fldCharType="begin"/>
            </w:r>
            <w:r>
              <w:rPr>
                <w:noProof/>
                <w:webHidden/>
              </w:rPr>
              <w:instrText xml:space="preserve"> PAGEREF _Toc183184273 \h </w:instrText>
            </w:r>
            <w:r>
              <w:rPr>
                <w:noProof/>
                <w:webHidden/>
              </w:rPr>
            </w:r>
            <w:r>
              <w:rPr>
                <w:noProof/>
                <w:webHidden/>
              </w:rPr>
              <w:fldChar w:fldCharType="separate"/>
            </w:r>
            <w:r w:rsidR="00E24263">
              <w:rPr>
                <w:noProof/>
                <w:webHidden/>
              </w:rPr>
              <w:t>22</w:t>
            </w:r>
            <w:r>
              <w:rPr>
                <w:noProof/>
                <w:webHidden/>
              </w:rPr>
              <w:fldChar w:fldCharType="end"/>
            </w:r>
          </w:hyperlink>
        </w:p>
        <w:p w:rsidR="00021F00" w:rsidRDefault="00021F00" w14:paraId="67CFB020" w14:textId="31B9B2C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74">
            <w:r w:rsidRPr="00360A73">
              <w:rPr>
                <w:rStyle w:val="Hyperlink"/>
                <w:noProof/>
              </w:rPr>
              <w:t>5.1.8.</w:t>
            </w:r>
            <w:r>
              <w:rPr>
                <w:rFonts w:asciiTheme="minorHAnsi" w:hAnsiTheme="minorHAnsi" w:cstheme="minorBidi"/>
                <w:noProof/>
                <w:kern w:val="2"/>
                <w:sz w:val="24"/>
                <w:szCs w:val="24"/>
                <w14:ligatures w14:val="standardContextual"/>
              </w:rPr>
              <w:tab/>
            </w:r>
            <w:r w:rsidRPr="00360A73">
              <w:rPr>
                <w:rStyle w:val="Hyperlink"/>
                <w:noProof/>
              </w:rPr>
              <w:t>Inter-Utility Nuclear  Contract Production</w:t>
            </w:r>
            <w:r>
              <w:rPr>
                <w:noProof/>
                <w:webHidden/>
              </w:rPr>
              <w:tab/>
            </w:r>
            <w:r>
              <w:rPr>
                <w:noProof/>
                <w:webHidden/>
              </w:rPr>
              <w:fldChar w:fldCharType="begin"/>
            </w:r>
            <w:r>
              <w:rPr>
                <w:noProof/>
                <w:webHidden/>
              </w:rPr>
              <w:instrText xml:space="preserve"> PAGEREF _Toc183184274 \h </w:instrText>
            </w:r>
            <w:r>
              <w:rPr>
                <w:noProof/>
                <w:webHidden/>
              </w:rPr>
            </w:r>
            <w:r>
              <w:rPr>
                <w:noProof/>
                <w:webHidden/>
              </w:rPr>
              <w:fldChar w:fldCharType="separate"/>
            </w:r>
            <w:r w:rsidR="00E24263">
              <w:rPr>
                <w:noProof/>
                <w:webHidden/>
              </w:rPr>
              <w:t>23</w:t>
            </w:r>
            <w:r>
              <w:rPr>
                <w:noProof/>
                <w:webHidden/>
              </w:rPr>
              <w:fldChar w:fldCharType="end"/>
            </w:r>
          </w:hyperlink>
        </w:p>
        <w:p w:rsidR="00021F00" w:rsidRDefault="00021F00" w14:paraId="25A4A67A" w14:textId="41315DF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75">
            <w:r w:rsidRPr="00360A73">
              <w:rPr>
                <w:rStyle w:val="Hyperlink"/>
                <w:noProof/>
              </w:rPr>
              <w:t>5.1.9.</w:t>
            </w:r>
            <w:r>
              <w:rPr>
                <w:rFonts w:asciiTheme="minorHAnsi" w:hAnsiTheme="minorHAnsi" w:cstheme="minorBidi"/>
                <w:noProof/>
                <w:kern w:val="2"/>
                <w:sz w:val="24"/>
                <w:szCs w:val="24"/>
                <w14:ligatures w14:val="standardContextual"/>
              </w:rPr>
              <w:tab/>
            </w:r>
            <w:r w:rsidRPr="00360A73">
              <w:rPr>
                <w:rStyle w:val="Hyperlink"/>
                <w:noProof/>
              </w:rPr>
              <w:t>Resource Adequacy and  Reliability Contracts</w:t>
            </w:r>
            <w:r>
              <w:rPr>
                <w:noProof/>
                <w:webHidden/>
              </w:rPr>
              <w:tab/>
            </w:r>
            <w:r>
              <w:rPr>
                <w:noProof/>
                <w:webHidden/>
              </w:rPr>
              <w:fldChar w:fldCharType="begin"/>
            </w:r>
            <w:r>
              <w:rPr>
                <w:noProof/>
                <w:webHidden/>
              </w:rPr>
              <w:instrText xml:space="preserve"> PAGEREF _Toc183184275 \h </w:instrText>
            </w:r>
            <w:r>
              <w:rPr>
                <w:noProof/>
                <w:webHidden/>
              </w:rPr>
            </w:r>
            <w:r>
              <w:rPr>
                <w:noProof/>
                <w:webHidden/>
              </w:rPr>
              <w:fldChar w:fldCharType="separate"/>
            </w:r>
            <w:r w:rsidR="00E24263">
              <w:rPr>
                <w:noProof/>
                <w:webHidden/>
              </w:rPr>
              <w:t>24</w:t>
            </w:r>
            <w:r>
              <w:rPr>
                <w:noProof/>
                <w:webHidden/>
              </w:rPr>
              <w:fldChar w:fldCharType="end"/>
            </w:r>
          </w:hyperlink>
        </w:p>
        <w:p w:rsidR="00021F00" w:rsidRDefault="00021F00" w14:paraId="38934A8C" w14:textId="3CFBEA15">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276">
            <w:r w:rsidRPr="00360A73">
              <w:rPr>
                <w:rStyle w:val="Hyperlink"/>
                <w:noProof/>
              </w:rPr>
              <w:t>5.1.9.1.</w:t>
            </w:r>
            <w:r>
              <w:rPr>
                <w:rFonts w:asciiTheme="minorHAnsi" w:hAnsiTheme="minorHAnsi" w:eastAsiaTheme="minorEastAsia"/>
                <w:noProof/>
                <w:kern w:val="2"/>
                <w:sz w:val="24"/>
                <w:szCs w:val="24"/>
                <w14:ligatures w14:val="standardContextual"/>
              </w:rPr>
              <w:tab/>
            </w:r>
            <w:r w:rsidRPr="00360A73">
              <w:rPr>
                <w:rStyle w:val="Hyperlink"/>
                <w:noProof/>
              </w:rPr>
              <w:t>System Reliability Request  for Offers</w:t>
            </w:r>
            <w:r>
              <w:rPr>
                <w:noProof/>
                <w:webHidden/>
              </w:rPr>
              <w:tab/>
            </w:r>
            <w:r>
              <w:rPr>
                <w:noProof/>
                <w:webHidden/>
              </w:rPr>
              <w:fldChar w:fldCharType="begin"/>
            </w:r>
            <w:r>
              <w:rPr>
                <w:noProof/>
                <w:webHidden/>
              </w:rPr>
              <w:instrText xml:space="preserve"> PAGEREF _Toc183184276 \h </w:instrText>
            </w:r>
            <w:r>
              <w:rPr>
                <w:noProof/>
                <w:webHidden/>
              </w:rPr>
            </w:r>
            <w:r>
              <w:rPr>
                <w:noProof/>
                <w:webHidden/>
              </w:rPr>
              <w:fldChar w:fldCharType="separate"/>
            </w:r>
            <w:r w:rsidR="00E24263">
              <w:rPr>
                <w:noProof/>
                <w:webHidden/>
              </w:rPr>
              <w:t>25</w:t>
            </w:r>
            <w:r>
              <w:rPr>
                <w:noProof/>
                <w:webHidden/>
              </w:rPr>
              <w:fldChar w:fldCharType="end"/>
            </w:r>
          </w:hyperlink>
        </w:p>
        <w:p w:rsidR="00021F00" w:rsidRDefault="00021F00" w14:paraId="059FA77E" w14:textId="404D0D2F">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277">
            <w:r w:rsidRPr="00360A73">
              <w:rPr>
                <w:rStyle w:val="Hyperlink"/>
                <w:noProof/>
              </w:rPr>
              <w:t>5.1.9.2.</w:t>
            </w:r>
            <w:r>
              <w:rPr>
                <w:rFonts w:asciiTheme="minorHAnsi" w:hAnsiTheme="minorHAnsi" w:eastAsiaTheme="minorEastAsia"/>
                <w:noProof/>
                <w:kern w:val="2"/>
                <w:sz w:val="24"/>
                <w:szCs w:val="24"/>
                <w14:ligatures w14:val="standardContextual"/>
              </w:rPr>
              <w:tab/>
            </w:r>
            <w:r w:rsidRPr="00360A73">
              <w:rPr>
                <w:rStyle w:val="Hyperlink"/>
                <w:noProof/>
              </w:rPr>
              <w:t>Emergency Reliability Procurement</w:t>
            </w:r>
            <w:r>
              <w:rPr>
                <w:noProof/>
                <w:webHidden/>
              </w:rPr>
              <w:tab/>
            </w:r>
            <w:r>
              <w:rPr>
                <w:noProof/>
                <w:webHidden/>
              </w:rPr>
              <w:fldChar w:fldCharType="begin"/>
            </w:r>
            <w:r>
              <w:rPr>
                <w:noProof/>
                <w:webHidden/>
              </w:rPr>
              <w:instrText xml:space="preserve"> PAGEREF _Toc183184277 \h </w:instrText>
            </w:r>
            <w:r>
              <w:rPr>
                <w:noProof/>
                <w:webHidden/>
              </w:rPr>
            </w:r>
            <w:r>
              <w:rPr>
                <w:noProof/>
                <w:webHidden/>
              </w:rPr>
              <w:fldChar w:fldCharType="separate"/>
            </w:r>
            <w:r w:rsidR="00E24263">
              <w:rPr>
                <w:noProof/>
                <w:webHidden/>
              </w:rPr>
              <w:t>25</w:t>
            </w:r>
            <w:r>
              <w:rPr>
                <w:noProof/>
                <w:webHidden/>
              </w:rPr>
              <w:fldChar w:fldCharType="end"/>
            </w:r>
          </w:hyperlink>
        </w:p>
        <w:p w:rsidR="00021F00" w:rsidRDefault="00021F00" w14:paraId="58E93CF3" w14:textId="774E6C32">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278">
            <w:r w:rsidRPr="00360A73">
              <w:rPr>
                <w:rStyle w:val="Hyperlink"/>
                <w:noProof/>
              </w:rPr>
              <w:t>5.1.9.3.</w:t>
            </w:r>
            <w:r>
              <w:rPr>
                <w:rFonts w:asciiTheme="minorHAnsi" w:hAnsiTheme="minorHAnsi" w:eastAsiaTheme="minorEastAsia"/>
                <w:noProof/>
                <w:kern w:val="2"/>
                <w:sz w:val="24"/>
                <w:szCs w:val="24"/>
                <w14:ligatures w14:val="standardContextual"/>
              </w:rPr>
              <w:tab/>
            </w:r>
            <w:r w:rsidRPr="00360A73">
              <w:rPr>
                <w:rStyle w:val="Hyperlink"/>
                <w:noProof/>
              </w:rPr>
              <w:t>Mid-Term Reliability (MTR)</w:t>
            </w:r>
            <w:r>
              <w:rPr>
                <w:noProof/>
                <w:webHidden/>
              </w:rPr>
              <w:tab/>
            </w:r>
            <w:r>
              <w:rPr>
                <w:noProof/>
                <w:webHidden/>
              </w:rPr>
              <w:fldChar w:fldCharType="begin"/>
            </w:r>
            <w:r>
              <w:rPr>
                <w:noProof/>
                <w:webHidden/>
              </w:rPr>
              <w:instrText xml:space="preserve"> PAGEREF _Toc183184278 \h </w:instrText>
            </w:r>
            <w:r>
              <w:rPr>
                <w:noProof/>
                <w:webHidden/>
              </w:rPr>
            </w:r>
            <w:r>
              <w:rPr>
                <w:noProof/>
                <w:webHidden/>
              </w:rPr>
              <w:fldChar w:fldCharType="separate"/>
            </w:r>
            <w:r w:rsidR="00E24263">
              <w:rPr>
                <w:noProof/>
                <w:webHidden/>
              </w:rPr>
              <w:t>26</w:t>
            </w:r>
            <w:r>
              <w:rPr>
                <w:noProof/>
                <w:webHidden/>
              </w:rPr>
              <w:fldChar w:fldCharType="end"/>
            </w:r>
          </w:hyperlink>
        </w:p>
        <w:p w:rsidR="00021F00" w:rsidRDefault="00021F00" w14:paraId="06D42E9E" w14:textId="1F36E070">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279">
            <w:r w:rsidRPr="00360A73">
              <w:rPr>
                <w:rStyle w:val="Hyperlink"/>
                <w:noProof/>
              </w:rPr>
              <w:t>5.1.9.4.</w:t>
            </w:r>
            <w:r>
              <w:rPr>
                <w:rFonts w:asciiTheme="minorHAnsi" w:hAnsiTheme="minorHAnsi" w:eastAsiaTheme="minorEastAsia"/>
                <w:noProof/>
                <w:kern w:val="2"/>
                <w:sz w:val="24"/>
                <w:szCs w:val="24"/>
                <w14:ligatures w14:val="standardContextual"/>
              </w:rPr>
              <w:tab/>
            </w:r>
            <w:r w:rsidRPr="00360A73">
              <w:rPr>
                <w:rStyle w:val="Hyperlink"/>
                <w:noProof/>
              </w:rPr>
              <w:t>Imports Used for MTR and Diablo Canyon Replacement</w:t>
            </w:r>
            <w:r>
              <w:rPr>
                <w:noProof/>
                <w:webHidden/>
              </w:rPr>
              <w:tab/>
            </w:r>
            <w:r>
              <w:rPr>
                <w:noProof/>
                <w:webHidden/>
              </w:rPr>
              <w:fldChar w:fldCharType="begin"/>
            </w:r>
            <w:r>
              <w:rPr>
                <w:noProof/>
                <w:webHidden/>
              </w:rPr>
              <w:instrText xml:space="preserve"> PAGEREF _Toc183184279 \h </w:instrText>
            </w:r>
            <w:r>
              <w:rPr>
                <w:noProof/>
                <w:webHidden/>
              </w:rPr>
            </w:r>
            <w:r>
              <w:rPr>
                <w:noProof/>
                <w:webHidden/>
              </w:rPr>
              <w:fldChar w:fldCharType="separate"/>
            </w:r>
            <w:r w:rsidR="00E24263">
              <w:rPr>
                <w:noProof/>
                <w:webHidden/>
              </w:rPr>
              <w:t>27</w:t>
            </w:r>
            <w:r>
              <w:rPr>
                <w:noProof/>
                <w:webHidden/>
              </w:rPr>
              <w:fldChar w:fldCharType="end"/>
            </w:r>
          </w:hyperlink>
        </w:p>
        <w:p w:rsidR="00021F00" w:rsidRDefault="00021F00" w14:paraId="150D0BF0" w14:textId="7BB25CE6">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280">
            <w:r w:rsidRPr="00360A73">
              <w:rPr>
                <w:rStyle w:val="Hyperlink"/>
                <w:noProof/>
              </w:rPr>
              <w:t>5.1.9.5.</w:t>
            </w:r>
            <w:r>
              <w:rPr>
                <w:rFonts w:asciiTheme="minorHAnsi" w:hAnsiTheme="minorHAnsi" w:eastAsiaTheme="minorEastAsia"/>
                <w:noProof/>
                <w:kern w:val="2"/>
                <w:sz w:val="24"/>
                <w:szCs w:val="24"/>
                <w14:ligatures w14:val="standardContextual"/>
              </w:rPr>
              <w:tab/>
            </w:r>
            <w:r w:rsidRPr="00360A73">
              <w:rPr>
                <w:rStyle w:val="Hyperlink"/>
                <w:noProof/>
              </w:rPr>
              <w:t>Generic and Bilateral Resource Adequacy Contracts</w:t>
            </w:r>
            <w:r>
              <w:rPr>
                <w:noProof/>
                <w:webHidden/>
              </w:rPr>
              <w:tab/>
            </w:r>
            <w:r>
              <w:rPr>
                <w:noProof/>
                <w:webHidden/>
              </w:rPr>
              <w:fldChar w:fldCharType="begin"/>
            </w:r>
            <w:r>
              <w:rPr>
                <w:noProof/>
                <w:webHidden/>
              </w:rPr>
              <w:instrText xml:space="preserve"> PAGEREF _Toc183184280 \h </w:instrText>
            </w:r>
            <w:r>
              <w:rPr>
                <w:noProof/>
                <w:webHidden/>
              </w:rPr>
            </w:r>
            <w:r>
              <w:rPr>
                <w:noProof/>
                <w:webHidden/>
              </w:rPr>
              <w:fldChar w:fldCharType="separate"/>
            </w:r>
            <w:r w:rsidR="00E24263">
              <w:rPr>
                <w:noProof/>
                <w:webHidden/>
              </w:rPr>
              <w:t>27</w:t>
            </w:r>
            <w:r>
              <w:rPr>
                <w:noProof/>
                <w:webHidden/>
              </w:rPr>
              <w:fldChar w:fldCharType="end"/>
            </w:r>
          </w:hyperlink>
        </w:p>
        <w:p w:rsidR="00021F00" w:rsidRDefault="00021F00" w14:paraId="308FB3EE" w14:textId="78057B6D">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281">
            <w:r w:rsidRPr="00360A73">
              <w:rPr>
                <w:rStyle w:val="Hyperlink"/>
                <w:noProof/>
              </w:rPr>
              <w:t>5.1.9.6.</w:t>
            </w:r>
            <w:r>
              <w:rPr>
                <w:rFonts w:asciiTheme="minorHAnsi" w:hAnsiTheme="minorHAnsi" w:eastAsiaTheme="minorEastAsia"/>
                <w:noProof/>
                <w:kern w:val="2"/>
                <w:sz w:val="24"/>
                <w:szCs w:val="24"/>
                <w14:ligatures w14:val="standardContextual"/>
              </w:rPr>
              <w:tab/>
            </w:r>
            <w:r w:rsidRPr="00360A73">
              <w:rPr>
                <w:rStyle w:val="Hyperlink"/>
                <w:noProof/>
              </w:rPr>
              <w:t>Local Capacity Requirement Contracts</w:t>
            </w:r>
            <w:r>
              <w:rPr>
                <w:noProof/>
                <w:webHidden/>
              </w:rPr>
              <w:tab/>
            </w:r>
            <w:r>
              <w:rPr>
                <w:noProof/>
                <w:webHidden/>
              </w:rPr>
              <w:fldChar w:fldCharType="begin"/>
            </w:r>
            <w:r>
              <w:rPr>
                <w:noProof/>
                <w:webHidden/>
              </w:rPr>
              <w:instrText xml:space="preserve"> PAGEREF _Toc183184281 \h </w:instrText>
            </w:r>
            <w:r>
              <w:rPr>
                <w:noProof/>
                <w:webHidden/>
              </w:rPr>
            </w:r>
            <w:r>
              <w:rPr>
                <w:noProof/>
                <w:webHidden/>
              </w:rPr>
              <w:fldChar w:fldCharType="separate"/>
            </w:r>
            <w:r w:rsidR="00E24263">
              <w:rPr>
                <w:noProof/>
                <w:webHidden/>
              </w:rPr>
              <w:t>28</w:t>
            </w:r>
            <w:r>
              <w:rPr>
                <w:noProof/>
                <w:webHidden/>
              </w:rPr>
              <w:fldChar w:fldCharType="end"/>
            </w:r>
          </w:hyperlink>
        </w:p>
        <w:p w:rsidR="00021F00" w:rsidRDefault="00021F00" w14:paraId="13F67EB7" w14:textId="5971C21E">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83184282">
            <w:r w:rsidRPr="00360A73">
              <w:rPr>
                <w:rStyle w:val="Hyperlink"/>
                <w:noProof/>
              </w:rPr>
              <w:t>5.1.10.</w:t>
            </w:r>
            <w:r>
              <w:rPr>
                <w:rFonts w:asciiTheme="minorHAnsi" w:hAnsiTheme="minorHAnsi" w:cstheme="minorBidi"/>
                <w:noProof/>
                <w:kern w:val="2"/>
                <w:sz w:val="24"/>
                <w:szCs w:val="24"/>
                <w14:ligatures w14:val="standardContextual"/>
              </w:rPr>
              <w:tab/>
            </w:r>
            <w:r w:rsidRPr="00360A73">
              <w:rPr>
                <w:rStyle w:val="Hyperlink"/>
                <w:noProof/>
              </w:rPr>
              <w:t>Public Purpose Program Charges</w:t>
            </w:r>
            <w:r>
              <w:rPr>
                <w:noProof/>
                <w:webHidden/>
              </w:rPr>
              <w:tab/>
            </w:r>
            <w:r>
              <w:rPr>
                <w:noProof/>
                <w:webHidden/>
              </w:rPr>
              <w:fldChar w:fldCharType="begin"/>
            </w:r>
            <w:r>
              <w:rPr>
                <w:noProof/>
                <w:webHidden/>
              </w:rPr>
              <w:instrText xml:space="preserve"> PAGEREF _Toc183184282 \h </w:instrText>
            </w:r>
            <w:r>
              <w:rPr>
                <w:noProof/>
                <w:webHidden/>
              </w:rPr>
            </w:r>
            <w:r>
              <w:rPr>
                <w:noProof/>
                <w:webHidden/>
              </w:rPr>
              <w:fldChar w:fldCharType="separate"/>
            </w:r>
            <w:r w:rsidR="00E24263">
              <w:rPr>
                <w:noProof/>
                <w:webHidden/>
              </w:rPr>
              <w:t>28</w:t>
            </w:r>
            <w:r>
              <w:rPr>
                <w:noProof/>
                <w:webHidden/>
              </w:rPr>
              <w:fldChar w:fldCharType="end"/>
            </w:r>
          </w:hyperlink>
        </w:p>
        <w:p w:rsidR="00021F00" w:rsidRDefault="00021F00" w14:paraId="7267F05E" w14:textId="78AF8737">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83184283">
            <w:r w:rsidRPr="00360A73">
              <w:rPr>
                <w:rStyle w:val="Hyperlink"/>
                <w:noProof/>
              </w:rPr>
              <w:t>5.1.11.</w:t>
            </w:r>
            <w:r>
              <w:rPr>
                <w:rFonts w:asciiTheme="minorHAnsi" w:hAnsiTheme="minorHAnsi" w:cstheme="minorBidi"/>
                <w:noProof/>
                <w:kern w:val="2"/>
                <w:sz w:val="24"/>
                <w:szCs w:val="24"/>
                <w14:ligatures w14:val="standardContextual"/>
              </w:rPr>
              <w:tab/>
            </w:r>
            <w:r w:rsidRPr="00360A73">
              <w:rPr>
                <w:rStyle w:val="Hyperlink"/>
                <w:noProof/>
              </w:rPr>
              <w:t>Green Tariff Shared  Renewables Program</w:t>
            </w:r>
            <w:r>
              <w:rPr>
                <w:noProof/>
                <w:webHidden/>
              </w:rPr>
              <w:tab/>
            </w:r>
            <w:r>
              <w:rPr>
                <w:noProof/>
                <w:webHidden/>
              </w:rPr>
              <w:fldChar w:fldCharType="begin"/>
            </w:r>
            <w:r>
              <w:rPr>
                <w:noProof/>
                <w:webHidden/>
              </w:rPr>
              <w:instrText xml:space="preserve"> PAGEREF _Toc183184283 \h </w:instrText>
            </w:r>
            <w:r>
              <w:rPr>
                <w:noProof/>
                <w:webHidden/>
              </w:rPr>
            </w:r>
            <w:r>
              <w:rPr>
                <w:noProof/>
                <w:webHidden/>
              </w:rPr>
              <w:fldChar w:fldCharType="separate"/>
            </w:r>
            <w:r w:rsidR="00E24263">
              <w:rPr>
                <w:noProof/>
                <w:webHidden/>
              </w:rPr>
              <w:t>30</w:t>
            </w:r>
            <w:r>
              <w:rPr>
                <w:noProof/>
                <w:webHidden/>
              </w:rPr>
              <w:fldChar w:fldCharType="end"/>
            </w:r>
          </w:hyperlink>
        </w:p>
        <w:p w:rsidR="00021F00" w:rsidRDefault="00021F00" w14:paraId="187D47B4" w14:textId="2AF41C64">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83184284">
            <w:r w:rsidRPr="00360A73">
              <w:rPr>
                <w:rStyle w:val="Hyperlink"/>
                <w:noProof/>
              </w:rPr>
              <w:t>5.1.12.</w:t>
            </w:r>
            <w:r>
              <w:rPr>
                <w:rFonts w:asciiTheme="minorHAnsi" w:hAnsiTheme="minorHAnsi" w:cstheme="minorBidi"/>
                <w:noProof/>
                <w:kern w:val="2"/>
                <w:sz w:val="24"/>
                <w:szCs w:val="24"/>
                <w14:ligatures w14:val="standardContextual"/>
              </w:rPr>
              <w:tab/>
            </w:r>
            <w:r w:rsidRPr="00360A73">
              <w:rPr>
                <w:rStyle w:val="Hyperlink"/>
                <w:noProof/>
              </w:rPr>
              <w:t>Discussion</w:t>
            </w:r>
            <w:r>
              <w:rPr>
                <w:noProof/>
                <w:webHidden/>
              </w:rPr>
              <w:tab/>
            </w:r>
            <w:r>
              <w:rPr>
                <w:noProof/>
                <w:webHidden/>
              </w:rPr>
              <w:fldChar w:fldCharType="begin"/>
            </w:r>
            <w:r>
              <w:rPr>
                <w:noProof/>
                <w:webHidden/>
              </w:rPr>
              <w:instrText xml:space="preserve"> PAGEREF _Toc183184284 \h </w:instrText>
            </w:r>
            <w:r>
              <w:rPr>
                <w:noProof/>
                <w:webHidden/>
              </w:rPr>
            </w:r>
            <w:r>
              <w:rPr>
                <w:noProof/>
                <w:webHidden/>
              </w:rPr>
              <w:fldChar w:fldCharType="separate"/>
            </w:r>
            <w:r w:rsidR="00E24263">
              <w:rPr>
                <w:noProof/>
                <w:webHidden/>
              </w:rPr>
              <w:t>31</w:t>
            </w:r>
            <w:r>
              <w:rPr>
                <w:noProof/>
                <w:webHidden/>
              </w:rPr>
              <w:fldChar w:fldCharType="end"/>
            </w:r>
          </w:hyperlink>
        </w:p>
        <w:p w:rsidR="00021F00" w:rsidRDefault="00021F00" w14:paraId="19347A1E" w14:textId="6A52FF6D">
          <w:pPr>
            <w:pStyle w:val="TOC2"/>
            <w:tabs>
              <w:tab w:val="right" w:leader="dot" w:pos="9350"/>
            </w:tabs>
            <w:rPr>
              <w:rFonts w:asciiTheme="minorHAnsi" w:hAnsiTheme="minorHAnsi" w:cstheme="minorBidi"/>
              <w:noProof/>
              <w:kern w:val="2"/>
              <w:sz w:val="24"/>
              <w:szCs w:val="24"/>
              <w14:ligatures w14:val="standardContextual"/>
            </w:rPr>
          </w:pPr>
          <w:hyperlink w:history="1" w:anchor="_Toc183184285">
            <w:r w:rsidRPr="00360A73">
              <w:rPr>
                <w:rStyle w:val="Hyperlink"/>
                <w:noProof/>
              </w:rPr>
              <w:t>5.2.</w:t>
            </w:r>
            <w:r>
              <w:rPr>
                <w:rFonts w:asciiTheme="minorHAnsi" w:hAnsiTheme="minorHAnsi" w:cstheme="minorBidi"/>
                <w:noProof/>
                <w:kern w:val="2"/>
                <w:sz w:val="24"/>
                <w:szCs w:val="24"/>
                <w14:ligatures w14:val="standardContextual"/>
              </w:rPr>
              <w:tab/>
            </w:r>
            <w:r w:rsidRPr="00360A73">
              <w:rPr>
                <w:rStyle w:val="Hyperlink"/>
                <w:noProof/>
              </w:rPr>
              <w:t>Other SCE Resources and Programs</w:t>
            </w:r>
            <w:r>
              <w:rPr>
                <w:noProof/>
                <w:webHidden/>
              </w:rPr>
              <w:tab/>
            </w:r>
            <w:r>
              <w:rPr>
                <w:noProof/>
                <w:webHidden/>
              </w:rPr>
              <w:fldChar w:fldCharType="begin"/>
            </w:r>
            <w:r>
              <w:rPr>
                <w:noProof/>
                <w:webHidden/>
              </w:rPr>
              <w:instrText xml:space="preserve"> PAGEREF _Toc183184285 \h </w:instrText>
            </w:r>
            <w:r>
              <w:rPr>
                <w:noProof/>
                <w:webHidden/>
              </w:rPr>
            </w:r>
            <w:r>
              <w:rPr>
                <w:noProof/>
                <w:webHidden/>
              </w:rPr>
              <w:fldChar w:fldCharType="separate"/>
            </w:r>
            <w:r w:rsidR="00E24263">
              <w:rPr>
                <w:noProof/>
                <w:webHidden/>
              </w:rPr>
              <w:t>31</w:t>
            </w:r>
            <w:r>
              <w:rPr>
                <w:noProof/>
                <w:webHidden/>
              </w:rPr>
              <w:fldChar w:fldCharType="end"/>
            </w:r>
          </w:hyperlink>
        </w:p>
        <w:p w:rsidR="00021F00" w:rsidRDefault="00021F00" w14:paraId="0D3D8D72" w14:textId="4D1BD8FA">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86">
            <w:r w:rsidRPr="00360A73">
              <w:rPr>
                <w:rStyle w:val="Hyperlink"/>
                <w:noProof/>
              </w:rPr>
              <w:t>5.2.1.</w:t>
            </w:r>
            <w:r>
              <w:rPr>
                <w:rFonts w:asciiTheme="minorHAnsi" w:hAnsiTheme="minorHAnsi" w:cstheme="minorBidi"/>
                <w:noProof/>
                <w:kern w:val="2"/>
                <w:sz w:val="24"/>
                <w:szCs w:val="24"/>
                <w14:ligatures w14:val="standardContextual"/>
              </w:rPr>
              <w:tab/>
            </w:r>
            <w:r w:rsidRPr="00360A73">
              <w:rPr>
                <w:rStyle w:val="Hyperlink"/>
                <w:noProof/>
              </w:rPr>
              <w:t>Nuclear Decommissioning</w:t>
            </w:r>
            <w:r>
              <w:rPr>
                <w:noProof/>
                <w:webHidden/>
              </w:rPr>
              <w:tab/>
            </w:r>
            <w:r>
              <w:rPr>
                <w:noProof/>
                <w:webHidden/>
              </w:rPr>
              <w:fldChar w:fldCharType="begin"/>
            </w:r>
            <w:r>
              <w:rPr>
                <w:noProof/>
                <w:webHidden/>
              </w:rPr>
              <w:instrText xml:space="preserve"> PAGEREF _Toc183184286 \h </w:instrText>
            </w:r>
            <w:r>
              <w:rPr>
                <w:noProof/>
                <w:webHidden/>
              </w:rPr>
            </w:r>
            <w:r>
              <w:rPr>
                <w:noProof/>
                <w:webHidden/>
              </w:rPr>
              <w:fldChar w:fldCharType="separate"/>
            </w:r>
            <w:r w:rsidR="00E24263">
              <w:rPr>
                <w:noProof/>
                <w:webHidden/>
              </w:rPr>
              <w:t>31</w:t>
            </w:r>
            <w:r>
              <w:rPr>
                <w:noProof/>
                <w:webHidden/>
              </w:rPr>
              <w:fldChar w:fldCharType="end"/>
            </w:r>
          </w:hyperlink>
        </w:p>
        <w:p w:rsidR="00021F00" w:rsidRDefault="00021F00" w14:paraId="0D67F8E7" w14:textId="38B569A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87">
            <w:r w:rsidRPr="00360A73">
              <w:rPr>
                <w:rStyle w:val="Hyperlink"/>
                <w:noProof/>
              </w:rPr>
              <w:t>5.2.2.</w:t>
            </w:r>
            <w:r>
              <w:rPr>
                <w:rFonts w:asciiTheme="minorHAnsi" w:hAnsiTheme="minorHAnsi" w:cstheme="minorBidi"/>
                <w:noProof/>
                <w:kern w:val="2"/>
                <w:sz w:val="24"/>
                <w:szCs w:val="24"/>
                <w14:ligatures w14:val="standardContextual"/>
              </w:rPr>
              <w:tab/>
            </w:r>
            <w:r w:rsidRPr="00360A73">
              <w:rPr>
                <w:rStyle w:val="Hyperlink"/>
                <w:noProof/>
              </w:rPr>
              <w:t>Demand Response</w:t>
            </w:r>
            <w:r>
              <w:rPr>
                <w:noProof/>
                <w:webHidden/>
              </w:rPr>
              <w:tab/>
            </w:r>
            <w:r>
              <w:rPr>
                <w:noProof/>
                <w:webHidden/>
              </w:rPr>
              <w:fldChar w:fldCharType="begin"/>
            </w:r>
            <w:r>
              <w:rPr>
                <w:noProof/>
                <w:webHidden/>
              </w:rPr>
              <w:instrText xml:space="preserve"> PAGEREF _Toc183184287 \h </w:instrText>
            </w:r>
            <w:r>
              <w:rPr>
                <w:noProof/>
                <w:webHidden/>
              </w:rPr>
            </w:r>
            <w:r>
              <w:rPr>
                <w:noProof/>
                <w:webHidden/>
              </w:rPr>
              <w:fldChar w:fldCharType="separate"/>
            </w:r>
            <w:r w:rsidR="00E24263">
              <w:rPr>
                <w:noProof/>
                <w:webHidden/>
              </w:rPr>
              <w:t>32</w:t>
            </w:r>
            <w:r>
              <w:rPr>
                <w:noProof/>
                <w:webHidden/>
              </w:rPr>
              <w:fldChar w:fldCharType="end"/>
            </w:r>
          </w:hyperlink>
        </w:p>
        <w:p w:rsidR="00021F00" w:rsidRDefault="00021F00" w14:paraId="68C46904" w14:textId="43C90676">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88">
            <w:r w:rsidRPr="00360A73">
              <w:rPr>
                <w:rStyle w:val="Hyperlink"/>
                <w:noProof/>
              </w:rPr>
              <w:t>5.2.3.</w:t>
            </w:r>
            <w:r>
              <w:rPr>
                <w:rFonts w:asciiTheme="minorHAnsi" w:hAnsiTheme="minorHAnsi" w:cstheme="minorBidi"/>
                <w:noProof/>
                <w:kern w:val="2"/>
                <w:sz w:val="24"/>
                <w:szCs w:val="24"/>
                <w14:ligatures w14:val="standardContextual"/>
              </w:rPr>
              <w:tab/>
            </w:r>
            <w:r w:rsidRPr="00360A73">
              <w:rPr>
                <w:rStyle w:val="Hyperlink"/>
                <w:noProof/>
              </w:rPr>
              <w:t>CAISO Costs, Load Procurement Charges, and Energy Revenue</w:t>
            </w:r>
            <w:r>
              <w:rPr>
                <w:noProof/>
                <w:webHidden/>
              </w:rPr>
              <w:tab/>
            </w:r>
            <w:r>
              <w:rPr>
                <w:noProof/>
                <w:webHidden/>
              </w:rPr>
              <w:fldChar w:fldCharType="begin"/>
            </w:r>
            <w:r>
              <w:rPr>
                <w:noProof/>
                <w:webHidden/>
              </w:rPr>
              <w:instrText xml:space="preserve"> PAGEREF _Toc183184288 \h </w:instrText>
            </w:r>
            <w:r>
              <w:rPr>
                <w:noProof/>
                <w:webHidden/>
              </w:rPr>
            </w:r>
            <w:r>
              <w:rPr>
                <w:noProof/>
                <w:webHidden/>
              </w:rPr>
              <w:fldChar w:fldCharType="separate"/>
            </w:r>
            <w:r w:rsidR="00E24263">
              <w:rPr>
                <w:noProof/>
                <w:webHidden/>
              </w:rPr>
              <w:t>33</w:t>
            </w:r>
            <w:r>
              <w:rPr>
                <w:noProof/>
                <w:webHidden/>
              </w:rPr>
              <w:fldChar w:fldCharType="end"/>
            </w:r>
          </w:hyperlink>
        </w:p>
        <w:p w:rsidR="00021F00" w:rsidRDefault="00021F00" w14:paraId="51FDBA02" w14:textId="16B671D4">
          <w:pPr>
            <w:pStyle w:val="TOC2"/>
            <w:tabs>
              <w:tab w:val="right" w:leader="dot" w:pos="9350"/>
            </w:tabs>
            <w:rPr>
              <w:rFonts w:asciiTheme="minorHAnsi" w:hAnsiTheme="minorHAnsi" w:cstheme="minorBidi"/>
              <w:noProof/>
              <w:kern w:val="2"/>
              <w:sz w:val="24"/>
              <w:szCs w:val="24"/>
              <w14:ligatures w14:val="standardContextual"/>
            </w:rPr>
          </w:pPr>
          <w:hyperlink w:history="1" w:anchor="_Toc183184289">
            <w:r w:rsidRPr="00360A73">
              <w:rPr>
                <w:rStyle w:val="Hyperlink"/>
                <w:noProof/>
              </w:rPr>
              <w:t>5.3.</w:t>
            </w:r>
            <w:r>
              <w:rPr>
                <w:rFonts w:asciiTheme="minorHAnsi" w:hAnsiTheme="minorHAnsi" w:cstheme="minorBidi"/>
                <w:noProof/>
                <w:kern w:val="2"/>
                <w:sz w:val="24"/>
                <w:szCs w:val="24"/>
                <w14:ligatures w14:val="standardContextual"/>
              </w:rPr>
              <w:tab/>
            </w:r>
            <w:r w:rsidRPr="00360A73">
              <w:rPr>
                <w:rStyle w:val="Hyperlink"/>
                <w:noProof/>
              </w:rPr>
              <w:t>Carrying and Financing Costs</w:t>
            </w:r>
            <w:r>
              <w:rPr>
                <w:noProof/>
                <w:webHidden/>
              </w:rPr>
              <w:tab/>
            </w:r>
            <w:r>
              <w:rPr>
                <w:noProof/>
                <w:webHidden/>
              </w:rPr>
              <w:fldChar w:fldCharType="begin"/>
            </w:r>
            <w:r>
              <w:rPr>
                <w:noProof/>
                <w:webHidden/>
              </w:rPr>
              <w:instrText xml:space="preserve"> PAGEREF _Toc183184289 \h </w:instrText>
            </w:r>
            <w:r>
              <w:rPr>
                <w:noProof/>
                <w:webHidden/>
              </w:rPr>
            </w:r>
            <w:r>
              <w:rPr>
                <w:noProof/>
                <w:webHidden/>
              </w:rPr>
              <w:fldChar w:fldCharType="separate"/>
            </w:r>
            <w:r w:rsidR="00E24263">
              <w:rPr>
                <w:noProof/>
                <w:webHidden/>
              </w:rPr>
              <w:t>34</w:t>
            </w:r>
            <w:r>
              <w:rPr>
                <w:noProof/>
                <w:webHidden/>
              </w:rPr>
              <w:fldChar w:fldCharType="end"/>
            </w:r>
          </w:hyperlink>
        </w:p>
        <w:p w:rsidR="00021F00" w:rsidRDefault="00021F00" w14:paraId="0DD5CCBA" w14:textId="6CFEDF3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90">
            <w:r w:rsidRPr="00360A73">
              <w:rPr>
                <w:rStyle w:val="Hyperlink"/>
                <w:noProof/>
              </w:rPr>
              <w:t>5.3.1.</w:t>
            </w:r>
            <w:r>
              <w:rPr>
                <w:rFonts w:asciiTheme="minorHAnsi" w:hAnsiTheme="minorHAnsi" w:cstheme="minorBidi"/>
                <w:noProof/>
                <w:kern w:val="2"/>
                <w:sz w:val="24"/>
                <w:szCs w:val="24"/>
                <w14:ligatures w14:val="standardContextual"/>
              </w:rPr>
              <w:tab/>
            </w:r>
            <w:r w:rsidRPr="00360A73">
              <w:rPr>
                <w:rStyle w:val="Hyperlink"/>
                <w:noProof/>
              </w:rPr>
              <w:t>Hedging Costs</w:t>
            </w:r>
            <w:r>
              <w:rPr>
                <w:noProof/>
                <w:webHidden/>
              </w:rPr>
              <w:tab/>
            </w:r>
            <w:r>
              <w:rPr>
                <w:noProof/>
                <w:webHidden/>
              </w:rPr>
              <w:fldChar w:fldCharType="begin"/>
            </w:r>
            <w:r>
              <w:rPr>
                <w:noProof/>
                <w:webHidden/>
              </w:rPr>
              <w:instrText xml:space="preserve"> PAGEREF _Toc183184290 \h </w:instrText>
            </w:r>
            <w:r>
              <w:rPr>
                <w:noProof/>
                <w:webHidden/>
              </w:rPr>
            </w:r>
            <w:r>
              <w:rPr>
                <w:noProof/>
                <w:webHidden/>
              </w:rPr>
              <w:fldChar w:fldCharType="separate"/>
            </w:r>
            <w:r w:rsidR="00E24263">
              <w:rPr>
                <w:noProof/>
                <w:webHidden/>
              </w:rPr>
              <w:t>34</w:t>
            </w:r>
            <w:r>
              <w:rPr>
                <w:noProof/>
                <w:webHidden/>
              </w:rPr>
              <w:fldChar w:fldCharType="end"/>
            </w:r>
          </w:hyperlink>
        </w:p>
        <w:p w:rsidR="00021F00" w:rsidRDefault="00021F00" w14:paraId="5E1BA18F" w14:textId="1C51414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91">
            <w:r w:rsidRPr="00360A73">
              <w:rPr>
                <w:rStyle w:val="Hyperlink"/>
                <w:noProof/>
              </w:rPr>
              <w:t>5.3.2.</w:t>
            </w:r>
            <w:r>
              <w:rPr>
                <w:rFonts w:asciiTheme="minorHAnsi" w:hAnsiTheme="minorHAnsi" w:cstheme="minorBidi"/>
                <w:noProof/>
                <w:kern w:val="2"/>
                <w:sz w:val="24"/>
                <w:szCs w:val="24"/>
                <w14:ligatures w14:val="standardContextual"/>
              </w:rPr>
              <w:tab/>
            </w:r>
            <w:r w:rsidRPr="00360A73">
              <w:rPr>
                <w:rStyle w:val="Hyperlink"/>
                <w:noProof/>
              </w:rPr>
              <w:t>Gas Transportation and Storage</w:t>
            </w:r>
            <w:r>
              <w:rPr>
                <w:noProof/>
                <w:webHidden/>
              </w:rPr>
              <w:tab/>
            </w:r>
            <w:r>
              <w:rPr>
                <w:noProof/>
                <w:webHidden/>
              </w:rPr>
              <w:fldChar w:fldCharType="begin"/>
            </w:r>
            <w:r>
              <w:rPr>
                <w:noProof/>
                <w:webHidden/>
              </w:rPr>
              <w:instrText xml:space="preserve"> PAGEREF _Toc183184291 \h </w:instrText>
            </w:r>
            <w:r>
              <w:rPr>
                <w:noProof/>
                <w:webHidden/>
              </w:rPr>
            </w:r>
            <w:r>
              <w:rPr>
                <w:noProof/>
                <w:webHidden/>
              </w:rPr>
              <w:fldChar w:fldCharType="separate"/>
            </w:r>
            <w:r w:rsidR="00E24263">
              <w:rPr>
                <w:noProof/>
                <w:webHidden/>
              </w:rPr>
              <w:t>35</w:t>
            </w:r>
            <w:r>
              <w:rPr>
                <w:noProof/>
                <w:webHidden/>
              </w:rPr>
              <w:fldChar w:fldCharType="end"/>
            </w:r>
          </w:hyperlink>
        </w:p>
        <w:p w:rsidR="00021F00" w:rsidRDefault="00021F00" w14:paraId="6511C84F" w14:textId="2233620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92">
            <w:r w:rsidRPr="00360A73">
              <w:rPr>
                <w:rStyle w:val="Hyperlink"/>
                <w:noProof/>
              </w:rPr>
              <w:t>5.3.3.</w:t>
            </w:r>
            <w:r>
              <w:rPr>
                <w:rFonts w:asciiTheme="minorHAnsi" w:hAnsiTheme="minorHAnsi" w:cstheme="minorBidi"/>
                <w:noProof/>
                <w:kern w:val="2"/>
                <w:sz w:val="24"/>
                <w:szCs w:val="24"/>
                <w14:ligatures w14:val="standardContextual"/>
              </w:rPr>
              <w:tab/>
            </w:r>
            <w:r w:rsidRPr="00360A73">
              <w:rPr>
                <w:rStyle w:val="Hyperlink"/>
                <w:noProof/>
              </w:rPr>
              <w:t>Subscription Fees, Financing Costs,  and Carrying Costs</w:t>
            </w:r>
            <w:r>
              <w:rPr>
                <w:noProof/>
                <w:webHidden/>
              </w:rPr>
              <w:tab/>
            </w:r>
            <w:r>
              <w:rPr>
                <w:noProof/>
                <w:webHidden/>
              </w:rPr>
              <w:fldChar w:fldCharType="begin"/>
            </w:r>
            <w:r>
              <w:rPr>
                <w:noProof/>
                <w:webHidden/>
              </w:rPr>
              <w:instrText xml:space="preserve"> PAGEREF _Toc183184292 \h </w:instrText>
            </w:r>
            <w:r>
              <w:rPr>
                <w:noProof/>
                <w:webHidden/>
              </w:rPr>
            </w:r>
            <w:r>
              <w:rPr>
                <w:noProof/>
                <w:webHidden/>
              </w:rPr>
              <w:fldChar w:fldCharType="separate"/>
            </w:r>
            <w:r w:rsidR="00E24263">
              <w:rPr>
                <w:noProof/>
                <w:webHidden/>
              </w:rPr>
              <w:t>36</w:t>
            </w:r>
            <w:r>
              <w:rPr>
                <w:noProof/>
                <w:webHidden/>
              </w:rPr>
              <w:fldChar w:fldCharType="end"/>
            </w:r>
          </w:hyperlink>
        </w:p>
        <w:p w:rsidR="00021F00" w:rsidRDefault="00021F00" w14:paraId="763E64F9" w14:textId="44ECC9A6">
          <w:pPr>
            <w:pStyle w:val="TOC1"/>
            <w:tabs>
              <w:tab w:val="right" w:leader="dot" w:pos="9350"/>
            </w:tabs>
            <w:rPr>
              <w:rFonts w:asciiTheme="minorHAnsi" w:hAnsiTheme="minorHAnsi" w:cstheme="minorBidi"/>
              <w:noProof/>
              <w:kern w:val="2"/>
              <w:sz w:val="24"/>
              <w:szCs w:val="24"/>
              <w14:ligatures w14:val="standardContextual"/>
            </w:rPr>
          </w:pPr>
          <w:hyperlink w:history="1" w:anchor="_Toc183184293">
            <w:r w:rsidRPr="00360A73">
              <w:rPr>
                <w:rStyle w:val="Hyperlink"/>
                <w:noProof/>
              </w:rPr>
              <w:t>6.</w:t>
            </w:r>
            <w:r>
              <w:rPr>
                <w:rFonts w:asciiTheme="minorHAnsi" w:hAnsiTheme="minorHAnsi" w:cstheme="minorBidi"/>
                <w:noProof/>
                <w:kern w:val="2"/>
                <w:sz w:val="24"/>
                <w:szCs w:val="24"/>
                <w14:ligatures w14:val="standardContextual"/>
              </w:rPr>
              <w:tab/>
            </w:r>
            <w:r w:rsidRPr="00360A73">
              <w:rPr>
                <w:rStyle w:val="Hyperlink"/>
                <w:noProof/>
              </w:rPr>
              <w:t>GHG Forecast Costs, Revenues,  and Reconciliation</w:t>
            </w:r>
            <w:r>
              <w:rPr>
                <w:noProof/>
                <w:webHidden/>
              </w:rPr>
              <w:tab/>
            </w:r>
            <w:r>
              <w:rPr>
                <w:noProof/>
                <w:webHidden/>
              </w:rPr>
              <w:fldChar w:fldCharType="begin"/>
            </w:r>
            <w:r>
              <w:rPr>
                <w:noProof/>
                <w:webHidden/>
              </w:rPr>
              <w:instrText xml:space="preserve"> PAGEREF _Toc183184293 \h </w:instrText>
            </w:r>
            <w:r>
              <w:rPr>
                <w:noProof/>
                <w:webHidden/>
              </w:rPr>
            </w:r>
            <w:r>
              <w:rPr>
                <w:noProof/>
                <w:webHidden/>
              </w:rPr>
              <w:fldChar w:fldCharType="separate"/>
            </w:r>
            <w:r w:rsidR="00E24263">
              <w:rPr>
                <w:noProof/>
                <w:webHidden/>
              </w:rPr>
              <w:t>38</w:t>
            </w:r>
            <w:r>
              <w:rPr>
                <w:noProof/>
                <w:webHidden/>
              </w:rPr>
              <w:fldChar w:fldCharType="end"/>
            </w:r>
          </w:hyperlink>
        </w:p>
        <w:p w:rsidR="00021F00" w:rsidRDefault="00021F00" w14:paraId="52B4A256" w14:textId="7627C651">
          <w:pPr>
            <w:pStyle w:val="TOC2"/>
            <w:tabs>
              <w:tab w:val="right" w:leader="dot" w:pos="9350"/>
            </w:tabs>
            <w:rPr>
              <w:rFonts w:asciiTheme="minorHAnsi" w:hAnsiTheme="minorHAnsi" w:cstheme="minorBidi"/>
              <w:noProof/>
              <w:kern w:val="2"/>
              <w:sz w:val="24"/>
              <w:szCs w:val="24"/>
              <w14:ligatures w14:val="standardContextual"/>
            </w:rPr>
          </w:pPr>
          <w:hyperlink w:history="1" w:anchor="_Toc183184294">
            <w:r w:rsidRPr="00360A73">
              <w:rPr>
                <w:rStyle w:val="Hyperlink"/>
                <w:noProof/>
              </w:rPr>
              <w:t>6.1.</w:t>
            </w:r>
            <w:r>
              <w:rPr>
                <w:rFonts w:asciiTheme="minorHAnsi" w:hAnsiTheme="minorHAnsi" w:cstheme="minorBidi"/>
                <w:noProof/>
                <w:kern w:val="2"/>
                <w:sz w:val="24"/>
                <w:szCs w:val="24"/>
                <w14:ligatures w14:val="standardContextual"/>
              </w:rPr>
              <w:tab/>
            </w:r>
            <w:r w:rsidRPr="00360A73">
              <w:rPr>
                <w:rStyle w:val="Hyperlink"/>
                <w:noProof/>
              </w:rPr>
              <w:t>2025 GHG Forecast Costs</w:t>
            </w:r>
            <w:r>
              <w:rPr>
                <w:noProof/>
                <w:webHidden/>
              </w:rPr>
              <w:tab/>
            </w:r>
            <w:r>
              <w:rPr>
                <w:noProof/>
                <w:webHidden/>
              </w:rPr>
              <w:fldChar w:fldCharType="begin"/>
            </w:r>
            <w:r>
              <w:rPr>
                <w:noProof/>
                <w:webHidden/>
              </w:rPr>
              <w:instrText xml:space="preserve"> PAGEREF _Toc183184294 \h </w:instrText>
            </w:r>
            <w:r>
              <w:rPr>
                <w:noProof/>
                <w:webHidden/>
              </w:rPr>
            </w:r>
            <w:r>
              <w:rPr>
                <w:noProof/>
                <w:webHidden/>
              </w:rPr>
              <w:fldChar w:fldCharType="separate"/>
            </w:r>
            <w:r w:rsidR="00E24263">
              <w:rPr>
                <w:noProof/>
                <w:webHidden/>
              </w:rPr>
              <w:t>38</w:t>
            </w:r>
            <w:r>
              <w:rPr>
                <w:noProof/>
                <w:webHidden/>
              </w:rPr>
              <w:fldChar w:fldCharType="end"/>
            </w:r>
          </w:hyperlink>
        </w:p>
        <w:p w:rsidR="00021F00" w:rsidRDefault="00021F00" w14:paraId="76C49D13" w14:textId="0BB5D5AB">
          <w:pPr>
            <w:pStyle w:val="TOC2"/>
            <w:tabs>
              <w:tab w:val="right" w:leader="dot" w:pos="9350"/>
            </w:tabs>
            <w:rPr>
              <w:rFonts w:asciiTheme="minorHAnsi" w:hAnsiTheme="minorHAnsi" w:cstheme="minorBidi"/>
              <w:noProof/>
              <w:kern w:val="2"/>
              <w:sz w:val="24"/>
              <w:szCs w:val="24"/>
              <w14:ligatures w14:val="standardContextual"/>
            </w:rPr>
          </w:pPr>
          <w:hyperlink w:history="1" w:anchor="_Toc183184295">
            <w:r w:rsidRPr="00360A73">
              <w:rPr>
                <w:rStyle w:val="Hyperlink"/>
                <w:noProof/>
              </w:rPr>
              <w:t>6.2.</w:t>
            </w:r>
            <w:r>
              <w:rPr>
                <w:rFonts w:asciiTheme="minorHAnsi" w:hAnsiTheme="minorHAnsi" w:cstheme="minorBidi"/>
                <w:noProof/>
                <w:kern w:val="2"/>
                <w:sz w:val="24"/>
                <w:szCs w:val="24"/>
                <w14:ligatures w14:val="standardContextual"/>
              </w:rPr>
              <w:tab/>
            </w:r>
            <w:r w:rsidRPr="00360A73">
              <w:rPr>
                <w:rStyle w:val="Hyperlink"/>
                <w:noProof/>
              </w:rPr>
              <w:t>2025 Greenhouse Gas Forecast Revenues, Program Costs, and Returns</w:t>
            </w:r>
            <w:r>
              <w:rPr>
                <w:noProof/>
                <w:webHidden/>
              </w:rPr>
              <w:tab/>
            </w:r>
            <w:r>
              <w:rPr>
                <w:noProof/>
                <w:webHidden/>
              </w:rPr>
              <w:fldChar w:fldCharType="begin"/>
            </w:r>
            <w:r>
              <w:rPr>
                <w:noProof/>
                <w:webHidden/>
              </w:rPr>
              <w:instrText xml:space="preserve"> PAGEREF _Toc183184295 \h </w:instrText>
            </w:r>
            <w:r>
              <w:rPr>
                <w:noProof/>
                <w:webHidden/>
              </w:rPr>
            </w:r>
            <w:r>
              <w:rPr>
                <w:noProof/>
                <w:webHidden/>
              </w:rPr>
              <w:fldChar w:fldCharType="separate"/>
            </w:r>
            <w:r w:rsidR="00E24263">
              <w:rPr>
                <w:noProof/>
                <w:webHidden/>
              </w:rPr>
              <w:t>40</w:t>
            </w:r>
            <w:r>
              <w:rPr>
                <w:noProof/>
                <w:webHidden/>
              </w:rPr>
              <w:fldChar w:fldCharType="end"/>
            </w:r>
          </w:hyperlink>
        </w:p>
        <w:p w:rsidR="00021F00" w:rsidRDefault="00021F00" w14:paraId="6FCAC7F4" w14:textId="04AED48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96">
            <w:r w:rsidRPr="00360A73">
              <w:rPr>
                <w:rStyle w:val="Hyperlink"/>
                <w:noProof/>
              </w:rPr>
              <w:t>6.2.1.</w:t>
            </w:r>
            <w:r>
              <w:rPr>
                <w:rFonts w:asciiTheme="minorHAnsi" w:hAnsiTheme="minorHAnsi" w:cstheme="minorBidi"/>
                <w:noProof/>
                <w:kern w:val="2"/>
                <w:sz w:val="24"/>
                <w:szCs w:val="24"/>
                <w14:ligatures w14:val="standardContextual"/>
              </w:rPr>
              <w:tab/>
            </w:r>
            <w:r w:rsidRPr="00360A73">
              <w:rPr>
                <w:rStyle w:val="Hyperlink"/>
                <w:noProof/>
              </w:rPr>
              <w:t>Revenues</w:t>
            </w:r>
            <w:r>
              <w:rPr>
                <w:noProof/>
                <w:webHidden/>
              </w:rPr>
              <w:tab/>
            </w:r>
            <w:r>
              <w:rPr>
                <w:noProof/>
                <w:webHidden/>
              </w:rPr>
              <w:fldChar w:fldCharType="begin"/>
            </w:r>
            <w:r>
              <w:rPr>
                <w:noProof/>
                <w:webHidden/>
              </w:rPr>
              <w:instrText xml:space="preserve"> PAGEREF _Toc183184296 \h </w:instrText>
            </w:r>
            <w:r>
              <w:rPr>
                <w:noProof/>
                <w:webHidden/>
              </w:rPr>
            </w:r>
            <w:r>
              <w:rPr>
                <w:noProof/>
                <w:webHidden/>
              </w:rPr>
              <w:fldChar w:fldCharType="separate"/>
            </w:r>
            <w:r w:rsidR="00E24263">
              <w:rPr>
                <w:noProof/>
                <w:webHidden/>
              </w:rPr>
              <w:t>40</w:t>
            </w:r>
            <w:r>
              <w:rPr>
                <w:noProof/>
                <w:webHidden/>
              </w:rPr>
              <w:fldChar w:fldCharType="end"/>
            </w:r>
          </w:hyperlink>
        </w:p>
        <w:p w:rsidR="00021F00" w:rsidRDefault="00021F00" w14:paraId="5165C4C4" w14:textId="327901B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97">
            <w:r w:rsidRPr="00360A73">
              <w:rPr>
                <w:rStyle w:val="Hyperlink"/>
                <w:noProof/>
              </w:rPr>
              <w:t>6.2.2.</w:t>
            </w:r>
            <w:r>
              <w:rPr>
                <w:rFonts w:asciiTheme="minorHAnsi" w:hAnsiTheme="minorHAnsi" w:cstheme="minorBidi"/>
                <w:noProof/>
                <w:kern w:val="2"/>
                <w:sz w:val="24"/>
                <w:szCs w:val="24"/>
                <w14:ligatures w14:val="standardContextual"/>
              </w:rPr>
              <w:tab/>
            </w:r>
            <w:r w:rsidRPr="00360A73">
              <w:rPr>
                <w:rStyle w:val="Hyperlink"/>
                <w:noProof/>
              </w:rPr>
              <w:t>Reconciliation of Prior Period  GHG Costs</w:t>
            </w:r>
            <w:r>
              <w:rPr>
                <w:noProof/>
                <w:webHidden/>
              </w:rPr>
              <w:tab/>
            </w:r>
            <w:r>
              <w:rPr>
                <w:noProof/>
                <w:webHidden/>
              </w:rPr>
              <w:fldChar w:fldCharType="begin"/>
            </w:r>
            <w:r>
              <w:rPr>
                <w:noProof/>
                <w:webHidden/>
              </w:rPr>
              <w:instrText xml:space="preserve"> PAGEREF _Toc183184297 \h </w:instrText>
            </w:r>
            <w:r>
              <w:rPr>
                <w:noProof/>
                <w:webHidden/>
              </w:rPr>
            </w:r>
            <w:r>
              <w:rPr>
                <w:noProof/>
                <w:webHidden/>
              </w:rPr>
              <w:fldChar w:fldCharType="separate"/>
            </w:r>
            <w:r w:rsidR="00E24263">
              <w:rPr>
                <w:noProof/>
                <w:webHidden/>
              </w:rPr>
              <w:t>41</w:t>
            </w:r>
            <w:r>
              <w:rPr>
                <w:noProof/>
                <w:webHidden/>
              </w:rPr>
              <w:fldChar w:fldCharType="end"/>
            </w:r>
          </w:hyperlink>
        </w:p>
        <w:p w:rsidR="00021F00" w:rsidRDefault="00021F00" w14:paraId="483A670C" w14:textId="18954DF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98">
            <w:r w:rsidRPr="00360A73">
              <w:rPr>
                <w:rStyle w:val="Hyperlink"/>
                <w:noProof/>
              </w:rPr>
              <w:t>6.2.3.</w:t>
            </w:r>
            <w:r>
              <w:rPr>
                <w:rFonts w:asciiTheme="minorHAnsi" w:hAnsiTheme="minorHAnsi" w:cstheme="minorBidi"/>
                <w:noProof/>
                <w:kern w:val="2"/>
                <w:sz w:val="24"/>
                <w:szCs w:val="24"/>
                <w14:ligatures w14:val="standardContextual"/>
              </w:rPr>
              <w:tab/>
            </w:r>
            <w:r w:rsidRPr="00360A73">
              <w:rPr>
                <w:rStyle w:val="Hyperlink"/>
                <w:noProof/>
              </w:rPr>
              <w:t>Administrative and Customer  Outreach Expenses</w:t>
            </w:r>
            <w:r>
              <w:rPr>
                <w:noProof/>
                <w:webHidden/>
              </w:rPr>
              <w:tab/>
            </w:r>
            <w:r>
              <w:rPr>
                <w:noProof/>
                <w:webHidden/>
              </w:rPr>
              <w:fldChar w:fldCharType="begin"/>
            </w:r>
            <w:r>
              <w:rPr>
                <w:noProof/>
                <w:webHidden/>
              </w:rPr>
              <w:instrText xml:space="preserve"> PAGEREF _Toc183184298 \h </w:instrText>
            </w:r>
            <w:r>
              <w:rPr>
                <w:noProof/>
                <w:webHidden/>
              </w:rPr>
            </w:r>
            <w:r>
              <w:rPr>
                <w:noProof/>
                <w:webHidden/>
              </w:rPr>
              <w:fldChar w:fldCharType="separate"/>
            </w:r>
            <w:r w:rsidR="00E24263">
              <w:rPr>
                <w:noProof/>
                <w:webHidden/>
              </w:rPr>
              <w:t>41</w:t>
            </w:r>
            <w:r>
              <w:rPr>
                <w:noProof/>
                <w:webHidden/>
              </w:rPr>
              <w:fldChar w:fldCharType="end"/>
            </w:r>
          </w:hyperlink>
        </w:p>
        <w:p w:rsidR="00021F00" w:rsidRDefault="00021F00" w14:paraId="03901B05" w14:textId="786F363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299">
            <w:r w:rsidRPr="00360A73">
              <w:rPr>
                <w:rStyle w:val="Hyperlink"/>
                <w:noProof/>
              </w:rPr>
              <w:t>6.2.4.</w:t>
            </w:r>
            <w:r>
              <w:rPr>
                <w:rFonts w:asciiTheme="minorHAnsi" w:hAnsiTheme="minorHAnsi" w:cstheme="minorBidi"/>
                <w:noProof/>
                <w:kern w:val="2"/>
                <w:sz w:val="24"/>
                <w:szCs w:val="24"/>
                <w14:ligatures w14:val="standardContextual"/>
              </w:rPr>
              <w:tab/>
            </w:r>
            <w:r w:rsidRPr="00360A73">
              <w:rPr>
                <w:rStyle w:val="Hyperlink"/>
                <w:noProof/>
              </w:rPr>
              <w:t xml:space="preserve">Clean Energy Programs Set Aside Funding – SOMAH, </w:t>
            </w:r>
            <w:r w:rsidR="00B642EB">
              <w:rPr>
                <w:rStyle w:val="Hyperlink"/>
                <w:noProof/>
              </w:rPr>
              <w:br/>
            </w:r>
            <w:r w:rsidRPr="00360A73">
              <w:rPr>
                <w:rStyle w:val="Hyperlink"/>
                <w:noProof/>
              </w:rPr>
              <w:t>DAC-SASH, and CEOP</w:t>
            </w:r>
            <w:r>
              <w:rPr>
                <w:noProof/>
                <w:webHidden/>
              </w:rPr>
              <w:tab/>
            </w:r>
            <w:r>
              <w:rPr>
                <w:noProof/>
                <w:webHidden/>
              </w:rPr>
              <w:fldChar w:fldCharType="begin"/>
            </w:r>
            <w:r>
              <w:rPr>
                <w:noProof/>
                <w:webHidden/>
              </w:rPr>
              <w:instrText xml:space="preserve"> PAGEREF _Toc183184299 \h </w:instrText>
            </w:r>
            <w:r>
              <w:rPr>
                <w:noProof/>
                <w:webHidden/>
              </w:rPr>
            </w:r>
            <w:r>
              <w:rPr>
                <w:noProof/>
                <w:webHidden/>
              </w:rPr>
              <w:fldChar w:fldCharType="separate"/>
            </w:r>
            <w:r w:rsidR="00E24263">
              <w:rPr>
                <w:noProof/>
                <w:webHidden/>
              </w:rPr>
              <w:t>42</w:t>
            </w:r>
            <w:r>
              <w:rPr>
                <w:noProof/>
                <w:webHidden/>
              </w:rPr>
              <w:fldChar w:fldCharType="end"/>
            </w:r>
          </w:hyperlink>
        </w:p>
        <w:p w:rsidR="00021F00" w:rsidRDefault="00021F00" w14:paraId="4A693242" w14:textId="636F69A7">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00">
            <w:r w:rsidRPr="00360A73">
              <w:rPr>
                <w:rStyle w:val="Hyperlink"/>
                <w:noProof/>
              </w:rPr>
              <w:t>6.2.4.1.</w:t>
            </w:r>
            <w:r>
              <w:rPr>
                <w:rFonts w:asciiTheme="minorHAnsi" w:hAnsiTheme="minorHAnsi" w:eastAsiaTheme="minorEastAsia"/>
                <w:noProof/>
                <w:kern w:val="2"/>
                <w:sz w:val="24"/>
                <w:szCs w:val="24"/>
                <w14:ligatures w14:val="standardContextual"/>
              </w:rPr>
              <w:tab/>
            </w:r>
            <w:r w:rsidRPr="00360A73">
              <w:rPr>
                <w:rStyle w:val="Hyperlink"/>
                <w:noProof/>
              </w:rPr>
              <w:t>Solar on Multifamily Affordable  Housing Program</w:t>
            </w:r>
            <w:r>
              <w:rPr>
                <w:noProof/>
                <w:webHidden/>
              </w:rPr>
              <w:tab/>
            </w:r>
            <w:r>
              <w:rPr>
                <w:noProof/>
                <w:webHidden/>
              </w:rPr>
              <w:fldChar w:fldCharType="begin"/>
            </w:r>
            <w:r>
              <w:rPr>
                <w:noProof/>
                <w:webHidden/>
              </w:rPr>
              <w:instrText xml:space="preserve"> PAGEREF _Toc183184300 \h </w:instrText>
            </w:r>
            <w:r>
              <w:rPr>
                <w:noProof/>
                <w:webHidden/>
              </w:rPr>
            </w:r>
            <w:r>
              <w:rPr>
                <w:noProof/>
                <w:webHidden/>
              </w:rPr>
              <w:fldChar w:fldCharType="separate"/>
            </w:r>
            <w:r w:rsidR="00E24263">
              <w:rPr>
                <w:noProof/>
                <w:webHidden/>
              </w:rPr>
              <w:t>43</w:t>
            </w:r>
            <w:r>
              <w:rPr>
                <w:noProof/>
                <w:webHidden/>
              </w:rPr>
              <w:fldChar w:fldCharType="end"/>
            </w:r>
          </w:hyperlink>
        </w:p>
        <w:p w:rsidR="00021F00" w:rsidRDefault="00021F00" w14:paraId="40B9E498" w14:textId="445FD886">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01">
            <w:r w:rsidRPr="00360A73">
              <w:rPr>
                <w:rStyle w:val="Hyperlink"/>
                <w:noProof/>
              </w:rPr>
              <w:t>6.2.4.2.</w:t>
            </w:r>
            <w:r>
              <w:rPr>
                <w:rFonts w:asciiTheme="minorHAnsi" w:hAnsiTheme="minorHAnsi" w:eastAsiaTheme="minorEastAsia"/>
                <w:noProof/>
                <w:kern w:val="2"/>
                <w:sz w:val="24"/>
                <w:szCs w:val="24"/>
                <w14:ligatures w14:val="standardContextual"/>
              </w:rPr>
              <w:tab/>
            </w:r>
            <w:r w:rsidRPr="00360A73">
              <w:rPr>
                <w:rStyle w:val="Hyperlink"/>
                <w:noProof/>
              </w:rPr>
              <w:t>SCE’s Disadvantaged  Community Programs</w:t>
            </w:r>
            <w:r>
              <w:rPr>
                <w:noProof/>
                <w:webHidden/>
              </w:rPr>
              <w:tab/>
            </w:r>
            <w:r>
              <w:rPr>
                <w:noProof/>
                <w:webHidden/>
              </w:rPr>
              <w:fldChar w:fldCharType="begin"/>
            </w:r>
            <w:r>
              <w:rPr>
                <w:noProof/>
                <w:webHidden/>
              </w:rPr>
              <w:instrText xml:space="preserve"> PAGEREF _Toc183184301 \h </w:instrText>
            </w:r>
            <w:r>
              <w:rPr>
                <w:noProof/>
                <w:webHidden/>
              </w:rPr>
            </w:r>
            <w:r>
              <w:rPr>
                <w:noProof/>
                <w:webHidden/>
              </w:rPr>
              <w:fldChar w:fldCharType="separate"/>
            </w:r>
            <w:r w:rsidR="00E24263">
              <w:rPr>
                <w:noProof/>
                <w:webHidden/>
              </w:rPr>
              <w:t>44</w:t>
            </w:r>
            <w:r>
              <w:rPr>
                <w:noProof/>
                <w:webHidden/>
              </w:rPr>
              <w:fldChar w:fldCharType="end"/>
            </w:r>
          </w:hyperlink>
        </w:p>
        <w:p w:rsidR="00021F00" w:rsidRDefault="00021F00" w14:paraId="36837429" w14:textId="72D071BC">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02">
            <w:r w:rsidRPr="00360A73">
              <w:rPr>
                <w:rStyle w:val="Hyperlink"/>
                <w:noProof/>
              </w:rPr>
              <w:t>6.2.4.3.</w:t>
            </w:r>
            <w:r>
              <w:rPr>
                <w:rFonts w:asciiTheme="minorHAnsi" w:hAnsiTheme="minorHAnsi" w:eastAsiaTheme="minorEastAsia"/>
                <w:noProof/>
                <w:kern w:val="2"/>
                <w:sz w:val="24"/>
                <w:szCs w:val="24"/>
                <w14:ligatures w14:val="standardContextual"/>
              </w:rPr>
              <w:tab/>
            </w:r>
            <w:r w:rsidRPr="00360A73">
              <w:rPr>
                <w:rStyle w:val="Hyperlink"/>
                <w:noProof/>
              </w:rPr>
              <w:t>Community Choice Aggregator  DAC Programs</w:t>
            </w:r>
            <w:r>
              <w:rPr>
                <w:noProof/>
                <w:webHidden/>
              </w:rPr>
              <w:tab/>
            </w:r>
            <w:r>
              <w:rPr>
                <w:noProof/>
                <w:webHidden/>
              </w:rPr>
              <w:fldChar w:fldCharType="begin"/>
            </w:r>
            <w:r>
              <w:rPr>
                <w:noProof/>
                <w:webHidden/>
              </w:rPr>
              <w:instrText xml:space="preserve"> PAGEREF _Toc183184302 \h </w:instrText>
            </w:r>
            <w:r>
              <w:rPr>
                <w:noProof/>
                <w:webHidden/>
              </w:rPr>
            </w:r>
            <w:r>
              <w:rPr>
                <w:noProof/>
                <w:webHidden/>
              </w:rPr>
              <w:fldChar w:fldCharType="separate"/>
            </w:r>
            <w:r w:rsidR="00E24263">
              <w:rPr>
                <w:noProof/>
                <w:webHidden/>
              </w:rPr>
              <w:t>45</w:t>
            </w:r>
            <w:r>
              <w:rPr>
                <w:noProof/>
                <w:webHidden/>
              </w:rPr>
              <w:fldChar w:fldCharType="end"/>
            </w:r>
          </w:hyperlink>
        </w:p>
        <w:p w:rsidR="00021F00" w:rsidRDefault="00021F00" w14:paraId="6C0C13AC" w14:textId="6E4B0E51">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03">
            <w:r w:rsidRPr="00360A73">
              <w:rPr>
                <w:rStyle w:val="Hyperlink"/>
                <w:noProof/>
              </w:rPr>
              <w:t>6.2.4.4.</w:t>
            </w:r>
            <w:r>
              <w:rPr>
                <w:rFonts w:asciiTheme="minorHAnsi" w:hAnsiTheme="minorHAnsi" w:eastAsiaTheme="minorEastAsia"/>
                <w:noProof/>
                <w:kern w:val="2"/>
                <w:sz w:val="24"/>
                <w:szCs w:val="24"/>
                <w14:ligatures w14:val="standardContextual"/>
              </w:rPr>
              <w:tab/>
            </w:r>
            <w:r w:rsidRPr="00360A73">
              <w:rPr>
                <w:rStyle w:val="Hyperlink"/>
                <w:noProof/>
              </w:rPr>
              <w:t>Clean Energy Optimization Pilot</w:t>
            </w:r>
            <w:r>
              <w:rPr>
                <w:noProof/>
                <w:webHidden/>
              </w:rPr>
              <w:tab/>
            </w:r>
            <w:r>
              <w:rPr>
                <w:noProof/>
                <w:webHidden/>
              </w:rPr>
              <w:fldChar w:fldCharType="begin"/>
            </w:r>
            <w:r>
              <w:rPr>
                <w:noProof/>
                <w:webHidden/>
              </w:rPr>
              <w:instrText xml:space="preserve"> PAGEREF _Toc183184303 \h </w:instrText>
            </w:r>
            <w:r>
              <w:rPr>
                <w:noProof/>
                <w:webHidden/>
              </w:rPr>
            </w:r>
            <w:r>
              <w:rPr>
                <w:noProof/>
                <w:webHidden/>
              </w:rPr>
              <w:fldChar w:fldCharType="separate"/>
            </w:r>
            <w:r w:rsidR="00E24263">
              <w:rPr>
                <w:noProof/>
                <w:webHidden/>
              </w:rPr>
              <w:t>46</w:t>
            </w:r>
            <w:r>
              <w:rPr>
                <w:noProof/>
                <w:webHidden/>
              </w:rPr>
              <w:fldChar w:fldCharType="end"/>
            </w:r>
          </w:hyperlink>
        </w:p>
        <w:p w:rsidR="00021F00" w:rsidRDefault="00021F00" w14:paraId="265B91F7" w14:textId="1EAEF60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04">
            <w:r w:rsidRPr="00360A73">
              <w:rPr>
                <w:rStyle w:val="Hyperlink"/>
                <w:noProof/>
              </w:rPr>
              <w:t>6.2.5.</w:t>
            </w:r>
            <w:r>
              <w:rPr>
                <w:rFonts w:asciiTheme="minorHAnsi" w:hAnsiTheme="minorHAnsi" w:cstheme="minorBidi"/>
                <w:noProof/>
                <w:kern w:val="2"/>
                <w:sz w:val="24"/>
                <w:szCs w:val="24"/>
                <w14:ligatures w14:val="standardContextual"/>
              </w:rPr>
              <w:tab/>
            </w:r>
            <w:r w:rsidRPr="00360A73">
              <w:rPr>
                <w:rStyle w:val="Hyperlink"/>
                <w:noProof/>
              </w:rPr>
              <w:t>GHG Revenue Returns</w:t>
            </w:r>
            <w:r>
              <w:rPr>
                <w:noProof/>
                <w:webHidden/>
              </w:rPr>
              <w:tab/>
            </w:r>
            <w:r>
              <w:rPr>
                <w:noProof/>
                <w:webHidden/>
              </w:rPr>
              <w:fldChar w:fldCharType="begin"/>
            </w:r>
            <w:r>
              <w:rPr>
                <w:noProof/>
                <w:webHidden/>
              </w:rPr>
              <w:instrText xml:space="preserve"> PAGEREF _Toc183184304 \h </w:instrText>
            </w:r>
            <w:r>
              <w:rPr>
                <w:noProof/>
                <w:webHidden/>
              </w:rPr>
            </w:r>
            <w:r>
              <w:rPr>
                <w:noProof/>
                <w:webHidden/>
              </w:rPr>
              <w:fldChar w:fldCharType="separate"/>
            </w:r>
            <w:r w:rsidR="00E24263">
              <w:rPr>
                <w:noProof/>
                <w:webHidden/>
              </w:rPr>
              <w:t>47</w:t>
            </w:r>
            <w:r>
              <w:rPr>
                <w:noProof/>
                <w:webHidden/>
              </w:rPr>
              <w:fldChar w:fldCharType="end"/>
            </w:r>
          </w:hyperlink>
        </w:p>
        <w:p w:rsidR="00021F00" w:rsidRDefault="00021F00" w14:paraId="21FB7A89" w14:textId="1F0BDE54">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05">
            <w:r w:rsidRPr="00360A73">
              <w:rPr>
                <w:rStyle w:val="Hyperlink"/>
                <w:noProof/>
              </w:rPr>
              <w:t>6.2.5.1.</w:t>
            </w:r>
            <w:r>
              <w:rPr>
                <w:rFonts w:asciiTheme="minorHAnsi" w:hAnsiTheme="minorHAnsi" w:eastAsiaTheme="minorEastAsia"/>
                <w:noProof/>
                <w:kern w:val="2"/>
                <w:sz w:val="24"/>
                <w:szCs w:val="24"/>
                <w14:ligatures w14:val="standardContextual"/>
              </w:rPr>
              <w:tab/>
            </w:r>
            <w:r w:rsidRPr="00360A73">
              <w:rPr>
                <w:rStyle w:val="Hyperlink"/>
                <w:noProof/>
              </w:rPr>
              <w:t>Residential and Small  Commercial Customers</w:t>
            </w:r>
            <w:r>
              <w:rPr>
                <w:noProof/>
                <w:webHidden/>
              </w:rPr>
              <w:tab/>
            </w:r>
            <w:r>
              <w:rPr>
                <w:noProof/>
                <w:webHidden/>
              </w:rPr>
              <w:fldChar w:fldCharType="begin"/>
            </w:r>
            <w:r>
              <w:rPr>
                <w:noProof/>
                <w:webHidden/>
              </w:rPr>
              <w:instrText xml:space="preserve"> PAGEREF _Toc183184305 \h </w:instrText>
            </w:r>
            <w:r>
              <w:rPr>
                <w:noProof/>
                <w:webHidden/>
              </w:rPr>
            </w:r>
            <w:r>
              <w:rPr>
                <w:noProof/>
                <w:webHidden/>
              </w:rPr>
              <w:fldChar w:fldCharType="separate"/>
            </w:r>
            <w:r w:rsidR="00E24263">
              <w:rPr>
                <w:noProof/>
                <w:webHidden/>
              </w:rPr>
              <w:t>47</w:t>
            </w:r>
            <w:r>
              <w:rPr>
                <w:noProof/>
                <w:webHidden/>
              </w:rPr>
              <w:fldChar w:fldCharType="end"/>
            </w:r>
          </w:hyperlink>
        </w:p>
        <w:p w:rsidR="00021F00" w:rsidRDefault="00021F00" w14:paraId="4798B063" w14:textId="7DFBE091">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06">
            <w:r w:rsidRPr="00360A73">
              <w:rPr>
                <w:rStyle w:val="Hyperlink"/>
                <w:noProof/>
              </w:rPr>
              <w:t>6.2.5.2.</w:t>
            </w:r>
            <w:r>
              <w:rPr>
                <w:rFonts w:asciiTheme="minorHAnsi" w:hAnsiTheme="minorHAnsi" w:eastAsiaTheme="minorEastAsia"/>
                <w:noProof/>
                <w:kern w:val="2"/>
                <w:sz w:val="24"/>
                <w:szCs w:val="24"/>
                <w14:ligatures w14:val="standardContextual"/>
              </w:rPr>
              <w:tab/>
            </w:r>
            <w:r w:rsidRPr="00360A73">
              <w:rPr>
                <w:rStyle w:val="Hyperlink"/>
                <w:noProof/>
              </w:rPr>
              <w:t>Emissions-Intensive and  Trade-Exposed Customers</w:t>
            </w:r>
            <w:r>
              <w:rPr>
                <w:noProof/>
                <w:webHidden/>
              </w:rPr>
              <w:tab/>
            </w:r>
            <w:r>
              <w:rPr>
                <w:noProof/>
                <w:webHidden/>
              </w:rPr>
              <w:fldChar w:fldCharType="begin"/>
            </w:r>
            <w:r>
              <w:rPr>
                <w:noProof/>
                <w:webHidden/>
              </w:rPr>
              <w:instrText xml:space="preserve"> PAGEREF _Toc183184306 \h </w:instrText>
            </w:r>
            <w:r>
              <w:rPr>
                <w:noProof/>
                <w:webHidden/>
              </w:rPr>
            </w:r>
            <w:r>
              <w:rPr>
                <w:noProof/>
                <w:webHidden/>
              </w:rPr>
              <w:fldChar w:fldCharType="separate"/>
            </w:r>
            <w:r w:rsidR="00E24263">
              <w:rPr>
                <w:noProof/>
                <w:webHidden/>
              </w:rPr>
              <w:t>48</w:t>
            </w:r>
            <w:r>
              <w:rPr>
                <w:noProof/>
                <w:webHidden/>
              </w:rPr>
              <w:fldChar w:fldCharType="end"/>
            </w:r>
          </w:hyperlink>
        </w:p>
        <w:p w:rsidR="00021F00" w:rsidRDefault="00021F00" w14:paraId="47B39EE8" w14:textId="1A913DD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07">
            <w:r w:rsidRPr="00360A73">
              <w:rPr>
                <w:rStyle w:val="Hyperlink"/>
                <w:noProof/>
              </w:rPr>
              <w:t>6.2.6.</w:t>
            </w:r>
            <w:r>
              <w:rPr>
                <w:rFonts w:asciiTheme="minorHAnsi" w:hAnsiTheme="minorHAnsi" w:cstheme="minorBidi"/>
                <w:noProof/>
                <w:kern w:val="2"/>
                <w:sz w:val="24"/>
                <w:szCs w:val="24"/>
                <w14:ligatures w14:val="standardContextual"/>
              </w:rPr>
              <w:tab/>
            </w:r>
            <w:r w:rsidRPr="00360A73">
              <w:rPr>
                <w:rStyle w:val="Hyperlink"/>
                <w:noProof/>
              </w:rPr>
              <w:t>Discussion</w:t>
            </w:r>
            <w:r>
              <w:rPr>
                <w:noProof/>
                <w:webHidden/>
              </w:rPr>
              <w:tab/>
            </w:r>
            <w:r>
              <w:rPr>
                <w:noProof/>
                <w:webHidden/>
              </w:rPr>
              <w:fldChar w:fldCharType="begin"/>
            </w:r>
            <w:r>
              <w:rPr>
                <w:noProof/>
                <w:webHidden/>
              </w:rPr>
              <w:instrText xml:space="preserve"> PAGEREF _Toc183184307 \h </w:instrText>
            </w:r>
            <w:r>
              <w:rPr>
                <w:noProof/>
                <w:webHidden/>
              </w:rPr>
            </w:r>
            <w:r>
              <w:rPr>
                <w:noProof/>
                <w:webHidden/>
              </w:rPr>
              <w:fldChar w:fldCharType="separate"/>
            </w:r>
            <w:r w:rsidR="00E24263">
              <w:rPr>
                <w:noProof/>
                <w:webHidden/>
              </w:rPr>
              <w:t>48</w:t>
            </w:r>
            <w:r>
              <w:rPr>
                <w:noProof/>
                <w:webHidden/>
              </w:rPr>
              <w:fldChar w:fldCharType="end"/>
            </w:r>
          </w:hyperlink>
        </w:p>
        <w:p w:rsidR="00021F00" w:rsidRDefault="00021F00" w14:paraId="50E3F50F" w14:textId="379D580B">
          <w:pPr>
            <w:pStyle w:val="TOC1"/>
            <w:tabs>
              <w:tab w:val="right" w:leader="dot" w:pos="9350"/>
            </w:tabs>
            <w:rPr>
              <w:rFonts w:asciiTheme="minorHAnsi" w:hAnsiTheme="minorHAnsi" w:cstheme="minorBidi"/>
              <w:noProof/>
              <w:kern w:val="2"/>
              <w:sz w:val="24"/>
              <w:szCs w:val="24"/>
              <w14:ligatures w14:val="standardContextual"/>
            </w:rPr>
          </w:pPr>
          <w:hyperlink w:history="1" w:anchor="_Toc183184308">
            <w:r w:rsidRPr="00360A73">
              <w:rPr>
                <w:rStyle w:val="Hyperlink"/>
                <w:noProof/>
              </w:rPr>
              <w:t>7.</w:t>
            </w:r>
            <w:r>
              <w:rPr>
                <w:rFonts w:asciiTheme="minorHAnsi" w:hAnsiTheme="minorHAnsi" w:cstheme="minorBidi"/>
                <w:noProof/>
                <w:kern w:val="2"/>
                <w:sz w:val="24"/>
                <w:szCs w:val="24"/>
                <w14:ligatures w14:val="standardContextual"/>
              </w:rPr>
              <w:tab/>
            </w:r>
            <w:r w:rsidRPr="00360A73">
              <w:rPr>
                <w:rStyle w:val="Hyperlink"/>
                <w:noProof/>
              </w:rPr>
              <w:t>SCE’s Revenue Requirement  and Ratemaking Proposal</w:t>
            </w:r>
            <w:r>
              <w:rPr>
                <w:noProof/>
                <w:webHidden/>
              </w:rPr>
              <w:tab/>
            </w:r>
            <w:r>
              <w:rPr>
                <w:noProof/>
                <w:webHidden/>
              </w:rPr>
              <w:fldChar w:fldCharType="begin"/>
            </w:r>
            <w:r>
              <w:rPr>
                <w:noProof/>
                <w:webHidden/>
              </w:rPr>
              <w:instrText xml:space="preserve"> PAGEREF _Toc183184308 \h </w:instrText>
            </w:r>
            <w:r>
              <w:rPr>
                <w:noProof/>
                <w:webHidden/>
              </w:rPr>
            </w:r>
            <w:r>
              <w:rPr>
                <w:noProof/>
                <w:webHidden/>
              </w:rPr>
              <w:fldChar w:fldCharType="separate"/>
            </w:r>
            <w:r w:rsidR="00E24263">
              <w:rPr>
                <w:noProof/>
                <w:webHidden/>
              </w:rPr>
              <w:t>49</w:t>
            </w:r>
            <w:r>
              <w:rPr>
                <w:noProof/>
                <w:webHidden/>
              </w:rPr>
              <w:fldChar w:fldCharType="end"/>
            </w:r>
          </w:hyperlink>
        </w:p>
        <w:p w:rsidR="00021F00" w:rsidRDefault="00021F00" w14:paraId="543D24ED" w14:textId="12AD7FD7">
          <w:pPr>
            <w:pStyle w:val="TOC2"/>
            <w:tabs>
              <w:tab w:val="right" w:leader="dot" w:pos="9350"/>
            </w:tabs>
            <w:rPr>
              <w:rFonts w:asciiTheme="minorHAnsi" w:hAnsiTheme="minorHAnsi" w:cstheme="minorBidi"/>
              <w:noProof/>
              <w:kern w:val="2"/>
              <w:sz w:val="24"/>
              <w:szCs w:val="24"/>
              <w14:ligatures w14:val="standardContextual"/>
            </w:rPr>
          </w:pPr>
          <w:hyperlink w:history="1" w:anchor="_Toc183184309">
            <w:r w:rsidRPr="00360A73">
              <w:rPr>
                <w:rStyle w:val="Hyperlink"/>
                <w:noProof/>
              </w:rPr>
              <w:t>7.1.</w:t>
            </w:r>
            <w:r>
              <w:rPr>
                <w:rFonts w:asciiTheme="minorHAnsi" w:hAnsiTheme="minorHAnsi" w:cstheme="minorBidi"/>
                <w:noProof/>
                <w:kern w:val="2"/>
                <w:sz w:val="24"/>
                <w:szCs w:val="24"/>
                <w14:ligatures w14:val="standardContextual"/>
              </w:rPr>
              <w:tab/>
            </w:r>
            <w:r w:rsidRPr="00360A73">
              <w:rPr>
                <w:rStyle w:val="Hyperlink"/>
                <w:noProof/>
              </w:rPr>
              <w:t>Generation Service  Revenue Requirement</w:t>
            </w:r>
            <w:r>
              <w:rPr>
                <w:noProof/>
                <w:webHidden/>
              </w:rPr>
              <w:tab/>
            </w:r>
            <w:r>
              <w:rPr>
                <w:noProof/>
                <w:webHidden/>
              </w:rPr>
              <w:fldChar w:fldCharType="begin"/>
            </w:r>
            <w:r>
              <w:rPr>
                <w:noProof/>
                <w:webHidden/>
              </w:rPr>
              <w:instrText xml:space="preserve"> PAGEREF _Toc183184309 \h </w:instrText>
            </w:r>
            <w:r>
              <w:rPr>
                <w:noProof/>
                <w:webHidden/>
              </w:rPr>
            </w:r>
            <w:r>
              <w:rPr>
                <w:noProof/>
                <w:webHidden/>
              </w:rPr>
              <w:fldChar w:fldCharType="separate"/>
            </w:r>
            <w:r w:rsidR="00E24263">
              <w:rPr>
                <w:noProof/>
                <w:webHidden/>
              </w:rPr>
              <w:t>49</w:t>
            </w:r>
            <w:r>
              <w:rPr>
                <w:noProof/>
                <w:webHidden/>
              </w:rPr>
              <w:fldChar w:fldCharType="end"/>
            </w:r>
          </w:hyperlink>
        </w:p>
        <w:p w:rsidR="00021F00" w:rsidRDefault="00021F00" w14:paraId="48BE8831" w14:textId="284C508D">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0">
            <w:r w:rsidRPr="00360A73">
              <w:rPr>
                <w:rStyle w:val="Hyperlink"/>
                <w:noProof/>
              </w:rPr>
              <w:t>7.1.1.</w:t>
            </w:r>
            <w:r>
              <w:rPr>
                <w:rFonts w:asciiTheme="minorHAnsi" w:hAnsiTheme="minorHAnsi" w:cstheme="minorBidi"/>
                <w:noProof/>
                <w:kern w:val="2"/>
                <w:sz w:val="24"/>
                <w:szCs w:val="24"/>
                <w14:ligatures w14:val="standardContextual"/>
              </w:rPr>
              <w:tab/>
            </w:r>
            <w:r w:rsidRPr="00360A73">
              <w:rPr>
                <w:rStyle w:val="Hyperlink"/>
                <w:noProof/>
              </w:rPr>
              <w:t>ERRA Balancing Account</w:t>
            </w:r>
            <w:r>
              <w:rPr>
                <w:noProof/>
                <w:webHidden/>
              </w:rPr>
              <w:tab/>
            </w:r>
            <w:r>
              <w:rPr>
                <w:noProof/>
                <w:webHidden/>
              </w:rPr>
              <w:fldChar w:fldCharType="begin"/>
            </w:r>
            <w:r>
              <w:rPr>
                <w:noProof/>
                <w:webHidden/>
              </w:rPr>
              <w:instrText xml:space="preserve"> PAGEREF _Toc183184310 \h </w:instrText>
            </w:r>
            <w:r>
              <w:rPr>
                <w:noProof/>
                <w:webHidden/>
              </w:rPr>
            </w:r>
            <w:r>
              <w:rPr>
                <w:noProof/>
                <w:webHidden/>
              </w:rPr>
              <w:fldChar w:fldCharType="separate"/>
            </w:r>
            <w:r w:rsidR="00E24263">
              <w:rPr>
                <w:noProof/>
                <w:webHidden/>
              </w:rPr>
              <w:t>50</w:t>
            </w:r>
            <w:r>
              <w:rPr>
                <w:noProof/>
                <w:webHidden/>
              </w:rPr>
              <w:fldChar w:fldCharType="end"/>
            </w:r>
          </w:hyperlink>
        </w:p>
        <w:p w:rsidR="00021F00" w:rsidRDefault="00021F00" w14:paraId="507B8F73" w14:textId="2A962E2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1">
            <w:r w:rsidRPr="00360A73">
              <w:rPr>
                <w:rStyle w:val="Hyperlink"/>
                <w:noProof/>
              </w:rPr>
              <w:t>7.1.2.</w:t>
            </w:r>
            <w:r>
              <w:rPr>
                <w:rFonts w:asciiTheme="minorHAnsi" w:hAnsiTheme="minorHAnsi" w:cstheme="minorBidi"/>
                <w:noProof/>
                <w:kern w:val="2"/>
                <w:sz w:val="24"/>
                <w:szCs w:val="24"/>
                <w14:ligatures w14:val="standardContextual"/>
              </w:rPr>
              <w:tab/>
            </w:r>
            <w:r w:rsidRPr="00360A73">
              <w:rPr>
                <w:rStyle w:val="Hyperlink"/>
                <w:noProof/>
              </w:rPr>
              <w:t>Portfolio Allocation Balancing Account</w:t>
            </w:r>
            <w:r>
              <w:rPr>
                <w:noProof/>
                <w:webHidden/>
              </w:rPr>
              <w:tab/>
            </w:r>
            <w:r>
              <w:rPr>
                <w:noProof/>
                <w:webHidden/>
              </w:rPr>
              <w:fldChar w:fldCharType="begin"/>
            </w:r>
            <w:r>
              <w:rPr>
                <w:noProof/>
                <w:webHidden/>
              </w:rPr>
              <w:instrText xml:space="preserve"> PAGEREF _Toc183184311 \h </w:instrText>
            </w:r>
            <w:r>
              <w:rPr>
                <w:noProof/>
                <w:webHidden/>
              </w:rPr>
            </w:r>
            <w:r>
              <w:rPr>
                <w:noProof/>
                <w:webHidden/>
              </w:rPr>
              <w:fldChar w:fldCharType="separate"/>
            </w:r>
            <w:r w:rsidR="00E24263">
              <w:rPr>
                <w:noProof/>
                <w:webHidden/>
              </w:rPr>
              <w:t>51</w:t>
            </w:r>
            <w:r>
              <w:rPr>
                <w:noProof/>
                <w:webHidden/>
              </w:rPr>
              <w:fldChar w:fldCharType="end"/>
            </w:r>
          </w:hyperlink>
        </w:p>
        <w:p w:rsidR="00021F00" w:rsidRDefault="00021F00" w14:paraId="2F3B0BD7" w14:textId="571B9DC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2">
            <w:r w:rsidRPr="00360A73">
              <w:rPr>
                <w:rStyle w:val="Hyperlink"/>
                <w:noProof/>
              </w:rPr>
              <w:t>7.1.3.</w:t>
            </w:r>
            <w:r>
              <w:rPr>
                <w:rFonts w:asciiTheme="minorHAnsi" w:hAnsiTheme="minorHAnsi" w:cstheme="minorBidi"/>
                <w:noProof/>
                <w:kern w:val="2"/>
                <w:sz w:val="24"/>
                <w:szCs w:val="24"/>
                <w14:ligatures w14:val="standardContextual"/>
              </w:rPr>
              <w:tab/>
            </w:r>
            <w:r w:rsidRPr="00360A73">
              <w:rPr>
                <w:rStyle w:val="Hyperlink"/>
                <w:noProof/>
              </w:rPr>
              <w:t xml:space="preserve">Energy Settlement Memorandum Account </w:t>
            </w:r>
            <w:r w:rsidR="00B642EB">
              <w:rPr>
                <w:rStyle w:val="Hyperlink"/>
                <w:noProof/>
              </w:rPr>
              <w:br/>
            </w:r>
            <w:r w:rsidRPr="00360A73">
              <w:rPr>
                <w:rStyle w:val="Hyperlink"/>
                <w:noProof/>
              </w:rPr>
              <w:t>and Litigation Costs Tracking Account</w:t>
            </w:r>
            <w:r>
              <w:rPr>
                <w:noProof/>
                <w:webHidden/>
              </w:rPr>
              <w:tab/>
            </w:r>
            <w:r>
              <w:rPr>
                <w:noProof/>
                <w:webHidden/>
              </w:rPr>
              <w:fldChar w:fldCharType="begin"/>
            </w:r>
            <w:r>
              <w:rPr>
                <w:noProof/>
                <w:webHidden/>
              </w:rPr>
              <w:instrText xml:space="preserve"> PAGEREF _Toc183184312 \h </w:instrText>
            </w:r>
            <w:r>
              <w:rPr>
                <w:noProof/>
                <w:webHidden/>
              </w:rPr>
            </w:r>
            <w:r>
              <w:rPr>
                <w:noProof/>
                <w:webHidden/>
              </w:rPr>
              <w:fldChar w:fldCharType="separate"/>
            </w:r>
            <w:r w:rsidR="00E24263">
              <w:rPr>
                <w:noProof/>
                <w:webHidden/>
              </w:rPr>
              <w:t>52</w:t>
            </w:r>
            <w:r>
              <w:rPr>
                <w:noProof/>
                <w:webHidden/>
              </w:rPr>
              <w:fldChar w:fldCharType="end"/>
            </w:r>
          </w:hyperlink>
        </w:p>
        <w:p w:rsidR="00021F00" w:rsidRDefault="00021F00" w14:paraId="07420183" w14:textId="646B1EF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3">
            <w:r w:rsidRPr="00360A73">
              <w:rPr>
                <w:rStyle w:val="Hyperlink"/>
                <w:noProof/>
              </w:rPr>
              <w:t>7.1.4.</w:t>
            </w:r>
            <w:r>
              <w:rPr>
                <w:rFonts w:asciiTheme="minorHAnsi" w:hAnsiTheme="minorHAnsi" w:cstheme="minorBidi"/>
                <w:noProof/>
                <w:kern w:val="2"/>
                <w:sz w:val="24"/>
                <w:szCs w:val="24"/>
                <w14:ligatures w14:val="standardContextual"/>
              </w:rPr>
              <w:tab/>
            </w:r>
            <w:r w:rsidRPr="00360A73">
              <w:rPr>
                <w:rStyle w:val="Hyperlink"/>
                <w:noProof/>
              </w:rPr>
              <w:t>Discussion</w:t>
            </w:r>
            <w:r>
              <w:rPr>
                <w:noProof/>
                <w:webHidden/>
              </w:rPr>
              <w:tab/>
            </w:r>
            <w:r>
              <w:rPr>
                <w:noProof/>
                <w:webHidden/>
              </w:rPr>
              <w:fldChar w:fldCharType="begin"/>
            </w:r>
            <w:r>
              <w:rPr>
                <w:noProof/>
                <w:webHidden/>
              </w:rPr>
              <w:instrText xml:space="preserve"> PAGEREF _Toc183184313 \h </w:instrText>
            </w:r>
            <w:r>
              <w:rPr>
                <w:noProof/>
                <w:webHidden/>
              </w:rPr>
            </w:r>
            <w:r>
              <w:rPr>
                <w:noProof/>
                <w:webHidden/>
              </w:rPr>
              <w:fldChar w:fldCharType="separate"/>
            </w:r>
            <w:r w:rsidR="00E24263">
              <w:rPr>
                <w:noProof/>
                <w:webHidden/>
              </w:rPr>
              <w:t>53</w:t>
            </w:r>
            <w:r>
              <w:rPr>
                <w:noProof/>
                <w:webHidden/>
              </w:rPr>
              <w:fldChar w:fldCharType="end"/>
            </w:r>
          </w:hyperlink>
        </w:p>
        <w:p w:rsidR="00021F00" w:rsidRDefault="00021F00" w14:paraId="0A40C03B" w14:textId="0B7D68CB">
          <w:pPr>
            <w:pStyle w:val="TOC2"/>
            <w:tabs>
              <w:tab w:val="right" w:leader="dot" w:pos="9350"/>
            </w:tabs>
            <w:rPr>
              <w:rFonts w:asciiTheme="minorHAnsi" w:hAnsiTheme="minorHAnsi" w:cstheme="minorBidi"/>
              <w:noProof/>
              <w:kern w:val="2"/>
              <w:sz w:val="24"/>
              <w:szCs w:val="24"/>
              <w14:ligatures w14:val="standardContextual"/>
            </w:rPr>
          </w:pPr>
          <w:hyperlink w:history="1" w:anchor="_Toc183184314">
            <w:r w:rsidRPr="00360A73">
              <w:rPr>
                <w:rStyle w:val="Hyperlink"/>
                <w:noProof/>
              </w:rPr>
              <w:t>7.2.</w:t>
            </w:r>
            <w:r>
              <w:rPr>
                <w:rFonts w:asciiTheme="minorHAnsi" w:hAnsiTheme="minorHAnsi" w:cstheme="minorBidi"/>
                <w:noProof/>
                <w:kern w:val="2"/>
                <w:sz w:val="24"/>
                <w:szCs w:val="24"/>
                <w14:ligatures w14:val="standardContextual"/>
              </w:rPr>
              <w:tab/>
            </w:r>
            <w:r w:rsidRPr="00360A73">
              <w:rPr>
                <w:rStyle w:val="Hyperlink"/>
                <w:noProof/>
              </w:rPr>
              <w:t>Delivery Service  Revenue Requirement</w:t>
            </w:r>
            <w:r>
              <w:rPr>
                <w:noProof/>
                <w:webHidden/>
              </w:rPr>
              <w:tab/>
            </w:r>
            <w:r>
              <w:rPr>
                <w:noProof/>
                <w:webHidden/>
              </w:rPr>
              <w:fldChar w:fldCharType="begin"/>
            </w:r>
            <w:r>
              <w:rPr>
                <w:noProof/>
                <w:webHidden/>
              </w:rPr>
              <w:instrText xml:space="preserve"> PAGEREF _Toc183184314 \h </w:instrText>
            </w:r>
            <w:r>
              <w:rPr>
                <w:noProof/>
                <w:webHidden/>
              </w:rPr>
            </w:r>
            <w:r>
              <w:rPr>
                <w:noProof/>
                <w:webHidden/>
              </w:rPr>
              <w:fldChar w:fldCharType="separate"/>
            </w:r>
            <w:r w:rsidR="00E24263">
              <w:rPr>
                <w:noProof/>
                <w:webHidden/>
              </w:rPr>
              <w:t>53</w:t>
            </w:r>
            <w:r>
              <w:rPr>
                <w:noProof/>
                <w:webHidden/>
              </w:rPr>
              <w:fldChar w:fldCharType="end"/>
            </w:r>
          </w:hyperlink>
        </w:p>
        <w:p w:rsidR="00021F00" w:rsidRDefault="00021F00" w14:paraId="711B4F67" w14:textId="1597F05D">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5">
            <w:r w:rsidRPr="00360A73">
              <w:rPr>
                <w:rStyle w:val="Hyperlink"/>
                <w:noProof/>
              </w:rPr>
              <w:t>7.2.1.</w:t>
            </w:r>
            <w:r>
              <w:rPr>
                <w:rFonts w:asciiTheme="minorHAnsi" w:hAnsiTheme="minorHAnsi" w:cstheme="minorBidi"/>
                <w:noProof/>
                <w:kern w:val="2"/>
                <w:sz w:val="24"/>
                <w:szCs w:val="24"/>
                <w14:ligatures w14:val="standardContextual"/>
              </w:rPr>
              <w:tab/>
            </w:r>
            <w:r w:rsidRPr="00360A73">
              <w:rPr>
                <w:rStyle w:val="Hyperlink"/>
                <w:noProof/>
              </w:rPr>
              <w:t>New System Generation Net  Capacity CAM-Related Costs</w:t>
            </w:r>
            <w:r>
              <w:rPr>
                <w:noProof/>
                <w:webHidden/>
              </w:rPr>
              <w:tab/>
            </w:r>
            <w:r>
              <w:rPr>
                <w:noProof/>
                <w:webHidden/>
              </w:rPr>
              <w:fldChar w:fldCharType="begin"/>
            </w:r>
            <w:r>
              <w:rPr>
                <w:noProof/>
                <w:webHidden/>
              </w:rPr>
              <w:instrText xml:space="preserve"> PAGEREF _Toc183184315 \h </w:instrText>
            </w:r>
            <w:r>
              <w:rPr>
                <w:noProof/>
                <w:webHidden/>
              </w:rPr>
            </w:r>
            <w:r>
              <w:rPr>
                <w:noProof/>
                <w:webHidden/>
              </w:rPr>
              <w:fldChar w:fldCharType="separate"/>
            </w:r>
            <w:r w:rsidR="00E24263">
              <w:rPr>
                <w:noProof/>
                <w:webHidden/>
              </w:rPr>
              <w:t>55</w:t>
            </w:r>
            <w:r>
              <w:rPr>
                <w:noProof/>
                <w:webHidden/>
              </w:rPr>
              <w:fldChar w:fldCharType="end"/>
            </w:r>
          </w:hyperlink>
        </w:p>
        <w:p w:rsidR="00021F00" w:rsidRDefault="00021F00" w14:paraId="3FC2168F" w14:textId="17AE0BC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6">
            <w:r w:rsidRPr="00360A73">
              <w:rPr>
                <w:rStyle w:val="Hyperlink"/>
                <w:noProof/>
              </w:rPr>
              <w:t>7.2.2.</w:t>
            </w:r>
            <w:r>
              <w:rPr>
                <w:rFonts w:asciiTheme="minorHAnsi" w:hAnsiTheme="minorHAnsi" w:cstheme="minorBidi"/>
                <w:noProof/>
                <w:kern w:val="2"/>
                <w:sz w:val="24"/>
                <w:szCs w:val="24"/>
                <w14:ligatures w14:val="standardContextual"/>
              </w:rPr>
              <w:tab/>
            </w:r>
            <w:r w:rsidRPr="00360A73">
              <w:rPr>
                <w:rStyle w:val="Hyperlink"/>
                <w:noProof/>
              </w:rPr>
              <w:t>New System Generation  Balancing Account (NSGBA)</w:t>
            </w:r>
            <w:r>
              <w:rPr>
                <w:noProof/>
                <w:webHidden/>
              </w:rPr>
              <w:tab/>
            </w:r>
            <w:r>
              <w:rPr>
                <w:noProof/>
                <w:webHidden/>
              </w:rPr>
              <w:fldChar w:fldCharType="begin"/>
            </w:r>
            <w:r>
              <w:rPr>
                <w:noProof/>
                <w:webHidden/>
              </w:rPr>
              <w:instrText xml:space="preserve"> PAGEREF _Toc183184316 \h </w:instrText>
            </w:r>
            <w:r>
              <w:rPr>
                <w:noProof/>
                <w:webHidden/>
              </w:rPr>
            </w:r>
            <w:r>
              <w:rPr>
                <w:noProof/>
                <w:webHidden/>
              </w:rPr>
              <w:fldChar w:fldCharType="separate"/>
            </w:r>
            <w:r w:rsidR="00E24263">
              <w:rPr>
                <w:noProof/>
                <w:webHidden/>
              </w:rPr>
              <w:t>56</w:t>
            </w:r>
            <w:r>
              <w:rPr>
                <w:noProof/>
                <w:webHidden/>
              </w:rPr>
              <w:fldChar w:fldCharType="end"/>
            </w:r>
          </w:hyperlink>
        </w:p>
        <w:p w:rsidR="00021F00" w:rsidRDefault="00021F00" w14:paraId="13E83468" w14:textId="43CD719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7">
            <w:r w:rsidRPr="00360A73">
              <w:rPr>
                <w:rStyle w:val="Hyperlink"/>
                <w:noProof/>
              </w:rPr>
              <w:t>7.2.3.</w:t>
            </w:r>
            <w:r>
              <w:rPr>
                <w:rFonts w:asciiTheme="minorHAnsi" w:hAnsiTheme="minorHAnsi" w:cstheme="minorBidi"/>
                <w:noProof/>
                <w:kern w:val="2"/>
                <w:sz w:val="24"/>
                <w:szCs w:val="24"/>
                <w14:ligatures w14:val="standardContextual"/>
              </w:rPr>
              <w:tab/>
            </w:r>
            <w:r w:rsidRPr="00360A73">
              <w:rPr>
                <w:rStyle w:val="Hyperlink"/>
                <w:noProof/>
              </w:rPr>
              <w:t xml:space="preserve">System Reliability Modified Cost  </w:t>
            </w:r>
            <w:r w:rsidR="00B642EB">
              <w:rPr>
                <w:rStyle w:val="Hyperlink"/>
                <w:noProof/>
              </w:rPr>
              <w:br/>
            </w:r>
            <w:r w:rsidRPr="00360A73">
              <w:rPr>
                <w:rStyle w:val="Hyperlink"/>
                <w:noProof/>
              </w:rPr>
              <w:t>Mechanism-Related Costs</w:t>
            </w:r>
            <w:r>
              <w:rPr>
                <w:noProof/>
                <w:webHidden/>
              </w:rPr>
              <w:tab/>
            </w:r>
            <w:r>
              <w:rPr>
                <w:noProof/>
                <w:webHidden/>
              </w:rPr>
              <w:fldChar w:fldCharType="begin"/>
            </w:r>
            <w:r>
              <w:rPr>
                <w:noProof/>
                <w:webHidden/>
              </w:rPr>
              <w:instrText xml:space="preserve"> PAGEREF _Toc183184317 \h </w:instrText>
            </w:r>
            <w:r>
              <w:rPr>
                <w:noProof/>
                <w:webHidden/>
              </w:rPr>
            </w:r>
            <w:r>
              <w:rPr>
                <w:noProof/>
                <w:webHidden/>
              </w:rPr>
              <w:fldChar w:fldCharType="separate"/>
            </w:r>
            <w:r w:rsidR="00E24263">
              <w:rPr>
                <w:noProof/>
                <w:webHidden/>
              </w:rPr>
              <w:t>56</w:t>
            </w:r>
            <w:r>
              <w:rPr>
                <w:noProof/>
                <w:webHidden/>
              </w:rPr>
              <w:fldChar w:fldCharType="end"/>
            </w:r>
          </w:hyperlink>
        </w:p>
        <w:p w:rsidR="00021F00" w:rsidRDefault="00021F00" w14:paraId="4E2F460F" w14:textId="225976A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8">
            <w:r w:rsidRPr="00360A73">
              <w:rPr>
                <w:rStyle w:val="Hyperlink"/>
                <w:noProof/>
              </w:rPr>
              <w:t>7.2.4.</w:t>
            </w:r>
            <w:r>
              <w:rPr>
                <w:rFonts w:asciiTheme="minorHAnsi" w:hAnsiTheme="minorHAnsi" w:cstheme="minorBidi"/>
                <w:noProof/>
                <w:kern w:val="2"/>
                <w:sz w:val="24"/>
                <w:szCs w:val="24"/>
                <w14:ligatures w14:val="standardContextual"/>
              </w:rPr>
              <w:tab/>
            </w:r>
            <w:r w:rsidRPr="00360A73">
              <w:rPr>
                <w:rStyle w:val="Hyperlink"/>
                <w:noProof/>
              </w:rPr>
              <w:t>Tree Mortality Contract Costs</w:t>
            </w:r>
            <w:r>
              <w:rPr>
                <w:noProof/>
                <w:webHidden/>
              </w:rPr>
              <w:tab/>
            </w:r>
            <w:r>
              <w:rPr>
                <w:noProof/>
                <w:webHidden/>
              </w:rPr>
              <w:fldChar w:fldCharType="begin"/>
            </w:r>
            <w:r>
              <w:rPr>
                <w:noProof/>
                <w:webHidden/>
              </w:rPr>
              <w:instrText xml:space="preserve"> PAGEREF _Toc183184318 \h </w:instrText>
            </w:r>
            <w:r>
              <w:rPr>
                <w:noProof/>
                <w:webHidden/>
              </w:rPr>
            </w:r>
            <w:r>
              <w:rPr>
                <w:noProof/>
                <w:webHidden/>
              </w:rPr>
              <w:fldChar w:fldCharType="separate"/>
            </w:r>
            <w:r w:rsidR="00E24263">
              <w:rPr>
                <w:noProof/>
                <w:webHidden/>
              </w:rPr>
              <w:t>57</w:t>
            </w:r>
            <w:r>
              <w:rPr>
                <w:noProof/>
                <w:webHidden/>
              </w:rPr>
              <w:fldChar w:fldCharType="end"/>
            </w:r>
          </w:hyperlink>
        </w:p>
        <w:p w:rsidR="00021F00" w:rsidRDefault="00021F00" w14:paraId="069F83D8" w14:textId="1F799838">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19">
            <w:r w:rsidRPr="00360A73">
              <w:rPr>
                <w:rStyle w:val="Hyperlink"/>
                <w:noProof/>
              </w:rPr>
              <w:t>7.2.5.</w:t>
            </w:r>
            <w:r>
              <w:rPr>
                <w:rFonts w:asciiTheme="minorHAnsi" w:hAnsiTheme="minorHAnsi" w:cstheme="minorBidi"/>
                <w:noProof/>
                <w:kern w:val="2"/>
                <w:sz w:val="24"/>
                <w:szCs w:val="24"/>
                <w14:ligatures w14:val="standardContextual"/>
              </w:rPr>
              <w:tab/>
            </w:r>
            <w:r w:rsidRPr="00360A73">
              <w:rPr>
                <w:rStyle w:val="Hyperlink"/>
                <w:noProof/>
              </w:rPr>
              <w:t>BioMAT Contract Costs</w:t>
            </w:r>
            <w:r>
              <w:rPr>
                <w:noProof/>
                <w:webHidden/>
              </w:rPr>
              <w:tab/>
            </w:r>
            <w:r>
              <w:rPr>
                <w:noProof/>
                <w:webHidden/>
              </w:rPr>
              <w:fldChar w:fldCharType="begin"/>
            </w:r>
            <w:r>
              <w:rPr>
                <w:noProof/>
                <w:webHidden/>
              </w:rPr>
              <w:instrText xml:space="preserve"> PAGEREF _Toc183184319 \h </w:instrText>
            </w:r>
            <w:r>
              <w:rPr>
                <w:noProof/>
                <w:webHidden/>
              </w:rPr>
            </w:r>
            <w:r>
              <w:rPr>
                <w:noProof/>
                <w:webHidden/>
              </w:rPr>
              <w:fldChar w:fldCharType="separate"/>
            </w:r>
            <w:r w:rsidR="00E24263">
              <w:rPr>
                <w:noProof/>
                <w:webHidden/>
              </w:rPr>
              <w:t>58</w:t>
            </w:r>
            <w:r>
              <w:rPr>
                <w:noProof/>
                <w:webHidden/>
              </w:rPr>
              <w:fldChar w:fldCharType="end"/>
            </w:r>
          </w:hyperlink>
        </w:p>
        <w:p w:rsidR="00021F00" w:rsidRDefault="00021F00" w14:paraId="3091B981" w14:textId="7A31977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20">
            <w:r w:rsidRPr="00360A73">
              <w:rPr>
                <w:rStyle w:val="Hyperlink"/>
                <w:noProof/>
              </w:rPr>
              <w:t>7.2.6.</w:t>
            </w:r>
            <w:r>
              <w:rPr>
                <w:rFonts w:asciiTheme="minorHAnsi" w:hAnsiTheme="minorHAnsi" w:cstheme="minorBidi"/>
                <w:noProof/>
                <w:kern w:val="2"/>
                <w:sz w:val="24"/>
                <w:szCs w:val="24"/>
                <w14:ligatures w14:val="standardContextual"/>
              </w:rPr>
              <w:tab/>
            </w:r>
            <w:r w:rsidRPr="00360A73">
              <w:rPr>
                <w:rStyle w:val="Hyperlink"/>
                <w:noProof/>
              </w:rPr>
              <w:t>Central Procurement  Entity Related Costs</w:t>
            </w:r>
            <w:r>
              <w:rPr>
                <w:noProof/>
                <w:webHidden/>
              </w:rPr>
              <w:tab/>
            </w:r>
            <w:r>
              <w:rPr>
                <w:noProof/>
                <w:webHidden/>
              </w:rPr>
              <w:fldChar w:fldCharType="begin"/>
            </w:r>
            <w:r>
              <w:rPr>
                <w:noProof/>
                <w:webHidden/>
              </w:rPr>
              <w:instrText xml:space="preserve"> PAGEREF _Toc183184320 \h </w:instrText>
            </w:r>
            <w:r>
              <w:rPr>
                <w:noProof/>
                <w:webHidden/>
              </w:rPr>
            </w:r>
            <w:r>
              <w:rPr>
                <w:noProof/>
                <w:webHidden/>
              </w:rPr>
              <w:fldChar w:fldCharType="separate"/>
            </w:r>
            <w:r w:rsidR="00E24263">
              <w:rPr>
                <w:noProof/>
                <w:webHidden/>
              </w:rPr>
              <w:t>58</w:t>
            </w:r>
            <w:r>
              <w:rPr>
                <w:noProof/>
                <w:webHidden/>
              </w:rPr>
              <w:fldChar w:fldCharType="end"/>
            </w:r>
          </w:hyperlink>
        </w:p>
        <w:p w:rsidR="00021F00" w:rsidRDefault="00021F00" w14:paraId="61866101" w14:textId="2D28B59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21">
            <w:r w:rsidRPr="00360A73">
              <w:rPr>
                <w:rStyle w:val="Hyperlink"/>
                <w:noProof/>
              </w:rPr>
              <w:t>7.2.7.</w:t>
            </w:r>
            <w:r>
              <w:rPr>
                <w:rFonts w:asciiTheme="minorHAnsi" w:hAnsiTheme="minorHAnsi" w:cstheme="minorBidi"/>
                <w:noProof/>
                <w:kern w:val="2"/>
                <w:sz w:val="24"/>
                <w:szCs w:val="24"/>
                <w14:ligatures w14:val="standardContextual"/>
              </w:rPr>
              <w:tab/>
            </w:r>
            <w:r w:rsidRPr="00360A73">
              <w:rPr>
                <w:rStyle w:val="Hyperlink"/>
                <w:noProof/>
              </w:rPr>
              <w:t>Discussion of New System Generation Revenue Requirement</w:t>
            </w:r>
            <w:r>
              <w:rPr>
                <w:noProof/>
                <w:webHidden/>
              </w:rPr>
              <w:tab/>
            </w:r>
            <w:r>
              <w:rPr>
                <w:noProof/>
                <w:webHidden/>
              </w:rPr>
              <w:fldChar w:fldCharType="begin"/>
            </w:r>
            <w:r>
              <w:rPr>
                <w:noProof/>
                <w:webHidden/>
              </w:rPr>
              <w:instrText xml:space="preserve"> PAGEREF _Toc183184321 \h </w:instrText>
            </w:r>
            <w:r>
              <w:rPr>
                <w:noProof/>
                <w:webHidden/>
              </w:rPr>
            </w:r>
            <w:r>
              <w:rPr>
                <w:noProof/>
                <w:webHidden/>
              </w:rPr>
              <w:fldChar w:fldCharType="separate"/>
            </w:r>
            <w:r w:rsidR="00E24263">
              <w:rPr>
                <w:noProof/>
                <w:webHidden/>
              </w:rPr>
              <w:t>60</w:t>
            </w:r>
            <w:r>
              <w:rPr>
                <w:noProof/>
                <w:webHidden/>
              </w:rPr>
              <w:fldChar w:fldCharType="end"/>
            </w:r>
          </w:hyperlink>
        </w:p>
        <w:p w:rsidR="00021F00" w:rsidRDefault="00021F00" w14:paraId="7B4446B7" w14:textId="389B472E">
          <w:pPr>
            <w:pStyle w:val="TOC2"/>
            <w:tabs>
              <w:tab w:val="right" w:leader="dot" w:pos="9350"/>
            </w:tabs>
            <w:rPr>
              <w:rFonts w:asciiTheme="minorHAnsi" w:hAnsiTheme="minorHAnsi" w:cstheme="minorBidi"/>
              <w:noProof/>
              <w:kern w:val="2"/>
              <w:sz w:val="24"/>
              <w:szCs w:val="24"/>
              <w14:ligatures w14:val="standardContextual"/>
            </w:rPr>
          </w:pPr>
          <w:hyperlink w:history="1" w:anchor="_Toc183184322">
            <w:r w:rsidRPr="00360A73">
              <w:rPr>
                <w:rStyle w:val="Hyperlink"/>
                <w:noProof/>
              </w:rPr>
              <w:t>7.3.</w:t>
            </w:r>
            <w:r>
              <w:rPr>
                <w:rFonts w:asciiTheme="minorHAnsi" w:hAnsiTheme="minorHAnsi" w:cstheme="minorBidi"/>
                <w:noProof/>
                <w:kern w:val="2"/>
                <w:sz w:val="24"/>
                <w:szCs w:val="24"/>
                <w14:ligatures w14:val="standardContextual"/>
              </w:rPr>
              <w:tab/>
            </w:r>
            <w:r w:rsidRPr="00360A73">
              <w:rPr>
                <w:rStyle w:val="Hyperlink"/>
                <w:noProof/>
              </w:rPr>
              <w:t>Cost Responsibility Surcharges</w:t>
            </w:r>
            <w:r>
              <w:rPr>
                <w:noProof/>
                <w:webHidden/>
              </w:rPr>
              <w:tab/>
            </w:r>
            <w:r>
              <w:rPr>
                <w:noProof/>
                <w:webHidden/>
              </w:rPr>
              <w:fldChar w:fldCharType="begin"/>
            </w:r>
            <w:r>
              <w:rPr>
                <w:noProof/>
                <w:webHidden/>
              </w:rPr>
              <w:instrText xml:space="preserve"> PAGEREF _Toc183184322 \h </w:instrText>
            </w:r>
            <w:r>
              <w:rPr>
                <w:noProof/>
                <w:webHidden/>
              </w:rPr>
            </w:r>
            <w:r>
              <w:rPr>
                <w:noProof/>
                <w:webHidden/>
              </w:rPr>
              <w:fldChar w:fldCharType="separate"/>
            </w:r>
            <w:r w:rsidR="00E24263">
              <w:rPr>
                <w:noProof/>
                <w:webHidden/>
              </w:rPr>
              <w:t>60</w:t>
            </w:r>
            <w:r>
              <w:rPr>
                <w:noProof/>
                <w:webHidden/>
              </w:rPr>
              <w:fldChar w:fldCharType="end"/>
            </w:r>
          </w:hyperlink>
        </w:p>
        <w:p w:rsidR="00021F00" w:rsidRDefault="00021F00" w14:paraId="0559D524" w14:textId="6A2042B3">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23">
            <w:r w:rsidRPr="00360A73">
              <w:rPr>
                <w:rStyle w:val="Hyperlink"/>
                <w:noProof/>
              </w:rPr>
              <w:t>7.3.1.</w:t>
            </w:r>
            <w:r>
              <w:rPr>
                <w:rFonts w:asciiTheme="minorHAnsi" w:hAnsiTheme="minorHAnsi" w:cstheme="minorBidi"/>
                <w:noProof/>
                <w:kern w:val="2"/>
                <w:sz w:val="24"/>
                <w:szCs w:val="24"/>
                <w14:ligatures w14:val="standardContextual"/>
              </w:rPr>
              <w:tab/>
            </w:r>
            <w:r w:rsidRPr="00360A73">
              <w:rPr>
                <w:rStyle w:val="Hyperlink"/>
                <w:noProof/>
              </w:rPr>
              <w:t>Competition Transition  Cost Surcharge</w:t>
            </w:r>
            <w:r>
              <w:rPr>
                <w:noProof/>
                <w:webHidden/>
              </w:rPr>
              <w:tab/>
            </w:r>
            <w:r>
              <w:rPr>
                <w:noProof/>
                <w:webHidden/>
              </w:rPr>
              <w:fldChar w:fldCharType="begin"/>
            </w:r>
            <w:r>
              <w:rPr>
                <w:noProof/>
                <w:webHidden/>
              </w:rPr>
              <w:instrText xml:space="preserve"> PAGEREF _Toc183184323 \h </w:instrText>
            </w:r>
            <w:r>
              <w:rPr>
                <w:noProof/>
                <w:webHidden/>
              </w:rPr>
            </w:r>
            <w:r>
              <w:rPr>
                <w:noProof/>
                <w:webHidden/>
              </w:rPr>
              <w:fldChar w:fldCharType="separate"/>
            </w:r>
            <w:r w:rsidR="00E24263">
              <w:rPr>
                <w:noProof/>
                <w:webHidden/>
              </w:rPr>
              <w:t>62</w:t>
            </w:r>
            <w:r>
              <w:rPr>
                <w:noProof/>
                <w:webHidden/>
              </w:rPr>
              <w:fldChar w:fldCharType="end"/>
            </w:r>
          </w:hyperlink>
        </w:p>
        <w:p w:rsidR="00021F00" w:rsidRDefault="00021F00" w14:paraId="625286E4" w14:textId="414F603D">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24">
            <w:r w:rsidRPr="00360A73">
              <w:rPr>
                <w:rStyle w:val="Hyperlink"/>
                <w:noProof/>
              </w:rPr>
              <w:t>7.3.2.</w:t>
            </w:r>
            <w:r>
              <w:rPr>
                <w:rFonts w:asciiTheme="minorHAnsi" w:hAnsiTheme="minorHAnsi" w:cstheme="minorBidi"/>
                <w:noProof/>
                <w:kern w:val="2"/>
                <w:sz w:val="24"/>
                <w:szCs w:val="24"/>
                <w14:ligatures w14:val="standardContextual"/>
              </w:rPr>
              <w:tab/>
            </w:r>
            <w:r w:rsidRPr="00360A73">
              <w:rPr>
                <w:rStyle w:val="Hyperlink"/>
                <w:noProof/>
              </w:rPr>
              <w:t>PCIA Revenue Requirement</w:t>
            </w:r>
            <w:r>
              <w:rPr>
                <w:noProof/>
                <w:webHidden/>
              </w:rPr>
              <w:tab/>
            </w:r>
            <w:r>
              <w:rPr>
                <w:noProof/>
                <w:webHidden/>
              </w:rPr>
              <w:fldChar w:fldCharType="begin"/>
            </w:r>
            <w:r>
              <w:rPr>
                <w:noProof/>
                <w:webHidden/>
              </w:rPr>
              <w:instrText xml:space="preserve"> PAGEREF _Toc183184324 \h </w:instrText>
            </w:r>
            <w:r>
              <w:rPr>
                <w:noProof/>
                <w:webHidden/>
              </w:rPr>
            </w:r>
            <w:r>
              <w:rPr>
                <w:noProof/>
                <w:webHidden/>
              </w:rPr>
              <w:fldChar w:fldCharType="separate"/>
            </w:r>
            <w:r w:rsidR="00E24263">
              <w:rPr>
                <w:noProof/>
                <w:webHidden/>
              </w:rPr>
              <w:t>62</w:t>
            </w:r>
            <w:r>
              <w:rPr>
                <w:noProof/>
                <w:webHidden/>
              </w:rPr>
              <w:fldChar w:fldCharType="end"/>
            </w:r>
          </w:hyperlink>
        </w:p>
        <w:p w:rsidR="00021F00" w:rsidRDefault="00021F00" w14:paraId="130DB73E" w14:textId="370D3661">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25">
            <w:r w:rsidRPr="00360A73">
              <w:rPr>
                <w:rStyle w:val="Hyperlink"/>
                <w:noProof/>
              </w:rPr>
              <w:t>7.3.2.1.</w:t>
            </w:r>
            <w:r>
              <w:rPr>
                <w:rFonts w:asciiTheme="minorHAnsi" w:hAnsiTheme="minorHAnsi" w:eastAsiaTheme="minorEastAsia"/>
                <w:noProof/>
                <w:kern w:val="2"/>
                <w:sz w:val="24"/>
                <w:szCs w:val="24"/>
                <w14:ligatures w14:val="standardContextual"/>
              </w:rPr>
              <w:tab/>
            </w:r>
            <w:r w:rsidRPr="00360A73">
              <w:rPr>
                <w:rStyle w:val="Hyperlink"/>
                <w:noProof/>
              </w:rPr>
              <w:t>Updated RA Slice of Day Portfolio</w:t>
            </w:r>
            <w:r>
              <w:rPr>
                <w:noProof/>
                <w:webHidden/>
              </w:rPr>
              <w:tab/>
            </w:r>
            <w:r>
              <w:rPr>
                <w:noProof/>
                <w:webHidden/>
              </w:rPr>
              <w:fldChar w:fldCharType="begin"/>
            </w:r>
            <w:r>
              <w:rPr>
                <w:noProof/>
                <w:webHidden/>
              </w:rPr>
              <w:instrText xml:space="preserve"> PAGEREF _Toc183184325 \h </w:instrText>
            </w:r>
            <w:r>
              <w:rPr>
                <w:noProof/>
                <w:webHidden/>
              </w:rPr>
            </w:r>
            <w:r>
              <w:rPr>
                <w:noProof/>
                <w:webHidden/>
              </w:rPr>
              <w:fldChar w:fldCharType="separate"/>
            </w:r>
            <w:r w:rsidR="00E24263">
              <w:rPr>
                <w:noProof/>
                <w:webHidden/>
              </w:rPr>
              <w:t>64</w:t>
            </w:r>
            <w:r>
              <w:rPr>
                <w:noProof/>
                <w:webHidden/>
              </w:rPr>
              <w:fldChar w:fldCharType="end"/>
            </w:r>
          </w:hyperlink>
        </w:p>
        <w:p w:rsidR="00021F00" w:rsidRDefault="00021F00" w14:paraId="103B73E8" w14:textId="4873B3A1">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26">
            <w:r w:rsidRPr="00360A73">
              <w:rPr>
                <w:rStyle w:val="Hyperlink"/>
                <w:noProof/>
              </w:rPr>
              <w:t>7.3.2.2.</w:t>
            </w:r>
            <w:r>
              <w:rPr>
                <w:rFonts w:asciiTheme="minorHAnsi" w:hAnsiTheme="minorHAnsi" w:eastAsiaTheme="minorEastAsia"/>
                <w:noProof/>
                <w:kern w:val="2"/>
                <w:sz w:val="24"/>
                <w:szCs w:val="24"/>
                <w14:ligatures w14:val="standardContextual"/>
              </w:rPr>
              <w:tab/>
            </w:r>
            <w:r w:rsidRPr="00360A73">
              <w:rPr>
                <w:rStyle w:val="Hyperlink"/>
                <w:noProof/>
              </w:rPr>
              <w:t>Updated Total Portfolio Costs</w:t>
            </w:r>
            <w:r>
              <w:rPr>
                <w:noProof/>
                <w:webHidden/>
              </w:rPr>
              <w:tab/>
            </w:r>
            <w:r>
              <w:rPr>
                <w:noProof/>
                <w:webHidden/>
              </w:rPr>
              <w:fldChar w:fldCharType="begin"/>
            </w:r>
            <w:r>
              <w:rPr>
                <w:noProof/>
                <w:webHidden/>
              </w:rPr>
              <w:instrText xml:space="preserve"> PAGEREF _Toc183184326 \h </w:instrText>
            </w:r>
            <w:r>
              <w:rPr>
                <w:noProof/>
                <w:webHidden/>
              </w:rPr>
            </w:r>
            <w:r>
              <w:rPr>
                <w:noProof/>
                <w:webHidden/>
              </w:rPr>
              <w:fldChar w:fldCharType="separate"/>
            </w:r>
            <w:r w:rsidR="00E24263">
              <w:rPr>
                <w:noProof/>
                <w:webHidden/>
              </w:rPr>
              <w:t>65</w:t>
            </w:r>
            <w:r>
              <w:rPr>
                <w:noProof/>
                <w:webHidden/>
              </w:rPr>
              <w:fldChar w:fldCharType="end"/>
            </w:r>
          </w:hyperlink>
        </w:p>
        <w:p w:rsidR="00021F00" w:rsidRDefault="00021F00" w14:paraId="53DA4F77" w14:textId="4DFF1812">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27">
            <w:r w:rsidRPr="00360A73">
              <w:rPr>
                <w:rStyle w:val="Hyperlink"/>
                <w:noProof/>
              </w:rPr>
              <w:t>7.3.2.3.</w:t>
            </w:r>
            <w:r>
              <w:rPr>
                <w:rFonts w:asciiTheme="minorHAnsi" w:hAnsiTheme="minorHAnsi" w:eastAsiaTheme="minorEastAsia"/>
                <w:noProof/>
                <w:kern w:val="2"/>
                <w:sz w:val="24"/>
                <w:szCs w:val="24"/>
                <w14:ligatures w14:val="standardContextual"/>
              </w:rPr>
              <w:tab/>
            </w:r>
            <w:r w:rsidRPr="00360A73">
              <w:rPr>
                <w:rStyle w:val="Hyperlink"/>
                <w:noProof/>
              </w:rPr>
              <w:t>Updated Total Portfolio  Market Value Forecast</w:t>
            </w:r>
            <w:r>
              <w:rPr>
                <w:noProof/>
                <w:webHidden/>
              </w:rPr>
              <w:tab/>
            </w:r>
            <w:r>
              <w:rPr>
                <w:noProof/>
                <w:webHidden/>
              </w:rPr>
              <w:fldChar w:fldCharType="begin"/>
            </w:r>
            <w:r>
              <w:rPr>
                <w:noProof/>
                <w:webHidden/>
              </w:rPr>
              <w:instrText xml:space="preserve"> PAGEREF _Toc183184327 \h </w:instrText>
            </w:r>
            <w:r>
              <w:rPr>
                <w:noProof/>
                <w:webHidden/>
              </w:rPr>
            </w:r>
            <w:r>
              <w:rPr>
                <w:noProof/>
                <w:webHidden/>
              </w:rPr>
              <w:fldChar w:fldCharType="separate"/>
            </w:r>
            <w:r w:rsidR="00E24263">
              <w:rPr>
                <w:noProof/>
                <w:webHidden/>
              </w:rPr>
              <w:t>65</w:t>
            </w:r>
            <w:r>
              <w:rPr>
                <w:noProof/>
                <w:webHidden/>
              </w:rPr>
              <w:fldChar w:fldCharType="end"/>
            </w:r>
          </w:hyperlink>
        </w:p>
        <w:p w:rsidR="00021F00" w:rsidRDefault="00021F00" w14:paraId="79276D4E" w14:textId="36A824A3">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28">
            <w:r w:rsidRPr="00360A73">
              <w:rPr>
                <w:rStyle w:val="Hyperlink"/>
                <w:noProof/>
              </w:rPr>
              <w:t>7.3.2.4.</w:t>
            </w:r>
            <w:r>
              <w:rPr>
                <w:rFonts w:asciiTheme="minorHAnsi" w:hAnsiTheme="minorHAnsi" w:eastAsiaTheme="minorEastAsia"/>
                <w:noProof/>
                <w:kern w:val="2"/>
                <w:sz w:val="24"/>
                <w:szCs w:val="24"/>
                <w14:ligatures w14:val="standardContextual"/>
              </w:rPr>
              <w:tab/>
            </w:r>
            <w:r w:rsidRPr="00360A73">
              <w:rPr>
                <w:rStyle w:val="Hyperlink"/>
                <w:noProof/>
              </w:rPr>
              <w:t>Updated Energy Value</w:t>
            </w:r>
            <w:r>
              <w:rPr>
                <w:noProof/>
                <w:webHidden/>
              </w:rPr>
              <w:tab/>
            </w:r>
            <w:r>
              <w:rPr>
                <w:noProof/>
                <w:webHidden/>
              </w:rPr>
              <w:fldChar w:fldCharType="begin"/>
            </w:r>
            <w:r>
              <w:rPr>
                <w:noProof/>
                <w:webHidden/>
              </w:rPr>
              <w:instrText xml:space="preserve"> PAGEREF _Toc183184328 \h </w:instrText>
            </w:r>
            <w:r>
              <w:rPr>
                <w:noProof/>
                <w:webHidden/>
              </w:rPr>
            </w:r>
            <w:r>
              <w:rPr>
                <w:noProof/>
                <w:webHidden/>
              </w:rPr>
              <w:fldChar w:fldCharType="separate"/>
            </w:r>
            <w:r w:rsidR="00E24263">
              <w:rPr>
                <w:noProof/>
                <w:webHidden/>
              </w:rPr>
              <w:t>67</w:t>
            </w:r>
            <w:r>
              <w:rPr>
                <w:noProof/>
                <w:webHidden/>
              </w:rPr>
              <w:fldChar w:fldCharType="end"/>
            </w:r>
          </w:hyperlink>
        </w:p>
        <w:p w:rsidR="00021F00" w:rsidRDefault="00021F00" w14:paraId="78994ACF" w14:textId="68EFB76E">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29">
            <w:r w:rsidRPr="00360A73">
              <w:rPr>
                <w:rStyle w:val="Hyperlink"/>
                <w:noProof/>
              </w:rPr>
              <w:t>7.3.2.5.</w:t>
            </w:r>
            <w:r>
              <w:rPr>
                <w:rFonts w:asciiTheme="minorHAnsi" w:hAnsiTheme="minorHAnsi" w:eastAsiaTheme="minorEastAsia"/>
                <w:noProof/>
                <w:kern w:val="2"/>
                <w:sz w:val="24"/>
                <w:szCs w:val="24"/>
                <w14:ligatures w14:val="standardContextual"/>
              </w:rPr>
              <w:tab/>
            </w:r>
            <w:r w:rsidRPr="00360A73">
              <w:rPr>
                <w:rStyle w:val="Hyperlink"/>
                <w:noProof/>
              </w:rPr>
              <w:t>Updated RA Value(s)</w:t>
            </w:r>
            <w:r>
              <w:rPr>
                <w:noProof/>
                <w:webHidden/>
              </w:rPr>
              <w:tab/>
            </w:r>
            <w:r>
              <w:rPr>
                <w:noProof/>
                <w:webHidden/>
              </w:rPr>
              <w:fldChar w:fldCharType="begin"/>
            </w:r>
            <w:r>
              <w:rPr>
                <w:noProof/>
                <w:webHidden/>
              </w:rPr>
              <w:instrText xml:space="preserve"> PAGEREF _Toc183184329 \h </w:instrText>
            </w:r>
            <w:r>
              <w:rPr>
                <w:noProof/>
                <w:webHidden/>
              </w:rPr>
            </w:r>
            <w:r>
              <w:rPr>
                <w:noProof/>
                <w:webHidden/>
              </w:rPr>
              <w:fldChar w:fldCharType="separate"/>
            </w:r>
            <w:r w:rsidR="00E24263">
              <w:rPr>
                <w:noProof/>
                <w:webHidden/>
              </w:rPr>
              <w:t>67</w:t>
            </w:r>
            <w:r>
              <w:rPr>
                <w:noProof/>
                <w:webHidden/>
              </w:rPr>
              <w:fldChar w:fldCharType="end"/>
            </w:r>
          </w:hyperlink>
        </w:p>
        <w:p w:rsidR="00021F00" w:rsidRDefault="00021F00" w14:paraId="2BD7E29C" w14:textId="37139686">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30">
            <w:r w:rsidRPr="00360A73">
              <w:rPr>
                <w:rStyle w:val="Hyperlink"/>
                <w:noProof/>
              </w:rPr>
              <w:t>7.3.2.6.</w:t>
            </w:r>
            <w:r>
              <w:rPr>
                <w:rFonts w:asciiTheme="minorHAnsi" w:hAnsiTheme="minorHAnsi" w:eastAsiaTheme="minorEastAsia"/>
                <w:noProof/>
                <w:kern w:val="2"/>
                <w:sz w:val="24"/>
                <w:szCs w:val="24"/>
                <w14:ligatures w14:val="standardContextual"/>
              </w:rPr>
              <w:tab/>
            </w:r>
            <w:r w:rsidRPr="00360A73">
              <w:rPr>
                <w:rStyle w:val="Hyperlink"/>
                <w:noProof/>
              </w:rPr>
              <w:t>Updated RPS Value</w:t>
            </w:r>
            <w:r>
              <w:rPr>
                <w:noProof/>
                <w:webHidden/>
              </w:rPr>
              <w:tab/>
            </w:r>
            <w:r>
              <w:rPr>
                <w:noProof/>
                <w:webHidden/>
              </w:rPr>
              <w:fldChar w:fldCharType="begin"/>
            </w:r>
            <w:r>
              <w:rPr>
                <w:noProof/>
                <w:webHidden/>
              </w:rPr>
              <w:instrText xml:space="preserve"> PAGEREF _Toc183184330 \h </w:instrText>
            </w:r>
            <w:r>
              <w:rPr>
                <w:noProof/>
                <w:webHidden/>
              </w:rPr>
            </w:r>
            <w:r>
              <w:rPr>
                <w:noProof/>
                <w:webHidden/>
              </w:rPr>
              <w:fldChar w:fldCharType="separate"/>
            </w:r>
            <w:r w:rsidR="00E24263">
              <w:rPr>
                <w:noProof/>
                <w:webHidden/>
              </w:rPr>
              <w:t>68</w:t>
            </w:r>
            <w:r>
              <w:rPr>
                <w:noProof/>
                <w:webHidden/>
              </w:rPr>
              <w:fldChar w:fldCharType="end"/>
            </w:r>
          </w:hyperlink>
        </w:p>
        <w:p w:rsidR="00021F00" w:rsidRDefault="00021F00" w14:paraId="141D3472" w14:textId="776D3D47">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31">
            <w:r w:rsidRPr="00360A73">
              <w:rPr>
                <w:rStyle w:val="Hyperlink"/>
                <w:noProof/>
              </w:rPr>
              <w:t>7.3.2.7.</w:t>
            </w:r>
            <w:r>
              <w:rPr>
                <w:rFonts w:asciiTheme="minorHAnsi" w:hAnsiTheme="minorHAnsi" w:eastAsiaTheme="minorEastAsia"/>
                <w:noProof/>
                <w:kern w:val="2"/>
                <w:sz w:val="24"/>
                <w:szCs w:val="24"/>
                <w14:ligatures w14:val="standardContextual"/>
              </w:rPr>
              <w:tab/>
            </w:r>
            <w:r w:rsidRPr="00360A73">
              <w:rPr>
                <w:rStyle w:val="Hyperlink"/>
                <w:noProof/>
              </w:rPr>
              <w:t>2024 Year End PABA Balance</w:t>
            </w:r>
            <w:r>
              <w:rPr>
                <w:noProof/>
                <w:webHidden/>
              </w:rPr>
              <w:tab/>
            </w:r>
            <w:r>
              <w:rPr>
                <w:noProof/>
                <w:webHidden/>
              </w:rPr>
              <w:fldChar w:fldCharType="begin"/>
            </w:r>
            <w:r>
              <w:rPr>
                <w:noProof/>
                <w:webHidden/>
              </w:rPr>
              <w:instrText xml:space="preserve"> PAGEREF _Toc183184331 \h </w:instrText>
            </w:r>
            <w:r>
              <w:rPr>
                <w:noProof/>
                <w:webHidden/>
              </w:rPr>
            </w:r>
            <w:r>
              <w:rPr>
                <w:noProof/>
                <w:webHidden/>
              </w:rPr>
              <w:fldChar w:fldCharType="separate"/>
            </w:r>
            <w:r w:rsidR="00E24263">
              <w:rPr>
                <w:noProof/>
                <w:webHidden/>
              </w:rPr>
              <w:t>69</w:t>
            </w:r>
            <w:r>
              <w:rPr>
                <w:noProof/>
                <w:webHidden/>
              </w:rPr>
              <w:fldChar w:fldCharType="end"/>
            </w:r>
          </w:hyperlink>
        </w:p>
        <w:p w:rsidR="00021F00" w:rsidRDefault="00021F00" w14:paraId="3F71AE9D" w14:textId="6325203E">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32">
            <w:r w:rsidRPr="00360A73">
              <w:rPr>
                <w:rStyle w:val="Hyperlink"/>
                <w:noProof/>
              </w:rPr>
              <w:t>7.3.2.8.</w:t>
            </w:r>
            <w:r>
              <w:rPr>
                <w:rFonts w:asciiTheme="minorHAnsi" w:hAnsiTheme="minorHAnsi" w:eastAsiaTheme="minorEastAsia"/>
                <w:noProof/>
                <w:kern w:val="2"/>
                <w:sz w:val="24"/>
                <w:szCs w:val="24"/>
                <w14:ligatures w14:val="standardContextual"/>
              </w:rPr>
              <w:tab/>
            </w:r>
            <w:r w:rsidRPr="00360A73">
              <w:rPr>
                <w:rStyle w:val="Hyperlink"/>
                <w:noProof/>
              </w:rPr>
              <w:t xml:space="preserve">System Reliability Procurement Memorandum </w:t>
            </w:r>
            <w:r w:rsidR="00B642EB">
              <w:rPr>
                <w:rStyle w:val="Hyperlink"/>
                <w:noProof/>
              </w:rPr>
              <w:br/>
            </w:r>
            <w:r w:rsidRPr="00360A73">
              <w:rPr>
                <w:rStyle w:val="Hyperlink"/>
                <w:noProof/>
              </w:rPr>
              <w:t>Account Historical Costs</w:t>
            </w:r>
            <w:r>
              <w:rPr>
                <w:noProof/>
                <w:webHidden/>
              </w:rPr>
              <w:tab/>
            </w:r>
            <w:r>
              <w:rPr>
                <w:noProof/>
                <w:webHidden/>
              </w:rPr>
              <w:fldChar w:fldCharType="begin"/>
            </w:r>
            <w:r>
              <w:rPr>
                <w:noProof/>
                <w:webHidden/>
              </w:rPr>
              <w:instrText xml:space="preserve"> PAGEREF _Toc183184332 \h </w:instrText>
            </w:r>
            <w:r>
              <w:rPr>
                <w:noProof/>
                <w:webHidden/>
              </w:rPr>
            </w:r>
            <w:r>
              <w:rPr>
                <w:noProof/>
                <w:webHidden/>
              </w:rPr>
              <w:fldChar w:fldCharType="separate"/>
            </w:r>
            <w:r w:rsidR="00E24263">
              <w:rPr>
                <w:noProof/>
                <w:webHidden/>
              </w:rPr>
              <w:t>69</w:t>
            </w:r>
            <w:r>
              <w:rPr>
                <w:noProof/>
                <w:webHidden/>
              </w:rPr>
              <w:fldChar w:fldCharType="end"/>
            </w:r>
          </w:hyperlink>
        </w:p>
        <w:p w:rsidR="00021F00" w:rsidRDefault="00021F00" w14:paraId="07449587" w14:textId="6079E4F5">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183184333">
            <w:r w:rsidRPr="00360A73">
              <w:rPr>
                <w:rStyle w:val="Hyperlink"/>
                <w:noProof/>
              </w:rPr>
              <w:t>7.3.2.9.</w:t>
            </w:r>
            <w:r>
              <w:rPr>
                <w:rFonts w:asciiTheme="minorHAnsi" w:hAnsiTheme="minorHAnsi" w:eastAsiaTheme="minorEastAsia"/>
                <w:noProof/>
                <w:kern w:val="2"/>
                <w:sz w:val="24"/>
                <w:szCs w:val="24"/>
                <w14:ligatures w14:val="standardContextual"/>
              </w:rPr>
              <w:tab/>
            </w:r>
            <w:r w:rsidRPr="00360A73">
              <w:rPr>
                <w:rStyle w:val="Hyperlink"/>
                <w:noProof/>
              </w:rPr>
              <w:t>Utility Owned Storage –  Separator Facility</w:t>
            </w:r>
            <w:r>
              <w:rPr>
                <w:noProof/>
                <w:webHidden/>
              </w:rPr>
              <w:tab/>
            </w:r>
            <w:r>
              <w:rPr>
                <w:noProof/>
                <w:webHidden/>
              </w:rPr>
              <w:fldChar w:fldCharType="begin"/>
            </w:r>
            <w:r>
              <w:rPr>
                <w:noProof/>
                <w:webHidden/>
              </w:rPr>
              <w:instrText xml:space="preserve"> PAGEREF _Toc183184333 \h </w:instrText>
            </w:r>
            <w:r>
              <w:rPr>
                <w:noProof/>
                <w:webHidden/>
              </w:rPr>
            </w:r>
            <w:r>
              <w:rPr>
                <w:noProof/>
                <w:webHidden/>
              </w:rPr>
              <w:fldChar w:fldCharType="separate"/>
            </w:r>
            <w:r w:rsidR="00E24263">
              <w:rPr>
                <w:noProof/>
                <w:webHidden/>
              </w:rPr>
              <w:t>70</w:t>
            </w:r>
            <w:r>
              <w:rPr>
                <w:noProof/>
                <w:webHidden/>
              </w:rPr>
              <w:fldChar w:fldCharType="end"/>
            </w:r>
          </w:hyperlink>
        </w:p>
        <w:p w:rsidR="00021F00" w:rsidRDefault="00021F00" w14:paraId="6D29235F" w14:textId="34A43574">
          <w:pPr>
            <w:pStyle w:val="TOC2"/>
            <w:tabs>
              <w:tab w:val="right" w:leader="dot" w:pos="9350"/>
            </w:tabs>
            <w:rPr>
              <w:rFonts w:asciiTheme="minorHAnsi" w:hAnsiTheme="minorHAnsi" w:cstheme="minorBidi"/>
              <w:noProof/>
              <w:kern w:val="2"/>
              <w:sz w:val="24"/>
              <w:szCs w:val="24"/>
              <w14:ligatures w14:val="standardContextual"/>
            </w:rPr>
          </w:pPr>
          <w:hyperlink w:history="1" w:anchor="_Toc183184334">
            <w:r w:rsidRPr="00360A73">
              <w:rPr>
                <w:rStyle w:val="Hyperlink"/>
                <w:noProof/>
              </w:rPr>
              <w:t>7.4.</w:t>
            </w:r>
            <w:r>
              <w:rPr>
                <w:rFonts w:asciiTheme="minorHAnsi" w:hAnsiTheme="minorHAnsi" w:cstheme="minorBidi"/>
                <w:noProof/>
                <w:kern w:val="2"/>
                <w:sz w:val="24"/>
                <w:szCs w:val="24"/>
                <w14:ligatures w14:val="standardContextual"/>
              </w:rPr>
              <w:tab/>
            </w:r>
            <w:r w:rsidRPr="00360A73">
              <w:rPr>
                <w:rStyle w:val="Hyperlink"/>
                <w:noProof/>
              </w:rPr>
              <w:t>Resource Adequacy Position and  Assignment to MPB Subcategories</w:t>
            </w:r>
            <w:r>
              <w:rPr>
                <w:noProof/>
                <w:webHidden/>
              </w:rPr>
              <w:tab/>
            </w:r>
            <w:r>
              <w:rPr>
                <w:noProof/>
                <w:webHidden/>
              </w:rPr>
              <w:fldChar w:fldCharType="begin"/>
            </w:r>
            <w:r>
              <w:rPr>
                <w:noProof/>
                <w:webHidden/>
              </w:rPr>
              <w:instrText xml:space="preserve"> PAGEREF _Toc183184334 \h </w:instrText>
            </w:r>
            <w:r>
              <w:rPr>
                <w:noProof/>
                <w:webHidden/>
              </w:rPr>
            </w:r>
            <w:r>
              <w:rPr>
                <w:noProof/>
                <w:webHidden/>
              </w:rPr>
              <w:fldChar w:fldCharType="separate"/>
            </w:r>
            <w:r w:rsidR="00E24263">
              <w:rPr>
                <w:noProof/>
                <w:webHidden/>
              </w:rPr>
              <w:t>70</w:t>
            </w:r>
            <w:r>
              <w:rPr>
                <w:noProof/>
                <w:webHidden/>
              </w:rPr>
              <w:fldChar w:fldCharType="end"/>
            </w:r>
          </w:hyperlink>
        </w:p>
        <w:p w:rsidR="00021F00" w:rsidRDefault="00021F00" w14:paraId="5E3EF0B7" w14:textId="0E320D0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35">
            <w:r w:rsidRPr="00360A73">
              <w:rPr>
                <w:rStyle w:val="Hyperlink"/>
                <w:noProof/>
              </w:rPr>
              <w:t>7.4.1.</w:t>
            </w:r>
            <w:r>
              <w:rPr>
                <w:rFonts w:asciiTheme="minorHAnsi" w:hAnsiTheme="minorHAnsi" w:cstheme="minorBidi"/>
                <w:noProof/>
                <w:kern w:val="2"/>
                <w:sz w:val="24"/>
                <w:szCs w:val="24"/>
                <w14:ligatures w14:val="standardContextual"/>
              </w:rPr>
              <w:tab/>
            </w:r>
            <w:r w:rsidRPr="00360A73">
              <w:rPr>
                <w:rStyle w:val="Hyperlink"/>
                <w:noProof/>
              </w:rPr>
              <w:t>Interim Slice of Day Methodology</w:t>
            </w:r>
            <w:r>
              <w:rPr>
                <w:noProof/>
                <w:webHidden/>
              </w:rPr>
              <w:tab/>
            </w:r>
            <w:r>
              <w:rPr>
                <w:noProof/>
                <w:webHidden/>
              </w:rPr>
              <w:fldChar w:fldCharType="begin"/>
            </w:r>
            <w:r>
              <w:rPr>
                <w:noProof/>
                <w:webHidden/>
              </w:rPr>
              <w:instrText xml:space="preserve"> PAGEREF _Toc183184335 \h </w:instrText>
            </w:r>
            <w:r>
              <w:rPr>
                <w:noProof/>
                <w:webHidden/>
              </w:rPr>
            </w:r>
            <w:r>
              <w:rPr>
                <w:noProof/>
                <w:webHidden/>
              </w:rPr>
              <w:fldChar w:fldCharType="separate"/>
            </w:r>
            <w:r w:rsidR="00E24263">
              <w:rPr>
                <w:noProof/>
                <w:webHidden/>
              </w:rPr>
              <w:t>70</w:t>
            </w:r>
            <w:r>
              <w:rPr>
                <w:noProof/>
                <w:webHidden/>
              </w:rPr>
              <w:fldChar w:fldCharType="end"/>
            </w:r>
          </w:hyperlink>
        </w:p>
        <w:p w:rsidR="00021F00" w:rsidRDefault="00021F00" w14:paraId="2FA58A67" w14:textId="3CC94A33">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36">
            <w:r w:rsidRPr="00360A73">
              <w:rPr>
                <w:rStyle w:val="Hyperlink"/>
                <w:rFonts w:cs="Arial"/>
                <w:noProof/>
              </w:rPr>
              <w:t>7.4.2.</w:t>
            </w:r>
            <w:r>
              <w:rPr>
                <w:rFonts w:asciiTheme="minorHAnsi" w:hAnsiTheme="minorHAnsi" w:cstheme="minorBidi"/>
                <w:noProof/>
                <w:kern w:val="2"/>
                <w:sz w:val="24"/>
                <w:szCs w:val="24"/>
                <w14:ligatures w14:val="standardContextual"/>
              </w:rPr>
              <w:tab/>
            </w:r>
            <w:r w:rsidRPr="00360A73">
              <w:rPr>
                <w:rStyle w:val="Hyperlink"/>
                <w:rFonts w:cs="Arial"/>
                <w:noProof/>
              </w:rPr>
              <w:t>Assignment of Capacity to Local,  System, and Flexible RA MPBs</w:t>
            </w:r>
            <w:r>
              <w:rPr>
                <w:noProof/>
                <w:webHidden/>
              </w:rPr>
              <w:tab/>
            </w:r>
            <w:r>
              <w:rPr>
                <w:noProof/>
                <w:webHidden/>
              </w:rPr>
              <w:fldChar w:fldCharType="begin"/>
            </w:r>
            <w:r>
              <w:rPr>
                <w:noProof/>
                <w:webHidden/>
              </w:rPr>
              <w:instrText xml:space="preserve"> PAGEREF _Toc183184336 \h </w:instrText>
            </w:r>
            <w:r>
              <w:rPr>
                <w:noProof/>
                <w:webHidden/>
              </w:rPr>
            </w:r>
            <w:r>
              <w:rPr>
                <w:noProof/>
                <w:webHidden/>
              </w:rPr>
              <w:fldChar w:fldCharType="separate"/>
            </w:r>
            <w:r w:rsidR="00E24263">
              <w:rPr>
                <w:noProof/>
                <w:webHidden/>
              </w:rPr>
              <w:t>72</w:t>
            </w:r>
            <w:r>
              <w:rPr>
                <w:noProof/>
                <w:webHidden/>
              </w:rPr>
              <w:fldChar w:fldCharType="end"/>
            </w:r>
          </w:hyperlink>
        </w:p>
        <w:p w:rsidR="00021F00" w:rsidRDefault="00021F00" w14:paraId="7CBB56CC" w14:textId="06D6F45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37">
            <w:r w:rsidRPr="00360A73">
              <w:rPr>
                <w:rStyle w:val="Hyperlink"/>
                <w:noProof/>
              </w:rPr>
              <w:t>7.4.3.</w:t>
            </w:r>
            <w:r>
              <w:rPr>
                <w:rFonts w:asciiTheme="minorHAnsi" w:hAnsiTheme="minorHAnsi" w:cstheme="minorBidi"/>
                <w:noProof/>
                <w:kern w:val="2"/>
                <w:sz w:val="24"/>
                <w:szCs w:val="24"/>
                <w14:ligatures w14:val="standardContextual"/>
              </w:rPr>
              <w:tab/>
            </w:r>
            <w:r w:rsidRPr="00360A73">
              <w:rPr>
                <w:rStyle w:val="Hyperlink"/>
                <w:noProof/>
              </w:rPr>
              <w:t>Ensuring that the Full Volume  of Excess RA is Sold</w:t>
            </w:r>
            <w:r>
              <w:rPr>
                <w:noProof/>
                <w:webHidden/>
              </w:rPr>
              <w:tab/>
            </w:r>
            <w:r>
              <w:rPr>
                <w:noProof/>
                <w:webHidden/>
              </w:rPr>
              <w:fldChar w:fldCharType="begin"/>
            </w:r>
            <w:r>
              <w:rPr>
                <w:noProof/>
                <w:webHidden/>
              </w:rPr>
              <w:instrText xml:space="preserve"> PAGEREF _Toc183184337 \h </w:instrText>
            </w:r>
            <w:r>
              <w:rPr>
                <w:noProof/>
                <w:webHidden/>
              </w:rPr>
            </w:r>
            <w:r>
              <w:rPr>
                <w:noProof/>
                <w:webHidden/>
              </w:rPr>
              <w:fldChar w:fldCharType="separate"/>
            </w:r>
            <w:r w:rsidR="00E24263">
              <w:rPr>
                <w:noProof/>
                <w:webHidden/>
              </w:rPr>
              <w:t>73</w:t>
            </w:r>
            <w:r>
              <w:rPr>
                <w:noProof/>
                <w:webHidden/>
              </w:rPr>
              <w:fldChar w:fldCharType="end"/>
            </w:r>
          </w:hyperlink>
        </w:p>
        <w:p w:rsidR="00021F00" w:rsidRDefault="00021F00" w14:paraId="39FDD7F4" w14:textId="0CF829C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38">
            <w:r w:rsidRPr="00360A73">
              <w:rPr>
                <w:rStyle w:val="Hyperlink"/>
                <w:rFonts w:cs="Arial"/>
                <w:noProof/>
              </w:rPr>
              <w:t>7.4.4.</w:t>
            </w:r>
            <w:r>
              <w:rPr>
                <w:rFonts w:asciiTheme="minorHAnsi" w:hAnsiTheme="minorHAnsi" w:cstheme="minorBidi"/>
                <w:noProof/>
                <w:kern w:val="2"/>
                <w:sz w:val="24"/>
                <w:szCs w:val="24"/>
                <w14:ligatures w14:val="standardContextual"/>
              </w:rPr>
              <w:tab/>
            </w:r>
            <w:r w:rsidRPr="00360A73">
              <w:rPr>
                <w:rStyle w:val="Hyperlink"/>
                <w:rFonts w:cs="Arial"/>
                <w:noProof/>
              </w:rPr>
              <w:t>Need to revise the current  MPB methodology</w:t>
            </w:r>
            <w:r>
              <w:rPr>
                <w:noProof/>
                <w:webHidden/>
              </w:rPr>
              <w:tab/>
            </w:r>
            <w:r>
              <w:rPr>
                <w:noProof/>
                <w:webHidden/>
              </w:rPr>
              <w:fldChar w:fldCharType="begin"/>
            </w:r>
            <w:r>
              <w:rPr>
                <w:noProof/>
                <w:webHidden/>
              </w:rPr>
              <w:instrText xml:space="preserve"> PAGEREF _Toc183184338 \h </w:instrText>
            </w:r>
            <w:r>
              <w:rPr>
                <w:noProof/>
                <w:webHidden/>
              </w:rPr>
            </w:r>
            <w:r>
              <w:rPr>
                <w:noProof/>
                <w:webHidden/>
              </w:rPr>
              <w:fldChar w:fldCharType="separate"/>
            </w:r>
            <w:r w:rsidR="00E24263">
              <w:rPr>
                <w:noProof/>
                <w:webHidden/>
              </w:rPr>
              <w:t>74</w:t>
            </w:r>
            <w:r>
              <w:rPr>
                <w:noProof/>
                <w:webHidden/>
              </w:rPr>
              <w:fldChar w:fldCharType="end"/>
            </w:r>
          </w:hyperlink>
        </w:p>
        <w:p w:rsidR="00021F00" w:rsidRDefault="00021F00" w14:paraId="5A52919E" w14:textId="3D11B9F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3184339">
            <w:r w:rsidRPr="00360A73">
              <w:rPr>
                <w:rStyle w:val="Hyperlink"/>
                <w:noProof/>
              </w:rPr>
              <w:t>7.4.5.</w:t>
            </w:r>
            <w:r>
              <w:rPr>
                <w:rFonts w:asciiTheme="minorHAnsi" w:hAnsiTheme="minorHAnsi" w:cstheme="minorBidi"/>
                <w:noProof/>
                <w:kern w:val="2"/>
                <w:sz w:val="24"/>
                <w:szCs w:val="24"/>
                <w14:ligatures w14:val="standardContextual"/>
              </w:rPr>
              <w:tab/>
            </w:r>
            <w:r w:rsidRPr="00360A73">
              <w:rPr>
                <w:rStyle w:val="Hyperlink"/>
                <w:noProof/>
              </w:rPr>
              <w:t>Discussion</w:t>
            </w:r>
            <w:r>
              <w:rPr>
                <w:noProof/>
                <w:webHidden/>
              </w:rPr>
              <w:tab/>
            </w:r>
            <w:r>
              <w:rPr>
                <w:noProof/>
                <w:webHidden/>
              </w:rPr>
              <w:fldChar w:fldCharType="begin"/>
            </w:r>
            <w:r>
              <w:rPr>
                <w:noProof/>
                <w:webHidden/>
              </w:rPr>
              <w:instrText xml:space="preserve"> PAGEREF _Toc183184339 \h </w:instrText>
            </w:r>
            <w:r>
              <w:rPr>
                <w:noProof/>
                <w:webHidden/>
              </w:rPr>
            </w:r>
            <w:r>
              <w:rPr>
                <w:noProof/>
                <w:webHidden/>
              </w:rPr>
              <w:fldChar w:fldCharType="separate"/>
            </w:r>
            <w:r w:rsidR="00E24263">
              <w:rPr>
                <w:noProof/>
                <w:webHidden/>
              </w:rPr>
              <w:t>76</w:t>
            </w:r>
            <w:r>
              <w:rPr>
                <w:noProof/>
                <w:webHidden/>
              </w:rPr>
              <w:fldChar w:fldCharType="end"/>
            </w:r>
          </w:hyperlink>
        </w:p>
        <w:p w:rsidR="00021F00" w:rsidRDefault="00021F00" w14:paraId="2CA93C68" w14:textId="0000E1C8">
          <w:pPr>
            <w:pStyle w:val="TOC1"/>
            <w:tabs>
              <w:tab w:val="right" w:leader="dot" w:pos="9350"/>
            </w:tabs>
            <w:rPr>
              <w:rFonts w:asciiTheme="minorHAnsi" w:hAnsiTheme="minorHAnsi" w:cstheme="minorBidi"/>
              <w:noProof/>
              <w:kern w:val="2"/>
              <w:sz w:val="24"/>
              <w:szCs w:val="24"/>
              <w14:ligatures w14:val="standardContextual"/>
            </w:rPr>
          </w:pPr>
          <w:hyperlink w:history="1" w:anchor="_Toc183184340">
            <w:r w:rsidRPr="00360A73">
              <w:rPr>
                <w:rStyle w:val="Hyperlink"/>
                <w:noProof/>
              </w:rPr>
              <w:t>8.</w:t>
            </w:r>
            <w:r>
              <w:rPr>
                <w:rFonts w:asciiTheme="minorHAnsi" w:hAnsiTheme="minorHAnsi" w:cstheme="minorBidi"/>
                <w:noProof/>
                <w:kern w:val="2"/>
                <w:sz w:val="24"/>
                <w:szCs w:val="24"/>
                <w14:ligatures w14:val="standardContextual"/>
              </w:rPr>
              <w:tab/>
            </w:r>
            <w:r w:rsidRPr="00360A73">
              <w:rPr>
                <w:rStyle w:val="Hyperlink"/>
                <w:noProof/>
              </w:rPr>
              <w:t>2025 ERRA Forecast Average Rates</w:t>
            </w:r>
            <w:r>
              <w:rPr>
                <w:noProof/>
                <w:webHidden/>
              </w:rPr>
              <w:tab/>
            </w:r>
            <w:r>
              <w:rPr>
                <w:noProof/>
                <w:webHidden/>
              </w:rPr>
              <w:fldChar w:fldCharType="begin"/>
            </w:r>
            <w:r>
              <w:rPr>
                <w:noProof/>
                <w:webHidden/>
              </w:rPr>
              <w:instrText xml:space="preserve"> PAGEREF _Toc183184340 \h </w:instrText>
            </w:r>
            <w:r>
              <w:rPr>
                <w:noProof/>
                <w:webHidden/>
              </w:rPr>
            </w:r>
            <w:r>
              <w:rPr>
                <w:noProof/>
                <w:webHidden/>
              </w:rPr>
              <w:fldChar w:fldCharType="separate"/>
            </w:r>
            <w:r w:rsidR="00E24263">
              <w:rPr>
                <w:noProof/>
                <w:webHidden/>
              </w:rPr>
              <w:t>77</w:t>
            </w:r>
            <w:r>
              <w:rPr>
                <w:noProof/>
                <w:webHidden/>
              </w:rPr>
              <w:fldChar w:fldCharType="end"/>
            </w:r>
          </w:hyperlink>
        </w:p>
        <w:p w:rsidR="00021F00" w:rsidRDefault="00021F00" w14:paraId="737F2BBC" w14:textId="569CFB5E">
          <w:pPr>
            <w:pStyle w:val="TOC1"/>
            <w:tabs>
              <w:tab w:val="right" w:leader="dot" w:pos="9350"/>
            </w:tabs>
            <w:rPr>
              <w:rFonts w:asciiTheme="minorHAnsi" w:hAnsiTheme="minorHAnsi" w:cstheme="minorBidi"/>
              <w:noProof/>
              <w:kern w:val="2"/>
              <w:sz w:val="24"/>
              <w:szCs w:val="24"/>
              <w14:ligatures w14:val="standardContextual"/>
            </w:rPr>
          </w:pPr>
          <w:hyperlink w:history="1" w:anchor="_Toc183184341">
            <w:r w:rsidRPr="00360A73">
              <w:rPr>
                <w:rStyle w:val="Hyperlink"/>
                <w:noProof/>
              </w:rPr>
              <w:t>9.</w:t>
            </w:r>
            <w:r>
              <w:rPr>
                <w:rFonts w:asciiTheme="minorHAnsi" w:hAnsiTheme="minorHAnsi" w:cstheme="minorBidi"/>
                <w:noProof/>
                <w:kern w:val="2"/>
                <w:sz w:val="24"/>
                <w:szCs w:val="24"/>
                <w14:ligatures w14:val="standardContextual"/>
              </w:rPr>
              <w:tab/>
            </w:r>
            <w:r w:rsidRPr="00360A73">
              <w:rPr>
                <w:rStyle w:val="Hyperlink"/>
                <w:noProof/>
              </w:rPr>
              <w:t>PCIA Rates by Vintage</w:t>
            </w:r>
            <w:r>
              <w:rPr>
                <w:noProof/>
                <w:webHidden/>
              </w:rPr>
              <w:tab/>
            </w:r>
            <w:r>
              <w:rPr>
                <w:noProof/>
                <w:webHidden/>
              </w:rPr>
              <w:fldChar w:fldCharType="begin"/>
            </w:r>
            <w:r>
              <w:rPr>
                <w:noProof/>
                <w:webHidden/>
              </w:rPr>
              <w:instrText xml:space="preserve"> PAGEREF _Toc183184341 \h </w:instrText>
            </w:r>
            <w:r>
              <w:rPr>
                <w:noProof/>
                <w:webHidden/>
              </w:rPr>
            </w:r>
            <w:r>
              <w:rPr>
                <w:noProof/>
                <w:webHidden/>
              </w:rPr>
              <w:fldChar w:fldCharType="separate"/>
            </w:r>
            <w:r w:rsidR="00E24263">
              <w:rPr>
                <w:noProof/>
                <w:webHidden/>
              </w:rPr>
              <w:t>79</w:t>
            </w:r>
            <w:r>
              <w:rPr>
                <w:noProof/>
                <w:webHidden/>
              </w:rPr>
              <w:fldChar w:fldCharType="end"/>
            </w:r>
          </w:hyperlink>
        </w:p>
        <w:p w:rsidR="00021F00" w:rsidRDefault="00021F00" w14:paraId="70BDAFD9" w14:textId="1F22604B">
          <w:pPr>
            <w:pStyle w:val="TOC1"/>
            <w:tabs>
              <w:tab w:val="right" w:leader="dot" w:pos="9350"/>
            </w:tabs>
            <w:rPr>
              <w:rFonts w:asciiTheme="minorHAnsi" w:hAnsiTheme="minorHAnsi" w:cstheme="minorBidi"/>
              <w:noProof/>
              <w:kern w:val="2"/>
              <w:sz w:val="24"/>
              <w:szCs w:val="24"/>
              <w14:ligatures w14:val="standardContextual"/>
            </w:rPr>
          </w:pPr>
          <w:hyperlink w:history="1" w:anchor="_Toc183184342">
            <w:r w:rsidRPr="00360A73">
              <w:rPr>
                <w:rStyle w:val="Hyperlink"/>
                <w:noProof/>
              </w:rPr>
              <w:t>10.</w:t>
            </w:r>
            <w:r>
              <w:rPr>
                <w:rFonts w:asciiTheme="minorHAnsi" w:hAnsiTheme="minorHAnsi" w:cstheme="minorBidi"/>
                <w:noProof/>
                <w:kern w:val="2"/>
                <w:sz w:val="24"/>
                <w:szCs w:val="24"/>
                <w14:ligatures w14:val="standardContextual"/>
              </w:rPr>
              <w:tab/>
            </w:r>
            <w:r w:rsidRPr="00360A73">
              <w:rPr>
                <w:rStyle w:val="Hyperlink"/>
                <w:noProof/>
              </w:rPr>
              <w:t xml:space="preserve">Safety Considerations and Environmental  </w:t>
            </w:r>
            <w:r w:rsidR="00B642EB">
              <w:rPr>
                <w:rStyle w:val="Hyperlink"/>
                <w:noProof/>
              </w:rPr>
              <w:br/>
            </w:r>
            <w:r w:rsidRPr="00360A73">
              <w:rPr>
                <w:rStyle w:val="Hyperlink"/>
                <w:noProof/>
              </w:rPr>
              <w:t>and Social Justice Considerations</w:t>
            </w:r>
            <w:r>
              <w:rPr>
                <w:noProof/>
                <w:webHidden/>
              </w:rPr>
              <w:tab/>
            </w:r>
            <w:r>
              <w:rPr>
                <w:noProof/>
                <w:webHidden/>
              </w:rPr>
              <w:fldChar w:fldCharType="begin"/>
            </w:r>
            <w:r>
              <w:rPr>
                <w:noProof/>
                <w:webHidden/>
              </w:rPr>
              <w:instrText xml:space="preserve"> PAGEREF _Toc183184342 \h </w:instrText>
            </w:r>
            <w:r>
              <w:rPr>
                <w:noProof/>
                <w:webHidden/>
              </w:rPr>
            </w:r>
            <w:r>
              <w:rPr>
                <w:noProof/>
                <w:webHidden/>
              </w:rPr>
              <w:fldChar w:fldCharType="separate"/>
            </w:r>
            <w:r w:rsidR="00E24263">
              <w:rPr>
                <w:noProof/>
                <w:webHidden/>
              </w:rPr>
              <w:t>80</w:t>
            </w:r>
            <w:r>
              <w:rPr>
                <w:noProof/>
                <w:webHidden/>
              </w:rPr>
              <w:fldChar w:fldCharType="end"/>
            </w:r>
          </w:hyperlink>
        </w:p>
        <w:p w:rsidR="00021F00" w:rsidRDefault="00021F00" w14:paraId="38100F0B" w14:textId="72D9A091">
          <w:pPr>
            <w:pStyle w:val="TOC1"/>
            <w:tabs>
              <w:tab w:val="right" w:leader="dot" w:pos="9350"/>
            </w:tabs>
            <w:rPr>
              <w:rFonts w:asciiTheme="minorHAnsi" w:hAnsiTheme="minorHAnsi" w:cstheme="minorBidi"/>
              <w:noProof/>
              <w:kern w:val="2"/>
              <w:sz w:val="24"/>
              <w:szCs w:val="24"/>
              <w14:ligatures w14:val="standardContextual"/>
            </w:rPr>
          </w:pPr>
          <w:hyperlink w:history="1" w:anchor="_Toc183184343">
            <w:r w:rsidRPr="00360A73">
              <w:rPr>
                <w:rStyle w:val="Hyperlink"/>
                <w:noProof/>
              </w:rPr>
              <w:t>11.</w:t>
            </w:r>
            <w:r>
              <w:rPr>
                <w:rFonts w:asciiTheme="minorHAnsi" w:hAnsiTheme="minorHAnsi" w:cstheme="minorBidi"/>
                <w:noProof/>
                <w:kern w:val="2"/>
                <w:sz w:val="24"/>
                <w:szCs w:val="24"/>
                <w14:ligatures w14:val="standardContextual"/>
              </w:rPr>
              <w:tab/>
            </w:r>
            <w:r w:rsidRPr="00360A73">
              <w:rPr>
                <w:rStyle w:val="Hyperlink"/>
                <w:noProof/>
              </w:rPr>
              <w:t>Compliance with the Authority Granted Herein</w:t>
            </w:r>
            <w:r>
              <w:rPr>
                <w:noProof/>
                <w:webHidden/>
              </w:rPr>
              <w:tab/>
            </w:r>
            <w:r>
              <w:rPr>
                <w:noProof/>
                <w:webHidden/>
              </w:rPr>
              <w:fldChar w:fldCharType="begin"/>
            </w:r>
            <w:r>
              <w:rPr>
                <w:noProof/>
                <w:webHidden/>
              </w:rPr>
              <w:instrText xml:space="preserve"> PAGEREF _Toc183184343 \h </w:instrText>
            </w:r>
            <w:r>
              <w:rPr>
                <w:noProof/>
                <w:webHidden/>
              </w:rPr>
            </w:r>
            <w:r>
              <w:rPr>
                <w:noProof/>
                <w:webHidden/>
              </w:rPr>
              <w:fldChar w:fldCharType="separate"/>
            </w:r>
            <w:r w:rsidR="00E24263">
              <w:rPr>
                <w:noProof/>
                <w:webHidden/>
              </w:rPr>
              <w:t>81</w:t>
            </w:r>
            <w:r>
              <w:rPr>
                <w:noProof/>
                <w:webHidden/>
              </w:rPr>
              <w:fldChar w:fldCharType="end"/>
            </w:r>
          </w:hyperlink>
        </w:p>
        <w:p w:rsidR="00021F00" w:rsidRDefault="00021F00" w14:paraId="5B1DF289" w14:textId="54C30E5E">
          <w:pPr>
            <w:pStyle w:val="TOC1"/>
            <w:tabs>
              <w:tab w:val="right" w:leader="dot" w:pos="9350"/>
            </w:tabs>
            <w:rPr>
              <w:rFonts w:asciiTheme="minorHAnsi" w:hAnsiTheme="minorHAnsi" w:cstheme="minorBidi"/>
              <w:noProof/>
              <w:kern w:val="2"/>
              <w:sz w:val="24"/>
              <w:szCs w:val="24"/>
              <w14:ligatures w14:val="standardContextual"/>
            </w:rPr>
          </w:pPr>
          <w:hyperlink w:history="1" w:anchor="_Toc183184344">
            <w:r w:rsidRPr="00360A73">
              <w:rPr>
                <w:rStyle w:val="Hyperlink"/>
                <w:noProof/>
              </w:rPr>
              <w:t>12.</w:t>
            </w:r>
            <w:r>
              <w:rPr>
                <w:rFonts w:asciiTheme="minorHAnsi" w:hAnsiTheme="minorHAnsi" w:cstheme="minorBidi"/>
                <w:noProof/>
                <w:kern w:val="2"/>
                <w:sz w:val="24"/>
                <w:szCs w:val="24"/>
                <w14:ligatures w14:val="standardContextual"/>
              </w:rPr>
              <w:tab/>
            </w:r>
            <w:r w:rsidRPr="00360A73">
              <w:rPr>
                <w:rStyle w:val="Hyperlink"/>
                <w:noProof/>
              </w:rPr>
              <w:t>Summary of Public Comment</w:t>
            </w:r>
            <w:r>
              <w:rPr>
                <w:noProof/>
                <w:webHidden/>
              </w:rPr>
              <w:tab/>
            </w:r>
            <w:r>
              <w:rPr>
                <w:noProof/>
                <w:webHidden/>
              </w:rPr>
              <w:fldChar w:fldCharType="begin"/>
            </w:r>
            <w:r>
              <w:rPr>
                <w:noProof/>
                <w:webHidden/>
              </w:rPr>
              <w:instrText xml:space="preserve"> PAGEREF _Toc183184344 \h </w:instrText>
            </w:r>
            <w:r>
              <w:rPr>
                <w:noProof/>
                <w:webHidden/>
              </w:rPr>
            </w:r>
            <w:r>
              <w:rPr>
                <w:noProof/>
                <w:webHidden/>
              </w:rPr>
              <w:fldChar w:fldCharType="separate"/>
            </w:r>
            <w:r w:rsidR="00E24263">
              <w:rPr>
                <w:noProof/>
                <w:webHidden/>
              </w:rPr>
              <w:t>82</w:t>
            </w:r>
            <w:r>
              <w:rPr>
                <w:noProof/>
                <w:webHidden/>
              </w:rPr>
              <w:fldChar w:fldCharType="end"/>
            </w:r>
          </w:hyperlink>
        </w:p>
        <w:p w:rsidR="00021F00" w:rsidRDefault="00021F00" w14:paraId="26EE4DEF" w14:textId="7319F647">
          <w:pPr>
            <w:pStyle w:val="TOC1"/>
            <w:tabs>
              <w:tab w:val="right" w:leader="dot" w:pos="9350"/>
            </w:tabs>
            <w:rPr>
              <w:rFonts w:asciiTheme="minorHAnsi" w:hAnsiTheme="minorHAnsi" w:cstheme="minorBidi"/>
              <w:noProof/>
              <w:kern w:val="2"/>
              <w:sz w:val="24"/>
              <w:szCs w:val="24"/>
              <w14:ligatures w14:val="standardContextual"/>
            </w:rPr>
          </w:pPr>
          <w:hyperlink w:history="1" w:anchor="_Toc183184345">
            <w:r w:rsidRPr="00360A73">
              <w:rPr>
                <w:rStyle w:val="Hyperlink"/>
                <w:noProof/>
              </w:rPr>
              <w:t>13.</w:t>
            </w:r>
            <w:r>
              <w:rPr>
                <w:rFonts w:asciiTheme="minorHAnsi" w:hAnsiTheme="minorHAnsi" w:cstheme="minorBidi"/>
                <w:noProof/>
                <w:kern w:val="2"/>
                <w:sz w:val="24"/>
                <w:szCs w:val="24"/>
                <w14:ligatures w14:val="standardContextual"/>
              </w:rPr>
              <w:tab/>
            </w:r>
            <w:r w:rsidRPr="00360A73">
              <w:rPr>
                <w:rStyle w:val="Hyperlink"/>
                <w:noProof/>
              </w:rPr>
              <w:t>Procedural Matters</w:t>
            </w:r>
            <w:r>
              <w:rPr>
                <w:noProof/>
                <w:webHidden/>
              </w:rPr>
              <w:tab/>
            </w:r>
            <w:r>
              <w:rPr>
                <w:noProof/>
                <w:webHidden/>
              </w:rPr>
              <w:fldChar w:fldCharType="begin"/>
            </w:r>
            <w:r>
              <w:rPr>
                <w:noProof/>
                <w:webHidden/>
              </w:rPr>
              <w:instrText xml:space="preserve"> PAGEREF _Toc183184345 \h </w:instrText>
            </w:r>
            <w:r>
              <w:rPr>
                <w:noProof/>
                <w:webHidden/>
              </w:rPr>
            </w:r>
            <w:r>
              <w:rPr>
                <w:noProof/>
                <w:webHidden/>
              </w:rPr>
              <w:fldChar w:fldCharType="separate"/>
            </w:r>
            <w:r w:rsidR="00E24263">
              <w:rPr>
                <w:noProof/>
                <w:webHidden/>
              </w:rPr>
              <w:t>82</w:t>
            </w:r>
            <w:r>
              <w:rPr>
                <w:noProof/>
                <w:webHidden/>
              </w:rPr>
              <w:fldChar w:fldCharType="end"/>
            </w:r>
          </w:hyperlink>
        </w:p>
        <w:p w:rsidR="00021F00" w:rsidRDefault="00021F00" w14:paraId="1F308D56" w14:textId="093D827D">
          <w:pPr>
            <w:pStyle w:val="TOC1"/>
            <w:tabs>
              <w:tab w:val="right" w:leader="dot" w:pos="9350"/>
            </w:tabs>
            <w:rPr>
              <w:rFonts w:asciiTheme="minorHAnsi" w:hAnsiTheme="minorHAnsi" w:cstheme="minorBidi"/>
              <w:noProof/>
              <w:kern w:val="2"/>
              <w:sz w:val="24"/>
              <w:szCs w:val="24"/>
              <w14:ligatures w14:val="standardContextual"/>
            </w:rPr>
          </w:pPr>
          <w:hyperlink w:history="1" w:anchor="_Toc183184346">
            <w:r w:rsidRPr="00360A73">
              <w:rPr>
                <w:rStyle w:val="Hyperlink"/>
                <w:noProof/>
              </w:rPr>
              <w:t>14.</w:t>
            </w:r>
            <w:r>
              <w:rPr>
                <w:rFonts w:asciiTheme="minorHAnsi" w:hAnsiTheme="minorHAnsi" w:cstheme="minorBidi"/>
                <w:noProof/>
                <w:kern w:val="2"/>
                <w:sz w:val="24"/>
                <w:szCs w:val="24"/>
                <w14:ligatures w14:val="standardContextual"/>
              </w:rPr>
              <w:tab/>
            </w:r>
            <w:r w:rsidRPr="00360A73">
              <w:rPr>
                <w:rStyle w:val="Hyperlink"/>
                <w:noProof/>
              </w:rPr>
              <w:t>Reduction of Comment Period  and Comments on Proposed Decision</w:t>
            </w:r>
            <w:r>
              <w:rPr>
                <w:noProof/>
                <w:webHidden/>
              </w:rPr>
              <w:tab/>
            </w:r>
            <w:r>
              <w:rPr>
                <w:noProof/>
                <w:webHidden/>
              </w:rPr>
              <w:fldChar w:fldCharType="begin"/>
            </w:r>
            <w:r>
              <w:rPr>
                <w:noProof/>
                <w:webHidden/>
              </w:rPr>
              <w:instrText xml:space="preserve"> PAGEREF _Toc183184346 \h </w:instrText>
            </w:r>
            <w:r>
              <w:rPr>
                <w:noProof/>
                <w:webHidden/>
              </w:rPr>
            </w:r>
            <w:r>
              <w:rPr>
                <w:noProof/>
                <w:webHidden/>
              </w:rPr>
              <w:fldChar w:fldCharType="separate"/>
            </w:r>
            <w:r w:rsidR="00E24263">
              <w:rPr>
                <w:noProof/>
                <w:webHidden/>
              </w:rPr>
              <w:t>82</w:t>
            </w:r>
            <w:r>
              <w:rPr>
                <w:noProof/>
                <w:webHidden/>
              </w:rPr>
              <w:fldChar w:fldCharType="end"/>
            </w:r>
          </w:hyperlink>
        </w:p>
        <w:p w:rsidR="00021F00" w:rsidRDefault="00021F00" w14:paraId="24AAE8F9" w14:textId="47838607">
          <w:pPr>
            <w:pStyle w:val="TOC1"/>
            <w:tabs>
              <w:tab w:val="right" w:leader="dot" w:pos="9350"/>
            </w:tabs>
            <w:rPr>
              <w:rFonts w:asciiTheme="minorHAnsi" w:hAnsiTheme="minorHAnsi" w:cstheme="minorBidi"/>
              <w:noProof/>
              <w:kern w:val="2"/>
              <w:sz w:val="24"/>
              <w:szCs w:val="24"/>
              <w14:ligatures w14:val="standardContextual"/>
            </w:rPr>
          </w:pPr>
          <w:hyperlink w:history="1" w:anchor="_Toc183184347">
            <w:r w:rsidRPr="00360A73">
              <w:rPr>
                <w:rStyle w:val="Hyperlink"/>
                <w:noProof/>
              </w:rPr>
              <w:t>15.</w:t>
            </w:r>
            <w:r>
              <w:rPr>
                <w:rFonts w:asciiTheme="minorHAnsi" w:hAnsiTheme="minorHAnsi" w:cstheme="minorBidi"/>
                <w:noProof/>
                <w:kern w:val="2"/>
                <w:sz w:val="24"/>
                <w:szCs w:val="24"/>
                <w14:ligatures w14:val="standardContextual"/>
              </w:rPr>
              <w:tab/>
            </w:r>
            <w:r w:rsidRPr="00360A73">
              <w:rPr>
                <w:rStyle w:val="Hyperlink"/>
                <w:noProof/>
              </w:rPr>
              <w:t>Assignment of Proceeding</w:t>
            </w:r>
            <w:r>
              <w:rPr>
                <w:noProof/>
                <w:webHidden/>
              </w:rPr>
              <w:tab/>
            </w:r>
            <w:r>
              <w:rPr>
                <w:noProof/>
                <w:webHidden/>
              </w:rPr>
              <w:fldChar w:fldCharType="begin"/>
            </w:r>
            <w:r>
              <w:rPr>
                <w:noProof/>
                <w:webHidden/>
              </w:rPr>
              <w:instrText xml:space="preserve"> PAGEREF _Toc183184347 \h </w:instrText>
            </w:r>
            <w:r>
              <w:rPr>
                <w:noProof/>
                <w:webHidden/>
              </w:rPr>
            </w:r>
            <w:r>
              <w:rPr>
                <w:noProof/>
                <w:webHidden/>
              </w:rPr>
              <w:fldChar w:fldCharType="separate"/>
            </w:r>
            <w:r w:rsidR="00E24263">
              <w:rPr>
                <w:noProof/>
                <w:webHidden/>
              </w:rPr>
              <w:t>83</w:t>
            </w:r>
            <w:r>
              <w:rPr>
                <w:noProof/>
                <w:webHidden/>
              </w:rPr>
              <w:fldChar w:fldCharType="end"/>
            </w:r>
          </w:hyperlink>
        </w:p>
        <w:p w:rsidR="00021F00" w:rsidRDefault="00021F00" w14:paraId="4BB84BEF" w14:textId="36DAC3AA">
          <w:pPr>
            <w:pStyle w:val="TOC1"/>
            <w:tabs>
              <w:tab w:val="right" w:leader="dot" w:pos="9350"/>
            </w:tabs>
            <w:rPr>
              <w:rFonts w:asciiTheme="minorHAnsi" w:hAnsiTheme="minorHAnsi" w:cstheme="minorBidi"/>
              <w:noProof/>
              <w:kern w:val="2"/>
              <w:sz w:val="24"/>
              <w:szCs w:val="24"/>
              <w14:ligatures w14:val="standardContextual"/>
            </w:rPr>
          </w:pPr>
          <w:hyperlink w:history="1" w:anchor="_Toc183184348">
            <w:r w:rsidRPr="00360A73">
              <w:rPr>
                <w:rStyle w:val="Hyperlink"/>
                <w:noProof/>
              </w:rPr>
              <w:t>Findings of Fact</w:t>
            </w:r>
            <w:r>
              <w:rPr>
                <w:noProof/>
                <w:webHidden/>
              </w:rPr>
              <w:tab/>
            </w:r>
            <w:r>
              <w:rPr>
                <w:noProof/>
                <w:webHidden/>
              </w:rPr>
              <w:fldChar w:fldCharType="begin"/>
            </w:r>
            <w:r>
              <w:rPr>
                <w:noProof/>
                <w:webHidden/>
              </w:rPr>
              <w:instrText xml:space="preserve"> PAGEREF _Toc183184348 \h </w:instrText>
            </w:r>
            <w:r>
              <w:rPr>
                <w:noProof/>
                <w:webHidden/>
              </w:rPr>
            </w:r>
            <w:r>
              <w:rPr>
                <w:noProof/>
                <w:webHidden/>
              </w:rPr>
              <w:fldChar w:fldCharType="separate"/>
            </w:r>
            <w:r w:rsidR="00E24263">
              <w:rPr>
                <w:noProof/>
                <w:webHidden/>
              </w:rPr>
              <w:t>83</w:t>
            </w:r>
            <w:r>
              <w:rPr>
                <w:noProof/>
                <w:webHidden/>
              </w:rPr>
              <w:fldChar w:fldCharType="end"/>
            </w:r>
          </w:hyperlink>
        </w:p>
        <w:p w:rsidR="00021F00" w:rsidRDefault="00021F00" w14:paraId="7845E17E" w14:textId="3A7211DD">
          <w:pPr>
            <w:pStyle w:val="TOC1"/>
            <w:tabs>
              <w:tab w:val="right" w:leader="dot" w:pos="9350"/>
            </w:tabs>
            <w:rPr>
              <w:rFonts w:asciiTheme="minorHAnsi" w:hAnsiTheme="minorHAnsi" w:cstheme="minorBidi"/>
              <w:noProof/>
              <w:kern w:val="2"/>
              <w:sz w:val="24"/>
              <w:szCs w:val="24"/>
              <w14:ligatures w14:val="standardContextual"/>
            </w:rPr>
          </w:pPr>
          <w:hyperlink w:history="1" w:anchor="_Toc183184349">
            <w:r w:rsidRPr="00360A73">
              <w:rPr>
                <w:rStyle w:val="Hyperlink"/>
                <w:noProof/>
              </w:rPr>
              <w:t>Conclusions of Law</w:t>
            </w:r>
            <w:r>
              <w:rPr>
                <w:noProof/>
                <w:webHidden/>
              </w:rPr>
              <w:tab/>
            </w:r>
            <w:r>
              <w:rPr>
                <w:noProof/>
                <w:webHidden/>
              </w:rPr>
              <w:fldChar w:fldCharType="begin"/>
            </w:r>
            <w:r>
              <w:rPr>
                <w:noProof/>
                <w:webHidden/>
              </w:rPr>
              <w:instrText xml:space="preserve"> PAGEREF _Toc183184349 \h </w:instrText>
            </w:r>
            <w:r>
              <w:rPr>
                <w:noProof/>
                <w:webHidden/>
              </w:rPr>
            </w:r>
            <w:r>
              <w:rPr>
                <w:noProof/>
                <w:webHidden/>
              </w:rPr>
              <w:fldChar w:fldCharType="separate"/>
            </w:r>
            <w:r w:rsidR="00E24263">
              <w:rPr>
                <w:noProof/>
                <w:webHidden/>
              </w:rPr>
              <w:t>87</w:t>
            </w:r>
            <w:r>
              <w:rPr>
                <w:noProof/>
                <w:webHidden/>
              </w:rPr>
              <w:fldChar w:fldCharType="end"/>
            </w:r>
          </w:hyperlink>
        </w:p>
        <w:p w:rsidR="00021F00" w:rsidRDefault="00021F00" w14:paraId="2BE89E87" w14:textId="17DEEC2F">
          <w:pPr>
            <w:pStyle w:val="TOC1"/>
            <w:tabs>
              <w:tab w:val="right" w:leader="dot" w:pos="9350"/>
            </w:tabs>
            <w:rPr>
              <w:rFonts w:asciiTheme="minorHAnsi" w:hAnsiTheme="minorHAnsi" w:cstheme="minorBidi"/>
              <w:noProof/>
              <w:kern w:val="2"/>
              <w:sz w:val="24"/>
              <w:szCs w:val="24"/>
              <w14:ligatures w14:val="standardContextual"/>
            </w:rPr>
          </w:pPr>
          <w:hyperlink w:history="1" w:anchor="_Toc183184350">
            <w:r w:rsidRPr="00360A73">
              <w:rPr>
                <w:rStyle w:val="Hyperlink"/>
                <w:noProof/>
              </w:rPr>
              <w:t>ORDER</w:t>
            </w:r>
            <w:r>
              <w:rPr>
                <w:noProof/>
                <w:webHidden/>
              </w:rPr>
              <w:tab/>
            </w:r>
            <w:r>
              <w:rPr>
                <w:noProof/>
                <w:webHidden/>
              </w:rPr>
              <w:fldChar w:fldCharType="begin"/>
            </w:r>
            <w:r>
              <w:rPr>
                <w:noProof/>
                <w:webHidden/>
              </w:rPr>
              <w:instrText xml:space="preserve"> PAGEREF _Toc183184350 \h </w:instrText>
            </w:r>
            <w:r>
              <w:rPr>
                <w:noProof/>
                <w:webHidden/>
              </w:rPr>
            </w:r>
            <w:r>
              <w:rPr>
                <w:noProof/>
                <w:webHidden/>
              </w:rPr>
              <w:fldChar w:fldCharType="separate"/>
            </w:r>
            <w:r w:rsidR="00E24263">
              <w:rPr>
                <w:noProof/>
                <w:webHidden/>
              </w:rPr>
              <w:t>88</w:t>
            </w:r>
            <w:r>
              <w:rPr>
                <w:noProof/>
                <w:webHidden/>
              </w:rPr>
              <w:fldChar w:fldCharType="end"/>
            </w:r>
          </w:hyperlink>
        </w:p>
        <w:p w:rsidR="00683EA9" w:rsidP="00683EA9" w:rsidRDefault="008C7413" w14:paraId="6B7F915E" w14:textId="6F8B6FD9">
          <w:pPr>
            <w:pStyle w:val="TOC1"/>
            <w:tabs>
              <w:tab w:val="right" w:leader="dot" w:pos="9350"/>
            </w:tabs>
            <w:rPr>
              <w:b/>
              <w:bCs/>
              <w:noProof/>
            </w:rPr>
          </w:pPr>
          <w:r>
            <w:rPr>
              <w:rFonts w:asciiTheme="minorHAnsi" w:hAnsiTheme="minorHAnsi"/>
              <w:sz w:val="22"/>
            </w:rPr>
            <w:fldChar w:fldCharType="end"/>
          </w:r>
        </w:p>
      </w:sdtContent>
    </w:sdt>
    <w:p w:rsidRPr="00683EA9" w:rsidR="00D44DB6" w:rsidP="00683EA9" w:rsidRDefault="00D44DB6" w14:paraId="7C95792D" w14:textId="1E3549D5">
      <w:pPr>
        <w:pStyle w:val="TOC1"/>
        <w:tabs>
          <w:tab w:val="right" w:leader="dot" w:pos="9350"/>
        </w:tabs>
        <w:sectPr w:rsidRPr="00683EA9" w:rsidR="00D44DB6"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98655A" w:rsidP="00D82A43" w:rsidRDefault="00514B68" w14:paraId="0D56B786" w14:textId="5E92E4E2">
      <w:pPr>
        <w:pStyle w:val="Main"/>
        <w:spacing w:after="240"/>
      </w:pPr>
      <w:r w:rsidRPr="00514B68">
        <w:lastRenderedPageBreak/>
        <w:t>DECISION APPROVING SOUTHERN CALIFORNIA EDISON COMPANY’S 202</w:t>
      </w:r>
      <w:r w:rsidR="005F7003">
        <w:t>5</w:t>
      </w:r>
      <w:r w:rsidRPr="00514B68">
        <w:t xml:space="preserve"> ENERGY RESOURCE RECOVERY ACCOUNT-RELATED </w:t>
      </w:r>
      <w:r w:rsidR="00683EA9">
        <w:br/>
      </w:r>
      <w:r w:rsidRPr="00514B68">
        <w:t xml:space="preserve">FORECAST REVENUE REQUIREMENT  </w:t>
      </w:r>
    </w:p>
    <w:p w:rsidR="005A148C" w:rsidP="005A148C" w:rsidRDefault="005A148C" w14:paraId="52CB530A" w14:textId="77777777">
      <w:pPr>
        <w:pStyle w:val="Dummy"/>
      </w:pPr>
      <w:bookmarkStart w:name="_Toc8123714" w:id="1"/>
      <w:bookmarkStart w:name="_Toc183184258" w:id="2"/>
      <w:r>
        <w:t>Summary</w:t>
      </w:r>
      <w:bookmarkEnd w:id="1"/>
      <w:bookmarkEnd w:id="2"/>
    </w:p>
    <w:p w:rsidR="00514B68" w:rsidP="006E6574" w:rsidRDefault="00514B68" w14:paraId="418B5118" w14:textId="105EC55C">
      <w:pPr>
        <w:pStyle w:val="Standard"/>
      </w:pPr>
      <w:r w:rsidRPr="00514B68">
        <w:t>This Decision approves, with modifications, Southern California Edison Company’s (SCE) 202</w:t>
      </w:r>
      <w:r>
        <w:t>5</w:t>
      </w:r>
      <w:r w:rsidRPr="00514B68">
        <w:t xml:space="preserve"> Energy Resource Recovery Account (ERRA) Forecast and approves a 202</w:t>
      </w:r>
      <w:r>
        <w:t>5</w:t>
      </w:r>
      <w:r w:rsidRPr="00514B68">
        <w:t xml:space="preserve"> forecast revenue </w:t>
      </w:r>
      <w:r w:rsidRPr="00755A31">
        <w:t>requirement of $</w:t>
      </w:r>
      <w:r w:rsidRPr="00755A31" w:rsidR="008732C7">
        <w:t>4.637</w:t>
      </w:r>
      <w:r w:rsidRPr="00755A31">
        <w:t xml:space="preserve"> billion</w:t>
      </w:r>
      <w:r w:rsidRPr="00514B68">
        <w:t xml:space="preserve">, representing a decrease </w:t>
      </w:r>
      <w:r w:rsidRPr="00755A31">
        <w:t>of $</w:t>
      </w:r>
      <w:r w:rsidRPr="00755A31" w:rsidR="00BD647B">
        <w:t>442.537</w:t>
      </w:r>
      <w:r w:rsidRPr="00755A31">
        <w:t xml:space="preserve"> million </w:t>
      </w:r>
      <w:r w:rsidRPr="00514B68">
        <w:t xml:space="preserve">as compared to </w:t>
      </w:r>
      <w:r w:rsidR="00BD647B">
        <w:t xml:space="preserve">the revenue requirement </w:t>
      </w:r>
      <w:r w:rsidR="00BD643C">
        <w:t>in</w:t>
      </w:r>
      <w:r w:rsidR="00BD647B">
        <w:t xml:space="preserve"> </w:t>
      </w:r>
      <w:r w:rsidRPr="00514B68">
        <w:t>rates today</w:t>
      </w:r>
      <w:r>
        <w:t>.</w:t>
      </w:r>
      <w:r w:rsidRPr="001F20AF" w:rsidR="001F20AF">
        <w:t xml:space="preserve"> </w:t>
      </w:r>
      <w:r w:rsidRPr="00514B68" w:rsidR="001F20AF">
        <w:t>As a result of the costs and other adjustments approved in this Decision, on January 1, 202</w:t>
      </w:r>
      <w:r w:rsidR="001F20AF">
        <w:t>5</w:t>
      </w:r>
      <w:r w:rsidRPr="00514B68" w:rsidR="001F20AF">
        <w:t>, SCE’s system average rates for bundled customers will decrease by</w:t>
      </w:r>
      <w:r w:rsidR="001F20AF">
        <w:t xml:space="preserve"> </w:t>
      </w:r>
      <w:r w:rsidRPr="00F72349" w:rsidR="001F20AF">
        <w:t xml:space="preserve">approximately 0.1 percent as compared to rates effective October 1, 2024, to 25.9¢/kilowatt hour in 2024. The Power Charge Indifference Adjustment (PCIA) rates will be negative </w:t>
      </w:r>
      <w:r w:rsidRPr="00514B68" w:rsidR="001F20AF">
        <w:t xml:space="preserve">for most customer vintages and </w:t>
      </w:r>
      <w:r w:rsidRPr="00F72349" w:rsidR="001F20AF">
        <w:t>will be negative system</w:t>
      </w:r>
      <w:r w:rsidRPr="00514B68" w:rsidR="001F20AF">
        <w:t>-wide in 202</w:t>
      </w:r>
      <w:r w:rsidR="001F20AF">
        <w:t>5</w:t>
      </w:r>
      <w:r w:rsidRPr="00514B68" w:rsidR="001F20AF">
        <w:t xml:space="preserve">, </w:t>
      </w:r>
      <w:r w:rsidRPr="00F72349" w:rsidR="001F20AF">
        <w:t>resulting in credits for customers in most PCIA vintages</w:t>
      </w:r>
      <w:r w:rsidRPr="00514B68" w:rsidR="001F20AF">
        <w:t>.</w:t>
      </w:r>
    </w:p>
    <w:p w:rsidR="00514B68" w:rsidP="006E6574" w:rsidRDefault="00514B68" w14:paraId="33DA6F06" w14:textId="4AEF6E9E">
      <w:pPr>
        <w:pStyle w:val="Standard"/>
      </w:pPr>
      <w:r w:rsidRPr="00514B68">
        <w:t>SCE’s proposed revenue requirement</w:t>
      </w:r>
      <w:r w:rsidRPr="00514B68" w:rsidR="00B81F83">
        <w:t>, as</w:t>
      </w:r>
      <w:r w:rsidR="00B81F83">
        <w:t xml:space="preserve"> given in the Alternate October Update</w:t>
      </w:r>
      <w:r w:rsidR="00295F51">
        <w:t xml:space="preserve"> </w:t>
      </w:r>
      <w:r w:rsidRPr="00431392" w:rsidR="00B81F83">
        <w:t>on October 21, 2024</w:t>
      </w:r>
      <w:r w:rsidR="00B81F83">
        <w:t>,</w:t>
      </w:r>
      <w:r w:rsidRPr="00431392" w:rsidR="00B81F83">
        <w:t xml:space="preserve"> </w:t>
      </w:r>
      <w:r w:rsidRPr="00514B68">
        <w:t>consist</w:t>
      </w:r>
      <w:r w:rsidR="008732C7">
        <w:t>s</w:t>
      </w:r>
      <w:r w:rsidRPr="00514B68">
        <w:t xml:space="preserve"> of both a generation service component and a delivery service component. </w:t>
      </w:r>
      <w:r w:rsidR="00295F51">
        <w:t xml:space="preserve">This </w:t>
      </w:r>
      <w:r w:rsidR="000B7383">
        <w:t>alternate</w:t>
      </w:r>
      <w:r w:rsidR="00480523">
        <w:t xml:space="preserve"> </w:t>
      </w:r>
      <w:r w:rsidR="00EB2100">
        <w:t xml:space="preserve">update </w:t>
      </w:r>
      <w:r w:rsidR="00480523">
        <w:t xml:space="preserve">was provided by SCE in order to incorporate </w:t>
      </w:r>
      <w:r w:rsidR="00EB2100">
        <w:t xml:space="preserve">information updated </w:t>
      </w:r>
      <w:r w:rsidR="00446C0F">
        <w:t xml:space="preserve">one business day before </w:t>
      </w:r>
      <w:r w:rsidR="00ED5F29">
        <w:t>the deadline for the initial document’s submission</w:t>
      </w:r>
      <w:r w:rsidR="00EA3157">
        <w:t xml:space="preserve"> </w:t>
      </w:r>
      <w:r w:rsidR="00C96B7B">
        <w:t xml:space="preserve">and to </w:t>
      </w:r>
      <w:r w:rsidR="001563E8">
        <w:t xml:space="preserve">assign capacity </w:t>
      </w:r>
      <w:r w:rsidR="008C1408">
        <w:t xml:space="preserve">in alignment with how the prices for that capacity were computed. </w:t>
      </w:r>
    </w:p>
    <w:p w:rsidR="00514B68" w:rsidP="006E6574" w:rsidRDefault="00514B68" w14:paraId="42293935" w14:textId="5DCBEFC4">
      <w:pPr>
        <w:pStyle w:val="Standard"/>
        <w:rPr>
          <w:color w:val="FF0000"/>
        </w:rPr>
      </w:pPr>
      <w:r w:rsidRPr="00514B68">
        <w:t>SCE’s proposed 202</w:t>
      </w:r>
      <w:r>
        <w:t>5</w:t>
      </w:r>
      <w:r w:rsidRPr="00514B68">
        <w:t xml:space="preserve"> generation service revenue requirement</w:t>
      </w:r>
      <w:r w:rsidR="008C1408">
        <w:t xml:space="preserve"> </w:t>
      </w:r>
      <w:r w:rsidRPr="00431392">
        <w:t>totaled $</w:t>
      </w:r>
      <w:r w:rsidRPr="00431392" w:rsidR="008B462D">
        <w:t>4</w:t>
      </w:r>
      <w:r w:rsidRPr="00431392" w:rsidR="00297C82">
        <w:t>.663</w:t>
      </w:r>
      <w:r w:rsidRPr="00431392">
        <w:t xml:space="preserve"> billion, reflecting a reduction of approximately $</w:t>
      </w:r>
      <w:r w:rsidRPr="00431392" w:rsidR="005149BA">
        <w:t>725</w:t>
      </w:r>
      <w:r w:rsidRPr="00431392">
        <w:t xml:space="preserve"> million, or </w:t>
      </w:r>
      <w:r w:rsidRPr="00431392" w:rsidR="0064534C">
        <w:t>13.5</w:t>
      </w:r>
      <w:r w:rsidR="007542D0">
        <w:t> </w:t>
      </w:r>
      <w:r w:rsidRPr="0001360F">
        <w:t xml:space="preserve">percent, from what is </w:t>
      </w:r>
      <w:r w:rsidR="002F047A">
        <w:t>being</w:t>
      </w:r>
      <w:r w:rsidRPr="0001360F" w:rsidR="002F047A">
        <w:t xml:space="preserve"> </w:t>
      </w:r>
      <w:r w:rsidRPr="0001360F">
        <w:t>recovered in generation service rates</w:t>
      </w:r>
      <w:r w:rsidR="002F047A">
        <w:t xml:space="preserve"> in 2024</w:t>
      </w:r>
      <w:r w:rsidRPr="0001360F" w:rsidR="00B52B28">
        <w:t>.</w:t>
      </w:r>
      <w:r w:rsidRPr="0001360F">
        <w:t xml:space="preserve"> </w:t>
      </w:r>
      <w:r w:rsidRPr="0064534C">
        <w:t xml:space="preserve">This </w:t>
      </w:r>
      <w:r w:rsidRPr="00514B68">
        <w:t xml:space="preserve">Decision authorizes SCE to </w:t>
      </w:r>
      <w:r w:rsidRPr="00616F25">
        <w:t xml:space="preserve">transfer the following </w:t>
      </w:r>
      <w:r w:rsidRPr="00616F25" w:rsidR="0095030F">
        <w:t xml:space="preserve">2024 </w:t>
      </w:r>
      <w:r w:rsidRPr="00616F25">
        <w:t xml:space="preserve">account balances related to its generation service rates: </w:t>
      </w:r>
      <w:r w:rsidRPr="00616F25" w:rsidR="00282142">
        <w:t>-</w:t>
      </w:r>
      <w:r w:rsidRPr="00616F25">
        <w:t>$</w:t>
      </w:r>
      <w:r w:rsidRPr="00616F25" w:rsidR="00FF4210">
        <w:t>10.152</w:t>
      </w:r>
      <w:r w:rsidRPr="00616F25">
        <w:t xml:space="preserve"> million from the 202</w:t>
      </w:r>
      <w:r w:rsidRPr="00616F25" w:rsidR="004D7BD2">
        <w:t>4</w:t>
      </w:r>
      <w:r w:rsidRPr="00616F25">
        <w:t xml:space="preserve"> ERRA Balancing Account (BA), $</w:t>
      </w:r>
      <w:r w:rsidRPr="00616F25" w:rsidR="00FF4210">
        <w:t>587.214</w:t>
      </w:r>
      <w:r w:rsidRPr="00616F25">
        <w:t xml:space="preserve"> million from the 202</w:t>
      </w:r>
      <w:r w:rsidRPr="00616F25" w:rsidR="007E561E">
        <w:t>4</w:t>
      </w:r>
      <w:r w:rsidRPr="00616F25">
        <w:t xml:space="preserve"> Portfolio Allocation </w:t>
      </w:r>
      <w:r w:rsidRPr="00616F25">
        <w:lastRenderedPageBreak/>
        <w:t xml:space="preserve">Balancing Account (PABA), and </w:t>
      </w:r>
      <w:r w:rsidRPr="00616F25" w:rsidR="00596442">
        <w:t>-</w:t>
      </w:r>
      <w:r w:rsidRPr="00616F25">
        <w:t>$</w:t>
      </w:r>
      <w:r w:rsidRPr="00616F25" w:rsidR="00596442">
        <w:t>2</w:t>
      </w:r>
      <w:r w:rsidRPr="00616F25" w:rsidR="007E561E">
        <w:t>95</w:t>
      </w:r>
      <w:r w:rsidR="00683EA9">
        <w:t> </w:t>
      </w:r>
      <w:r w:rsidRPr="00616F25">
        <w:t>million from the 202</w:t>
      </w:r>
      <w:r w:rsidRPr="00616F25" w:rsidR="007E561E">
        <w:t>4</w:t>
      </w:r>
      <w:r w:rsidRPr="00616F25">
        <w:t xml:space="preserve"> Energy Settlement Memorandum </w:t>
      </w:r>
      <w:r w:rsidRPr="007E561E">
        <w:t>Account (ESMA).</w:t>
      </w:r>
    </w:p>
    <w:p w:rsidRPr="0095030F" w:rsidR="002F43AC" w:rsidP="002F43AC" w:rsidRDefault="002F43AC" w14:paraId="537477E1" w14:textId="17B8C1B0">
      <w:pPr>
        <w:pStyle w:val="Standard"/>
      </w:pPr>
      <w:r w:rsidRPr="005E3698">
        <w:t>Within SCE’s forecasted 202</w:t>
      </w:r>
      <w:r w:rsidRPr="005E3698" w:rsidR="007D0CED">
        <w:t>5</w:t>
      </w:r>
      <w:r w:rsidRPr="005E3698">
        <w:t xml:space="preserve"> delivery service revenue requirement, SCE is authorized to recover the following: (1) $</w:t>
      </w:r>
      <w:r w:rsidRPr="005E3698" w:rsidR="0047429B">
        <w:t>457.467</w:t>
      </w:r>
      <w:r w:rsidRPr="005E3698">
        <w:t> million for New System Generation and System Reliability fuel and purchase power contracts; (2) $</w:t>
      </w:r>
      <w:r w:rsidRPr="005E3698" w:rsidR="00771D9F">
        <w:t>5.1</w:t>
      </w:r>
      <w:r w:rsidRPr="005E3698" w:rsidR="00F164E4">
        <w:t>57</w:t>
      </w:r>
      <w:r w:rsidRPr="005E3698">
        <w:t xml:space="preserve"> million in spent nuclear fuel costs; (3) </w:t>
      </w:r>
      <w:r w:rsidRPr="005E3698">
        <w:noBreakHyphen/>
        <w:t>$</w:t>
      </w:r>
      <w:r w:rsidRPr="005E3698" w:rsidR="00F164E4">
        <w:t>19.169</w:t>
      </w:r>
      <w:r w:rsidRPr="005E3698">
        <w:t> million for forecast Base Revenue Requirement Balancing Account — Distribution fuel and purchased power costs; (4) </w:t>
      </w:r>
      <w:r w:rsidRPr="005E3698">
        <w:noBreakHyphen/>
        <w:t>$</w:t>
      </w:r>
      <w:r w:rsidRPr="005E3698" w:rsidR="00F164E4">
        <w:t>641.624</w:t>
      </w:r>
      <w:r w:rsidRPr="005E3698">
        <w:t> million customer return of greenhouse gas (GHG) allowance proceeds; (5) $</w:t>
      </w:r>
      <w:r w:rsidRPr="005E3698" w:rsidR="00987D47">
        <w:t>2</w:t>
      </w:r>
      <w:r w:rsidRPr="005E3698" w:rsidR="007D0CED">
        <w:t>1.610</w:t>
      </w:r>
      <w:r w:rsidRPr="005E3698">
        <w:t> million for the Public Purpose Program Charge</w:t>
      </w:r>
      <w:r w:rsidRPr="005E3698" w:rsidR="00EB2C1E">
        <w:t xml:space="preserve">; and (6) </w:t>
      </w:r>
      <w:r w:rsidRPr="005E3698" w:rsidR="00A92239">
        <w:t>$1.</w:t>
      </w:r>
      <w:r w:rsidRPr="005E3698" w:rsidR="009C06A1">
        <w:t>558</w:t>
      </w:r>
      <w:r w:rsidRPr="005E3698" w:rsidR="00A92239">
        <w:t xml:space="preserve"> million </w:t>
      </w:r>
      <w:r w:rsidR="00A92239">
        <w:t>for M</w:t>
      </w:r>
      <w:r w:rsidR="00734399">
        <w:t xml:space="preserve">odified </w:t>
      </w:r>
      <w:r w:rsidR="00A92239">
        <w:t>C</w:t>
      </w:r>
      <w:r w:rsidR="00734399">
        <w:t xml:space="preserve">ost </w:t>
      </w:r>
      <w:r w:rsidR="00A92239">
        <w:t>A</w:t>
      </w:r>
      <w:r w:rsidR="00734399">
        <w:t xml:space="preserve">llocation </w:t>
      </w:r>
      <w:r w:rsidR="00A92239">
        <w:t>M</w:t>
      </w:r>
      <w:r w:rsidR="00734399">
        <w:t>echanism</w:t>
      </w:r>
      <w:r w:rsidR="006D5506">
        <w:t xml:space="preserve"> (MCAM)</w:t>
      </w:r>
      <w:r w:rsidR="00A92239">
        <w:t xml:space="preserve"> </w:t>
      </w:r>
      <w:r w:rsidR="0097479A">
        <w:t>fuel and pur</w:t>
      </w:r>
      <w:r w:rsidR="00672980">
        <w:t xml:space="preserve">chased </w:t>
      </w:r>
      <w:r w:rsidRPr="0095030F" w:rsidR="00672980">
        <w:t>power</w:t>
      </w:r>
      <w:r w:rsidRPr="0095030F" w:rsidR="00BD15DB">
        <w:t>.</w:t>
      </w:r>
      <w:r w:rsidRPr="0095030F">
        <w:t xml:space="preserve"> </w:t>
      </w:r>
    </w:p>
    <w:p w:rsidR="002F43AC" w:rsidP="002F43AC" w:rsidRDefault="002F43AC" w14:paraId="3627D040" w14:textId="0361E5C0">
      <w:pPr>
        <w:pStyle w:val="Standard"/>
      </w:pPr>
      <w:r w:rsidRPr="00973D37">
        <w:t xml:space="preserve">SCE is also authorized to transfer the following </w:t>
      </w:r>
      <w:r>
        <w:t xml:space="preserve">delivery-service related </w:t>
      </w:r>
      <w:r w:rsidRPr="00973D37">
        <w:t>account balances: (1</w:t>
      </w:r>
      <w:r w:rsidRPr="00BC12CA">
        <w:t>) $</w:t>
      </w:r>
      <w:r w:rsidRPr="00BC12CA" w:rsidR="00B211C7">
        <w:t>14</w:t>
      </w:r>
      <w:r w:rsidRPr="00BC12CA" w:rsidR="00BD15DB">
        <w:t>6.846</w:t>
      </w:r>
      <w:r w:rsidRPr="00BC12CA">
        <w:t> million in the 202</w:t>
      </w:r>
      <w:r w:rsidRPr="00BC12CA" w:rsidR="00EA50EC">
        <w:t>4</w:t>
      </w:r>
      <w:r w:rsidRPr="00BC12CA">
        <w:t xml:space="preserve"> year</w:t>
      </w:r>
      <w:r w:rsidRPr="00BC12CA">
        <w:noBreakHyphen/>
        <w:t>end balance in the New System Generation BA; (2) $</w:t>
      </w:r>
      <w:r w:rsidRPr="00BC12CA" w:rsidR="00420103">
        <w:t>19.11</w:t>
      </w:r>
      <w:r w:rsidRPr="00BC12CA" w:rsidR="00E6120E">
        <w:t>0</w:t>
      </w:r>
      <w:r w:rsidRPr="00BC12CA">
        <w:t> million in the 202</w:t>
      </w:r>
      <w:r w:rsidRPr="00BC12CA" w:rsidR="00EA50EC">
        <w:t>4</w:t>
      </w:r>
      <w:r w:rsidRPr="00BC12CA">
        <w:t xml:space="preserve"> year</w:t>
      </w:r>
      <w:r w:rsidRPr="00BC12CA">
        <w:noBreakHyphen/>
        <w:t>end balance for the Tree Mortality Non</w:t>
      </w:r>
      <w:r w:rsidRPr="00BC12CA">
        <w:noBreakHyphen/>
        <w:t>Bypassable Charge BA;</w:t>
      </w:r>
      <w:r w:rsidRPr="00BC12CA" w:rsidR="00C125DE">
        <w:t xml:space="preserve"> </w:t>
      </w:r>
      <w:r w:rsidRPr="00BC12CA">
        <w:t>(3) </w:t>
      </w:r>
      <w:r w:rsidRPr="00BC12CA">
        <w:noBreakHyphen/>
        <w:t>$</w:t>
      </w:r>
      <w:r w:rsidRPr="00BC12CA" w:rsidR="0085017A">
        <w:t>2.842</w:t>
      </w:r>
      <w:r w:rsidRPr="00BC12CA">
        <w:t> million in the 202</w:t>
      </w:r>
      <w:r w:rsidRPr="00BC12CA" w:rsidR="00EA50EC">
        <w:t>4</w:t>
      </w:r>
      <w:r w:rsidRPr="00BC12CA">
        <w:t xml:space="preserve"> year</w:t>
      </w:r>
      <w:r w:rsidRPr="00BC12CA">
        <w:noBreakHyphen/>
        <w:t xml:space="preserve">end </w:t>
      </w:r>
      <w:r w:rsidRPr="00996E34" w:rsidR="00996E34">
        <w:t xml:space="preserve">Bioenergy Market Adjusting Tariff </w:t>
      </w:r>
      <w:r w:rsidRPr="00BC12CA">
        <w:t>Non</w:t>
      </w:r>
      <w:r w:rsidRPr="00BC12CA">
        <w:noBreakHyphen/>
        <w:t>Bypassable Charge BA</w:t>
      </w:r>
      <w:r w:rsidRPr="00BC12CA" w:rsidR="00643B82">
        <w:t>; and (4)</w:t>
      </w:r>
      <w:r w:rsidR="007542D0">
        <w:t> </w:t>
      </w:r>
      <w:r w:rsidRPr="00BC12CA" w:rsidR="00643B82">
        <w:t>$2</w:t>
      </w:r>
      <w:r w:rsidRPr="00BC12CA" w:rsidR="0085017A">
        <w:t>.849</w:t>
      </w:r>
      <w:r w:rsidRPr="00BC12CA" w:rsidR="00734399">
        <w:t xml:space="preserve"> million in the 2024 year-end Modified Cost Allocation Mechanism BA</w:t>
      </w:r>
      <w:r w:rsidRPr="00973D37">
        <w:t>.</w:t>
      </w:r>
    </w:p>
    <w:p w:rsidR="00EA50EC" w:rsidP="00D13F1C" w:rsidRDefault="00EA50EC" w14:paraId="165BF16D" w14:textId="707AB865">
      <w:pPr>
        <w:pStyle w:val="BodyText"/>
        <w:spacing w:line="360" w:lineRule="auto"/>
        <w:ind w:firstLine="700"/>
      </w:pPr>
      <w:r>
        <w:t>This</w:t>
      </w:r>
      <w:r>
        <w:rPr>
          <w:spacing w:val="-5"/>
        </w:rPr>
        <w:t xml:space="preserve"> </w:t>
      </w:r>
      <w:r>
        <w:t>decision</w:t>
      </w:r>
      <w:r>
        <w:rPr>
          <w:spacing w:val="-4"/>
        </w:rPr>
        <w:t xml:space="preserve"> </w:t>
      </w:r>
      <w:r>
        <w:t>approves</w:t>
      </w:r>
      <w:r>
        <w:rPr>
          <w:spacing w:val="-5"/>
        </w:rPr>
        <w:t xml:space="preserve"> </w:t>
      </w:r>
      <w:r>
        <w:t>SCE’s</w:t>
      </w:r>
      <w:r>
        <w:rPr>
          <w:spacing w:val="-5"/>
        </w:rPr>
        <w:t xml:space="preserve"> </w:t>
      </w:r>
      <w:r>
        <w:t>forecast</w:t>
      </w:r>
      <w:r>
        <w:rPr>
          <w:spacing w:val="-4"/>
        </w:rPr>
        <w:t xml:space="preserve"> </w:t>
      </w:r>
      <w:r>
        <w:t>GHG</w:t>
      </w:r>
      <w:r>
        <w:rPr>
          <w:spacing w:val="-4"/>
        </w:rPr>
        <w:t xml:space="preserve"> </w:t>
      </w:r>
      <w:r>
        <w:t>costs,</w:t>
      </w:r>
      <w:r>
        <w:rPr>
          <w:spacing w:val="-4"/>
        </w:rPr>
        <w:t xml:space="preserve"> </w:t>
      </w:r>
      <w:r w:rsidRPr="004D7323">
        <w:t>including</w:t>
      </w:r>
      <w:r w:rsidRPr="004D7323">
        <w:rPr>
          <w:spacing w:val="-4"/>
        </w:rPr>
        <w:t xml:space="preserve"> </w:t>
      </w:r>
      <w:r w:rsidRPr="004D7323">
        <w:t>$</w:t>
      </w:r>
      <w:r w:rsidRPr="004D7323" w:rsidR="00400056">
        <w:t>436.214</w:t>
      </w:r>
      <w:r w:rsidR="00786E0D">
        <w:t> </w:t>
      </w:r>
      <w:r w:rsidRPr="004D7323">
        <w:t xml:space="preserve">million </w:t>
      </w:r>
      <w:r>
        <w:t xml:space="preserve">in GHG cap-and-trade costs. This decision also directs SCE to </w:t>
      </w:r>
      <w:r w:rsidRPr="004D7323">
        <w:t>distribute $</w:t>
      </w:r>
      <w:r w:rsidRPr="004D7323" w:rsidR="004A355A">
        <w:t>5</w:t>
      </w:r>
      <w:r w:rsidRPr="004D7323" w:rsidR="00330130">
        <w:t>8.183</w:t>
      </w:r>
      <w:r w:rsidRPr="004D7323">
        <w:t xml:space="preserve"> million to Emissions-Intensive and</w:t>
      </w:r>
      <w:r w:rsidRPr="004D7323" w:rsidR="0095030F">
        <w:t xml:space="preserve"> </w:t>
      </w:r>
      <w:r w:rsidRPr="004D7323">
        <w:t>Trade-Exposed</w:t>
      </w:r>
      <w:r w:rsidRPr="004D7323" w:rsidR="00BE1E2D">
        <w:t xml:space="preserve"> </w:t>
      </w:r>
      <w:r w:rsidRPr="004D7323">
        <w:t>(EITE)</w:t>
      </w:r>
      <w:r w:rsidRPr="004D7323">
        <w:rPr>
          <w:spacing w:val="-5"/>
        </w:rPr>
        <w:t xml:space="preserve"> </w:t>
      </w:r>
      <w:r w:rsidRPr="004D7323">
        <w:t>customers</w:t>
      </w:r>
      <w:r w:rsidRPr="004D7323">
        <w:rPr>
          <w:spacing w:val="-5"/>
        </w:rPr>
        <w:t xml:space="preserve"> </w:t>
      </w:r>
      <w:r w:rsidRPr="004D7323">
        <w:t>and</w:t>
      </w:r>
      <w:r w:rsidRPr="004D7323">
        <w:rPr>
          <w:spacing w:val="-5"/>
        </w:rPr>
        <w:t xml:space="preserve"> </w:t>
      </w:r>
      <w:r w:rsidRPr="004D7323">
        <w:t>$</w:t>
      </w:r>
      <w:r w:rsidRPr="004D7323" w:rsidR="00330130">
        <w:t>583.441</w:t>
      </w:r>
      <w:r w:rsidRPr="004D7323">
        <w:rPr>
          <w:spacing w:val="-4"/>
        </w:rPr>
        <w:t xml:space="preserve"> </w:t>
      </w:r>
      <w:r w:rsidRPr="004D7323">
        <w:t>million</w:t>
      </w:r>
      <w:r w:rsidRPr="004D7323">
        <w:rPr>
          <w:spacing w:val="-4"/>
        </w:rPr>
        <w:t xml:space="preserve"> </w:t>
      </w:r>
      <w:r>
        <w:t>to</w:t>
      </w:r>
      <w:r>
        <w:rPr>
          <w:spacing w:val="-5"/>
        </w:rPr>
        <w:t xml:space="preserve"> </w:t>
      </w:r>
      <w:r>
        <w:t>residential</w:t>
      </w:r>
      <w:r>
        <w:rPr>
          <w:spacing w:val="-4"/>
        </w:rPr>
        <w:t xml:space="preserve"> </w:t>
      </w:r>
      <w:r>
        <w:t>and</w:t>
      </w:r>
      <w:r>
        <w:rPr>
          <w:spacing w:val="-5"/>
        </w:rPr>
        <w:t xml:space="preserve"> </w:t>
      </w:r>
      <w:r>
        <w:t>small</w:t>
      </w:r>
      <w:r>
        <w:rPr>
          <w:spacing w:val="-4"/>
        </w:rPr>
        <w:t xml:space="preserve"> </w:t>
      </w:r>
      <w:r>
        <w:t xml:space="preserve">business customers through the California Climate Credit. The semi-annual California Climate Credit for residential and small business customers </w:t>
      </w:r>
      <w:r w:rsidRPr="004D7323">
        <w:t>of $</w:t>
      </w:r>
      <w:r w:rsidRPr="004D7323" w:rsidR="004147A7">
        <w:t>56</w:t>
      </w:r>
      <w:r w:rsidRPr="004D7323">
        <w:t xml:space="preserve"> per </w:t>
      </w:r>
      <w:r>
        <w:t>eligible account is approved.</w:t>
      </w:r>
    </w:p>
    <w:p w:rsidR="00731CFB" w:rsidP="00731CFB" w:rsidRDefault="001623B6" w14:paraId="088BB2EC" w14:textId="5BB00718">
      <w:pPr>
        <w:pStyle w:val="Standard"/>
      </w:pPr>
      <w:r w:rsidRPr="00454D1A">
        <w:t>SCE’s procurement</w:t>
      </w:r>
      <w:r>
        <w:noBreakHyphen/>
      </w:r>
      <w:r w:rsidRPr="00454D1A">
        <w:t>related revenue requirement will be updated to reflect 202</w:t>
      </w:r>
      <w:r w:rsidR="0084231F">
        <w:t>4</w:t>
      </w:r>
      <w:r w:rsidRPr="00454D1A">
        <w:t xml:space="preserve"> year</w:t>
      </w:r>
      <w:r>
        <w:noBreakHyphen/>
      </w:r>
      <w:r w:rsidRPr="00454D1A">
        <w:t xml:space="preserve">end balances with recorded actuals through </w:t>
      </w:r>
      <w:r>
        <w:t>November 202</w:t>
      </w:r>
      <w:r w:rsidR="0084231F">
        <w:t>4</w:t>
      </w:r>
      <w:r w:rsidR="00E84925">
        <w:t xml:space="preserve">, if </w:t>
      </w:r>
      <w:r w:rsidR="00E84925">
        <w:lastRenderedPageBreak/>
        <w:t>available,</w:t>
      </w:r>
      <w:r>
        <w:t xml:space="preserve"> and forecast for </w:t>
      </w:r>
      <w:r w:rsidRPr="00454D1A">
        <w:t>December</w:t>
      </w:r>
      <w:r>
        <w:t> </w:t>
      </w:r>
      <w:r w:rsidRPr="00454D1A">
        <w:t>202</w:t>
      </w:r>
      <w:r w:rsidR="0084231F">
        <w:t>4</w:t>
      </w:r>
      <w:r w:rsidRPr="00454D1A">
        <w:t>. SCE will</w:t>
      </w:r>
      <w:r w:rsidR="0095030F">
        <w:t xml:space="preserve"> update these figures in their</w:t>
      </w:r>
      <w:r w:rsidR="00825067">
        <w:t xml:space="preserve"> initial</w:t>
      </w:r>
      <w:r w:rsidR="0095030F">
        <w:t xml:space="preserve"> Tier </w:t>
      </w:r>
      <w:r w:rsidR="003E7C5B">
        <w:t>1</w:t>
      </w:r>
      <w:r w:rsidR="0095030F">
        <w:t xml:space="preserve"> Advice letter</w:t>
      </w:r>
      <w:r w:rsidR="003E7C5B">
        <w:t xml:space="preserve"> filed in conformance with this Decision</w:t>
      </w:r>
      <w:r w:rsidR="0095030F">
        <w:t>, and</w:t>
      </w:r>
      <w:r w:rsidRPr="00454D1A">
        <w:t xml:space="preserve"> implement the rate changes on January</w:t>
      </w:r>
      <w:r>
        <w:t> </w:t>
      </w:r>
      <w:r w:rsidRPr="00454D1A">
        <w:t>1,</w:t>
      </w:r>
      <w:r>
        <w:t> </w:t>
      </w:r>
      <w:r w:rsidRPr="00454D1A">
        <w:t>202</w:t>
      </w:r>
      <w:r w:rsidR="0084231F">
        <w:t>5</w:t>
      </w:r>
      <w:r>
        <w:t>, in</w:t>
      </w:r>
      <w:r w:rsidRPr="00454D1A">
        <w:t xml:space="preserve"> the Tier</w:t>
      </w:r>
      <w:r>
        <w:t> </w:t>
      </w:r>
      <w:r w:rsidRPr="00454D1A">
        <w:t xml:space="preserve">1 </w:t>
      </w:r>
      <w:r w:rsidR="003B1274">
        <w:t xml:space="preserve">Consolidated Revenue Requirement and Rate Change </w:t>
      </w:r>
      <w:r w:rsidRPr="00454D1A">
        <w:t xml:space="preserve">Advice Letter filed </w:t>
      </w:r>
      <w:r w:rsidR="005D3859">
        <w:t>pursuant to Resolution E-5217.</w:t>
      </w:r>
    </w:p>
    <w:p w:rsidR="00731CFB" w:rsidP="00731CFB" w:rsidRDefault="00731CFB" w14:paraId="358DCA0E" w14:textId="580598FB">
      <w:pPr>
        <w:pStyle w:val="Standard"/>
      </w:pPr>
      <w:r>
        <w:t xml:space="preserve">A </w:t>
      </w:r>
      <w:r w:rsidRPr="00BC00A0">
        <w:t>summary</w:t>
      </w:r>
      <w:r>
        <w:t xml:space="preserve"> of SCE’s 202</w:t>
      </w:r>
      <w:r w:rsidR="0084231F">
        <w:t>5</w:t>
      </w:r>
      <w:r>
        <w:t xml:space="preserve"> ERRA Forecast Revenue Requirement Changes is provided below: </w:t>
      </w:r>
    </w:p>
    <w:p w:rsidR="00731CFB" w:rsidP="00731CFB" w:rsidRDefault="00731CFB" w14:paraId="1B8D40B2" w14:textId="7246E876">
      <w:pPr>
        <w:pStyle w:val="TableTitleBodyH095"/>
      </w:pPr>
      <w:r>
        <w:lastRenderedPageBreak/>
        <w:t xml:space="preserve">Table </w:t>
      </w:r>
      <w:r w:rsidR="00E8459B">
        <w:t xml:space="preserve">S-1 </w:t>
      </w:r>
      <w:r>
        <w:t>– SCE 202</w:t>
      </w:r>
      <w:r w:rsidR="002D4F63">
        <w:t>5</w:t>
      </w:r>
      <w:r>
        <w:t xml:space="preserve"> ERRA Forecast Revenue Requirement Changes ($000)</w:t>
      </w:r>
      <w:r>
        <w:rPr>
          <w:rStyle w:val="FootnoteReference"/>
        </w:rPr>
        <w:footnoteReference w:id="2"/>
      </w:r>
    </w:p>
    <w:tbl>
      <w:tblPr>
        <w:tblStyle w:val="TableGrid"/>
        <w:tblW w:w="9127" w:type="dxa"/>
        <w:tblInd w:w="-95" w:type="dxa"/>
        <w:tblLook w:val="04A0" w:firstRow="1" w:lastRow="0" w:firstColumn="1" w:lastColumn="0" w:noHBand="0" w:noVBand="1"/>
      </w:tblPr>
      <w:tblGrid>
        <w:gridCol w:w="4427"/>
        <w:gridCol w:w="1603"/>
        <w:gridCol w:w="1502"/>
        <w:gridCol w:w="1595"/>
      </w:tblGrid>
      <w:tr w:rsidR="001C595D" w:rsidTr="003F5BEA" w14:paraId="33D2CF7E" w14:textId="77777777">
        <w:tc>
          <w:tcPr>
            <w:tcW w:w="4427" w:type="dxa"/>
            <w:tcBorders>
              <w:top w:val="single" w:color="auto" w:sz="4" w:space="0"/>
              <w:left w:val="single" w:color="auto" w:sz="4" w:space="0"/>
              <w:bottom w:val="single" w:color="auto" w:sz="4" w:space="0"/>
              <w:right w:val="single" w:color="auto" w:sz="4" w:space="0"/>
            </w:tcBorders>
            <w:vAlign w:val="center"/>
          </w:tcPr>
          <w:p w:rsidRPr="00C51C39" w:rsidR="001C595D" w:rsidP="00D95195" w:rsidRDefault="001C595D" w14:paraId="14F7BCB1" w14:textId="2301C52E">
            <w:pPr>
              <w:pStyle w:val="TableTitleBodyH095"/>
              <w:ind w:left="0" w:firstLine="0"/>
              <w:rPr>
                <w:sz w:val="24"/>
                <w:szCs w:val="20"/>
              </w:rPr>
            </w:pPr>
            <w:bookmarkStart w:name="_Hlk149019053" w:id="3"/>
            <w:r>
              <w:rPr>
                <w:sz w:val="24"/>
                <w:szCs w:val="20"/>
              </w:rPr>
              <w:t>Rate Component</w:t>
            </w:r>
          </w:p>
        </w:tc>
        <w:tc>
          <w:tcPr>
            <w:tcW w:w="1603" w:type="dxa"/>
            <w:tcBorders>
              <w:left w:val="single" w:color="auto" w:sz="4" w:space="0"/>
            </w:tcBorders>
          </w:tcPr>
          <w:p w:rsidRPr="00C51C39" w:rsidR="001C595D" w:rsidRDefault="001C595D" w14:paraId="7F0E8579" w14:textId="1D97C2A1">
            <w:pPr>
              <w:pStyle w:val="TableTitleBodyH095"/>
              <w:ind w:left="0" w:firstLine="0"/>
              <w:rPr>
                <w:sz w:val="24"/>
                <w:szCs w:val="20"/>
              </w:rPr>
            </w:pPr>
            <w:r w:rsidRPr="00C51C39">
              <w:rPr>
                <w:sz w:val="24"/>
                <w:szCs w:val="20"/>
              </w:rPr>
              <w:t xml:space="preserve">October </w:t>
            </w:r>
            <w:r>
              <w:rPr>
                <w:sz w:val="24"/>
                <w:szCs w:val="20"/>
              </w:rPr>
              <w:t xml:space="preserve">Alternate </w:t>
            </w:r>
            <w:r w:rsidRPr="00C51C39">
              <w:rPr>
                <w:sz w:val="24"/>
                <w:szCs w:val="20"/>
              </w:rPr>
              <w:t>Update</w:t>
            </w:r>
            <w:r>
              <w:rPr>
                <w:sz w:val="24"/>
                <w:szCs w:val="20"/>
              </w:rPr>
              <w:t xml:space="preserve"> – Estimated Revenue Requirement</w:t>
            </w:r>
          </w:p>
        </w:tc>
        <w:tc>
          <w:tcPr>
            <w:tcW w:w="1502" w:type="dxa"/>
          </w:tcPr>
          <w:p w:rsidRPr="00C51C39" w:rsidR="001C595D" w:rsidRDefault="001C595D" w14:paraId="6B23757B" w14:textId="77777777">
            <w:pPr>
              <w:pStyle w:val="TableTitleBodyH095"/>
              <w:ind w:left="0" w:firstLine="0"/>
              <w:rPr>
                <w:sz w:val="24"/>
                <w:szCs w:val="20"/>
              </w:rPr>
            </w:pPr>
            <w:r w:rsidRPr="00C51C39">
              <w:rPr>
                <w:sz w:val="24"/>
                <w:szCs w:val="20"/>
              </w:rPr>
              <w:t>In Rates</w:t>
            </w:r>
            <w:r w:rsidRPr="00C51C39">
              <w:rPr>
                <w:rStyle w:val="FootnoteReference"/>
                <w:sz w:val="24"/>
                <w:szCs w:val="20"/>
              </w:rPr>
              <w:footnoteReference w:id="3"/>
            </w:r>
          </w:p>
        </w:tc>
        <w:tc>
          <w:tcPr>
            <w:tcW w:w="1595" w:type="dxa"/>
          </w:tcPr>
          <w:p w:rsidRPr="00C51C39" w:rsidR="001C595D" w:rsidRDefault="001C595D" w14:paraId="4A5ED9B5" w14:textId="77777777">
            <w:pPr>
              <w:pStyle w:val="TableTitleBodyH095"/>
              <w:ind w:left="0" w:firstLine="0"/>
              <w:rPr>
                <w:sz w:val="24"/>
                <w:szCs w:val="20"/>
              </w:rPr>
            </w:pPr>
            <w:r w:rsidRPr="00C51C39">
              <w:rPr>
                <w:sz w:val="24"/>
                <w:szCs w:val="20"/>
              </w:rPr>
              <w:t>Revenue Requirement Change</w:t>
            </w:r>
          </w:p>
        </w:tc>
      </w:tr>
      <w:tr w:rsidR="001C595D" w:rsidTr="003F5BEA" w14:paraId="0F57FA9B" w14:textId="77777777">
        <w:tc>
          <w:tcPr>
            <w:tcW w:w="4427" w:type="dxa"/>
            <w:tcBorders>
              <w:top w:val="single" w:color="auto" w:sz="4" w:space="0"/>
            </w:tcBorders>
          </w:tcPr>
          <w:p w:rsidRPr="00C51C39" w:rsidR="001C595D" w:rsidRDefault="001C595D" w14:paraId="396EED57" w14:textId="1E8A4DF9">
            <w:pPr>
              <w:pStyle w:val="TableTitleBodyH095"/>
              <w:ind w:left="0" w:firstLine="0"/>
              <w:jc w:val="left"/>
              <w:rPr>
                <w:sz w:val="24"/>
                <w:szCs w:val="20"/>
              </w:rPr>
            </w:pPr>
            <w:r w:rsidRPr="00C51C39">
              <w:rPr>
                <w:sz w:val="24"/>
                <w:szCs w:val="20"/>
              </w:rPr>
              <w:t>202</w:t>
            </w:r>
            <w:r>
              <w:rPr>
                <w:sz w:val="24"/>
                <w:szCs w:val="20"/>
              </w:rPr>
              <w:t>5</w:t>
            </w:r>
            <w:r w:rsidRPr="00C51C39">
              <w:rPr>
                <w:sz w:val="24"/>
                <w:szCs w:val="20"/>
              </w:rPr>
              <w:t xml:space="preserve"> </w:t>
            </w:r>
            <w:r w:rsidR="0061281B">
              <w:rPr>
                <w:sz w:val="24"/>
                <w:szCs w:val="20"/>
              </w:rPr>
              <w:t xml:space="preserve">Generation </w:t>
            </w:r>
            <w:r w:rsidRPr="00C51C39">
              <w:rPr>
                <w:sz w:val="24"/>
                <w:szCs w:val="20"/>
              </w:rPr>
              <w:t>Forecast Fuel and Purchased Power</w:t>
            </w:r>
          </w:p>
        </w:tc>
        <w:tc>
          <w:tcPr>
            <w:tcW w:w="1603" w:type="dxa"/>
          </w:tcPr>
          <w:p w:rsidRPr="003F09CF" w:rsidR="001C595D" w:rsidRDefault="00B34902" w14:paraId="6F93F0E7" w14:textId="5B8C75CD">
            <w:pPr>
              <w:pStyle w:val="TableTitleBodyH095"/>
              <w:ind w:left="0" w:firstLine="0"/>
              <w:rPr>
                <w:sz w:val="24"/>
                <w:szCs w:val="20"/>
              </w:rPr>
            </w:pPr>
            <w:r w:rsidRPr="003F09CF">
              <w:rPr>
                <w:sz w:val="24"/>
                <w:szCs w:val="20"/>
              </w:rPr>
              <w:t>4,085</w:t>
            </w:r>
            <w:r w:rsidRPr="003F09CF" w:rsidR="005D13E9">
              <w:rPr>
                <w:sz w:val="24"/>
                <w:szCs w:val="20"/>
              </w:rPr>
              <w:t>,868</w:t>
            </w:r>
            <w:r w:rsidR="003F09CF">
              <w:rPr>
                <w:rStyle w:val="FootnoteReference"/>
                <w:sz w:val="24"/>
                <w:szCs w:val="20"/>
              </w:rPr>
              <w:footnoteReference w:id="4"/>
            </w:r>
          </w:p>
        </w:tc>
        <w:tc>
          <w:tcPr>
            <w:tcW w:w="1502" w:type="dxa"/>
          </w:tcPr>
          <w:p w:rsidRPr="003F09CF" w:rsidR="001C595D" w:rsidRDefault="001C595D" w14:paraId="198DC701" w14:textId="6EB9E199">
            <w:pPr>
              <w:pStyle w:val="TableTitleBodyH095"/>
              <w:ind w:left="0" w:firstLine="0"/>
              <w:rPr>
                <w:sz w:val="24"/>
                <w:szCs w:val="20"/>
              </w:rPr>
            </w:pPr>
            <w:r w:rsidRPr="003F09CF">
              <w:rPr>
                <w:sz w:val="24"/>
                <w:szCs w:val="20"/>
              </w:rPr>
              <w:t>4,703,703</w:t>
            </w:r>
          </w:p>
        </w:tc>
        <w:tc>
          <w:tcPr>
            <w:tcW w:w="1595" w:type="dxa"/>
          </w:tcPr>
          <w:p w:rsidRPr="003F09CF" w:rsidR="001C595D" w:rsidRDefault="00AB33EA" w14:paraId="6F183938" w14:textId="7F455A99">
            <w:pPr>
              <w:pStyle w:val="TableTitleBodyH095"/>
              <w:ind w:left="0" w:firstLine="0"/>
              <w:rPr>
                <w:sz w:val="24"/>
                <w:szCs w:val="20"/>
              </w:rPr>
            </w:pPr>
            <w:r w:rsidRPr="003F09CF">
              <w:rPr>
                <w:sz w:val="24"/>
                <w:szCs w:val="20"/>
              </w:rPr>
              <w:t>(619,</w:t>
            </w:r>
            <w:r w:rsidRPr="003F09CF" w:rsidR="00F5014E">
              <w:rPr>
                <w:sz w:val="24"/>
                <w:szCs w:val="20"/>
              </w:rPr>
              <w:t>835)</w:t>
            </w:r>
          </w:p>
        </w:tc>
      </w:tr>
      <w:tr w:rsidR="001C595D" w:rsidTr="003F5BEA" w14:paraId="6E1E29FD" w14:textId="77777777">
        <w:tc>
          <w:tcPr>
            <w:tcW w:w="4427" w:type="dxa"/>
          </w:tcPr>
          <w:p w:rsidRPr="00C51C39" w:rsidR="001C595D" w:rsidRDefault="001C595D" w14:paraId="3D35B718" w14:textId="5D616900">
            <w:pPr>
              <w:pStyle w:val="TableTitleBodyH095"/>
              <w:ind w:left="0" w:firstLine="0"/>
              <w:jc w:val="left"/>
              <w:rPr>
                <w:sz w:val="24"/>
                <w:szCs w:val="20"/>
              </w:rPr>
            </w:pPr>
            <w:r>
              <w:rPr>
                <w:sz w:val="24"/>
                <w:szCs w:val="20"/>
              </w:rPr>
              <w:t>2024 Year End (YE) ERRA BA</w:t>
            </w:r>
          </w:p>
        </w:tc>
        <w:tc>
          <w:tcPr>
            <w:tcW w:w="1603" w:type="dxa"/>
          </w:tcPr>
          <w:p w:rsidRPr="003F09CF" w:rsidR="001C595D" w:rsidRDefault="00F856F1" w14:paraId="50BDE2B1" w14:textId="278D47C5">
            <w:pPr>
              <w:pStyle w:val="TableTitleBodyH095"/>
              <w:ind w:left="0" w:firstLine="0"/>
              <w:rPr>
                <w:sz w:val="24"/>
                <w:szCs w:val="20"/>
              </w:rPr>
            </w:pPr>
            <w:r w:rsidRPr="003F09CF">
              <w:rPr>
                <w:sz w:val="24"/>
                <w:szCs w:val="20"/>
              </w:rPr>
              <w:t>(10,152)</w:t>
            </w:r>
          </w:p>
        </w:tc>
        <w:tc>
          <w:tcPr>
            <w:tcW w:w="1502" w:type="dxa"/>
          </w:tcPr>
          <w:p w:rsidRPr="003F09CF" w:rsidR="001C595D" w:rsidRDefault="001C595D" w14:paraId="1FAE8B60" w14:textId="22CC998B">
            <w:pPr>
              <w:pStyle w:val="TableTitleBodyH095"/>
              <w:ind w:left="0" w:firstLine="0"/>
              <w:rPr>
                <w:sz w:val="24"/>
                <w:szCs w:val="20"/>
              </w:rPr>
            </w:pPr>
            <w:r w:rsidRPr="003F09CF">
              <w:rPr>
                <w:sz w:val="24"/>
                <w:szCs w:val="20"/>
              </w:rPr>
              <w:t>179,952</w:t>
            </w:r>
          </w:p>
        </w:tc>
        <w:tc>
          <w:tcPr>
            <w:tcW w:w="1595" w:type="dxa"/>
          </w:tcPr>
          <w:p w:rsidRPr="003F09CF" w:rsidR="001C595D" w:rsidRDefault="00F5014E" w14:paraId="0625AB02" w14:textId="6F3EC490">
            <w:pPr>
              <w:pStyle w:val="TableTitleBodyH095"/>
              <w:ind w:left="0" w:firstLine="0"/>
              <w:rPr>
                <w:sz w:val="24"/>
                <w:szCs w:val="20"/>
              </w:rPr>
            </w:pPr>
            <w:r w:rsidRPr="003F09CF">
              <w:rPr>
                <w:sz w:val="24"/>
                <w:szCs w:val="20"/>
              </w:rPr>
              <w:t>(187,104)</w:t>
            </w:r>
          </w:p>
        </w:tc>
      </w:tr>
      <w:tr w:rsidR="001C595D" w:rsidTr="003F5BEA" w14:paraId="0F184FA6" w14:textId="77777777">
        <w:tc>
          <w:tcPr>
            <w:tcW w:w="4427" w:type="dxa"/>
          </w:tcPr>
          <w:p w:rsidRPr="00C51C39" w:rsidR="001C595D" w:rsidRDefault="001C595D" w14:paraId="5510194D" w14:textId="0CCAAE1F">
            <w:pPr>
              <w:pStyle w:val="TableTitleBodyH095"/>
              <w:ind w:left="0" w:firstLine="0"/>
              <w:jc w:val="left"/>
              <w:rPr>
                <w:sz w:val="24"/>
                <w:szCs w:val="20"/>
              </w:rPr>
            </w:pPr>
            <w:r>
              <w:rPr>
                <w:sz w:val="24"/>
                <w:szCs w:val="20"/>
              </w:rPr>
              <w:t>2024 YE PABA</w:t>
            </w:r>
          </w:p>
        </w:tc>
        <w:tc>
          <w:tcPr>
            <w:tcW w:w="1603" w:type="dxa"/>
          </w:tcPr>
          <w:p w:rsidRPr="003F09CF" w:rsidR="001C595D" w:rsidRDefault="00AB0540" w14:paraId="65A79369" w14:textId="47E62E9C">
            <w:pPr>
              <w:pStyle w:val="TableTitleBodyH095"/>
              <w:ind w:left="0" w:firstLine="0"/>
              <w:rPr>
                <w:sz w:val="24"/>
                <w:szCs w:val="20"/>
              </w:rPr>
            </w:pPr>
            <w:r w:rsidRPr="003F09CF">
              <w:rPr>
                <w:sz w:val="24"/>
                <w:szCs w:val="20"/>
              </w:rPr>
              <w:t>587, 214</w:t>
            </w:r>
          </w:p>
        </w:tc>
        <w:tc>
          <w:tcPr>
            <w:tcW w:w="1502" w:type="dxa"/>
          </w:tcPr>
          <w:p w:rsidRPr="003F09CF" w:rsidR="001C595D" w:rsidRDefault="001C595D" w14:paraId="68CF0752" w14:textId="6135EF35">
            <w:pPr>
              <w:pStyle w:val="TableTitleBodyH095"/>
              <w:ind w:left="0" w:firstLine="0"/>
              <w:rPr>
                <w:sz w:val="24"/>
                <w:szCs w:val="20"/>
              </w:rPr>
            </w:pPr>
            <w:r w:rsidRPr="003F09CF">
              <w:rPr>
                <w:sz w:val="24"/>
                <w:szCs w:val="20"/>
              </w:rPr>
              <w:t>507,585</w:t>
            </w:r>
          </w:p>
        </w:tc>
        <w:tc>
          <w:tcPr>
            <w:tcW w:w="1595" w:type="dxa"/>
          </w:tcPr>
          <w:p w:rsidRPr="003F09CF" w:rsidR="001C595D" w:rsidRDefault="00D30CFA" w14:paraId="6958CF5F" w14:textId="41533F7B">
            <w:pPr>
              <w:pStyle w:val="TableTitleBodyH095"/>
              <w:ind w:left="0" w:firstLine="0"/>
              <w:rPr>
                <w:sz w:val="24"/>
                <w:szCs w:val="20"/>
              </w:rPr>
            </w:pPr>
            <w:r w:rsidRPr="003F09CF">
              <w:rPr>
                <w:sz w:val="24"/>
                <w:szCs w:val="20"/>
              </w:rPr>
              <w:t>79,629</w:t>
            </w:r>
          </w:p>
        </w:tc>
      </w:tr>
      <w:tr w:rsidR="00841A07" w:rsidTr="003F5BEA" w14:paraId="1B7937AF" w14:textId="77777777">
        <w:tc>
          <w:tcPr>
            <w:tcW w:w="4427" w:type="dxa"/>
          </w:tcPr>
          <w:p w:rsidR="00841A07" w:rsidRDefault="00841A07" w14:paraId="40BEF22F" w14:textId="30A223E0">
            <w:pPr>
              <w:pStyle w:val="TableTitleBodyH095"/>
              <w:ind w:left="0" w:firstLine="0"/>
              <w:jc w:val="left"/>
              <w:rPr>
                <w:sz w:val="24"/>
                <w:szCs w:val="20"/>
              </w:rPr>
            </w:pPr>
            <w:r>
              <w:rPr>
                <w:sz w:val="24"/>
                <w:szCs w:val="20"/>
              </w:rPr>
              <w:t xml:space="preserve">2024 YE ESMA </w:t>
            </w:r>
          </w:p>
        </w:tc>
        <w:tc>
          <w:tcPr>
            <w:tcW w:w="1603" w:type="dxa"/>
          </w:tcPr>
          <w:p w:rsidRPr="003F09CF" w:rsidR="00841A07" w:rsidRDefault="003F09CF" w14:paraId="785DD56E" w14:textId="4B5F5C5E">
            <w:pPr>
              <w:pStyle w:val="TableTitleBodyH095"/>
              <w:ind w:left="0" w:firstLine="0"/>
              <w:rPr>
                <w:sz w:val="24"/>
                <w:szCs w:val="20"/>
              </w:rPr>
            </w:pPr>
            <w:r>
              <w:rPr>
                <w:sz w:val="24"/>
                <w:szCs w:val="20"/>
              </w:rPr>
              <w:t>(295)</w:t>
            </w:r>
          </w:p>
        </w:tc>
        <w:tc>
          <w:tcPr>
            <w:tcW w:w="1502" w:type="dxa"/>
          </w:tcPr>
          <w:p w:rsidRPr="003F09CF" w:rsidR="00841A07" w:rsidRDefault="003F09CF" w14:paraId="42D1CD6E" w14:textId="2E05F6F6">
            <w:pPr>
              <w:pStyle w:val="TableTitleBodyH095"/>
              <w:ind w:left="0" w:firstLine="0"/>
              <w:rPr>
                <w:sz w:val="24"/>
                <w:szCs w:val="20"/>
              </w:rPr>
            </w:pPr>
            <w:r>
              <w:rPr>
                <w:sz w:val="24"/>
                <w:szCs w:val="20"/>
              </w:rPr>
              <w:t>(375)</w:t>
            </w:r>
          </w:p>
        </w:tc>
        <w:tc>
          <w:tcPr>
            <w:tcW w:w="1595" w:type="dxa"/>
          </w:tcPr>
          <w:p w:rsidRPr="003F09CF" w:rsidR="00841A07" w:rsidRDefault="003F09CF" w14:paraId="05C2C12B" w14:textId="14A3C15B">
            <w:pPr>
              <w:pStyle w:val="TableTitleBodyH095"/>
              <w:ind w:left="0" w:firstLine="0"/>
              <w:rPr>
                <w:sz w:val="24"/>
                <w:szCs w:val="20"/>
              </w:rPr>
            </w:pPr>
            <w:r>
              <w:rPr>
                <w:sz w:val="24"/>
                <w:szCs w:val="20"/>
              </w:rPr>
              <w:t>80</w:t>
            </w:r>
          </w:p>
        </w:tc>
      </w:tr>
      <w:tr w:rsidR="00D30CFA" w:rsidTr="003F5BEA" w14:paraId="236FE978" w14:textId="77777777">
        <w:tc>
          <w:tcPr>
            <w:tcW w:w="4427" w:type="dxa"/>
          </w:tcPr>
          <w:p w:rsidRPr="00C51C39" w:rsidR="00D30CFA" w:rsidP="00D30CFA" w:rsidRDefault="00D30CFA" w14:paraId="32B44881" w14:textId="12485625">
            <w:pPr>
              <w:pStyle w:val="TableTitleBodyH095"/>
              <w:ind w:left="0" w:firstLine="0"/>
              <w:jc w:val="left"/>
              <w:rPr>
                <w:sz w:val="24"/>
                <w:szCs w:val="20"/>
              </w:rPr>
            </w:pPr>
            <w:r>
              <w:rPr>
                <w:sz w:val="24"/>
                <w:szCs w:val="20"/>
              </w:rPr>
              <w:t>New System Generation</w:t>
            </w:r>
          </w:p>
        </w:tc>
        <w:tc>
          <w:tcPr>
            <w:tcW w:w="1603" w:type="dxa"/>
          </w:tcPr>
          <w:p w:rsidRPr="003F09CF" w:rsidR="00D30CFA" w:rsidP="00D30CFA" w:rsidRDefault="00D30CFA" w14:paraId="494E555A" w14:textId="28237593">
            <w:pPr>
              <w:pStyle w:val="TableTitleBodyH095"/>
              <w:ind w:left="0" w:firstLine="0"/>
              <w:rPr>
                <w:sz w:val="24"/>
                <w:szCs w:val="20"/>
              </w:rPr>
            </w:pPr>
            <w:r w:rsidRPr="003F09CF">
              <w:rPr>
                <w:sz w:val="24"/>
                <w:szCs w:val="20"/>
              </w:rPr>
              <w:t>604, 313</w:t>
            </w:r>
          </w:p>
        </w:tc>
        <w:tc>
          <w:tcPr>
            <w:tcW w:w="1502" w:type="dxa"/>
          </w:tcPr>
          <w:p w:rsidRPr="003F09CF" w:rsidR="00D30CFA" w:rsidP="00D30CFA" w:rsidRDefault="00D30CFA" w14:paraId="5D2D4B64" w14:textId="4EB17CC5">
            <w:pPr>
              <w:pStyle w:val="TableTitleBodyH095"/>
              <w:ind w:left="0" w:firstLine="0"/>
              <w:rPr>
                <w:sz w:val="24"/>
                <w:szCs w:val="20"/>
              </w:rPr>
            </w:pPr>
            <w:r w:rsidRPr="003F09CF">
              <w:rPr>
                <w:sz w:val="24"/>
                <w:szCs w:val="20"/>
              </w:rPr>
              <w:t>625,436</w:t>
            </w:r>
          </w:p>
        </w:tc>
        <w:tc>
          <w:tcPr>
            <w:tcW w:w="1595" w:type="dxa"/>
          </w:tcPr>
          <w:p w:rsidRPr="003F09CF" w:rsidR="00D30CFA" w:rsidP="00D30CFA" w:rsidRDefault="00D95195" w14:paraId="2DB2122C" w14:textId="7E72314C">
            <w:pPr>
              <w:pStyle w:val="TableTitleBodyH095"/>
              <w:ind w:left="0" w:firstLine="0"/>
              <w:rPr>
                <w:sz w:val="24"/>
                <w:szCs w:val="20"/>
              </w:rPr>
            </w:pPr>
            <w:r w:rsidRPr="003F09CF">
              <w:rPr>
                <w:sz w:val="24"/>
                <w:szCs w:val="20"/>
              </w:rPr>
              <w:t>(</w:t>
            </w:r>
            <w:r w:rsidRPr="003F09CF" w:rsidR="00AA3CFB">
              <w:rPr>
                <w:sz w:val="24"/>
                <w:szCs w:val="20"/>
              </w:rPr>
              <w:t>21,124)</w:t>
            </w:r>
          </w:p>
        </w:tc>
      </w:tr>
      <w:tr w:rsidR="00D30CFA" w:rsidTr="003F5BEA" w14:paraId="5B830344" w14:textId="77777777">
        <w:tc>
          <w:tcPr>
            <w:tcW w:w="4427" w:type="dxa"/>
          </w:tcPr>
          <w:p w:rsidRPr="00C51C39" w:rsidR="00D30CFA" w:rsidP="00D30CFA" w:rsidRDefault="00D30CFA" w14:paraId="175C5F03" w14:textId="45F30DC2">
            <w:pPr>
              <w:pStyle w:val="TableTitleBodyH095"/>
              <w:ind w:left="0" w:firstLine="0"/>
              <w:jc w:val="left"/>
              <w:rPr>
                <w:sz w:val="24"/>
                <w:szCs w:val="20"/>
              </w:rPr>
            </w:pPr>
            <w:r>
              <w:rPr>
                <w:sz w:val="24"/>
                <w:szCs w:val="20"/>
              </w:rPr>
              <w:t>MCAM</w:t>
            </w:r>
            <w:r>
              <w:rPr>
                <w:rStyle w:val="FootnoteReference"/>
                <w:sz w:val="24"/>
                <w:szCs w:val="20"/>
              </w:rPr>
              <w:footnoteReference w:id="5"/>
            </w:r>
          </w:p>
        </w:tc>
        <w:tc>
          <w:tcPr>
            <w:tcW w:w="1603" w:type="dxa"/>
          </w:tcPr>
          <w:p w:rsidRPr="003F09CF" w:rsidR="00D30CFA" w:rsidP="00D30CFA" w:rsidRDefault="00D30CFA" w14:paraId="4DB5B554" w14:textId="65EB2DBA">
            <w:pPr>
              <w:pStyle w:val="TableTitleBodyH095"/>
              <w:ind w:left="0" w:firstLine="0"/>
              <w:rPr>
                <w:sz w:val="24"/>
                <w:szCs w:val="20"/>
              </w:rPr>
            </w:pPr>
            <w:r w:rsidRPr="003F09CF">
              <w:rPr>
                <w:sz w:val="24"/>
                <w:szCs w:val="20"/>
              </w:rPr>
              <w:t>4,407</w:t>
            </w:r>
          </w:p>
        </w:tc>
        <w:tc>
          <w:tcPr>
            <w:tcW w:w="1502" w:type="dxa"/>
            <w:vAlign w:val="center"/>
          </w:tcPr>
          <w:p w:rsidRPr="003F09CF" w:rsidR="00D30CFA" w:rsidP="00D30CFA" w:rsidRDefault="00D30CFA" w14:paraId="4EFA3D0B" w14:textId="6F88F0D9">
            <w:pPr>
              <w:pStyle w:val="TableTitleBodyH095"/>
              <w:ind w:left="0" w:firstLine="0"/>
              <w:rPr>
                <w:sz w:val="24"/>
                <w:szCs w:val="20"/>
              </w:rPr>
            </w:pPr>
            <w:r w:rsidRPr="003F09CF">
              <w:rPr>
                <w:sz w:val="24"/>
                <w:szCs w:val="20"/>
              </w:rPr>
              <w:t>2,362</w:t>
            </w:r>
          </w:p>
        </w:tc>
        <w:tc>
          <w:tcPr>
            <w:tcW w:w="1595" w:type="dxa"/>
          </w:tcPr>
          <w:p w:rsidRPr="003F09CF" w:rsidR="00D30CFA" w:rsidP="00D30CFA" w:rsidRDefault="00AA3CFB" w14:paraId="7104AD8E" w14:textId="7905A460">
            <w:pPr>
              <w:pStyle w:val="TableTitleBodyH095"/>
              <w:ind w:left="0" w:firstLine="0"/>
              <w:rPr>
                <w:sz w:val="24"/>
                <w:szCs w:val="20"/>
              </w:rPr>
            </w:pPr>
            <w:r w:rsidRPr="003F09CF">
              <w:rPr>
                <w:sz w:val="24"/>
                <w:szCs w:val="20"/>
              </w:rPr>
              <w:t>2,045</w:t>
            </w:r>
          </w:p>
        </w:tc>
      </w:tr>
      <w:tr w:rsidR="00D30CFA" w:rsidTr="003F5BEA" w14:paraId="43BF30DD" w14:textId="77777777">
        <w:tc>
          <w:tcPr>
            <w:tcW w:w="4427" w:type="dxa"/>
          </w:tcPr>
          <w:p w:rsidR="00D30CFA" w:rsidP="00D30CFA" w:rsidRDefault="00D30CFA" w14:paraId="33DDBE95" w14:textId="60CBA9E3">
            <w:pPr>
              <w:pStyle w:val="TableTitleBodyH095"/>
              <w:ind w:left="0" w:firstLine="0"/>
              <w:jc w:val="left"/>
              <w:rPr>
                <w:sz w:val="24"/>
                <w:szCs w:val="20"/>
              </w:rPr>
            </w:pPr>
            <w:r>
              <w:rPr>
                <w:sz w:val="24"/>
                <w:szCs w:val="20"/>
              </w:rPr>
              <w:t>Nuclear Decommissioning</w:t>
            </w:r>
          </w:p>
        </w:tc>
        <w:tc>
          <w:tcPr>
            <w:tcW w:w="1603" w:type="dxa"/>
          </w:tcPr>
          <w:p w:rsidRPr="003F09CF" w:rsidR="00D30CFA" w:rsidP="00D30CFA" w:rsidRDefault="00D30CFA" w14:paraId="5CE5347E" w14:textId="6DAEA878">
            <w:pPr>
              <w:pStyle w:val="TableTitleBodyH095"/>
              <w:ind w:left="0" w:firstLine="0"/>
              <w:rPr>
                <w:sz w:val="24"/>
                <w:szCs w:val="20"/>
              </w:rPr>
            </w:pPr>
            <w:r w:rsidRPr="003F09CF">
              <w:rPr>
                <w:sz w:val="24"/>
                <w:szCs w:val="20"/>
              </w:rPr>
              <w:t>5,157</w:t>
            </w:r>
          </w:p>
        </w:tc>
        <w:tc>
          <w:tcPr>
            <w:tcW w:w="1502" w:type="dxa"/>
          </w:tcPr>
          <w:p w:rsidRPr="003F09CF" w:rsidR="00D30CFA" w:rsidP="00D30CFA" w:rsidRDefault="00D30CFA" w14:paraId="601BA1DC" w14:textId="13070B07">
            <w:pPr>
              <w:pStyle w:val="TableTitleBodyH095"/>
              <w:ind w:left="0" w:firstLine="0"/>
              <w:rPr>
                <w:sz w:val="24"/>
                <w:szCs w:val="20"/>
              </w:rPr>
            </w:pPr>
            <w:r w:rsidRPr="003F09CF">
              <w:rPr>
                <w:sz w:val="24"/>
                <w:szCs w:val="20"/>
              </w:rPr>
              <w:t>4,958</w:t>
            </w:r>
          </w:p>
        </w:tc>
        <w:tc>
          <w:tcPr>
            <w:tcW w:w="1595" w:type="dxa"/>
          </w:tcPr>
          <w:p w:rsidRPr="003F09CF" w:rsidR="00D30CFA" w:rsidP="00D30CFA" w:rsidRDefault="00AA3CFB" w14:paraId="1F1D57D4" w14:textId="358B8568">
            <w:pPr>
              <w:pStyle w:val="TableTitleBodyH095"/>
              <w:ind w:left="0" w:firstLine="0"/>
              <w:rPr>
                <w:sz w:val="24"/>
                <w:szCs w:val="20"/>
              </w:rPr>
            </w:pPr>
            <w:r w:rsidRPr="003F09CF">
              <w:rPr>
                <w:sz w:val="24"/>
                <w:szCs w:val="20"/>
              </w:rPr>
              <w:t>200</w:t>
            </w:r>
          </w:p>
        </w:tc>
      </w:tr>
      <w:tr w:rsidR="00D30CFA" w:rsidTr="003F5BEA" w14:paraId="0E5F863F" w14:textId="77777777">
        <w:tc>
          <w:tcPr>
            <w:tcW w:w="4427" w:type="dxa"/>
          </w:tcPr>
          <w:p w:rsidRPr="00C51C39" w:rsidR="00D30CFA" w:rsidP="00D30CFA" w:rsidRDefault="00D30CFA" w14:paraId="4C212A15" w14:textId="60988D29">
            <w:pPr>
              <w:pStyle w:val="TableTitleBodyH095"/>
              <w:ind w:left="0" w:firstLine="0"/>
              <w:jc w:val="left"/>
              <w:rPr>
                <w:sz w:val="24"/>
                <w:szCs w:val="20"/>
              </w:rPr>
            </w:pPr>
            <w:r w:rsidRPr="009A5708">
              <w:rPr>
                <w:sz w:val="24"/>
                <w:szCs w:val="20"/>
              </w:rPr>
              <w:t>B</w:t>
            </w:r>
            <w:r w:rsidR="00D54A67">
              <w:rPr>
                <w:sz w:val="24"/>
                <w:szCs w:val="20"/>
              </w:rPr>
              <w:t xml:space="preserve">ase Revenue </w:t>
            </w:r>
            <w:r w:rsidRPr="009A5708">
              <w:rPr>
                <w:sz w:val="24"/>
                <w:szCs w:val="20"/>
              </w:rPr>
              <w:t>R</w:t>
            </w:r>
            <w:r w:rsidR="00D54A67">
              <w:rPr>
                <w:sz w:val="24"/>
                <w:szCs w:val="20"/>
              </w:rPr>
              <w:t xml:space="preserve">equirement </w:t>
            </w:r>
            <w:r w:rsidRPr="009A5708">
              <w:rPr>
                <w:sz w:val="24"/>
                <w:szCs w:val="20"/>
              </w:rPr>
              <w:t>BA-D</w:t>
            </w:r>
            <w:r w:rsidR="00D54A67">
              <w:rPr>
                <w:sz w:val="24"/>
                <w:szCs w:val="20"/>
              </w:rPr>
              <w:t>istribution</w:t>
            </w:r>
            <w:r w:rsidRPr="009A5708">
              <w:rPr>
                <w:sz w:val="24"/>
                <w:szCs w:val="20"/>
              </w:rPr>
              <w:t xml:space="preserve"> Fuel</w:t>
            </w:r>
            <w:r>
              <w:rPr>
                <w:sz w:val="24"/>
                <w:szCs w:val="20"/>
              </w:rPr>
              <w:t xml:space="preserve"> and Purchased Power</w:t>
            </w:r>
          </w:p>
        </w:tc>
        <w:tc>
          <w:tcPr>
            <w:tcW w:w="1603" w:type="dxa"/>
          </w:tcPr>
          <w:p w:rsidRPr="003F09CF" w:rsidR="00D30CFA" w:rsidP="00D30CFA" w:rsidRDefault="00D30CFA" w14:paraId="2F58546D" w14:textId="42E7133F">
            <w:pPr>
              <w:pStyle w:val="TableTitleBodyH095"/>
              <w:ind w:left="0" w:firstLine="0"/>
              <w:rPr>
                <w:sz w:val="24"/>
                <w:szCs w:val="20"/>
              </w:rPr>
            </w:pPr>
            <w:r w:rsidRPr="003F09CF">
              <w:rPr>
                <w:sz w:val="24"/>
                <w:szCs w:val="20"/>
              </w:rPr>
              <w:t>(19,169)</w:t>
            </w:r>
          </w:p>
        </w:tc>
        <w:tc>
          <w:tcPr>
            <w:tcW w:w="1502" w:type="dxa"/>
          </w:tcPr>
          <w:p w:rsidRPr="003F09CF" w:rsidR="00D30CFA" w:rsidP="00D30CFA" w:rsidRDefault="00D30CFA" w14:paraId="6AABA98B" w14:textId="6AA033D4">
            <w:pPr>
              <w:pStyle w:val="TableTitleBodyH095"/>
              <w:ind w:left="0" w:firstLine="0"/>
              <w:rPr>
                <w:sz w:val="24"/>
                <w:szCs w:val="20"/>
              </w:rPr>
            </w:pPr>
            <w:r w:rsidRPr="003F09CF">
              <w:rPr>
                <w:sz w:val="24"/>
                <w:szCs w:val="20"/>
              </w:rPr>
              <w:t>(3,582)</w:t>
            </w:r>
          </w:p>
        </w:tc>
        <w:tc>
          <w:tcPr>
            <w:tcW w:w="1595" w:type="dxa"/>
          </w:tcPr>
          <w:p w:rsidRPr="003F09CF" w:rsidR="00D30CFA" w:rsidP="00D30CFA" w:rsidRDefault="00AA3CFB" w14:paraId="5694326E" w14:textId="6B48639B">
            <w:pPr>
              <w:pStyle w:val="TableTitleBodyH095"/>
              <w:ind w:left="0" w:firstLine="0"/>
              <w:rPr>
                <w:sz w:val="24"/>
                <w:szCs w:val="20"/>
              </w:rPr>
            </w:pPr>
            <w:r w:rsidRPr="003F09CF">
              <w:rPr>
                <w:sz w:val="24"/>
                <w:szCs w:val="20"/>
              </w:rPr>
              <w:t>(15,588)</w:t>
            </w:r>
          </w:p>
        </w:tc>
      </w:tr>
      <w:tr w:rsidR="00D30CFA" w:rsidTr="003F5BEA" w14:paraId="64D2B5AD" w14:textId="77777777">
        <w:tc>
          <w:tcPr>
            <w:tcW w:w="4427" w:type="dxa"/>
          </w:tcPr>
          <w:p w:rsidR="00D30CFA" w:rsidP="00D30CFA" w:rsidRDefault="00D30CFA" w14:paraId="703363E8" w14:textId="0D84A43E">
            <w:pPr>
              <w:pStyle w:val="TableTitleBodyH095"/>
              <w:ind w:left="0" w:firstLine="0"/>
              <w:jc w:val="left"/>
              <w:rPr>
                <w:sz w:val="24"/>
                <w:szCs w:val="20"/>
              </w:rPr>
            </w:pPr>
            <w:r>
              <w:rPr>
                <w:sz w:val="24"/>
                <w:szCs w:val="20"/>
              </w:rPr>
              <w:t>GHG Allowance Revenues</w:t>
            </w:r>
          </w:p>
        </w:tc>
        <w:tc>
          <w:tcPr>
            <w:tcW w:w="1603" w:type="dxa"/>
          </w:tcPr>
          <w:p w:rsidRPr="003F09CF" w:rsidR="00D30CFA" w:rsidP="00D30CFA" w:rsidRDefault="00D30CFA" w14:paraId="7E8CA65A" w14:textId="078F43F7">
            <w:pPr>
              <w:pStyle w:val="TableTitleBodyH095"/>
              <w:ind w:left="0" w:firstLine="0"/>
              <w:rPr>
                <w:sz w:val="24"/>
                <w:szCs w:val="20"/>
              </w:rPr>
            </w:pPr>
            <w:r w:rsidRPr="003F09CF">
              <w:rPr>
                <w:sz w:val="24"/>
                <w:szCs w:val="20"/>
              </w:rPr>
              <w:t>(641,624)</w:t>
            </w:r>
          </w:p>
        </w:tc>
        <w:tc>
          <w:tcPr>
            <w:tcW w:w="1502" w:type="dxa"/>
          </w:tcPr>
          <w:p w:rsidRPr="003F09CF" w:rsidR="00D30CFA" w:rsidP="00D30CFA" w:rsidRDefault="00D30CFA" w14:paraId="74D6BA43" w14:textId="2615CA70">
            <w:pPr>
              <w:pStyle w:val="TableTitleBodyH095"/>
              <w:ind w:left="0" w:firstLine="0"/>
              <w:rPr>
                <w:sz w:val="24"/>
                <w:szCs w:val="20"/>
              </w:rPr>
            </w:pPr>
            <w:r w:rsidRPr="003F09CF">
              <w:rPr>
                <w:sz w:val="24"/>
                <w:szCs w:val="20"/>
              </w:rPr>
              <w:t>(955,105)</w:t>
            </w:r>
          </w:p>
        </w:tc>
        <w:tc>
          <w:tcPr>
            <w:tcW w:w="1595" w:type="dxa"/>
          </w:tcPr>
          <w:p w:rsidRPr="003F09CF" w:rsidR="00D30CFA" w:rsidP="00D30CFA" w:rsidRDefault="00E5787D" w14:paraId="6CB48802" w14:textId="1167E4ED">
            <w:pPr>
              <w:pStyle w:val="TableTitleBodyH095"/>
              <w:ind w:left="0" w:firstLine="0"/>
              <w:rPr>
                <w:sz w:val="24"/>
                <w:szCs w:val="20"/>
              </w:rPr>
            </w:pPr>
            <w:r w:rsidRPr="003F09CF">
              <w:rPr>
                <w:sz w:val="24"/>
                <w:szCs w:val="20"/>
              </w:rPr>
              <w:t>313,481</w:t>
            </w:r>
          </w:p>
        </w:tc>
      </w:tr>
      <w:tr w:rsidR="00D30CFA" w:rsidTr="003F5BEA" w14:paraId="0DC26808" w14:textId="77777777">
        <w:tc>
          <w:tcPr>
            <w:tcW w:w="4427" w:type="dxa"/>
          </w:tcPr>
          <w:p w:rsidRPr="00C51C39" w:rsidR="00D30CFA" w:rsidP="00D30CFA" w:rsidRDefault="00D30CFA" w14:paraId="01ADE207" w14:textId="479E3244">
            <w:pPr>
              <w:pStyle w:val="TableTitleBodyH095"/>
              <w:ind w:left="0" w:firstLine="0"/>
              <w:jc w:val="left"/>
              <w:rPr>
                <w:sz w:val="24"/>
                <w:szCs w:val="20"/>
              </w:rPr>
            </w:pPr>
            <w:r>
              <w:rPr>
                <w:sz w:val="24"/>
                <w:szCs w:val="20"/>
              </w:rPr>
              <w:t xml:space="preserve">Public Purpose Program Charges </w:t>
            </w:r>
          </w:p>
        </w:tc>
        <w:tc>
          <w:tcPr>
            <w:tcW w:w="1603" w:type="dxa"/>
          </w:tcPr>
          <w:p w:rsidRPr="003F09CF" w:rsidR="00D30CFA" w:rsidP="00D30CFA" w:rsidRDefault="00D30CFA" w14:paraId="06C4D06F" w14:textId="078A8536">
            <w:pPr>
              <w:pStyle w:val="TableTitleBodyH095"/>
              <w:ind w:left="0" w:firstLine="0"/>
              <w:rPr>
                <w:sz w:val="24"/>
                <w:szCs w:val="20"/>
              </w:rPr>
            </w:pPr>
            <w:r w:rsidRPr="003F09CF">
              <w:rPr>
                <w:sz w:val="24"/>
                <w:szCs w:val="20"/>
              </w:rPr>
              <w:t>21, 610</w:t>
            </w:r>
          </w:p>
        </w:tc>
        <w:tc>
          <w:tcPr>
            <w:tcW w:w="1502" w:type="dxa"/>
          </w:tcPr>
          <w:p w:rsidRPr="003F09CF" w:rsidR="00D30CFA" w:rsidP="00D30CFA" w:rsidRDefault="00D30CFA" w14:paraId="477CD40B" w14:textId="206233D2">
            <w:pPr>
              <w:pStyle w:val="TableTitleBodyH095"/>
              <w:ind w:left="0" w:firstLine="0"/>
              <w:rPr>
                <w:sz w:val="24"/>
                <w:szCs w:val="20"/>
              </w:rPr>
            </w:pPr>
            <w:r w:rsidRPr="003F09CF">
              <w:rPr>
                <w:sz w:val="24"/>
                <w:szCs w:val="20"/>
              </w:rPr>
              <w:t>17,930</w:t>
            </w:r>
          </w:p>
        </w:tc>
        <w:tc>
          <w:tcPr>
            <w:tcW w:w="1595" w:type="dxa"/>
          </w:tcPr>
          <w:p w:rsidRPr="003F09CF" w:rsidR="00D30CFA" w:rsidP="00D30CFA" w:rsidRDefault="00E5787D" w14:paraId="1ADF90CA" w14:textId="414DBE24">
            <w:pPr>
              <w:pStyle w:val="TableTitleBodyH095"/>
              <w:ind w:left="0" w:firstLine="0"/>
              <w:rPr>
                <w:sz w:val="24"/>
                <w:szCs w:val="20"/>
              </w:rPr>
            </w:pPr>
            <w:r w:rsidRPr="003F09CF">
              <w:rPr>
                <w:sz w:val="24"/>
                <w:szCs w:val="20"/>
              </w:rPr>
              <w:t>3,680</w:t>
            </w:r>
          </w:p>
        </w:tc>
      </w:tr>
      <w:tr w:rsidR="00D30CFA" w:rsidTr="003F5BEA" w14:paraId="493DE47C" w14:textId="77777777">
        <w:tc>
          <w:tcPr>
            <w:tcW w:w="4427" w:type="dxa"/>
          </w:tcPr>
          <w:p w:rsidRPr="00C51C39" w:rsidR="00D30CFA" w:rsidP="00D30CFA" w:rsidRDefault="00D30CFA" w14:paraId="7C95E013" w14:textId="703BC50F">
            <w:pPr>
              <w:pStyle w:val="TableTitleBodyH095"/>
              <w:ind w:left="0" w:firstLine="0"/>
              <w:jc w:val="left"/>
              <w:rPr>
                <w:b/>
                <w:bCs w:val="0"/>
                <w:sz w:val="24"/>
                <w:szCs w:val="20"/>
              </w:rPr>
            </w:pPr>
            <w:r w:rsidRPr="00C51C39">
              <w:rPr>
                <w:b/>
                <w:bCs w:val="0"/>
                <w:sz w:val="24"/>
                <w:szCs w:val="20"/>
              </w:rPr>
              <w:t>Total ERRA Revenue Requirement</w:t>
            </w:r>
          </w:p>
        </w:tc>
        <w:tc>
          <w:tcPr>
            <w:tcW w:w="1603" w:type="dxa"/>
          </w:tcPr>
          <w:p w:rsidRPr="003F09CF" w:rsidR="00D30CFA" w:rsidP="00D30CFA" w:rsidRDefault="00D30CFA" w14:paraId="1CC2330A" w14:textId="186B91C9">
            <w:pPr>
              <w:pStyle w:val="TableTitleBodyH095"/>
              <w:ind w:left="0" w:firstLine="0"/>
              <w:rPr>
                <w:b/>
                <w:bCs w:val="0"/>
                <w:sz w:val="24"/>
                <w:szCs w:val="20"/>
              </w:rPr>
            </w:pPr>
            <w:r w:rsidRPr="003F09CF">
              <w:rPr>
                <w:b/>
                <w:bCs w:val="0"/>
                <w:sz w:val="24"/>
                <w:szCs w:val="20"/>
              </w:rPr>
              <w:t>4,637,329</w:t>
            </w:r>
          </w:p>
        </w:tc>
        <w:tc>
          <w:tcPr>
            <w:tcW w:w="1502" w:type="dxa"/>
          </w:tcPr>
          <w:p w:rsidRPr="003F09CF" w:rsidR="00D30CFA" w:rsidP="00D30CFA" w:rsidRDefault="00D30CFA" w14:paraId="612CBD1B" w14:textId="3F5D9C1F">
            <w:pPr>
              <w:pStyle w:val="TableTitleBodyH095"/>
              <w:ind w:left="0" w:firstLine="0"/>
              <w:rPr>
                <w:b/>
                <w:bCs w:val="0"/>
                <w:sz w:val="24"/>
                <w:szCs w:val="20"/>
              </w:rPr>
            </w:pPr>
            <w:r w:rsidRPr="003F09CF">
              <w:rPr>
                <w:b/>
                <w:bCs w:val="0"/>
                <w:sz w:val="24"/>
                <w:szCs w:val="20"/>
              </w:rPr>
              <w:t>5,079,566</w:t>
            </w:r>
          </w:p>
        </w:tc>
        <w:tc>
          <w:tcPr>
            <w:tcW w:w="1595" w:type="dxa"/>
          </w:tcPr>
          <w:p w:rsidRPr="003F09CF" w:rsidR="00D30CFA" w:rsidP="00D30CFA" w:rsidRDefault="00E5787D" w14:paraId="0C5F90AD" w14:textId="0ADB12AE">
            <w:pPr>
              <w:pStyle w:val="TableTitleBodyH095"/>
              <w:ind w:left="0" w:firstLine="0"/>
              <w:rPr>
                <w:b/>
                <w:bCs w:val="0"/>
                <w:sz w:val="24"/>
                <w:szCs w:val="20"/>
              </w:rPr>
            </w:pPr>
            <w:r w:rsidRPr="003F09CF">
              <w:rPr>
                <w:b/>
                <w:bCs w:val="0"/>
                <w:sz w:val="24"/>
                <w:szCs w:val="20"/>
              </w:rPr>
              <w:t>(442,537)</w:t>
            </w:r>
          </w:p>
        </w:tc>
      </w:tr>
    </w:tbl>
    <w:bookmarkEnd w:id="3"/>
    <w:p w:rsidRPr="00973D37" w:rsidR="00731CFB" w:rsidP="00786E0D" w:rsidRDefault="00115867" w14:paraId="04BBD958" w14:textId="5DB7A701">
      <w:pPr>
        <w:pStyle w:val="Standard"/>
        <w:spacing w:before="240"/>
      </w:pPr>
      <w:r>
        <w:t>Application 2</w:t>
      </w:r>
      <w:r w:rsidR="009A573C">
        <w:t>4</w:t>
      </w:r>
      <w:r>
        <w:t>-05-007 is closed.</w:t>
      </w:r>
    </w:p>
    <w:p w:rsidRPr="00121089" w:rsidR="005A148C" w:rsidP="00A55ACD" w:rsidRDefault="002C7FE9" w14:paraId="367D9495" w14:textId="77777777">
      <w:pPr>
        <w:pStyle w:val="Heading1"/>
        <w:numPr>
          <w:ilvl w:val="0"/>
          <w:numId w:val="1"/>
        </w:numPr>
      </w:pPr>
      <w:bookmarkStart w:name="_Toc8123715" w:id="4"/>
      <w:bookmarkStart w:name="_Toc183184259" w:id="5"/>
      <w:r w:rsidRPr="00121089">
        <w:t>Background</w:t>
      </w:r>
      <w:bookmarkEnd w:id="4"/>
      <w:bookmarkEnd w:id="5"/>
    </w:p>
    <w:p w:rsidR="00353D8A" w:rsidP="00353D8A" w:rsidRDefault="00353D8A" w14:paraId="04ADCC07" w14:textId="213BE6F2">
      <w:pPr>
        <w:pStyle w:val="Standard"/>
      </w:pPr>
      <w:r>
        <w:t xml:space="preserve">In Decision (D.) 02-10-062, the Commission established the Energy Resource Recovery Account (ERRA), the power procurement balancing account required by Public Utilities (Pub. Util.) Code Section 454.5(d)(3). Pursuant to </w:t>
      </w:r>
      <w:r>
        <w:lastRenderedPageBreak/>
        <w:t>D.02-10-062 and D.02-12-074, the purpose of the ERRA is to provide recovery of energy procurement costs, including expenses associated with fuel and purchased power (F&amp;PP), utility retained generation, California Independent System Operator (CAISO) related costs, and costs associated with the residual net short procurement requirements to Southern California Edison Company’s</w:t>
      </w:r>
      <w:r w:rsidR="00F55D40">
        <w:t xml:space="preserve"> (SCE’s)</w:t>
      </w:r>
      <w:r>
        <w:t xml:space="preserve"> bundled electric service customers.</w:t>
      </w:r>
    </w:p>
    <w:p w:rsidR="00353D8A" w:rsidP="00353D8A" w:rsidRDefault="00353D8A" w14:paraId="1A78CA43" w14:textId="6A5800C7">
      <w:pPr>
        <w:pStyle w:val="Standard"/>
      </w:pPr>
      <w:r>
        <w:t>The ERRA regulatory process includes: (1) an annual forecast proceeding to adopt a forecast of the utility’s electric procurement cost revenue requirement and electricity sales for the upcoming year; (2) an annual compliance proceeding to review the utility’s compliance in the preceding year regarding energy resource contract administration, least cost dispatch</w:t>
      </w:r>
      <w:r w:rsidR="000B6965">
        <w:t xml:space="preserve"> (LCD)</w:t>
      </w:r>
      <w:r>
        <w:t>, prudent maintenance of Utility Owned Generation (UOG) and the ERRA Balancing Account</w:t>
      </w:r>
      <w:r w:rsidR="00F55D40">
        <w:t xml:space="preserve"> (BA)</w:t>
      </w:r>
      <w:r>
        <w:t>; and</w:t>
      </w:r>
    </w:p>
    <w:p w:rsidR="00F939D0" w:rsidP="00250FEA" w:rsidRDefault="00353D8A" w14:paraId="57B6E063" w14:textId="594C4D92">
      <w:pPr>
        <w:pStyle w:val="Standard"/>
        <w:ind w:firstLine="0"/>
      </w:pPr>
      <w:r>
        <w:t>(3) the quarterly compliance report where Energy Division reviews procurement</w:t>
      </w:r>
      <w:r w:rsidR="00F939D0">
        <w:t xml:space="preserve"> transactions “to ensure the prices, types of products, and quantities of each product conform to the approved plan.”</w:t>
      </w:r>
    </w:p>
    <w:p w:rsidR="00F939D0" w:rsidP="00F939D0" w:rsidRDefault="00F939D0" w14:paraId="1DCB1D85" w14:textId="1324DFE6">
      <w:pPr>
        <w:pStyle w:val="Standard"/>
      </w:pPr>
      <w:r>
        <w:t>The Commission adopted the Cost Responsibility Surcharge in D.02-11-022 (as modified by D.03-07-030), which consisted of the Competition Transition Charge (CTC). The CTC is used to recover the above-market costs of resources procured prior to market restructuring after the 2000-</w:t>
      </w:r>
      <w:r w:rsidR="00297F11">
        <w:t>20</w:t>
      </w:r>
      <w:r>
        <w:t>01 Energy Crisis.</w:t>
      </w:r>
    </w:p>
    <w:p w:rsidR="002C7FE9" w:rsidP="00250FEA" w:rsidRDefault="00F939D0" w14:paraId="0AB9E934" w14:textId="15FDD65D">
      <w:pPr>
        <w:pStyle w:val="Standard"/>
      </w:pPr>
      <w:r>
        <w:t>In D.06-07-030 (as modified by D.07-01-030 and subsequently refined in D.11-12-018, D.14-10-045, D.18-10-019, D.19-10-001, D.20-01-030, D.20-03-019,</w:t>
      </w:r>
      <w:r w:rsidR="00250FEA">
        <w:t xml:space="preserve"> </w:t>
      </w:r>
      <w:r>
        <w:t>D.20-08-004, D.21-05-030</w:t>
      </w:r>
      <w:r w:rsidR="006B5C9A">
        <w:t>,</w:t>
      </w:r>
      <w:r w:rsidR="00F36BC1">
        <w:t xml:space="preserve"> D.</w:t>
      </w:r>
      <w:r w:rsidR="001A5B35">
        <w:t>22-01-023, and</w:t>
      </w:r>
      <w:r w:rsidR="006B5C9A">
        <w:t xml:space="preserve"> D.23</w:t>
      </w:r>
      <w:r w:rsidR="00E075E1">
        <w:t>-06-006</w:t>
      </w:r>
      <w:r>
        <w:t xml:space="preserve">), the Commission adopted the Power Charge Indifference Adjustment (PCIA) for determining the above-market costs associated with the utility/California Department of Water Resources (CDWR) Power Charge as an element of the Cost Responsibility Surcharge. The PCIA applies to departing load customers who are responsible </w:t>
      </w:r>
      <w:r>
        <w:lastRenderedPageBreak/>
        <w:t>for a share of the CDWR power contracts or new generation resource commitments. The PCIA is intended to ensure that departing load customers pay their share of the</w:t>
      </w:r>
      <w:r w:rsidR="005D709B">
        <w:t xml:space="preserve"> </w:t>
      </w:r>
      <w:r>
        <w:t>above-market portion of the CDWR contract and generation resource costs incurred on their behalf, and that bundled customers remain indifferent to customer departures.</w:t>
      </w:r>
    </w:p>
    <w:p w:rsidR="006B6BCC" w:rsidP="00F939D0" w:rsidRDefault="006B6BCC" w14:paraId="6A894A4F" w14:textId="07B825A5">
      <w:pPr>
        <w:pStyle w:val="Standard"/>
      </w:pPr>
      <w:r>
        <w:t>The</w:t>
      </w:r>
      <w:r>
        <w:rPr>
          <w:spacing w:val="-4"/>
        </w:rPr>
        <w:t xml:space="preserve"> </w:t>
      </w:r>
      <w:r>
        <w:t>electric</w:t>
      </w:r>
      <w:r>
        <w:rPr>
          <w:spacing w:val="-5"/>
        </w:rPr>
        <w:t xml:space="preserve"> </w:t>
      </w:r>
      <w:r>
        <w:t>utilities</w:t>
      </w:r>
      <w:r>
        <w:rPr>
          <w:spacing w:val="-5"/>
        </w:rPr>
        <w:t xml:space="preserve"> </w:t>
      </w:r>
      <w:r>
        <w:t>are</w:t>
      </w:r>
      <w:r>
        <w:rPr>
          <w:spacing w:val="-4"/>
        </w:rPr>
        <w:t xml:space="preserve"> </w:t>
      </w:r>
      <w:r>
        <w:t>also</w:t>
      </w:r>
      <w:r>
        <w:rPr>
          <w:spacing w:val="-4"/>
        </w:rPr>
        <w:t xml:space="preserve"> </w:t>
      </w:r>
      <w:r>
        <w:t>required</w:t>
      </w:r>
      <w:r>
        <w:rPr>
          <w:spacing w:val="-4"/>
        </w:rPr>
        <w:t xml:space="preserve"> </w:t>
      </w:r>
      <w:r>
        <w:t>to</w:t>
      </w:r>
      <w:r>
        <w:rPr>
          <w:spacing w:val="-5"/>
        </w:rPr>
        <w:t xml:space="preserve"> </w:t>
      </w:r>
      <w:r>
        <w:t>incorporate</w:t>
      </w:r>
      <w:r>
        <w:rPr>
          <w:spacing w:val="-4"/>
        </w:rPr>
        <w:t xml:space="preserve"> </w:t>
      </w:r>
      <w:r>
        <w:t>greenhouse</w:t>
      </w:r>
      <w:r>
        <w:rPr>
          <w:spacing w:val="-4"/>
        </w:rPr>
        <w:t xml:space="preserve"> </w:t>
      </w:r>
      <w:r>
        <w:t>gas costs into the generation component of electricity rates through the ERRA process.</w:t>
      </w:r>
      <w:r w:rsidR="003E475C">
        <w:rPr>
          <w:rStyle w:val="FootnoteReference"/>
        </w:rPr>
        <w:footnoteReference w:id="6"/>
      </w:r>
    </w:p>
    <w:p w:rsidR="0063491C" w:rsidP="0063491C" w:rsidRDefault="0063491C" w14:paraId="5E600DB8" w14:textId="77777777">
      <w:pPr>
        <w:pStyle w:val="Heading2"/>
      </w:pPr>
      <w:bookmarkStart w:name="_Toc8123717" w:id="6"/>
      <w:bookmarkStart w:name="_Toc183184260" w:id="7"/>
      <w:r>
        <w:t>Procedural Background</w:t>
      </w:r>
      <w:bookmarkEnd w:id="6"/>
      <w:bookmarkEnd w:id="7"/>
    </w:p>
    <w:p w:rsidR="00003610" w:rsidP="007F4D3A" w:rsidRDefault="00003610" w14:paraId="56305368" w14:textId="21283D1E">
      <w:pPr>
        <w:pStyle w:val="Standard"/>
      </w:pPr>
      <w:r>
        <w:t xml:space="preserve">SCE filed </w:t>
      </w:r>
      <w:r w:rsidR="001C1CD5">
        <w:t>the instant Application</w:t>
      </w:r>
      <w:r>
        <w:t xml:space="preserve"> </w:t>
      </w:r>
      <w:r w:rsidRPr="002E2B5D">
        <w:t xml:space="preserve">on </w:t>
      </w:r>
      <w:r w:rsidRPr="002E2B5D" w:rsidR="002E2B5D">
        <w:t xml:space="preserve">May </w:t>
      </w:r>
      <w:r w:rsidRPr="002E2B5D">
        <w:t>1</w:t>
      </w:r>
      <w:r w:rsidRPr="002E2B5D" w:rsidR="002E2B5D">
        <w:t>5</w:t>
      </w:r>
      <w:r w:rsidRPr="002E2B5D">
        <w:t>, 202</w:t>
      </w:r>
      <w:r w:rsidRPr="002E2B5D" w:rsidR="002E2B5D">
        <w:t>4</w:t>
      </w:r>
      <w:r w:rsidRPr="002E2B5D">
        <w:t xml:space="preserve">, </w:t>
      </w:r>
      <w:r>
        <w:t xml:space="preserve">seeking </w:t>
      </w:r>
      <w:r w:rsidRPr="00BF2043">
        <w:t>approval of a $</w:t>
      </w:r>
      <w:r w:rsidRPr="00BF2043" w:rsidR="002E2B5D">
        <w:t>3.768</w:t>
      </w:r>
      <w:r w:rsidRPr="00BF2043">
        <w:t xml:space="preserve"> billion revenue requirement</w:t>
      </w:r>
      <w:r w:rsidRPr="00BF2043" w:rsidR="00BF28C3">
        <w:t xml:space="preserve"> for 2025</w:t>
      </w:r>
      <w:r w:rsidRPr="00BF2043" w:rsidR="00233626">
        <w:t xml:space="preserve">, </w:t>
      </w:r>
      <w:r w:rsidRPr="00BF2043">
        <w:t>a decrease of approximately $</w:t>
      </w:r>
      <w:r w:rsidRPr="00BF2043" w:rsidR="00157A90">
        <w:t>1</w:t>
      </w:r>
      <w:r w:rsidRPr="00BF2043" w:rsidR="00BF28C3">
        <w:t>.</w:t>
      </w:r>
      <w:r w:rsidRPr="00BF2043" w:rsidR="00157A90">
        <w:t>31</w:t>
      </w:r>
      <w:r w:rsidRPr="00BF2043" w:rsidR="00BF2043">
        <w:t>2</w:t>
      </w:r>
      <w:r w:rsidR="007542D0">
        <w:t> </w:t>
      </w:r>
      <w:r w:rsidRPr="00BF2043" w:rsidR="00BF2043">
        <w:t>b</w:t>
      </w:r>
      <w:r w:rsidRPr="00BF2043">
        <w:t xml:space="preserve">illion relative </w:t>
      </w:r>
      <w:r>
        <w:t xml:space="preserve">to </w:t>
      </w:r>
      <w:r w:rsidR="007C6F88">
        <w:t xml:space="preserve">the </w:t>
      </w:r>
      <w:r>
        <w:t>revenue</w:t>
      </w:r>
      <w:r w:rsidR="004967CA">
        <w:t xml:space="preserve"> </w:t>
      </w:r>
      <w:r w:rsidR="00BF2043">
        <w:t>provided</w:t>
      </w:r>
      <w:r w:rsidR="004967CA">
        <w:t xml:space="preserve"> by</w:t>
      </w:r>
      <w:r>
        <w:t xml:space="preserve"> rates</w:t>
      </w:r>
      <w:r w:rsidR="00C37221">
        <w:t xml:space="preserve"> effective at that time.</w:t>
      </w:r>
      <w:r w:rsidR="00BF28C3">
        <w:rPr>
          <w:rStyle w:val="FootnoteReference"/>
        </w:rPr>
        <w:footnoteReference w:id="7"/>
      </w:r>
    </w:p>
    <w:p w:rsidR="008D6B18" w:rsidP="00F45E3D" w:rsidRDefault="00F35D40" w14:paraId="141F79D2" w14:textId="77777777">
      <w:pPr>
        <w:pStyle w:val="Standard"/>
      </w:pPr>
      <w:r>
        <w:t xml:space="preserve">On </w:t>
      </w:r>
      <w:r w:rsidR="003457BC">
        <w:t xml:space="preserve">May 30, 2024, SCE </w:t>
      </w:r>
      <w:r w:rsidR="004C6E4B">
        <w:t xml:space="preserve">filed </w:t>
      </w:r>
      <w:r w:rsidR="007542D0">
        <w:t>Application (</w:t>
      </w:r>
      <w:r w:rsidR="004C6E4B">
        <w:t>A.</w:t>
      </w:r>
      <w:r w:rsidR="007542D0">
        <w:t xml:space="preserve">) </w:t>
      </w:r>
      <w:r w:rsidR="004C6E4B">
        <w:t>24-05-025</w:t>
      </w:r>
      <w:r w:rsidR="00E367F3">
        <w:t xml:space="preserve"> </w:t>
      </w:r>
      <w:r w:rsidR="00EA3F44">
        <w:t xml:space="preserve">notifying the Commission of an overcollection in rates and requesting authority to </w:t>
      </w:r>
      <w:r w:rsidR="00950FFB">
        <w:t>decrease bundle</w:t>
      </w:r>
      <w:r w:rsidR="00735C46">
        <w:t>d</w:t>
      </w:r>
      <w:r w:rsidR="00950FFB">
        <w:t xml:space="preserve"> service</w:t>
      </w:r>
      <w:r w:rsidR="00735C46">
        <w:t xml:space="preserve"> rates. This </w:t>
      </w:r>
      <w:r w:rsidR="00380E15">
        <w:t xml:space="preserve">expedited </w:t>
      </w:r>
      <w:r w:rsidR="00F45E3D">
        <w:t xml:space="preserve">Trigger </w:t>
      </w:r>
      <w:r w:rsidR="00735C46">
        <w:t xml:space="preserve">application was approved </w:t>
      </w:r>
      <w:r w:rsidR="0052411D">
        <w:t>by</w:t>
      </w:r>
      <w:r w:rsidR="00735C46">
        <w:t xml:space="preserve"> </w:t>
      </w:r>
    </w:p>
    <w:p w:rsidR="00BF2043" w:rsidP="008D6B18" w:rsidRDefault="00735C46" w14:paraId="61D58CD0" w14:textId="4F5BE9A7">
      <w:pPr>
        <w:pStyle w:val="Standard"/>
        <w:ind w:firstLine="0"/>
      </w:pPr>
      <w:r>
        <w:t>D.</w:t>
      </w:r>
      <w:r w:rsidR="00540304">
        <w:t>24-08-015</w:t>
      </w:r>
      <w:r w:rsidR="008457B1">
        <w:t xml:space="preserve">. </w:t>
      </w:r>
      <w:r w:rsidR="00380E15">
        <w:t xml:space="preserve">In order to </w:t>
      </w:r>
      <w:r w:rsidRPr="00F45E3D" w:rsidR="00F45E3D">
        <w:t>avoid double counting the impact of the 2024 ERRA Trigger implementation, SCE is removing the portion of the balance that is already approved for recovery in the</w:t>
      </w:r>
      <w:r w:rsidR="00F45E3D">
        <w:t xml:space="preserve"> </w:t>
      </w:r>
      <w:r w:rsidRPr="00F45E3D" w:rsidR="00F45E3D">
        <w:t>ERRA Trigger line item of SCE’s consolidated revenue requirement from its estimate of the 2024 year</w:t>
      </w:r>
      <w:r w:rsidR="00FF5AEF">
        <w:t>-</w:t>
      </w:r>
      <w:r w:rsidRPr="00F45E3D" w:rsidR="00F45E3D">
        <w:t>end ERRA BA balance.</w:t>
      </w:r>
      <w:r w:rsidR="003A642A">
        <w:rPr>
          <w:rStyle w:val="FootnoteReference"/>
        </w:rPr>
        <w:footnoteReference w:id="8"/>
      </w:r>
    </w:p>
    <w:p w:rsidR="00B642E4" w:rsidP="00003610" w:rsidRDefault="00003610" w14:paraId="6764F96F" w14:textId="77777777">
      <w:pPr>
        <w:pStyle w:val="Standard"/>
      </w:pPr>
      <w:r>
        <w:t>On Ju</w:t>
      </w:r>
      <w:r w:rsidR="00DB5142">
        <w:t>ne</w:t>
      </w:r>
      <w:r>
        <w:t xml:space="preserve"> </w:t>
      </w:r>
      <w:r w:rsidR="00DB5142">
        <w:t>17</w:t>
      </w:r>
      <w:r>
        <w:t>, 202</w:t>
      </w:r>
      <w:r w:rsidR="00DB5142">
        <w:t>4</w:t>
      </w:r>
      <w:r>
        <w:t xml:space="preserve">, the California Community Choice Association (CalCCA) and the Public Advocates Office at the California Public Utilities Commission (Cal Advocates) filed protests to SCE’s Application. </w:t>
      </w:r>
    </w:p>
    <w:p w:rsidR="00EA6CCF" w:rsidP="00003610" w:rsidRDefault="00003610" w14:paraId="31C4F102" w14:textId="60EC617E">
      <w:pPr>
        <w:pStyle w:val="Standard"/>
      </w:pPr>
      <w:r>
        <w:lastRenderedPageBreak/>
        <w:t>Also on Ju</w:t>
      </w:r>
      <w:r w:rsidR="00DB5142">
        <w:t>ne 17</w:t>
      </w:r>
      <w:r>
        <w:t>, 202</w:t>
      </w:r>
      <w:r w:rsidR="00DB5142">
        <w:t>4</w:t>
      </w:r>
      <w:r>
        <w:t xml:space="preserve">, the Direct Access Customer Coalition (DACC) filed a response to the Application. </w:t>
      </w:r>
    </w:p>
    <w:p w:rsidR="00003610" w:rsidP="00003610" w:rsidRDefault="00003610" w14:paraId="1B0BBF7C" w14:textId="52FCCBB9">
      <w:pPr>
        <w:pStyle w:val="Standard"/>
      </w:pPr>
      <w:r>
        <w:t>On Ju</w:t>
      </w:r>
      <w:r w:rsidR="00DB5142">
        <w:t>ne 2</w:t>
      </w:r>
      <w:r>
        <w:t>7, 202</w:t>
      </w:r>
      <w:r w:rsidR="00DB5142">
        <w:t>4</w:t>
      </w:r>
      <w:r>
        <w:t xml:space="preserve">, SCE filed a reply to the </w:t>
      </w:r>
      <w:r w:rsidR="001C1CD5">
        <w:t xml:space="preserve">intervenors’ </w:t>
      </w:r>
      <w:r>
        <w:t xml:space="preserve">protests and response. </w:t>
      </w:r>
      <w:r w:rsidRPr="006367BF" w:rsidR="006367BF">
        <w:t xml:space="preserve">CalCCA, Cal Advocates, and DACC were granted party status given their timely response to SCE’s Application. </w:t>
      </w:r>
    </w:p>
    <w:p w:rsidR="00400B8F" w:rsidP="00400B8F" w:rsidRDefault="00400B8F" w14:paraId="63F92554" w14:textId="19E4F48F">
      <w:pPr>
        <w:pStyle w:val="Standard"/>
      </w:pPr>
      <w:r>
        <w:t xml:space="preserve">A </w:t>
      </w:r>
      <w:r w:rsidRPr="00E857A5">
        <w:t>prehearing</w:t>
      </w:r>
      <w:r>
        <w:t xml:space="preserve"> conference (PHC) was held on July 26, 2024, to discuss the issues of law and fact and determine the need for hearing and schedule for resolving the matter. </w:t>
      </w:r>
      <w:r w:rsidR="00C96462">
        <w:t xml:space="preserve">The </w:t>
      </w:r>
      <w:r w:rsidR="000F28DE">
        <w:t>Energy Producers and Users Coalition</w:t>
      </w:r>
      <w:r w:rsidR="00407631">
        <w:t xml:space="preserve"> (EPUC)</w:t>
      </w:r>
      <w:r w:rsidR="000F28DE">
        <w:t xml:space="preserve"> made an oral motion for</w:t>
      </w:r>
      <w:r w:rsidR="00B11489">
        <w:t>, and were granted, party status</w:t>
      </w:r>
      <w:r w:rsidR="00C603B4">
        <w:t xml:space="preserve"> in</w:t>
      </w:r>
      <w:r>
        <w:t xml:space="preserve"> the PHC.</w:t>
      </w:r>
    </w:p>
    <w:p w:rsidR="00F61FCD" w:rsidP="00F61FCD" w:rsidRDefault="00F61FCD" w14:paraId="3FDF6003" w14:textId="54699F92">
      <w:pPr>
        <w:pStyle w:val="Standard"/>
      </w:pPr>
      <w:r>
        <w:t xml:space="preserve">On August </w:t>
      </w:r>
      <w:r w:rsidR="00F92E05">
        <w:t>14</w:t>
      </w:r>
      <w:r>
        <w:t>, 202</w:t>
      </w:r>
      <w:r w:rsidR="00F92E05">
        <w:t>4</w:t>
      </w:r>
      <w:r>
        <w:t xml:space="preserve">, </w:t>
      </w:r>
      <w:r w:rsidR="008D6B18">
        <w:t>the assigned</w:t>
      </w:r>
      <w:r>
        <w:t xml:space="preserve"> Commissioner issued the Scoping Memo</w:t>
      </w:r>
      <w:r w:rsidR="001C1CD5">
        <w:t>randum</w:t>
      </w:r>
      <w:r>
        <w:t xml:space="preserve"> and Ruling</w:t>
      </w:r>
      <w:r w:rsidR="00112213">
        <w:t xml:space="preserve"> (Scoping Memo)</w:t>
      </w:r>
      <w:r>
        <w:t xml:space="preserve">. </w:t>
      </w:r>
    </w:p>
    <w:p w:rsidR="006301D7" w:rsidP="00F61FCD" w:rsidRDefault="006301D7" w14:paraId="34C6801E" w14:textId="12BA5674">
      <w:pPr>
        <w:pStyle w:val="Standard"/>
      </w:pPr>
      <w:r>
        <w:t>On August</w:t>
      </w:r>
      <w:r w:rsidR="00B86D5A">
        <w:t xml:space="preserve"> 17, 2024</w:t>
      </w:r>
      <w:r w:rsidR="004967CA">
        <w:t>,</w:t>
      </w:r>
      <w:r w:rsidR="00B86D5A">
        <w:t xml:space="preserve"> SCE filed Supplemental Testimony addressing how it intends to </w:t>
      </w:r>
      <w:r w:rsidR="00305315">
        <w:t xml:space="preserve">integrate the </w:t>
      </w:r>
      <w:r w:rsidR="00F572CB">
        <w:t>new 24-hour Slice of Day (SOD) Resource Adequacy (RA) framework into th</w:t>
      </w:r>
      <w:r w:rsidR="00F85AD5">
        <w:t>is</w:t>
      </w:r>
      <w:r w:rsidR="00F572CB">
        <w:t xml:space="preserve"> ERRA forecast ratemaking</w:t>
      </w:r>
      <w:r w:rsidR="00BF3D4A">
        <w:t xml:space="preserve"> and </w:t>
      </w:r>
      <w:r w:rsidR="007811A4">
        <w:t>how it proposes to allocate large hydroelectric and nuclear energy</w:t>
      </w:r>
      <w:r w:rsidR="00F85AD5">
        <w:t>.</w:t>
      </w:r>
    </w:p>
    <w:p w:rsidR="00A36B5A" w:rsidP="00F61FCD" w:rsidRDefault="00FD6D83" w14:paraId="1411FCB0" w14:textId="464C0D40">
      <w:pPr>
        <w:pStyle w:val="Standard"/>
      </w:pPr>
      <w:r>
        <w:t xml:space="preserve">On September 3, 2024, CalCCA filed </w:t>
      </w:r>
      <w:r w:rsidR="00F70242">
        <w:t>t</w:t>
      </w:r>
      <w:r w:rsidR="0019662D">
        <w:t xml:space="preserve">estimony </w:t>
      </w:r>
      <w:r w:rsidR="00897E21">
        <w:t xml:space="preserve">objecting to </w:t>
      </w:r>
      <w:r w:rsidR="00EC05B0">
        <w:t>SCE’s SOD approach</w:t>
      </w:r>
      <w:r w:rsidR="00CB7A99">
        <w:t xml:space="preserve">, </w:t>
      </w:r>
      <w:r w:rsidR="00DA4779">
        <w:t xml:space="preserve">suggesting changes </w:t>
      </w:r>
      <w:r w:rsidR="00190BE6">
        <w:t>to</w:t>
      </w:r>
      <w:r w:rsidR="00DA4779">
        <w:t xml:space="preserve"> RA</w:t>
      </w:r>
      <w:r w:rsidR="00190BE6">
        <w:t xml:space="preserve"> sales forecasts and allocation</w:t>
      </w:r>
      <w:r w:rsidR="00CB7A99">
        <w:t xml:space="preserve">, and </w:t>
      </w:r>
      <w:r w:rsidR="00DD32C4">
        <w:t xml:space="preserve">asserting </w:t>
      </w:r>
      <w:r w:rsidR="00AF69C7">
        <w:t>several spreadsheet errors.</w:t>
      </w:r>
    </w:p>
    <w:p w:rsidR="0019662D" w:rsidP="00F61FCD" w:rsidRDefault="0019662D" w14:paraId="122DB2D0" w14:textId="46C4098D">
      <w:pPr>
        <w:pStyle w:val="Standard"/>
      </w:pPr>
      <w:r>
        <w:t>On Se</w:t>
      </w:r>
      <w:r w:rsidR="00042CF3">
        <w:t xml:space="preserve">ptember </w:t>
      </w:r>
      <w:r w:rsidR="008D79B6">
        <w:t>19</w:t>
      </w:r>
      <w:r w:rsidR="00183D28">
        <w:t>, 2024</w:t>
      </w:r>
      <w:r w:rsidR="008D79B6">
        <w:t xml:space="preserve">, SCE filed rebuttal </w:t>
      </w:r>
      <w:r w:rsidR="00DD32C4">
        <w:t>t</w:t>
      </w:r>
      <w:r w:rsidR="008D79B6">
        <w:t xml:space="preserve">estimony addressing </w:t>
      </w:r>
      <w:r w:rsidR="00BB42B6">
        <w:t xml:space="preserve">CalCCA’s </w:t>
      </w:r>
      <w:r w:rsidR="00DD32C4">
        <w:t>t</w:t>
      </w:r>
      <w:r w:rsidR="00E4076A">
        <w:t>estimony by</w:t>
      </w:r>
      <w:r w:rsidR="00C80778">
        <w:t xml:space="preserve"> </w:t>
      </w:r>
      <w:r w:rsidR="00C97ACB">
        <w:t xml:space="preserve">articulating </w:t>
      </w:r>
      <w:r w:rsidR="00DD32C4">
        <w:t xml:space="preserve">its </w:t>
      </w:r>
      <w:r w:rsidR="00C97ACB">
        <w:t xml:space="preserve">rationale to </w:t>
      </w:r>
      <w:r w:rsidR="00FD5C62">
        <w:t>continue with a SOD approach,</w:t>
      </w:r>
      <w:r w:rsidR="00E4076A">
        <w:t xml:space="preserve"> committing to correct </w:t>
      </w:r>
      <w:r w:rsidR="00DD32C4">
        <w:t xml:space="preserve">the identified </w:t>
      </w:r>
      <w:r w:rsidR="00E4076A">
        <w:t xml:space="preserve">spreadsheet errors, </w:t>
      </w:r>
      <w:r w:rsidR="00FD5C62">
        <w:t xml:space="preserve">and </w:t>
      </w:r>
      <w:r w:rsidR="009D386F">
        <w:t>clarifying their proposed RA</w:t>
      </w:r>
      <w:r w:rsidR="00FD5C62">
        <w:t xml:space="preserve"> and RPS</w:t>
      </w:r>
      <w:r w:rsidR="009D386F">
        <w:t xml:space="preserve"> treatment</w:t>
      </w:r>
      <w:r w:rsidR="00FD5C62">
        <w:t>.</w:t>
      </w:r>
      <w:r w:rsidR="009D386F">
        <w:t xml:space="preserve"> </w:t>
      </w:r>
    </w:p>
    <w:p w:rsidR="00A23FD8" w:rsidP="00F61FCD" w:rsidRDefault="00A23FD8" w14:paraId="7F9F2E89" w14:textId="78DBFC50">
      <w:pPr>
        <w:pStyle w:val="Standard"/>
      </w:pPr>
      <w:r>
        <w:t xml:space="preserve">On September 16, 2024, the </w:t>
      </w:r>
      <w:r w:rsidR="00FB44D4">
        <w:t>a</w:t>
      </w:r>
      <w:r>
        <w:t xml:space="preserve">ssigned </w:t>
      </w:r>
      <w:r w:rsidR="00E74394">
        <w:t>Administrative Law Judge (AL</w:t>
      </w:r>
      <w:r>
        <w:t>J</w:t>
      </w:r>
      <w:r w:rsidR="003163DE">
        <w:t xml:space="preserve">) issued a ruling </w:t>
      </w:r>
      <w:r w:rsidR="00F755BD">
        <w:t>acknowledging reduced comment and reply period</w:t>
      </w:r>
      <w:r w:rsidR="00E27BEA">
        <w:t>s</w:t>
      </w:r>
      <w:r w:rsidR="00DD32C4">
        <w:t xml:space="preserve"> of seven days</w:t>
      </w:r>
      <w:r w:rsidR="00F755BD">
        <w:t xml:space="preserve"> and directing parties to respond.</w:t>
      </w:r>
    </w:p>
    <w:p w:rsidR="00F755BD" w:rsidP="00F61FCD" w:rsidRDefault="00F755BD" w14:paraId="2817369D" w14:textId="7F86CE6A">
      <w:pPr>
        <w:pStyle w:val="Standard"/>
      </w:pPr>
      <w:r>
        <w:lastRenderedPageBreak/>
        <w:t xml:space="preserve">On </w:t>
      </w:r>
      <w:r w:rsidR="00183282">
        <w:t xml:space="preserve">September 23, </w:t>
      </w:r>
      <w:r w:rsidR="00183D28">
        <w:t xml:space="preserve">2024, </w:t>
      </w:r>
      <w:r w:rsidR="00620C47">
        <w:t>SCE</w:t>
      </w:r>
      <w:r w:rsidR="00205D21">
        <w:t xml:space="preserve"> filed a </w:t>
      </w:r>
      <w:r w:rsidR="00711753">
        <w:t xml:space="preserve">Joint Case Management </w:t>
      </w:r>
      <w:r w:rsidR="00205D21">
        <w:t>statement on behalf of</w:t>
      </w:r>
      <w:r w:rsidR="00E27BEA">
        <w:t xml:space="preserve"> SCE</w:t>
      </w:r>
      <w:r w:rsidR="00620C47">
        <w:t>, CalCCA, Cal</w:t>
      </w:r>
      <w:r w:rsidR="000F233A">
        <w:t xml:space="preserve"> </w:t>
      </w:r>
      <w:r w:rsidR="00620C47">
        <w:t>Advocates,</w:t>
      </w:r>
      <w:r w:rsidR="00711753">
        <w:t xml:space="preserve"> EPUC</w:t>
      </w:r>
      <w:r w:rsidR="00A83C11">
        <w:t>,</w:t>
      </w:r>
      <w:r w:rsidR="00620C47">
        <w:t xml:space="preserve"> and DACC (Joint Parties)</w:t>
      </w:r>
      <w:r w:rsidR="00E27BEA">
        <w:t xml:space="preserve">, confirming </w:t>
      </w:r>
      <w:r w:rsidR="006276EC">
        <w:t>(1)</w:t>
      </w:r>
      <w:r w:rsidR="009B1DE4">
        <w:t> </w:t>
      </w:r>
      <w:r w:rsidR="00E27BEA">
        <w:t>the reduced comment and reply</w:t>
      </w:r>
      <w:r w:rsidR="00602B60">
        <w:t xml:space="preserve"> comment</w:t>
      </w:r>
      <w:r w:rsidR="00E27BEA">
        <w:t xml:space="preserve"> periods and </w:t>
      </w:r>
      <w:r w:rsidR="006276EC">
        <w:t>(2)</w:t>
      </w:r>
      <w:r w:rsidR="00876B63">
        <w:t xml:space="preserve"> </w:t>
      </w:r>
      <w:r w:rsidR="00E27BEA">
        <w:t>that there</w:t>
      </w:r>
      <w:r w:rsidR="0072757A">
        <w:t xml:space="preserve"> are no disputed material issues of fact.</w:t>
      </w:r>
    </w:p>
    <w:p w:rsidR="0055605A" w:rsidP="00003610" w:rsidRDefault="00A76D8B" w14:paraId="1C1BC7CF" w14:textId="17460AC2">
      <w:pPr>
        <w:pStyle w:val="Standard"/>
      </w:pPr>
      <w:r>
        <w:t xml:space="preserve">On October </w:t>
      </w:r>
      <w:r w:rsidR="00DE66DF">
        <w:t>2</w:t>
      </w:r>
      <w:r w:rsidR="00183D28">
        <w:t>, 2024</w:t>
      </w:r>
      <w:r w:rsidR="00DE66DF">
        <w:t xml:space="preserve">, the </w:t>
      </w:r>
      <w:r w:rsidR="00300673">
        <w:t xml:space="preserve">Commission’s </w:t>
      </w:r>
      <w:r w:rsidR="00DE66DF">
        <w:t xml:space="preserve">Energy Division </w:t>
      </w:r>
      <w:r w:rsidR="00300673">
        <w:t>(ED)</w:t>
      </w:r>
      <w:r w:rsidR="006C7AC1">
        <w:t xml:space="preserve"> published the 2025 </w:t>
      </w:r>
      <w:r w:rsidR="000942AA">
        <w:t xml:space="preserve">Market Price Benchmark (MPB) for </w:t>
      </w:r>
      <w:r w:rsidR="00276558">
        <w:t xml:space="preserve">the </w:t>
      </w:r>
      <w:r w:rsidR="002D3C29">
        <w:t>Energy Index and Renewable Portfolio Standard</w:t>
      </w:r>
      <w:r w:rsidR="002509FA">
        <w:t xml:space="preserve"> (RPS)</w:t>
      </w:r>
      <w:r w:rsidR="002D3C29">
        <w:t xml:space="preserve"> </w:t>
      </w:r>
      <w:r w:rsidR="009279BA">
        <w:t>, noting that the</w:t>
      </w:r>
      <w:r w:rsidR="003A33B1">
        <w:t>re has been an unforeseen delay to the release of the</w:t>
      </w:r>
      <w:r w:rsidRPr="003A33B1" w:rsidR="003A33B1">
        <w:t xml:space="preserve"> </w:t>
      </w:r>
      <w:r w:rsidR="003A33B1">
        <w:t>Resource Adequacy (RA) MPBs</w:t>
      </w:r>
      <w:r w:rsidR="00C24942">
        <w:t>.</w:t>
      </w:r>
    </w:p>
    <w:p w:rsidR="00400B8F" w:rsidP="00003610" w:rsidRDefault="00413EF8" w14:paraId="57CCB99A" w14:textId="591B1BFA">
      <w:pPr>
        <w:pStyle w:val="Standard"/>
      </w:pPr>
      <w:r>
        <w:t xml:space="preserve">On October </w:t>
      </w:r>
      <w:r w:rsidR="006662A1">
        <w:t>4, 2024</w:t>
      </w:r>
      <w:r w:rsidR="00265040">
        <w:t>,</w:t>
      </w:r>
      <w:r w:rsidR="006662A1">
        <w:t xml:space="preserve"> ED </w:t>
      </w:r>
      <w:r w:rsidR="00340E8A">
        <w:t>publi</w:t>
      </w:r>
      <w:r w:rsidR="006662A1">
        <w:t>shed</w:t>
      </w:r>
      <w:r w:rsidR="00440328">
        <w:t xml:space="preserve"> an addendum to the MPBs to include</w:t>
      </w:r>
      <w:r w:rsidR="006662A1">
        <w:t xml:space="preserve"> the </w:t>
      </w:r>
      <w:r w:rsidR="00D16545">
        <w:t>RA</w:t>
      </w:r>
      <w:r w:rsidR="00895DAA">
        <w:t xml:space="preserve"> </w:t>
      </w:r>
      <w:r w:rsidR="00386305">
        <w:t>MPBs</w:t>
      </w:r>
      <w:r w:rsidR="00A435F1">
        <w:t>.</w:t>
      </w:r>
      <w:r w:rsidR="00D61134">
        <w:t xml:space="preserve"> This addendum contained additional information </w:t>
      </w:r>
      <w:r w:rsidR="00723E8D">
        <w:t>regarding transaction volumes</w:t>
      </w:r>
      <w:r w:rsidR="00746884">
        <w:t xml:space="preserve"> and noted that the overall number is driven by the summer versus winter differential.</w:t>
      </w:r>
      <w:r w:rsidR="00CF76AC">
        <w:t xml:space="preserve"> </w:t>
      </w:r>
      <w:r w:rsidR="003358B6">
        <w:t>2025</w:t>
      </w:r>
      <w:r w:rsidR="00A04E9A">
        <w:t xml:space="preserve"> flexible and system</w:t>
      </w:r>
      <w:r w:rsidR="003358B6">
        <w:t xml:space="preserve"> MPB </w:t>
      </w:r>
      <w:r w:rsidR="00A04E9A">
        <w:t xml:space="preserve">forecast values are based upon </w:t>
      </w:r>
      <w:r w:rsidR="00E806F7">
        <w:t xml:space="preserve">a </w:t>
      </w:r>
      <w:r w:rsidR="00BA1CD6">
        <w:t xml:space="preserve">transaction </w:t>
      </w:r>
      <w:r w:rsidR="00E806F7">
        <w:t>volume that is approximately five and seven times smaller</w:t>
      </w:r>
      <w:r w:rsidR="0031558B">
        <w:t>, respectively,</w:t>
      </w:r>
      <w:r w:rsidR="00E806F7">
        <w:t xml:space="preserve"> tha</w:t>
      </w:r>
      <w:r w:rsidR="0031558B">
        <w:t>n</w:t>
      </w:r>
      <w:r w:rsidR="00E806F7">
        <w:t xml:space="preserve"> the</w:t>
      </w:r>
      <w:r w:rsidR="00BA1CD6">
        <w:t xml:space="preserve"> transaction volumes</w:t>
      </w:r>
      <w:r w:rsidR="000D1122">
        <w:t xml:space="preserve"> </w:t>
      </w:r>
      <w:r w:rsidR="00BA1CD6">
        <w:t>used to forecast 2024</w:t>
      </w:r>
      <w:r w:rsidR="000D1122">
        <w:t xml:space="preserve"> flexible and system MPB values.</w:t>
      </w:r>
      <w:r w:rsidR="003358B6">
        <w:t xml:space="preserve"> </w:t>
      </w:r>
    </w:p>
    <w:p w:rsidR="00072509" w:rsidP="00003610" w:rsidRDefault="00E962DE" w14:paraId="76FA68CC" w14:textId="3FEC1FFB">
      <w:pPr>
        <w:pStyle w:val="Standard"/>
      </w:pPr>
      <w:r>
        <w:t xml:space="preserve">On October 4, 2024, SCE filed a motion requesting </w:t>
      </w:r>
      <w:r w:rsidR="00A71A50">
        <w:t>a</w:t>
      </w:r>
      <w:r w:rsidR="006A7F9A">
        <w:t xml:space="preserve"> </w:t>
      </w:r>
      <w:r w:rsidR="00681C49">
        <w:t>three-day</w:t>
      </w:r>
      <w:r w:rsidR="00A71A50">
        <w:t xml:space="preserve"> extension of time for the October Update</w:t>
      </w:r>
      <w:r w:rsidR="00A34794">
        <w:t xml:space="preserve"> and</w:t>
      </w:r>
      <w:r w:rsidR="00A71A50">
        <w:t xml:space="preserve"> a</w:t>
      </w:r>
      <w:r w:rsidR="00866EC2">
        <w:t>ll</w:t>
      </w:r>
      <w:r w:rsidR="00A71A50">
        <w:t xml:space="preserve"> subsequent </w:t>
      </w:r>
      <w:r w:rsidR="003529D7">
        <w:t>filings</w:t>
      </w:r>
      <w:r w:rsidR="00866EC2">
        <w:t xml:space="preserve"> enumerated in the Scoping Memo,</w:t>
      </w:r>
      <w:r w:rsidR="003529D7">
        <w:t xml:space="preserve"> due to the delay</w:t>
      </w:r>
      <w:r w:rsidR="006A7F9A">
        <w:rPr>
          <w:rStyle w:val="FootnoteReference"/>
        </w:rPr>
        <w:footnoteReference w:id="9"/>
      </w:r>
      <w:r w:rsidR="003529D7">
        <w:t xml:space="preserve"> in publication of the MPB values.</w:t>
      </w:r>
    </w:p>
    <w:p w:rsidR="00FD5C62" w:rsidP="00003610" w:rsidRDefault="00FD5C62" w14:paraId="192ABADD" w14:textId="7C131523">
      <w:pPr>
        <w:pStyle w:val="Standard"/>
      </w:pPr>
      <w:r>
        <w:t>On October</w:t>
      </w:r>
      <w:r w:rsidR="00C7766F">
        <w:t xml:space="preserve"> 7</w:t>
      </w:r>
      <w:r w:rsidR="00183D28">
        <w:t>,</w:t>
      </w:r>
      <w:r w:rsidRPr="00183D28" w:rsidR="00183D28">
        <w:t xml:space="preserve"> </w:t>
      </w:r>
      <w:r w:rsidR="00183D28">
        <w:t>2024,</w:t>
      </w:r>
      <w:r w:rsidR="009E42FB">
        <w:t xml:space="preserve"> the </w:t>
      </w:r>
      <w:r w:rsidR="00FB44D4">
        <w:t>a</w:t>
      </w:r>
      <w:r w:rsidR="009E42FB">
        <w:t xml:space="preserve">ssigned ALJ issued a ruling </w:t>
      </w:r>
      <w:r w:rsidR="00112213">
        <w:t>extending the</w:t>
      </w:r>
      <w:r w:rsidR="004E2B43">
        <w:t xml:space="preserve"> due date for filings enumerated in the</w:t>
      </w:r>
      <w:r w:rsidR="00112213">
        <w:t xml:space="preserve"> Scoping Memo schedule two days. </w:t>
      </w:r>
    </w:p>
    <w:p w:rsidR="009B1DE4" w:rsidP="00003610" w:rsidRDefault="003529D7" w14:paraId="646DC94F" w14:textId="519836AB">
      <w:pPr>
        <w:pStyle w:val="Standard"/>
      </w:pPr>
      <w:r>
        <w:t>On October 8,</w:t>
      </w:r>
      <w:r w:rsidRPr="00183D28">
        <w:t xml:space="preserve"> </w:t>
      </w:r>
      <w:r>
        <w:t xml:space="preserve">2024, the </w:t>
      </w:r>
      <w:r w:rsidR="00FB44D4">
        <w:t>a</w:t>
      </w:r>
      <w:r>
        <w:t>ssigned ALJ issued a ruling</w:t>
      </w:r>
      <w:r w:rsidR="006839AB">
        <w:t xml:space="preserve"> requesting party comment on procedural mechanisms</w:t>
      </w:r>
      <w:r w:rsidR="00FA7574">
        <w:t xml:space="preserve"> that should be considered to avoid an </w:t>
      </w:r>
    </w:p>
    <w:p w:rsidR="003529D7" w:rsidP="009B1DE4" w:rsidRDefault="00FA7574" w14:paraId="62F3E676" w14:textId="7DD80CBE">
      <w:pPr>
        <w:pStyle w:val="Standard"/>
        <w:ind w:firstLine="0"/>
      </w:pPr>
      <w:r>
        <w:t>over-</w:t>
      </w:r>
      <w:r w:rsidR="00835533">
        <w:t>collection</w:t>
      </w:r>
      <w:r>
        <w:t xml:space="preserve"> or under-</w:t>
      </w:r>
      <w:r w:rsidR="00835533">
        <w:t>collection as a result of the current MPB methodology.</w:t>
      </w:r>
    </w:p>
    <w:p w:rsidR="003B516B" w:rsidP="00003610" w:rsidRDefault="003B516B" w14:paraId="0E20FB18" w14:textId="39CB8A69">
      <w:pPr>
        <w:pStyle w:val="Standard"/>
      </w:pPr>
      <w:r>
        <w:lastRenderedPageBreak/>
        <w:t>On Oct</w:t>
      </w:r>
      <w:r w:rsidR="00183D28">
        <w:t xml:space="preserve">ober 11, 2024, </w:t>
      </w:r>
      <w:r w:rsidR="004A1532">
        <w:t xml:space="preserve">ED published </w:t>
      </w:r>
      <w:r w:rsidR="00784F97">
        <w:t>errata</w:t>
      </w:r>
      <w:r w:rsidR="000D1564">
        <w:t xml:space="preserve"> </w:t>
      </w:r>
      <w:r w:rsidR="002509FA">
        <w:t xml:space="preserve">updating the </w:t>
      </w:r>
      <w:r w:rsidR="00FA76E9">
        <w:t>2024 (final) and 2025</w:t>
      </w:r>
      <w:r w:rsidR="000F233A">
        <w:t xml:space="preserve"> </w:t>
      </w:r>
      <w:r w:rsidR="00FA76E9">
        <w:t xml:space="preserve">(forecast) </w:t>
      </w:r>
      <w:r w:rsidR="00414F48">
        <w:t>RPS</w:t>
      </w:r>
      <w:r w:rsidR="000D1564">
        <w:t xml:space="preserve"> </w:t>
      </w:r>
      <w:r w:rsidR="004730C7">
        <w:t>MPB</w:t>
      </w:r>
      <w:r w:rsidR="00117A57">
        <w:t>s</w:t>
      </w:r>
      <w:r w:rsidR="00FA76E9">
        <w:t>.</w:t>
      </w:r>
      <w:r w:rsidR="0043679E">
        <w:t xml:space="preserve"> </w:t>
      </w:r>
      <w:r w:rsidR="003A693C">
        <w:t xml:space="preserve">The 2024 value was reduced by </w:t>
      </w:r>
      <w:r w:rsidR="0064741A">
        <w:t>fourteen</w:t>
      </w:r>
      <w:r w:rsidR="0023346A">
        <w:t xml:space="preserve"> percent and the 2025 value was increased by </w:t>
      </w:r>
      <w:r w:rsidR="0064741A">
        <w:t>six percent.</w:t>
      </w:r>
    </w:p>
    <w:p w:rsidR="00B64E5C" w:rsidP="00003610" w:rsidRDefault="004C0AC3" w14:paraId="7683E02F" w14:textId="68090CF4">
      <w:pPr>
        <w:pStyle w:val="Standard"/>
      </w:pPr>
      <w:r>
        <w:t xml:space="preserve">On October </w:t>
      </w:r>
      <w:r w:rsidR="007C5D15">
        <w:t>14, 2024, CalCCA filed a response to the October 8, 2024</w:t>
      </w:r>
      <w:r w:rsidR="00487E4B">
        <w:t>,</w:t>
      </w:r>
      <w:r w:rsidR="007C5D15">
        <w:t xml:space="preserve"> ALJ Ruling</w:t>
      </w:r>
      <w:r w:rsidR="008A51D6">
        <w:t xml:space="preserve">. This response asserts that </w:t>
      </w:r>
      <w:r w:rsidR="0040550D">
        <w:t xml:space="preserve">no procedural mechanisms are appropriate </w:t>
      </w:r>
      <w:r w:rsidR="00C603E8">
        <w:t xml:space="preserve">at this time as </w:t>
      </w:r>
      <w:r w:rsidR="008A51D6">
        <w:t>the RA and RPS MPBs are doing precisely what the Commission intended</w:t>
      </w:r>
      <w:r w:rsidR="00956D44">
        <w:t>, including the prevention of cost shifts among customers.</w:t>
      </w:r>
    </w:p>
    <w:p w:rsidR="00117276" w:rsidP="007358A6" w:rsidRDefault="00A400C0" w14:paraId="7DBEF851" w14:textId="5B074B60">
      <w:pPr>
        <w:pStyle w:val="Standard"/>
      </w:pPr>
      <w:r>
        <w:t>On October 1</w:t>
      </w:r>
      <w:r w:rsidR="00E85F63">
        <w:t>4,</w:t>
      </w:r>
      <w:r w:rsidR="00C57F00">
        <w:t xml:space="preserve"> 2024,</w:t>
      </w:r>
      <w:r w:rsidR="00E85F63">
        <w:t xml:space="preserve"> SCE</w:t>
      </w:r>
      <w:r w:rsidR="00D13766">
        <w:t xml:space="preserve"> timely</w:t>
      </w:r>
      <w:r w:rsidR="00E85F63">
        <w:t xml:space="preserve"> </w:t>
      </w:r>
      <w:r w:rsidR="004B11AF">
        <w:t>filed</w:t>
      </w:r>
      <w:r w:rsidR="00252637">
        <w:t xml:space="preserve"> both </w:t>
      </w:r>
      <w:r w:rsidR="006E5E39">
        <w:t>its initial October Update and response</w:t>
      </w:r>
      <w:r w:rsidR="00252637">
        <w:t xml:space="preserve"> to the Oc</w:t>
      </w:r>
      <w:r w:rsidR="008F71EB">
        <w:t>tober 8, 2024</w:t>
      </w:r>
      <w:r w:rsidR="00E707E4">
        <w:t>,</w:t>
      </w:r>
      <w:r w:rsidR="008F71EB">
        <w:t xml:space="preserve"> ALJ Ruling</w:t>
      </w:r>
      <w:r w:rsidR="006E5E39">
        <w:t>.</w:t>
      </w:r>
      <w:r w:rsidR="00336A5E">
        <w:t xml:space="preserve"> SCE’s response clarifies that </w:t>
      </w:r>
      <w:r w:rsidR="00CF04A3">
        <w:t xml:space="preserve">it </w:t>
      </w:r>
      <w:r w:rsidR="001C1CD5">
        <w:t xml:space="preserve">did </w:t>
      </w:r>
      <w:r w:rsidR="00CF04A3">
        <w:t xml:space="preserve">not seek to impact the existing methodology used to </w:t>
      </w:r>
      <w:r w:rsidR="009958F8">
        <w:t>calculate MPBs</w:t>
      </w:r>
      <w:r w:rsidR="007B7A17">
        <w:t xml:space="preserve">, but strongly supports a future rulemaking for </w:t>
      </w:r>
      <w:r w:rsidR="00A03C35">
        <w:t>evaluation of this methodology and other outstanding PCIA ratemaking issues.</w:t>
      </w:r>
      <w:r w:rsidR="002E1C4F">
        <w:rPr>
          <w:rStyle w:val="FootnoteReference"/>
        </w:rPr>
        <w:footnoteReference w:id="10"/>
      </w:r>
      <w:r w:rsidR="001D7EFA">
        <w:t xml:space="preserve"> </w:t>
      </w:r>
      <w:r w:rsidR="00BD66B3">
        <w:t>SC</w:t>
      </w:r>
      <w:r w:rsidR="004F6650">
        <w:t>E’s response notes that the</w:t>
      </w:r>
      <w:r w:rsidR="00E4784C">
        <w:t xml:space="preserve"> </w:t>
      </w:r>
      <w:r w:rsidR="00A46ADC">
        <w:t xml:space="preserve">2024 </w:t>
      </w:r>
      <w:r w:rsidR="00E4784C">
        <w:t xml:space="preserve">RA </w:t>
      </w:r>
      <w:r w:rsidR="00386305">
        <w:t xml:space="preserve">MPBs </w:t>
      </w:r>
      <w:r w:rsidR="00E4784C">
        <w:t xml:space="preserve">released on </w:t>
      </w:r>
      <w:r w:rsidR="007E0865">
        <w:t>October 1</w:t>
      </w:r>
      <w:r w:rsidR="00253557">
        <w:t xml:space="preserve"> </w:t>
      </w:r>
      <w:r w:rsidR="00E4784C">
        <w:t>have a</w:t>
      </w:r>
      <w:r w:rsidR="00A46ADC">
        <w:t xml:space="preserve">n impact of </w:t>
      </w:r>
      <w:r w:rsidR="00986252">
        <w:t xml:space="preserve">shifting </w:t>
      </w:r>
      <w:r w:rsidR="00A46ADC">
        <w:t>$900 million</w:t>
      </w:r>
      <w:r w:rsidR="006C05EB">
        <w:t xml:space="preserve"> of costs</w:t>
      </w:r>
      <w:r w:rsidR="00A46ADC">
        <w:t>, recorded as a debit in the ERRA BA and a credit in the PABA BA.</w:t>
      </w:r>
      <w:r w:rsidR="002A20DD">
        <w:rPr>
          <w:rStyle w:val="FootnoteReference"/>
        </w:rPr>
        <w:footnoteReference w:id="11"/>
      </w:r>
      <w:r w:rsidR="007358A6">
        <w:t xml:space="preserve"> </w:t>
      </w:r>
      <w:r w:rsidR="001D7EFA">
        <w:t xml:space="preserve">In both documents, it </w:t>
      </w:r>
      <w:r w:rsidR="004B11AF">
        <w:t>not</w:t>
      </w:r>
      <w:r w:rsidR="001D7EFA">
        <w:t>e</w:t>
      </w:r>
      <w:r w:rsidR="00A03C35">
        <w:t>s</w:t>
      </w:r>
      <w:r w:rsidR="004B11AF">
        <w:t xml:space="preserve"> </w:t>
      </w:r>
      <w:r w:rsidR="003D58B1">
        <w:t>a need to</w:t>
      </w:r>
      <w:r w:rsidR="00757365">
        <w:t xml:space="preserve"> </w:t>
      </w:r>
      <w:r w:rsidR="007410AB">
        <w:t>(1)</w:t>
      </w:r>
      <w:r w:rsidR="00B94637">
        <w:t xml:space="preserve"> </w:t>
      </w:r>
      <w:r w:rsidR="00757365">
        <w:t>reflect a</w:t>
      </w:r>
      <w:r w:rsidR="003D58B1">
        <w:t xml:space="preserve"> </w:t>
      </w:r>
      <w:r w:rsidR="00FA76E9">
        <w:t xml:space="preserve">change </w:t>
      </w:r>
      <w:r w:rsidR="00757365">
        <w:t xml:space="preserve">in </w:t>
      </w:r>
      <w:r w:rsidR="00FA76E9">
        <w:t>how</w:t>
      </w:r>
      <w:r w:rsidR="00757365">
        <w:t xml:space="preserve"> it </w:t>
      </w:r>
      <w:r w:rsidR="00D13F1C">
        <w:t>assign</w:t>
      </w:r>
      <w:r w:rsidR="00104590">
        <w:t>s</w:t>
      </w:r>
      <w:r w:rsidR="00757365">
        <w:t xml:space="preserve"> </w:t>
      </w:r>
      <w:r w:rsidR="007410AB">
        <w:t>RA</w:t>
      </w:r>
      <w:r w:rsidR="001D7EFA">
        <w:t xml:space="preserve"> to align with its attribu</w:t>
      </w:r>
      <w:r w:rsidR="0045562D">
        <w:t>tes</w:t>
      </w:r>
      <w:r w:rsidR="007410AB">
        <w:t xml:space="preserve"> and (2) incorporate the </w:t>
      </w:r>
      <w:r w:rsidR="00B94637">
        <w:t>RPS MPB values issued three days earlier.</w:t>
      </w:r>
      <w:r w:rsidR="007E70BF">
        <w:t xml:space="preserve"> </w:t>
      </w:r>
    </w:p>
    <w:p w:rsidR="00B94637" w:rsidP="00003610" w:rsidRDefault="00B94637" w14:paraId="60817AB4" w14:textId="6D3780D4">
      <w:pPr>
        <w:pStyle w:val="Standard"/>
      </w:pPr>
      <w:r>
        <w:t xml:space="preserve">On October 15, </w:t>
      </w:r>
      <w:r w:rsidR="000F233A">
        <w:t xml:space="preserve">2024, </w:t>
      </w:r>
      <w:r>
        <w:t xml:space="preserve">the assigned ALJ issued a ruling directing SCE to </w:t>
      </w:r>
      <w:r w:rsidR="000740C0">
        <w:t xml:space="preserve">file </w:t>
      </w:r>
      <w:r w:rsidR="00C57F00">
        <w:t>an Alternate October Update</w:t>
      </w:r>
      <w:r w:rsidR="00D27D63">
        <w:t xml:space="preserve"> </w:t>
      </w:r>
      <w:r w:rsidR="002604FB">
        <w:t xml:space="preserve">(AOU) </w:t>
      </w:r>
      <w:r w:rsidR="00D27D63">
        <w:t xml:space="preserve">by October </w:t>
      </w:r>
      <w:r w:rsidR="00BB2792">
        <w:t>2</w:t>
      </w:r>
      <w:r w:rsidR="00D27D63">
        <w:t>1, 2021</w:t>
      </w:r>
      <w:r w:rsidR="00E53535">
        <w:t>,</w:t>
      </w:r>
      <w:r w:rsidR="00D27D63">
        <w:t xml:space="preserve"> and </w:t>
      </w:r>
      <w:r w:rsidR="00CF6CC7">
        <w:t>providing timelines for response and reply to SCE’s proposal</w:t>
      </w:r>
      <w:r w:rsidR="00236748">
        <w:t>.</w:t>
      </w:r>
      <w:r w:rsidR="007F63C6">
        <w:t xml:space="preserve"> Direction to file this update was given to allow for the incorporation of the </w:t>
      </w:r>
      <w:r w:rsidR="00294AC7">
        <w:t xml:space="preserve">updated RPS MPB and </w:t>
      </w:r>
      <w:r w:rsidR="00431223">
        <w:t>t</w:t>
      </w:r>
      <w:r w:rsidR="00294AC7">
        <w:t>he</w:t>
      </w:r>
      <w:r w:rsidR="00431223">
        <w:t xml:space="preserve"> assignment</w:t>
      </w:r>
      <w:r w:rsidR="00294AC7">
        <w:t xml:space="preserve"> of RA capacity in the sam</w:t>
      </w:r>
      <w:r w:rsidR="00431223">
        <w:t xml:space="preserve">e manner as </w:t>
      </w:r>
      <w:r w:rsidR="0080494F">
        <w:t>was used to generate the MPBs.</w:t>
      </w:r>
    </w:p>
    <w:p w:rsidR="006F4240" w:rsidP="00003610" w:rsidRDefault="006F4240" w14:paraId="24BC8FD8" w14:textId="2D8EF3F2">
      <w:pPr>
        <w:pStyle w:val="Standard"/>
      </w:pPr>
      <w:r>
        <w:lastRenderedPageBreak/>
        <w:t>On October 1</w:t>
      </w:r>
      <w:r w:rsidR="009929D3">
        <w:t>7</w:t>
      </w:r>
      <w:r>
        <w:t>, 2024</w:t>
      </w:r>
      <w:r w:rsidR="0020747D">
        <w:t xml:space="preserve">, CalCCA filed a </w:t>
      </w:r>
      <w:r w:rsidR="003370C2">
        <w:t>response</w:t>
      </w:r>
      <w:r w:rsidR="00FD1886">
        <w:t xml:space="preserve"> to the October 15, 2024</w:t>
      </w:r>
      <w:r w:rsidR="00B12517">
        <w:t>,</w:t>
      </w:r>
      <w:r w:rsidR="00FD1886">
        <w:t xml:space="preserve"> ALJ ruling,</w:t>
      </w:r>
      <w:r w:rsidR="0020747D">
        <w:t xml:space="preserve"> re</w:t>
      </w:r>
      <w:r w:rsidR="002E041C">
        <w:t>questing that SCE be directed to provide a revised October Update</w:t>
      </w:r>
      <w:r w:rsidR="00563937">
        <w:t xml:space="preserve"> </w:t>
      </w:r>
      <w:r w:rsidR="00A873BE">
        <w:t>utiliz</w:t>
      </w:r>
      <w:r w:rsidR="00716159">
        <w:t>ing</w:t>
      </w:r>
      <w:r w:rsidR="00A873BE">
        <w:t xml:space="preserve"> the October 11, 2024</w:t>
      </w:r>
      <w:r w:rsidR="00893386">
        <w:t>,</w:t>
      </w:r>
      <w:r w:rsidR="00A873BE">
        <w:t xml:space="preserve"> errata </w:t>
      </w:r>
      <w:r w:rsidR="006B3977">
        <w:t xml:space="preserve">RPS MPB </w:t>
      </w:r>
      <w:r w:rsidR="00A873BE">
        <w:t xml:space="preserve">and that parties be allowed to comment on </w:t>
      </w:r>
      <w:r w:rsidR="006B3977">
        <w:t xml:space="preserve">SCE’s </w:t>
      </w:r>
      <w:r w:rsidR="00A873BE">
        <w:t xml:space="preserve">methodologies in </w:t>
      </w:r>
      <w:r w:rsidR="00AC561C">
        <w:t>comments and briefs.</w:t>
      </w:r>
    </w:p>
    <w:p w:rsidR="00AC561C" w:rsidP="00003610" w:rsidRDefault="00AC561C" w14:paraId="16CFCF31" w14:textId="7762FAE2">
      <w:pPr>
        <w:pStyle w:val="Standard"/>
      </w:pPr>
      <w:r>
        <w:t xml:space="preserve">On October 17, 2024, the assigned ALJ issued a ruling directing SCE </w:t>
      </w:r>
      <w:r w:rsidR="00F30FC0">
        <w:t xml:space="preserve">to </w:t>
      </w:r>
      <w:r w:rsidR="00117276">
        <w:t>file and serve</w:t>
      </w:r>
      <w:r w:rsidR="00F30FC0">
        <w:t xml:space="preserve"> a Revised October Update (ROU)</w:t>
      </w:r>
      <w:r w:rsidR="0077614F">
        <w:t xml:space="preserve"> and clarifying that </w:t>
      </w:r>
      <w:r w:rsidR="00733B67">
        <w:t xml:space="preserve">party </w:t>
      </w:r>
      <w:r w:rsidR="00E5257B">
        <w:t xml:space="preserve">discussion of </w:t>
      </w:r>
      <w:r w:rsidR="0077614F">
        <w:t xml:space="preserve">the </w:t>
      </w:r>
      <w:r w:rsidR="00733B67">
        <w:t xml:space="preserve">ROU and AOU </w:t>
      </w:r>
      <w:r w:rsidR="005F750F">
        <w:t>methodologies is</w:t>
      </w:r>
      <w:r w:rsidR="00E5257B">
        <w:t xml:space="preserve"> permissible within Comment on October Update and briefing</w:t>
      </w:r>
      <w:r w:rsidR="00F558AC">
        <w:t xml:space="preserve"> filings</w:t>
      </w:r>
      <w:r w:rsidR="00E5257B">
        <w:t>.</w:t>
      </w:r>
      <w:r w:rsidR="0080494F">
        <w:t xml:space="preserve"> Direction to file this update was given to allow for the incorporation of </w:t>
      </w:r>
      <w:r w:rsidR="009918FE">
        <w:t xml:space="preserve">the updated MPBs and </w:t>
      </w:r>
      <w:r w:rsidR="00801659">
        <w:t xml:space="preserve">the assignment of RA capacity in the same manner as SCE had done in the most recent </w:t>
      </w:r>
      <w:r w:rsidR="006E58CF">
        <w:t>applications.</w:t>
      </w:r>
    </w:p>
    <w:p w:rsidR="00F652B5" w:rsidP="009A388F" w:rsidRDefault="009A388F" w14:paraId="2483FD1B" w14:textId="294838E3">
      <w:pPr>
        <w:pStyle w:val="Standard"/>
      </w:pPr>
      <w:r w:rsidRPr="0076223E">
        <w:t xml:space="preserve">On October 21, 2024, SCE </w:t>
      </w:r>
      <w:r w:rsidR="00117276">
        <w:t>timely filed and served</w:t>
      </w:r>
      <w:r>
        <w:t xml:space="preserve"> </w:t>
      </w:r>
      <w:r w:rsidR="00F558AC">
        <w:t>the AOU</w:t>
      </w:r>
      <w:r>
        <w:t xml:space="preserve"> to its 2025 ERRA forecasted revenue requirement</w:t>
      </w:r>
      <w:r w:rsidR="00457EF5">
        <w:t>.</w:t>
      </w:r>
      <w:r>
        <w:t xml:space="preserve"> </w:t>
      </w:r>
    </w:p>
    <w:p w:rsidR="009A388F" w:rsidP="009A388F" w:rsidRDefault="00F652B5" w14:paraId="7C2B1752" w14:textId="3770B009">
      <w:pPr>
        <w:pStyle w:val="Standard"/>
      </w:pPr>
      <w:r>
        <w:t xml:space="preserve">On October 23, 2024, SCE </w:t>
      </w:r>
      <w:r w:rsidR="00FA5D08">
        <w:t>timely filed and served</w:t>
      </w:r>
      <w:r>
        <w:t xml:space="preserve"> the ROU to its 2025 ERRA forecasted revenue requirement.</w:t>
      </w:r>
      <w:r w:rsidR="009A388F">
        <w:t xml:space="preserve"> </w:t>
      </w:r>
    </w:p>
    <w:p w:rsidR="00E37544" w:rsidP="009A388F" w:rsidRDefault="00E37544" w14:paraId="2F7A87E4" w14:textId="389FA9F8">
      <w:pPr>
        <w:pStyle w:val="Standard"/>
      </w:pPr>
      <w:r>
        <w:t>On October 24, 2024</w:t>
      </w:r>
      <w:r w:rsidR="00A66E10">
        <w:t>,</w:t>
      </w:r>
      <w:r>
        <w:t xml:space="preserve"> SCE timely</w:t>
      </w:r>
      <w:r w:rsidR="00C37F2E">
        <w:t xml:space="preserve"> filed and served </w:t>
      </w:r>
      <w:r w:rsidR="00C20BF0">
        <w:t xml:space="preserve">a joint motion to offer prepared testimonies into evidence </w:t>
      </w:r>
      <w:r w:rsidR="00C37F2E">
        <w:t xml:space="preserve">and to </w:t>
      </w:r>
      <w:r w:rsidR="00C20BF0">
        <w:t>seal the parties’ confidential exhibits.</w:t>
      </w:r>
    </w:p>
    <w:p w:rsidR="00732724" w:rsidP="00935022" w:rsidRDefault="00935022" w14:paraId="735E430C" w14:textId="3078C97F">
      <w:pPr>
        <w:pStyle w:val="Standard"/>
      </w:pPr>
      <w:r>
        <w:t xml:space="preserve">On October 28, 2024, </w:t>
      </w:r>
      <w:r w:rsidR="00CB373D">
        <w:t xml:space="preserve">AReM and DACC </w:t>
      </w:r>
      <w:r w:rsidR="00732724">
        <w:t xml:space="preserve">timely </w:t>
      </w:r>
      <w:r>
        <w:t>filed</w:t>
      </w:r>
      <w:r w:rsidR="00732724">
        <w:t xml:space="preserve"> and served</w:t>
      </w:r>
      <w:r>
        <w:t xml:space="preserve"> </w:t>
      </w:r>
      <w:r w:rsidR="002D4CF3">
        <w:t xml:space="preserve">joint </w:t>
      </w:r>
      <w:r>
        <w:t xml:space="preserve">comment </w:t>
      </w:r>
      <w:r w:rsidR="002D4CF3">
        <w:t xml:space="preserve">on </w:t>
      </w:r>
      <w:r>
        <w:t xml:space="preserve">the </w:t>
      </w:r>
      <w:r w:rsidR="00011AED">
        <w:t>October Updates</w:t>
      </w:r>
      <w:r w:rsidR="00732724">
        <w:t>.</w:t>
      </w:r>
    </w:p>
    <w:p w:rsidR="00870A7D" w:rsidP="00935022" w:rsidRDefault="00732724" w14:paraId="669F0001" w14:textId="77777777">
      <w:pPr>
        <w:pStyle w:val="Standard"/>
      </w:pPr>
      <w:r>
        <w:t>On October 28, CalCCA timely filed</w:t>
      </w:r>
      <w:r w:rsidR="00F4717F">
        <w:t xml:space="preserve"> and served</w:t>
      </w:r>
      <w:r w:rsidR="00A25BFC">
        <w:t xml:space="preserve"> its</w:t>
      </w:r>
      <w:r>
        <w:t xml:space="preserve"> </w:t>
      </w:r>
      <w:r w:rsidR="00A25BFC">
        <w:t>Opening Brief and Comments on the October Update</w:t>
      </w:r>
      <w:r w:rsidR="00870A7D">
        <w:t>.</w:t>
      </w:r>
    </w:p>
    <w:p w:rsidR="00935022" w:rsidP="00935022" w:rsidRDefault="00870A7D" w14:paraId="2D0597DF" w14:textId="490B4D01">
      <w:pPr>
        <w:pStyle w:val="Standard"/>
      </w:pPr>
      <w:r>
        <w:t>On October 28, SCE timely filed and served its Opening Brief.</w:t>
      </w:r>
    </w:p>
    <w:p w:rsidR="00011AED" w:rsidP="00935022" w:rsidRDefault="00011AED" w14:paraId="27ACBE30" w14:textId="083BA016">
      <w:pPr>
        <w:pStyle w:val="Standard"/>
      </w:pPr>
      <w:r>
        <w:t>On November 4, 2024,</w:t>
      </w:r>
      <w:r w:rsidR="000E6F37">
        <w:t xml:space="preserve"> SCE and CalCCA timely</w:t>
      </w:r>
      <w:r>
        <w:t xml:space="preserve"> filed</w:t>
      </w:r>
      <w:r w:rsidR="000E6F37">
        <w:t xml:space="preserve"> and served</w:t>
      </w:r>
      <w:r>
        <w:t xml:space="preserve"> </w:t>
      </w:r>
      <w:r w:rsidR="004462EC">
        <w:t>R</w:t>
      </w:r>
      <w:r>
        <w:t xml:space="preserve">eply </w:t>
      </w:r>
      <w:r w:rsidR="004462EC">
        <w:t>B</w:t>
      </w:r>
      <w:r>
        <w:t>riefs</w:t>
      </w:r>
      <w:r w:rsidR="000E6F37">
        <w:t>.</w:t>
      </w:r>
    </w:p>
    <w:p w:rsidR="000E6F37" w:rsidP="00935022" w:rsidRDefault="000E6F37" w14:paraId="3F49FA06" w14:textId="5C7C23F5">
      <w:pPr>
        <w:pStyle w:val="Standard"/>
      </w:pPr>
      <w:r>
        <w:t>On November 5</w:t>
      </w:r>
      <w:r w:rsidR="000D5A7A">
        <w:t xml:space="preserve">, 2024, ED issued </w:t>
      </w:r>
      <w:r w:rsidR="00A51B09">
        <w:t xml:space="preserve">a further Errata to the </w:t>
      </w:r>
      <w:r w:rsidR="00C27607">
        <w:t>2024 final and 2025 forecast MPBs</w:t>
      </w:r>
      <w:r w:rsidR="00780B68">
        <w:t>.</w:t>
      </w:r>
      <w:r w:rsidR="006B45F2">
        <w:t xml:space="preserve"> This errata reduces the </w:t>
      </w:r>
      <w:r w:rsidR="009B3D83">
        <w:t xml:space="preserve">MPB </w:t>
      </w:r>
      <w:r w:rsidR="00381F70">
        <w:t xml:space="preserve">value </w:t>
      </w:r>
      <w:r w:rsidR="009B3D83">
        <w:t xml:space="preserve">for SCE’s 2024 System RA by </w:t>
      </w:r>
      <w:r w:rsidR="00885AD9">
        <w:t xml:space="preserve">eight percent and </w:t>
      </w:r>
      <w:r w:rsidR="003377E6">
        <w:t xml:space="preserve">increases SCE’s </w:t>
      </w:r>
      <w:r w:rsidR="00885AD9">
        <w:t xml:space="preserve">2025 </w:t>
      </w:r>
      <w:r w:rsidR="003377E6">
        <w:t>Flexible RA</w:t>
      </w:r>
      <w:r w:rsidR="004462EC">
        <w:t xml:space="preserve"> MPB </w:t>
      </w:r>
      <w:r w:rsidR="00381F70">
        <w:t>value</w:t>
      </w:r>
      <w:r w:rsidR="003377E6">
        <w:t xml:space="preserve"> </w:t>
      </w:r>
      <w:r w:rsidR="004D6904">
        <w:t xml:space="preserve">by 20%.  It also </w:t>
      </w:r>
      <w:r w:rsidR="004D6904">
        <w:lastRenderedPageBreak/>
        <w:t>reduces</w:t>
      </w:r>
      <w:r w:rsidR="007253C3">
        <w:t xml:space="preserve"> the following values by less than five percent; SCE and SDG&amp;E’s 2024 Local RA </w:t>
      </w:r>
      <w:r w:rsidR="004462EC">
        <w:t>MPB</w:t>
      </w:r>
      <w:r w:rsidR="00890B9D">
        <w:t xml:space="preserve">, SCE’s 2024 Flexible RA </w:t>
      </w:r>
      <w:r w:rsidR="004462EC">
        <w:t>MPB</w:t>
      </w:r>
      <w:r w:rsidR="00890B9D">
        <w:t xml:space="preserve">, </w:t>
      </w:r>
      <w:r w:rsidR="0028114E">
        <w:t xml:space="preserve">SCE’s 2025 System RA </w:t>
      </w:r>
      <w:r w:rsidR="004462EC">
        <w:t>MPB</w:t>
      </w:r>
      <w:r w:rsidR="0028114E">
        <w:t>. Finally, it increases SCE’s 2025 Local RA</w:t>
      </w:r>
      <w:r w:rsidR="004462EC">
        <w:t xml:space="preserve"> MPB</w:t>
      </w:r>
      <w:r w:rsidR="0028114E">
        <w:t xml:space="preserve"> by </w:t>
      </w:r>
      <w:r w:rsidR="00F80C66">
        <w:t>approximately one percent.</w:t>
      </w:r>
    </w:p>
    <w:p w:rsidR="00C20BF0" w:rsidP="00935022" w:rsidRDefault="00C20BF0" w14:paraId="72217A88" w14:textId="29D625FE">
      <w:pPr>
        <w:pStyle w:val="Standard"/>
      </w:pPr>
      <w:r>
        <w:t>On November 1</w:t>
      </w:r>
      <w:r w:rsidR="00295D4F">
        <w:t>8</w:t>
      </w:r>
      <w:r w:rsidR="00D93845">
        <w:t>, 2024, the assigned ALJ issued a ruling moving exhibits into evidence</w:t>
      </w:r>
      <w:r w:rsidR="006B7992">
        <w:t>, sealing confidential exhibits, and submitting the record.</w:t>
      </w:r>
    </w:p>
    <w:p w:rsidR="00683B2C" w:rsidP="00683B2C" w:rsidRDefault="00683B2C" w14:paraId="31069A8D" w14:textId="77777777">
      <w:pPr>
        <w:pStyle w:val="Heading2"/>
      </w:pPr>
      <w:bookmarkStart w:name="_Toc183184261" w:id="8"/>
      <w:r>
        <w:t>Submission Date</w:t>
      </w:r>
      <w:bookmarkEnd w:id="8"/>
    </w:p>
    <w:p w:rsidR="00683B2C" w:rsidP="000B41E3" w:rsidRDefault="00683B2C" w14:paraId="4123832E" w14:textId="177C5C9D">
      <w:pPr>
        <w:pStyle w:val="Standard"/>
      </w:pPr>
      <w:r w:rsidRPr="00FF0265">
        <w:t>This matter was submitted on</w:t>
      </w:r>
      <w:r w:rsidR="00AA2BD5">
        <w:t xml:space="preserve"> </w:t>
      </w:r>
      <w:r w:rsidRPr="002A2C1B" w:rsidR="00AA2BD5">
        <w:t xml:space="preserve">November </w:t>
      </w:r>
      <w:r w:rsidR="006B7992">
        <w:t>1</w:t>
      </w:r>
      <w:r w:rsidR="00295D4F">
        <w:t>8</w:t>
      </w:r>
      <w:r w:rsidRPr="002A2C1B" w:rsidR="00AA2BD5">
        <w:t>, 2024</w:t>
      </w:r>
      <w:r w:rsidR="00561017">
        <w:t>,</w:t>
      </w:r>
      <w:r w:rsidRPr="002A2C1B">
        <w:t xml:space="preserve"> </w:t>
      </w:r>
      <w:r w:rsidRPr="00FF0265">
        <w:t xml:space="preserve">upon </w:t>
      </w:r>
      <w:r w:rsidR="001D3D2A">
        <w:t xml:space="preserve">the </w:t>
      </w:r>
      <w:r w:rsidR="006B7992">
        <w:t>issuance of the assigned ALJ’s ruling.</w:t>
      </w:r>
    </w:p>
    <w:p w:rsidR="005A148C" w:rsidP="00121089" w:rsidRDefault="0063491C" w14:paraId="0A6C594D" w14:textId="3822E134">
      <w:pPr>
        <w:pStyle w:val="Heading1"/>
      </w:pPr>
      <w:bookmarkStart w:name="_Toc183184262" w:id="9"/>
      <w:bookmarkStart w:name="_Toc8123718" w:id="10"/>
      <w:r>
        <w:t>Jurisdiction</w:t>
      </w:r>
      <w:bookmarkEnd w:id="9"/>
      <w:r>
        <w:t xml:space="preserve"> </w:t>
      </w:r>
      <w:bookmarkEnd w:id="10"/>
    </w:p>
    <w:p w:rsidRPr="0063491C" w:rsidR="0063491C" w:rsidP="006E6574" w:rsidRDefault="009F2AD4" w14:paraId="79AA8D6D" w14:textId="1CA02C4F">
      <w:pPr>
        <w:pStyle w:val="Standard"/>
      </w:pPr>
      <w:r w:rsidRPr="009F2AD4">
        <w:t xml:space="preserve">The ERRA process was established </w:t>
      </w:r>
      <w:r w:rsidR="00C810BB">
        <w:t>pursuant to</w:t>
      </w:r>
      <w:r w:rsidRPr="009F2AD4">
        <w:t xml:space="preserve"> California Public Utilities Code (Pub. Util. Code) § 454.5(d), Rules 2.1 and 3.2 of the Commission’s Rules of Practice and Procedure, and D.02-10-062.</w:t>
      </w:r>
    </w:p>
    <w:p w:rsidR="005A148C" w:rsidP="005939A5" w:rsidRDefault="005939A5" w14:paraId="1F00801E" w14:textId="77777777">
      <w:pPr>
        <w:pStyle w:val="Heading1"/>
      </w:pPr>
      <w:bookmarkStart w:name="_Toc8123719" w:id="11"/>
      <w:bookmarkStart w:name="_Toc183184263" w:id="12"/>
      <w:r>
        <w:t xml:space="preserve">Issues Before the </w:t>
      </w:r>
      <w:bookmarkEnd w:id="11"/>
      <w:r w:rsidR="008A08BF">
        <w:t>Commission</w:t>
      </w:r>
      <w:bookmarkEnd w:id="12"/>
    </w:p>
    <w:p w:rsidR="00BA1135" w:rsidP="00BA1135" w:rsidRDefault="00082BA0" w14:paraId="1A624077" w14:textId="77777777">
      <w:pPr>
        <w:pStyle w:val="Standard"/>
      </w:pPr>
      <w:r w:rsidRPr="00082BA0">
        <w:t xml:space="preserve">The issues to be determined or otherwise considered </w:t>
      </w:r>
      <w:r w:rsidR="00BA1135">
        <w:t>are:</w:t>
      </w:r>
    </w:p>
    <w:p w:rsidR="00783D46" w:rsidP="00783D46" w:rsidRDefault="00BA1135" w14:paraId="449EAD22" w14:textId="77777777">
      <w:pPr>
        <w:pStyle w:val="ListNum"/>
        <w:tabs>
          <w:tab w:val="clear" w:pos="1080"/>
        </w:tabs>
        <w:ind w:right="1440"/>
      </w:pPr>
      <w:r w:rsidRPr="00F376E3">
        <w:t>Whether SCE’s requested 2025 ERRA forecast revenue requirement is reasonable, including but not limited to consideration of</w:t>
      </w:r>
      <w:r>
        <w:t xml:space="preserve"> </w:t>
      </w:r>
      <w:r w:rsidRPr="00F376E3">
        <w:t>the following:</w:t>
      </w:r>
    </w:p>
    <w:p w:rsidR="00BA1135" w:rsidP="001C1CD5" w:rsidRDefault="00BA1135" w14:paraId="7D0D4259" w14:textId="4B1A2232">
      <w:pPr>
        <w:pStyle w:val="ListAlpha"/>
      </w:pPr>
      <w:r w:rsidRPr="00F376E3">
        <w:t>SCE’s forecast of electric sales and electric load;</w:t>
      </w:r>
    </w:p>
    <w:p w:rsidRPr="00F376E3" w:rsidR="00783D46" w:rsidP="00783D46" w:rsidRDefault="00783D46" w14:paraId="3E82DACD" w14:textId="77777777">
      <w:pPr>
        <w:pStyle w:val="ListAlpha"/>
      </w:pPr>
      <w:r w:rsidRPr="00F376E3">
        <w:t>SCE’s forecast costs for fuel and purchase power expenses;</w:t>
      </w:r>
    </w:p>
    <w:p w:rsidRPr="00F376E3" w:rsidR="00783D46" w:rsidP="00783D46" w:rsidRDefault="00783D46" w14:paraId="3B044FB3" w14:textId="77777777">
      <w:pPr>
        <w:pStyle w:val="ListAlpha"/>
      </w:pPr>
      <w:r w:rsidRPr="00F376E3">
        <w:t>SCE’s forecast costs for spent nuclear fuel interim storage;</w:t>
      </w:r>
    </w:p>
    <w:p w:rsidR="00783D46" w:rsidP="00783D46" w:rsidRDefault="00783D46" w14:paraId="03F0009C" w14:textId="77777777">
      <w:pPr>
        <w:pStyle w:val="ListAlpha"/>
      </w:pPr>
      <w:r w:rsidRPr="00F376E3">
        <w:t xml:space="preserve">SCE’s forecast </w:t>
      </w:r>
      <w:r>
        <w:t>greenhouse gas (</w:t>
      </w:r>
      <w:r w:rsidRPr="00F376E3">
        <w:t>GHG</w:t>
      </w:r>
      <w:r>
        <w:t>)</w:t>
      </w:r>
      <w:r w:rsidRPr="00F376E3">
        <w:t xml:space="preserve"> costs;</w:t>
      </w:r>
      <w:r>
        <w:t xml:space="preserve"> and</w:t>
      </w:r>
    </w:p>
    <w:p w:rsidRPr="00F376E3" w:rsidR="00783D46" w:rsidP="00586448" w:rsidRDefault="00783D46" w14:paraId="4CB53591" w14:textId="6CBDFBFC">
      <w:pPr>
        <w:pStyle w:val="ListAlpha"/>
        <w:ind w:right="1440"/>
      </w:pPr>
      <w:r>
        <w:t xml:space="preserve">Annual true-ups for balancing accounts such as the Portfolio Allocation Balancing Account (BA), New System Generation BA, Energy Settlements Memorandum Account, ERRA BA, </w:t>
      </w:r>
      <w:r w:rsidRPr="00996E34" w:rsidR="000F233A">
        <w:t xml:space="preserve">Bioenergy Market Adjusting Tariff </w:t>
      </w:r>
      <w:r w:rsidR="000F233A">
        <w:t>(</w:t>
      </w:r>
      <w:r>
        <w:t>BioMAT</w:t>
      </w:r>
      <w:r w:rsidR="000F233A">
        <w:t>)</w:t>
      </w:r>
      <w:r>
        <w:t xml:space="preserve"> Non</w:t>
      </w:r>
      <w:r>
        <w:noBreakHyphen/>
        <w:t>Bypassable Charge, and Tree Mortality Non</w:t>
      </w:r>
      <w:r>
        <w:noBreakHyphen/>
        <w:t>Bypassable Charge BA;</w:t>
      </w:r>
    </w:p>
    <w:p w:rsidR="00BA1135" w:rsidP="00BA1135" w:rsidRDefault="00BA1135" w14:paraId="33DB2373" w14:textId="77777777">
      <w:pPr>
        <w:pStyle w:val="ListNum"/>
        <w:tabs>
          <w:tab w:val="clear" w:pos="1080"/>
        </w:tabs>
        <w:ind w:right="1440"/>
      </w:pPr>
      <w:r>
        <w:t xml:space="preserve">Whether SCE’s forecast of GHG allowance revenue return allocations for energy-intensive trade-exposed customers, </w:t>
      </w:r>
      <w:r>
        <w:lastRenderedPageBreak/>
        <w:t>small business customers, and the residential customer California Climate Credit is reasonable;</w:t>
      </w:r>
    </w:p>
    <w:p w:rsidR="00BA1135" w:rsidP="00BA1135" w:rsidRDefault="00BA1135" w14:paraId="78EBD1B5" w14:textId="77777777">
      <w:pPr>
        <w:pStyle w:val="ListNum"/>
        <w:tabs>
          <w:tab w:val="clear" w:pos="1080"/>
        </w:tabs>
        <w:ind w:right="1440"/>
      </w:pPr>
      <w:r>
        <w:t>Whether SCE’s forecast of GHG revenues and expenses set aside for (a) clean energy and energy efficiency programs and GHG administration, and (b) customer education and outreach plan costs are reasonable;</w:t>
      </w:r>
    </w:p>
    <w:p w:rsidR="00BA1135" w:rsidP="00BA1135" w:rsidRDefault="00BA1135" w14:paraId="09D91248" w14:textId="77777777">
      <w:pPr>
        <w:pStyle w:val="ListNum"/>
        <w:tabs>
          <w:tab w:val="clear" w:pos="1080"/>
        </w:tabs>
        <w:ind w:right="1440"/>
      </w:pPr>
      <w:r>
        <w:t>Whether SCE’s forecast of Central Procurement Entity related costs is reasonable;</w:t>
      </w:r>
    </w:p>
    <w:p w:rsidR="00BA1135" w:rsidP="00BA1135" w:rsidRDefault="00BA1135" w14:paraId="679EFBA4" w14:textId="77777777">
      <w:pPr>
        <w:pStyle w:val="ListNum"/>
        <w:tabs>
          <w:tab w:val="clear" w:pos="1080"/>
        </w:tabs>
        <w:ind w:right="1440"/>
      </w:pPr>
      <w:r>
        <w:t>Whether the Cost Allocation Mechanism rates are reasonable;</w:t>
      </w:r>
    </w:p>
    <w:p w:rsidR="00BA1135" w:rsidP="00BA1135" w:rsidRDefault="00BA1135" w14:paraId="5928B837" w14:textId="7154A092">
      <w:pPr>
        <w:pStyle w:val="ListNum"/>
        <w:tabs>
          <w:tab w:val="clear" w:pos="1080"/>
        </w:tabs>
        <w:ind w:right="1440"/>
      </w:pPr>
      <w:r>
        <w:t xml:space="preserve">Whether SCE’s calculations of the Power Charge Indifference Adjustment (PCIA) and </w:t>
      </w:r>
      <w:r w:rsidR="0005729F">
        <w:t xml:space="preserve">Competition </w:t>
      </w:r>
      <w:r>
        <w:t>T</w:t>
      </w:r>
      <w:r w:rsidR="0005729F">
        <w:t>ransitio</w:t>
      </w:r>
      <w:r>
        <w:t>n Charge are reasonable, including discussion of the following:</w:t>
      </w:r>
    </w:p>
    <w:p w:rsidR="002234E9" w:rsidP="00586448" w:rsidRDefault="002234E9" w14:paraId="0C99B9A0" w14:textId="078DB870">
      <w:pPr>
        <w:pStyle w:val="ListAlpha"/>
        <w:ind w:right="1440"/>
      </w:pPr>
      <w:r>
        <w:t>Treatment of RA resources and associated costs in the PCIA;</w:t>
      </w:r>
    </w:p>
    <w:p w:rsidR="002234E9" w:rsidP="00586448" w:rsidRDefault="002234E9" w14:paraId="61A480D5" w14:textId="2DAA7148">
      <w:pPr>
        <w:pStyle w:val="ListAlpha"/>
        <w:ind w:right="1440"/>
      </w:pPr>
      <w:r>
        <w:t>Treatment of RPS resources with excess RPS value and allocation of RPS sales across vintages;</w:t>
      </w:r>
    </w:p>
    <w:p w:rsidR="002234E9" w:rsidP="00586448" w:rsidRDefault="002234E9" w14:paraId="08F6401C" w14:textId="77777777">
      <w:pPr>
        <w:pStyle w:val="ListAlpha"/>
        <w:ind w:right="1440"/>
      </w:pPr>
      <w:r>
        <w:t>Calculation of the indifference amount;</w:t>
      </w:r>
    </w:p>
    <w:p w:rsidR="002234E9" w:rsidP="00586448" w:rsidRDefault="002234E9" w14:paraId="54C367C9" w14:textId="77777777">
      <w:pPr>
        <w:pStyle w:val="ListAlpha"/>
        <w:ind w:right="1440"/>
      </w:pPr>
      <w:r>
        <w:t>Calculation of the year-end Portfolio Allocation BA balance; and</w:t>
      </w:r>
    </w:p>
    <w:p w:rsidR="00BA1135" w:rsidP="00586448" w:rsidRDefault="002234E9" w14:paraId="0A2FF691" w14:textId="06E67383">
      <w:pPr>
        <w:pStyle w:val="ListAlpha"/>
        <w:ind w:right="1440"/>
      </w:pPr>
      <w:r>
        <w:t>Allocation of indifference charges among vintages and customer classes;</w:t>
      </w:r>
    </w:p>
    <w:p w:rsidR="00AE612B" w:rsidP="00586448" w:rsidRDefault="00BA1135" w14:paraId="27EB7A64" w14:textId="77777777">
      <w:pPr>
        <w:pStyle w:val="ListNum"/>
        <w:tabs>
          <w:tab w:val="clear" w:pos="1080"/>
        </w:tabs>
        <w:ind w:right="1440"/>
      </w:pPr>
      <w:r>
        <w:t>Whether SCE’s request and methods used to determine the issues described above comply with all applicable rules, regulations, resolutions, and decisions for all customer categories; and</w:t>
      </w:r>
    </w:p>
    <w:p w:rsidR="00807E5D" w:rsidP="00586448" w:rsidRDefault="00BA1135" w14:paraId="76B04954" w14:textId="18CD55EF">
      <w:pPr>
        <w:pStyle w:val="ListNum"/>
        <w:tabs>
          <w:tab w:val="clear" w:pos="1080"/>
        </w:tabs>
        <w:ind w:right="1440"/>
      </w:pPr>
      <w:r>
        <w:t>Whether there are any safety concerns, or environmental or social justice considerations raised by the Application.</w:t>
      </w:r>
    </w:p>
    <w:p w:rsidR="00807E5D" w:rsidP="00807E5D" w:rsidRDefault="004B3DE8" w14:paraId="4EDDEF85" w14:textId="0E1EF727">
      <w:pPr>
        <w:pStyle w:val="ListNum"/>
        <w:numPr>
          <w:ilvl w:val="0"/>
          <w:numId w:val="0"/>
        </w:numPr>
        <w:ind w:left="720" w:right="1440"/>
      </w:pPr>
      <w:r>
        <w:t>Arguments raised by intervenors</w:t>
      </w:r>
    </w:p>
    <w:p w:rsidR="005939A5" w:rsidP="005939A5" w:rsidRDefault="00241D03" w14:paraId="34BED222" w14:textId="032A5C48">
      <w:pPr>
        <w:pStyle w:val="Heading1"/>
      </w:pPr>
      <w:bookmarkStart w:name="_Toc8123720" w:id="13"/>
      <w:bookmarkStart w:name="_Toc183184264" w:id="14"/>
      <w:r>
        <w:lastRenderedPageBreak/>
        <w:t xml:space="preserve">2025 Forecast Overview </w:t>
      </w:r>
      <w:r w:rsidR="00586448">
        <w:br/>
      </w:r>
      <w:r>
        <w:t>and Methodology</w:t>
      </w:r>
      <w:bookmarkEnd w:id="13"/>
      <w:bookmarkEnd w:id="14"/>
    </w:p>
    <w:p w:rsidR="009A22B5" w:rsidP="009A22B5" w:rsidRDefault="009A22B5" w14:paraId="6AC13A54" w14:textId="7EAE96E0">
      <w:pPr>
        <w:pStyle w:val="Standard"/>
      </w:pPr>
      <w:r>
        <w:t>SCE’s</w:t>
      </w:r>
      <w:r w:rsidR="00054632">
        <w:t xml:space="preserve"> AOU</w:t>
      </w:r>
      <w:r>
        <w:t xml:space="preserve"> forecast F&amp;PP costs are associated with its UOG resources, purchased power contracts, financing, various carrying costs, and procurement contracts to meet reliability requirements set by the Commission. SCE forecasts </w:t>
      </w:r>
      <w:r w:rsidR="00467FA2">
        <w:t xml:space="preserve">a </w:t>
      </w:r>
      <w:r>
        <w:t xml:space="preserve">2025 total F&amp;PP revenue </w:t>
      </w:r>
      <w:r w:rsidRPr="00467FA2">
        <w:t xml:space="preserve">requirement </w:t>
      </w:r>
      <w:r w:rsidRPr="00467FA2" w:rsidR="008D204B">
        <w:t xml:space="preserve">of </w:t>
      </w:r>
      <w:r w:rsidRPr="00467FA2">
        <w:t>$</w:t>
      </w:r>
      <w:r w:rsidRPr="00467FA2" w:rsidR="00094370">
        <w:t xml:space="preserve"> </w:t>
      </w:r>
      <w:r w:rsidRPr="00467FA2" w:rsidR="00774A5A">
        <w:t>4</w:t>
      </w:r>
      <w:r w:rsidRPr="00467FA2" w:rsidR="00F34D50">
        <w:t>,</w:t>
      </w:r>
      <w:r w:rsidR="00DC1392">
        <w:t>536</w:t>
      </w:r>
      <w:r w:rsidR="00EB187E">
        <w:t>,223</w:t>
      </w:r>
      <w:r w:rsidRPr="00467FA2">
        <w:t xml:space="preserve"> million</w:t>
      </w:r>
      <w:r w:rsidRPr="00467FA2" w:rsidR="003F241E">
        <w:t xml:space="preserve">, a decrease of </w:t>
      </w:r>
      <w:r w:rsidR="00EB187E">
        <w:t>11 </w:t>
      </w:r>
      <w:r w:rsidRPr="0001360F" w:rsidR="003F241E">
        <w:t>percent</w:t>
      </w:r>
      <w:r w:rsidRPr="00467FA2" w:rsidR="008A533B">
        <w:rPr>
          <w:rStyle w:val="FootnoteReference"/>
        </w:rPr>
        <w:footnoteReference w:id="12"/>
      </w:r>
      <w:r w:rsidRPr="00467FA2" w:rsidR="008A533B">
        <w:t xml:space="preserve"> </w:t>
      </w:r>
      <w:r w:rsidRPr="00467FA2" w:rsidR="00772031">
        <w:t xml:space="preserve">from </w:t>
      </w:r>
      <w:r w:rsidRPr="00467FA2" w:rsidR="00B8680F">
        <w:t xml:space="preserve">the 2024 </w:t>
      </w:r>
      <w:r w:rsidR="00B8680F">
        <w:t>forecast</w:t>
      </w:r>
      <w:r>
        <w:t>.</w:t>
      </w:r>
      <w:r w:rsidR="00072884">
        <w:rPr>
          <w:rStyle w:val="FootnoteReference"/>
        </w:rPr>
        <w:footnoteReference w:id="13"/>
      </w:r>
    </w:p>
    <w:p w:rsidR="009C68C8" w:rsidP="00E1162F" w:rsidRDefault="007814BA" w14:paraId="2F3AFDE0" w14:textId="7C4938B8">
      <w:pPr>
        <w:pStyle w:val="Standard"/>
      </w:pPr>
      <w:r w:rsidRPr="007814BA">
        <w:t>On April 30, 2024, SCE’s ERRA Trigger Balance exceeded SCE’s ERRA Trigger Point</w:t>
      </w:r>
      <w:r>
        <w:t xml:space="preserve"> and Threshold, resulting in the</w:t>
      </w:r>
      <w:r w:rsidR="009C68C8">
        <w:t xml:space="preserve"> filing of A.24-05-025.</w:t>
      </w:r>
      <w:r w:rsidR="005C0140">
        <w:t xml:space="preserve"> </w:t>
      </w:r>
      <w:r w:rsidRPr="005C0140" w:rsidR="005C0140">
        <w:t>On August</w:t>
      </w:r>
      <w:r w:rsidR="006E044D">
        <w:t> </w:t>
      </w:r>
      <w:r w:rsidRPr="005C0140" w:rsidR="005C0140">
        <w:t>1,</w:t>
      </w:r>
      <w:r w:rsidR="006E044D">
        <w:t> </w:t>
      </w:r>
      <w:r w:rsidRPr="005C0140" w:rsidR="005C0140">
        <w:t>2024, the Commission adopted D.24-08-015,</w:t>
      </w:r>
      <w:r w:rsidR="005C0140">
        <w:t xml:space="preserve"> granting SCE’s Application</w:t>
      </w:r>
      <w:r w:rsidR="00450FAD">
        <w:t>.</w:t>
      </w:r>
      <w:r w:rsidR="008A4008">
        <w:t xml:space="preserve"> </w:t>
      </w:r>
      <w:r w:rsidRPr="008A4008" w:rsidR="008A4008">
        <w:t>On September 20, 2024, SCE submitted Advice 5371-E</w:t>
      </w:r>
      <w:r w:rsidR="00551BF0">
        <w:t>, de</w:t>
      </w:r>
      <w:r w:rsidRPr="008A4008" w:rsidR="008A4008">
        <w:t>creas</w:t>
      </w:r>
      <w:r w:rsidR="00551BF0">
        <w:t>ing</w:t>
      </w:r>
      <w:r w:rsidRPr="008A4008" w:rsidR="008A4008">
        <w:t xml:space="preserve"> bundled service customer generation rates by $742.426 million over the 12-month period from October 1, 2024</w:t>
      </w:r>
      <w:r w:rsidR="004464F9">
        <w:t>,</w:t>
      </w:r>
      <w:r w:rsidRPr="008A4008" w:rsidR="008A4008">
        <w:t xml:space="preserve"> through September 30, 2025.</w:t>
      </w:r>
      <w:r w:rsidRPr="00E1162F" w:rsidR="00E1162F">
        <w:rPr>
          <w:rFonts w:ascii="TimesNewRomanPSMT" w:hAnsi="TimesNewRomanPSMT" w:cs="TimesNewRomanPSMT"/>
          <w:sz w:val="24"/>
          <w:szCs w:val="24"/>
        </w:rPr>
        <w:t xml:space="preserve"> </w:t>
      </w:r>
      <w:r w:rsidR="00E1162F">
        <w:t>T</w:t>
      </w:r>
      <w:r w:rsidRPr="00E1162F" w:rsidR="00E1162F">
        <w:t>o avoid double counting the impact of th</w:t>
      </w:r>
      <w:r w:rsidR="00E1162F">
        <w:t>is decrease</w:t>
      </w:r>
      <w:r w:rsidRPr="00E1162F" w:rsidR="00E1162F">
        <w:t xml:space="preserve">, SCE </w:t>
      </w:r>
      <w:r w:rsidR="001C1CD5">
        <w:t>removed</w:t>
      </w:r>
      <w:r w:rsidRPr="00E1162F" w:rsidR="00E1162F">
        <w:t xml:space="preserve"> th</w:t>
      </w:r>
      <w:r w:rsidR="005E7518">
        <w:t>is amount</w:t>
      </w:r>
      <w:r w:rsidRPr="00E1162F" w:rsidR="00E1162F">
        <w:t xml:space="preserve"> from its estimate of the 2024 year</w:t>
      </w:r>
      <w:r w:rsidR="00582290">
        <w:t>-</w:t>
      </w:r>
      <w:r w:rsidRPr="00E1162F" w:rsidR="00E1162F">
        <w:t>end ERRA BA balance.</w:t>
      </w:r>
      <w:r w:rsidR="00467FA2">
        <w:rPr>
          <w:rStyle w:val="FootnoteReference"/>
        </w:rPr>
        <w:footnoteReference w:id="14"/>
      </w:r>
    </w:p>
    <w:p w:rsidR="002F6C1F" w:rsidP="00E8597E" w:rsidRDefault="009A22B5" w14:paraId="7570E1E2" w14:textId="01DB0A6F">
      <w:pPr>
        <w:pStyle w:val="Standard"/>
      </w:pPr>
      <w:r>
        <w:t xml:space="preserve">SCE </w:t>
      </w:r>
      <w:r w:rsidR="001C1CD5">
        <w:t xml:space="preserve">indicated it </w:t>
      </w:r>
      <w:r>
        <w:t>base</w:t>
      </w:r>
      <w:r w:rsidR="001C1CD5">
        <w:t>d</w:t>
      </w:r>
      <w:r>
        <w:t xml:space="preserve"> its revenue requirement on a forecast of total electricity sales and customers for its service territory that was </w:t>
      </w:r>
      <w:r w:rsidRPr="00B0061E">
        <w:t xml:space="preserve">completed </w:t>
      </w:r>
      <w:r w:rsidRPr="0001360F">
        <w:t>in December 202</w:t>
      </w:r>
      <w:r w:rsidRPr="0001360F" w:rsidR="006F1C30">
        <w:t>3</w:t>
      </w:r>
      <w:r w:rsidRPr="0001360F">
        <w:t>,</w:t>
      </w:r>
      <w:r w:rsidRPr="0001360F" w:rsidR="00F039D6">
        <w:rPr>
          <w:rStyle w:val="FootnoteReference"/>
        </w:rPr>
        <w:footnoteReference w:id="15"/>
      </w:r>
      <w:r w:rsidRPr="0001360F">
        <w:t xml:space="preserve"> </w:t>
      </w:r>
      <w:r w:rsidRPr="00B0061E">
        <w:t>which it adjusts to account for the bundled customer portion of load</w:t>
      </w:r>
      <w:r>
        <w:t>.</w:t>
      </w:r>
      <w:r w:rsidR="00E20D05">
        <w:t xml:space="preserve"> </w:t>
      </w:r>
      <w:r w:rsidR="008C7D87">
        <w:t>The proportion of bundled customer</w:t>
      </w:r>
      <w:r w:rsidR="00B0061E">
        <w:t>s</w:t>
      </w:r>
      <w:r w:rsidR="008C7D87">
        <w:t xml:space="preserve"> as a proportion of total sales </w:t>
      </w:r>
      <w:r w:rsidR="00606260">
        <w:t xml:space="preserve">increased slightly in its October Update to account for </w:t>
      </w:r>
      <w:r w:rsidR="00A745FA">
        <w:t>CCA load returning to bundled service.</w:t>
      </w:r>
      <w:r w:rsidR="00A745FA">
        <w:rPr>
          <w:rStyle w:val="FootnoteReference"/>
        </w:rPr>
        <w:footnoteReference w:id="16"/>
      </w:r>
      <w:r w:rsidR="00A745FA">
        <w:t xml:space="preserve"> </w:t>
      </w:r>
    </w:p>
    <w:p w:rsidRPr="001C1C53" w:rsidR="00E8597E" w:rsidP="00E8597E" w:rsidRDefault="00E20D05" w14:paraId="2561478F" w14:textId="741E049B">
      <w:pPr>
        <w:pStyle w:val="Standard"/>
      </w:pPr>
      <w:r w:rsidRPr="00E20D05">
        <w:lastRenderedPageBreak/>
        <w:t xml:space="preserve">SCE’s total retail electricity sales </w:t>
      </w:r>
      <w:r w:rsidRPr="000B57A4">
        <w:t>volume in 202</w:t>
      </w:r>
      <w:r w:rsidRPr="000B57A4" w:rsidR="00D95B82">
        <w:t>3</w:t>
      </w:r>
      <w:r w:rsidRPr="000B57A4">
        <w:t xml:space="preserve"> was 8</w:t>
      </w:r>
      <w:r w:rsidRPr="000B57A4" w:rsidR="005F6E43">
        <w:t>0</w:t>
      </w:r>
      <w:r w:rsidRPr="000B57A4">
        <w:t>,</w:t>
      </w:r>
      <w:r w:rsidRPr="000B57A4" w:rsidR="00A609F9">
        <w:t>846</w:t>
      </w:r>
      <w:r w:rsidRPr="000B57A4">
        <w:t xml:space="preserve"> gigawatt hours (GWh). SCE’s </w:t>
      </w:r>
      <w:r w:rsidRPr="00E20D05">
        <w:t xml:space="preserve">forecast of total electricity </w:t>
      </w:r>
      <w:r w:rsidRPr="00CB21A5">
        <w:t>sales in 202</w:t>
      </w:r>
      <w:r w:rsidRPr="00CB21A5" w:rsidR="00A52DBE">
        <w:t>4</w:t>
      </w:r>
      <w:r w:rsidRPr="00CB21A5">
        <w:t xml:space="preserve"> is 8</w:t>
      </w:r>
      <w:r w:rsidRPr="00CB21A5" w:rsidR="00A52DBE">
        <w:t>1</w:t>
      </w:r>
      <w:r w:rsidRPr="00CB21A5">
        <w:t>,</w:t>
      </w:r>
      <w:r w:rsidRPr="00CB21A5" w:rsidR="00A52DBE">
        <w:t>758</w:t>
      </w:r>
      <w:r w:rsidRPr="00CB21A5">
        <w:t xml:space="preserve"> GWh,</w:t>
      </w:r>
      <w:r w:rsidRPr="00CB21A5" w:rsidR="00BE670A">
        <w:t xml:space="preserve"> and</w:t>
      </w:r>
      <w:r w:rsidRPr="00CB21A5">
        <w:t xml:space="preserve"> its forecast </w:t>
      </w:r>
      <w:r w:rsidRPr="00CB21A5" w:rsidR="00CF2A21">
        <w:t xml:space="preserve">of total electricity </w:t>
      </w:r>
      <w:r w:rsidRPr="00CB21A5">
        <w:t>sales</w:t>
      </w:r>
      <w:r w:rsidRPr="00CB21A5" w:rsidR="00CF2A21">
        <w:t xml:space="preserve"> in 2025 is </w:t>
      </w:r>
      <w:r w:rsidRPr="00CB21A5">
        <w:t>8</w:t>
      </w:r>
      <w:r w:rsidRPr="00CB21A5" w:rsidR="00CF2A21">
        <w:t>2</w:t>
      </w:r>
      <w:r w:rsidRPr="00CB21A5">
        <w:t>,</w:t>
      </w:r>
      <w:r w:rsidRPr="00CB21A5" w:rsidR="00CF2A21">
        <w:t xml:space="preserve">901 </w:t>
      </w:r>
      <w:r w:rsidRPr="00CB21A5">
        <w:t>GWh</w:t>
      </w:r>
      <w:r w:rsidRPr="00CB21A5" w:rsidR="00CF2A21">
        <w:rPr>
          <w:rStyle w:val="FootnoteReference"/>
        </w:rPr>
        <w:footnoteReference w:id="17"/>
      </w:r>
      <w:r w:rsidRPr="00CB21A5">
        <w:t xml:space="preserve">. This </w:t>
      </w:r>
      <w:r w:rsidRPr="00E20D05">
        <w:t>represents a</w:t>
      </w:r>
      <w:r w:rsidR="0073128F">
        <w:t>n</w:t>
      </w:r>
      <w:r w:rsidR="00BA0B7A">
        <w:t xml:space="preserve"> annual</w:t>
      </w:r>
      <w:r w:rsidRPr="00E20D05">
        <w:t xml:space="preserve"> in</w:t>
      </w:r>
      <w:r w:rsidR="0073128F">
        <w:t>crease in</w:t>
      </w:r>
      <w:r w:rsidRPr="00E20D05">
        <w:t xml:space="preserve"> annual total retail sales of </w:t>
      </w:r>
      <w:r w:rsidR="003936D0">
        <w:t>1.</w:t>
      </w:r>
      <w:r w:rsidRPr="0083454B" w:rsidR="003936D0">
        <w:t>13</w:t>
      </w:r>
      <w:r w:rsidRPr="0083454B">
        <w:t xml:space="preserve">% in </w:t>
      </w:r>
      <w:r w:rsidRPr="00E20D05">
        <w:t>202</w:t>
      </w:r>
      <w:r w:rsidR="006F1C30">
        <w:t>4</w:t>
      </w:r>
      <w:r w:rsidRPr="00E20D05">
        <w:t xml:space="preserve"> and </w:t>
      </w:r>
      <w:r w:rsidR="003936D0">
        <w:t>1.41</w:t>
      </w:r>
      <w:r w:rsidRPr="00E20D05">
        <w:t>% in 202</w:t>
      </w:r>
      <w:r w:rsidR="006F1C30">
        <w:t>5</w:t>
      </w:r>
      <w:r w:rsidRPr="00E20D05">
        <w:t xml:space="preserve"> </w:t>
      </w:r>
      <w:r w:rsidR="006111BA">
        <w:t xml:space="preserve">as </w:t>
      </w:r>
      <w:r w:rsidRPr="00E20D05">
        <w:t>compared to 202</w:t>
      </w:r>
      <w:r w:rsidR="006F1C30">
        <w:t>3</w:t>
      </w:r>
      <w:r w:rsidRPr="00E20D05">
        <w:t xml:space="preserve">. </w:t>
      </w:r>
      <w:r w:rsidR="003253B4">
        <w:t xml:space="preserve">SCE attributes this </w:t>
      </w:r>
      <w:r w:rsidR="006654D9">
        <w:t xml:space="preserve">increased </w:t>
      </w:r>
      <w:r w:rsidR="003253B4">
        <w:t xml:space="preserve">load mainly to </w:t>
      </w:r>
      <w:r w:rsidR="000C1332">
        <w:t>climate drive</w:t>
      </w:r>
      <w:r w:rsidR="00D12319">
        <w:t>n</w:t>
      </w:r>
      <w:r w:rsidR="000C1332">
        <w:t xml:space="preserve"> </w:t>
      </w:r>
      <w:r w:rsidR="00D335DB">
        <w:t xml:space="preserve">need for </w:t>
      </w:r>
      <w:r w:rsidR="000C1332">
        <w:t xml:space="preserve">increased </w:t>
      </w:r>
      <w:r w:rsidRPr="001C1C53" w:rsidR="000C1332">
        <w:t xml:space="preserve">cooling and </w:t>
      </w:r>
      <w:r w:rsidR="006111BA">
        <w:t xml:space="preserve">increased levels of </w:t>
      </w:r>
      <w:r w:rsidRPr="001C1C53" w:rsidR="000C1332">
        <w:t xml:space="preserve">transportation electrification. </w:t>
      </w:r>
      <w:r w:rsidRPr="001C1C53">
        <w:t xml:space="preserve">SCE’s retail sales forecast is influenced by historical trends in employment growth, residential housing starts, the economic outlook, weather assumptions </w:t>
      </w:r>
      <w:r w:rsidRPr="001C1C53" w:rsidR="00E8597E">
        <w:t>and other factors</w:t>
      </w:r>
      <w:r w:rsidRPr="001C1C53" w:rsidR="00D94526">
        <w:rPr>
          <w:rStyle w:val="FootnoteReference"/>
        </w:rPr>
        <w:footnoteReference w:id="18"/>
      </w:r>
      <w:r w:rsidRPr="001C1C53" w:rsidR="00E8597E">
        <w:t xml:space="preserve"> (</w:t>
      </w:r>
      <w:r w:rsidRPr="006E044D" w:rsidR="00E8597E">
        <w:rPr>
          <w:i/>
          <w:iCs/>
        </w:rPr>
        <w:t>e.g</w:t>
      </w:r>
      <w:r w:rsidRPr="001C1C53" w:rsidR="00E8597E">
        <w:t xml:space="preserve">. energy efficiency savings, </w:t>
      </w:r>
      <w:r w:rsidRPr="001C1C53" w:rsidR="00A1361C">
        <w:t>transportation electrification</w:t>
      </w:r>
      <w:r w:rsidRPr="001C1C53" w:rsidR="00C30893">
        <w:t>, building electrification, and behind the meter generation</w:t>
      </w:r>
      <w:r w:rsidR="007C0980">
        <w:t>)</w:t>
      </w:r>
      <w:r w:rsidRPr="001C1C53" w:rsidR="00E8597E">
        <w:t>.</w:t>
      </w:r>
      <w:r w:rsidR="00E43E2D">
        <w:t xml:space="preserve"> SCE </w:t>
      </w:r>
      <w:r w:rsidR="00814810">
        <w:t>forecasts</w:t>
      </w:r>
      <w:r w:rsidR="00E43E2D">
        <w:t xml:space="preserve"> the total number of retail </w:t>
      </w:r>
      <w:r w:rsidR="00AC621F">
        <w:t xml:space="preserve">customers to increase by </w:t>
      </w:r>
      <w:r w:rsidR="00BF28EA">
        <w:t>0.5 percent in 2024 and 0.6 percent in 2025.</w:t>
      </w:r>
      <w:r w:rsidR="00C05BD1">
        <w:rPr>
          <w:rStyle w:val="FootnoteReference"/>
        </w:rPr>
        <w:footnoteReference w:id="19"/>
      </w:r>
    </w:p>
    <w:p w:rsidR="00E8597E" w:rsidP="00E8597E" w:rsidRDefault="00E8597E" w14:paraId="2002EFE0" w14:textId="631A746D">
      <w:pPr>
        <w:pStyle w:val="Standard"/>
      </w:pPr>
      <w:r w:rsidRPr="001C1C53">
        <w:t xml:space="preserve">SCE calculates the revenue requirement necessary </w:t>
      </w:r>
      <w:r>
        <w:t>for procuring bundled customer energy in 202</w:t>
      </w:r>
      <w:r w:rsidR="0095733C">
        <w:t>5</w:t>
      </w:r>
      <w:r>
        <w:t xml:space="preserve"> using energy need at the CAISO interface, which allows SCE to account for line losses</w:t>
      </w:r>
      <w:r w:rsidR="00D65697">
        <w:rPr>
          <w:rStyle w:val="FootnoteReference"/>
        </w:rPr>
        <w:footnoteReference w:id="20"/>
      </w:r>
      <w:r>
        <w:t xml:space="preserve"> inherent in transporting energy from the CAISO interface to bundled service customers’ meters. SCE also adjusts the sales forecast </w:t>
      </w:r>
      <w:r w:rsidRPr="005F3E15">
        <w:t xml:space="preserve">downward </w:t>
      </w:r>
      <w:r w:rsidRPr="005F3E15" w:rsidR="002461C5">
        <w:t>4.5</w:t>
      </w:r>
      <w:r w:rsidRPr="005F3E15">
        <w:t>%</w:t>
      </w:r>
      <w:r w:rsidRPr="005F3E15" w:rsidR="00E175E9">
        <w:rPr>
          <w:rStyle w:val="FootnoteReference"/>
        </w:rPr>
        <w:footnoteReference w:id="21"/>
      </w:r>
      <w:r w:rsidRPr="005F3E15">
        <w:t xml:space="preserve"> to adjust </w:t>
      </w:r>
      <w:r>
        <w:t>for the difference between billed and delivered energy for Net Energy Metering (NEM) customers.</w:t>
      </w:r>
    </w:p>
    <w:p w:rsidR="00444D07" w:rsidP="0093312F" w:rsidRDefault="00E8597E" w14:paraId="117CAE2D" w14:textId="68CFBD8C">
      <w:pPr>
        <w:pStyle w:val="Standard"/>
      </w:pPr>
      <w:r>
        <w:t>Finally, SCE’s 202</w:t>
      </w:r>
      <w:r w:rsidR="00E72AA2">
        <w:t>5</w:t>
      </w:r>
      <w:r>
        <w:t xml:space="preserve"> forecast of total bundled service customer</w:t>
      </w:r>
      <w:r w:rsidR="00E26FFB">
        <w:t xml:space="preserve"> load</w:t>
      </w:r>
      <w:r>
        <w:t xml:space="preserve"> accounts for</w:t>
      </w:r>
      <w:r w:rsidR="003364B7">
        <w:t xml:space="preserve"> departed load. This departed load</w:t>
      </w:r>
      <w:r>
        <w:t xml:space="preserve"> </w:t>
      </w:r>
      <w:r w:rsidR="003364B7">
        <w:t xml:space="preserve">includes </w:t>
      </w:r>
      <w:r>
        <w:t xml:space="preserve">the increase in </w:t>
      </w:r>
      <w:r w:rsidR="00FD0DA4">
        <w:t xml:space="preserve">the </w:t>
      </w:r>
      <w:r w:rsidR="00907E9B">
        <w:t>load</w:t>
      </w:r>
      <w:r w:rsidR="00FD0DA4">
        <w:t xml:space="preserve"> </w:t>
      </w:r>
      <w:r w:rsidRPr="003364B7" w:rsidR="00FD0DA4">
        <w:lastRenderedPageBreak/>
        <w:t>cap for</w:t>
      </w:r>
      <w:r w:rsidRPr="003364B7" w:rsidR="00907E9B">
        <w:t xml:space="preserve"> </w:t>
      </w:r>
      <w:r w:rsidRPr="003364B7">
        <w:t>D</w:t>
      </w:r>
      <w:r w:rsidRPr="003364B7" w:rsidR="00C06B72">
        <w:t>irect Access</w:t>
      </w:r>
      <w:r w:rsidRPr="003364B7" w:rsidR="00136942">
        <w:t xml:space="preserve"> </w:t>
      </w:r>
      <w:r w:rsidRPr="003364B7" w:rsidR="00907E9B">
        <w:t>customers</w:t>
      </w:r>
      <w:r w:rsidRPr="003364B7">
        <w:t xml:space="preserve">. </w:t>
      </w:r>
      <w:r>
        <w:t>It also includes Energy Service Providers and Community Choice Aggregators (CCA) that meet one of the following criteria: (1) file a binding notice of intent to begin community choice aggregation service; (2) file an initial RA filing; (3) start community choice aggregation service; or (4)</w:t>
      </w:r>
      <w:r w:rsidR="00FB44D4">
        <w:t> </w:t>
      </w:r>
      <w:r>
        <w:t>formally submit an April RA forecast pursuant to Pub. Util. Code Section 380.</w:t>
      </w:r>
    </w:p>
    <w:p w:rsidRPr="00FD7809" w:rsidR="00CC0759" w:rsidP="001C1CD5" w:rsidRDefault="00444D07" w14:paraId="58468AA5" w14:textId="77CF8DAD">
      <w:pPr>
        <w:pStyle w:val="Standard"/>
      </w:pPr>
      <w:r>
        <w:t xml:space="preserve">No </w:t>
      </w:r>
      <w:r w:rsidRPr="005E4BB8">
        <w:t>parties</w:t>
      </w:r>
      <w:r>
        <w:t xml:space="preserve"> directly addressed SCE’s testimony and workpapers related to its forecast of electric sales and electric load</w:t>
      </w:r>
      <w:r w:rsidRPr="00DD66F5">
        <w:t xml:space="preserve">. After reviewing </w:t>
      </w:r>
      <w:bookmarkStart w:name="_Hlk182836798" w:id="15"/>
      <w:r w:rsidRPr="00DD66F5">
        <w:t xml:space="preserve">the </w:t>
      </w:r>
      <w:r>
        <w:t>Opening Testimony, Rebuttal T</w:t>
      </w:r>
      <w:r w:rsidRPr="00DD66F5">
        <w:t>estimony, workpapers, AOU, comments, Opening Brief, and Reply Brief documents</w:t>
      </w:r>
      <w:bookmarkEnd w:id="15"/>
      <w:r w:rsidRPr="00DD66F5">
        <w:t xml:space="preserve">, we </w:t>
      </w:r>
      <w:r>
        <w:t xml:space="preserve">find SCE’s forecasted 2025 </w:t>
      </w:r>
      <w:r w:rsidR="000509C7">
        <w:t>ele</w:t>
      </w:r>
      <w:r w:rsidR="00A313AE">
        <w:t xml:space="preserve">ctric sales and electric load </w:t>
      </w:r>
      <w:r>
        <w:t>to be reasonable</w:t>
      </w:r>
      <w:r w:rsidR="00567FC9">
        <w:t>, and</w:t>
      </w:r>
      <w:r>
        <w:t xml:space="preserve"> therefore approve them as proposed.</w:t>
      </w:r>
    </w:p>
    <w:p w:rsidRPr="0001360F" w:rsidR="00290ECF" w:rsidP="00FA1B4F" w:rsidRDefault="00290ECF" w14:paraId="07CE47DD" w14:textId="19DA056F">
      <w:pPr>
        <w:pStyle w:val="Heading1"/>
      </w:pPr>
      <w:bookmarkStart w:name="_Toc183184265" w:id="16"/>
      <w:bookmarkStart w:name="_Toc8123721" w:id="17"/>
      <w:r w:rsidRPr="0001360F">
        <w:t>SCE’s Portfolio of Resources for 2025</w:t>
      </w:r>
      <w:bookmarkEnd w:id="16"/>
    </w:p>
    <w:p w:rsidR="00290ECF" w:rsidP="00EB0F10" w:rsidRDefault="00290ECF" w14:paraId="4DE5A5E9" w14:textId="6F882859">
      <w:pPr>
        <w:pStyle w:val="Standard"/>
      </w:pPr>
      <w:r>
        <w:t xml:space="preserve">SCE’s portfolio of resources includes a variety of </w:t>
      </w:r>
      <w:r w:rsidR="00A10353">
        <w:t>UOG</w:t>
      </w:r>
      <w:r>
        <w:t xml:space="preserve"> and contracted resources, which are discussed in </w:t>
      </w:r>
      <w:r w:rsidRPr="00A052BB">
        <w:t>Sections 5.1</w:t>
      </w:r>
      <w:r w:rsidRPr="00A052BB" w:rsidR="006F68BB">
        <w:t>.</w:t>
      </w:r>
      <w:r w:rsidRPr="00FD7809" w:rsidR="006F68BB">
        <w:t>1</w:t>
      </w:r>
      <w:r w:rsidRPr="00FD7809">
        <w:t>-5.</w:t>
      </w:r>
      <w:r w:rsidRPr="00FD7809" w:rsidR="006F68BB">
        <w:t>1.</w:t>
      </w:r>
      <w:r w:rsidRPr="00FD7809">
        <w:t>1</w:t>
      </w:r>
      <w:r w:rsidR="000123E0">
        <w:t>2</w:t>
      </w:r>
      <w:r w:rsidRPr="00A052BB">
        <w:t xml:space="preserve"> </w:t>
      </w:r>
      <w:r>
        <w:t xml:space="preserve">below. </w:t>
      </w:r>
      <w:r w:rsidR="00A10353">
        <w:t xml:space="preserve">SCE’s UOG includes </w:t>
      </w:r>
      <w:r w:rsidR="006F68BB">
        <w:t>hydroelectric,</w:t>
      </w:r>
      <w:r w:rsidRPr="006F68BB" w:rsidR="006F68BB">
        <w:t xml:space="preserve"> </w:t>
      </w:r>
      <w:r w:rsidR="006F68BB">
        <w:t>renewable generation, fossil fueled</w:t>
      </w:r>
      <w:r w:rsidR="00A052BB">
        <w:t xml:space="preserve"> </w:t>
      </w:r>
      <w:r w:rsidR="00D30D52">
        <w:t>(natural gas, propane, and diesel)</w:t>
      </w:r>
      <w:r w:rsidR="00A15663">
        <w:t xml:space="preserve"> </w:t>
      </w:r>
      <w:r w:rsidR="00EF3DE0">
        <w:t>generation</w:t>
      </w:r>
      <w:r w:rsidR="00D30D52">
        <w:t>,</w:t>
      </w:r>
      <w:r w:rsidR="006F68BB">
        <w:t xml:space="preserve"> </w:t>
      </w:r>
      <w:r w:rsidR="00A10353">
        <w:t>nuclear</w:t>
      </w:r>
      <w:r w:rsidR="00EF3DE0">
        <w:t xml:space="preserve"> generation</w:t>
      </w:r>
      <w:r w:rsidR="00A10353">
        <w:t>,</w:t>
      </w:r>
      <w:r w:rsidR="00F456DC">
        <w:t xml:space="preserve"> and</w:t>
      </w:r>
      <w:r w:rsidR="00A10353">
        <w:t xml:space="preserve"> energy storage </w:t>
      </w:r>
      <w:r w:rsidR="007643FD">
        <w:t xml:space="preserve">resources. </w:t>
      </w:r>
      <w:r w:rsidR="00AC50F6">
        <w:t xml:space="preserve">SCE’s </w:t>
      </w:r>
      <w:r w:rsidR="00F4038F">
        <w:t xml:space="preserve">contracted resources include </w:t>
      </w:r>
      <w:r w:rsidRPr="005622D1" w:rsidR="00F4038F">
        <w:t>combined heat-and-power (CHP)</w:t>
      </w:r>
      <w:r w:rsidR="00F4038F">
        <w:t xml:space="preserve">, renewable </w:t>
      </w:r>
      <w:r w:rsidR="00F456DC">
        <w:t>generation</w:t>
      </w:r>
      <w:r w:rsidR="00F4038F">
        <w:t xml:space="preserve">, inter-utility and </w:t>
      </w:r>
      <w:r w:rsidR="00603EB0">
        <w:t xml:space="preserve">bilateral contracts, and </w:t>
      </w:r>
      <w:r w:rsidR="004015CF">
        <w:t>anticipated future solicitations and market purchases</w:t>
      </w:r>
      <w:r w:rsidR="00EB0F10">
        <w:t xml:space="preserve"> </w:t>
      </w:r>
      <w:r w:rsidR="004015CF">
        <w:t>(represented by proxy costs)</w:t>
      </w:r>
      <w:r w:rsidR="00EB0F10">
        <w:t>.</w:t>
      </w:r>
      <w:r w:rsidR="00EB0F10">
        <w:rPr>
          <w:rStyle w:val="FootnoteReference"/>
        </w:rPr>
        <w:footnoteReference w:id="22"/>
      </w:r>
      <w:r w:rsidRPr="005622D1" w:rsidR="00F4038F">
        <w:t xml:space="preserve"> </w:t>
      </w:r>
      <w:r>
        <w:t>Each</w:t>
      </w:r>
      <w:r w:rsidR="00EB0F10">
        <w:t xml:space="preserve"> sub</w:t>
      </w:r>
      <w:r>
        <w:t>section</w:t>
      </w:r>
      <w:r w:rsidR="00EB0F10">
        <w:t xml:space="preserve"> that follows</w:t>
      </w:r>
      <w:r>
        <w:t xml:space="preserve"> describes the costs associated with </w:t>
      </w:r>
      <w:r w:rsidR="00EB0F10">
        <w:t>a particular</w:t>
      </w:r>
      <w:r>
        <w:t xml:space="preserve"> resource that w</w:t>
      </w:r>
      <w:r w:rsidR="00EB0F10">
        <w:t>as</w:t>
      </w:r>
      <w:r>
        <w:t xml:space="preserve"> proposed in SCE’s 202</w:t>
      </w:r>
      <w:r w:rsidR="003B0EE3">
        <w:t>5</w:t>
      </w:r>
      <w:r>
        <w:t xml:space="preserve"> ERRA Forecast Application and Testimony as amended </w:t>
      </w:r>
      <w:r w:rsidR="008253F8">
        <w:t>by</w:t>
      </w:r>
      <w:r>
        <w:t xml:space="preserve"> its </w:t>
      </w:r>
      <w:r w:rsidR="00646B1B">
        <w:t>AOU</w:t>
      </w:r>
      <w:r>
        <w:t>.</w:t>
      </w:r>
      <w:r w:rsidRPr="00660232" w:rsidR="00660232">
        <w:t xml:space="preserve"> </w:t>
      </w:r>
      <w:r w:rsidRPr="005622D1" w:rsidR="00660232">
        <w:t xml:space="preserve">As </w:t>
      </w:r>
      <w:r w:rsidRPr="00646B1B" w:rsidR="00646B1B">
        <w:t xml:space="preserve">noted </w:t>
      </w:r>
      <w:r w:rsidRPr="00646B1B" w:rsidR="00660232">
        <w:t xml:space="preserve">in </w:t>
      </w:r>
      <w:r w:rsidRPr="0001360F" w:rsidR="00660232">
        <w:t xml:space="preserve">Section </w:t>
      </w:r>
      <w:r w:rsidR="00F44A55">
        <w:t>1</w:t>
      </w:r>
      <w:r w:rsidRPr="0001360F" w:rsidR="00660232">
        <w:t xml:space="preserve"> above,</w:t>
      </w:r>
      <w:r w:rsidRPr="00646B1B" w:rsidR="00660232">
        <w:t xml:space="preserve"> SCE </w:t>
      </w:r>
      <w:r w:rsidRPr="005622D1" w:rsidR="00660232">
        <w:t xml:space="preserve">forecasted dispatch of its portfolio of </w:t>
      </w:r>
      <w:r w:rsidRPr="00646B1B" w:rsidR="00660232">
        <w:t>resources using an LCD approach</w:t>
      </w:r>
      <w:r w:rsidR="001C1CD5">
        <w:t>.</w:t>
      </w:r>
    </w:p>
    <w:p w:rsidR="00B964DA" w:rsidP="00B964DA" w:rsidRDefault="00B964DA" w14:paraId="75773674" w14:textId="7C128D01">
      <w:pPr>
        <w:pStyle w:val="Heading2"/>
      </w:pPr>
      <w:bookmarkStart w:name="_Toc183184266" w:id="18"/>
      <w:r w:rsidRPr="00B964DA">
        <w:lastRenderedPageBreak/>
        <w:t xml:space="preserve">Utility-Owned Generation and </w:t>
      </w:r>
      <w:r w:rsidR="006E044D">
        <w:br/>
      </w:r>
      <w:r w:rsidRPr="00B964DA">
        <w:t>Purchased Power Contracts</w:t>
      </w:r>
      <w:bookmarkEnd w:id="18"/>
    </w:p>
    <w:p w:rsidR="00B40CCF" w:rsidP="005622D1" w:rsidRDefault="005622D1" w14:paraId="32D94CB2" w14:textId="13CF6811">
      <w:pPr>
        <w:pStyle w:val="Standard"/>
      </w:pPr>
      <w:r w:rsidRPr="005622D1">
        <w:t>SCE’s UOG and purchased power contract resources consist of hydroelectric</w:t>
      </w:r>
      <w:r w:rsidR="003B5672">
        <w:t>,</w:t>
      </w:r>
      <w:r w:rsidR="00580CFF">
        <w:t xml:space="preserve"> </w:t>
      </w:r>
      <w:r w:rsidRPr="005622D1">
        <w:t>renewable</w:t>
      </w:r>
      <w:r w:rsidR="003B5672">
        <w:t>,</w:t>
      </w:r>
      <w:r w:rsidRPr="005622D1">
        <w:t xml:space="preserve"> nuclear</w:t>
      </w:r>
      <w:r w:rsidR="00EB09F5">
        <w:t xml:space="preserve"> generation</w:t>
      </w:r>
      <w:r w:rsidR="003B5672">
        <w:t>,</w:t>
      </w:r>
      <w:r w:rsidRPr="005622D1">
        <w:t xml:space="preserve"> </w:t>
      </w:r>
      <w:r w:rsidR="00A052BB">
        <w:t>fossil fueled (natural gas, propane, and diesel)</w:t>
      </w:r>
      <w:r w:rsidR="00EB09F5">
        <w:t xml:space="preserve"> generation</w:t>
      </w:r>
      <w:r w:rsidR="0049600D">
        <w:t>,</w:t>
      </w:r>
      <w:r w:rsidRPr="005622D1">
        <w:t xml:space="preserve"> and </w:t>
      </w:r>
      <w:r w:rsidR="006C7AAB">
        <w:t>energy</w:t>
      </w:r>
      <w:r w:rsidRPr="005622D1">
        <w:t xml:space="preserve"> storage.</w:t>
      </w:r>
      <w:r w:rsidR="00D21784">
        <w:t xml:space="preserve"> </w:t>
      </w:r>
    </w:p>
    <w:p w:rsidR="00BE05F3" w:rsidP="00335716" w:rsidRDefault="00D21784" w14:paraId="79F061C6" w14:textId="77777777">
      <w:pPr>
        <w:pStyle w:val="Standard"/>
      </w:pPr>
      <w:r>
        <w:t>Th</w:t>
      </w:r>
      <w:r w:rsidR="00BF05F0">
        <w:t xml:space="preserve">e </w:t>
      </w:r>
      <w:r w:rsidR="00D32A7B">
        <w:t xml:space="preserve">2025 </w:t>
      </w:r>
      <w:r w:rsidR="00BF05F0">
        <w:t>cost</w:t>
      </w:r>
      <w:r w:rsidR="00AB7F94">
        <w:t>s</w:t>
      </w:r>
      <w:r w:rsidR="00844E2A">
        <w:t xml:space="preserve"> </w:t>
      </w:r>
      <w:r w:rsidR="00D32A7B">
        <w:t>forecaste</w:t>
      </w:r>
      <w:r w:rsidR="00AB7F94">
        <w:t>d for</w:t>
      </w:r>
      <w:r w:rsidR="00844E2A">
        <w:t xml:space="preserve"> this port</w:t>
      </w:r>
      <w:r w:rsidR="00B12200">
        <w:t>folio</w:t>
      </w:r>
      <w:r w:rsidR="00BF05F0">
        <w:t xml:space="preserve"> were amended downward</w:t>
      </w:r>
      <w:r w:rsidR="001E28C6">
        <w:t xml:space="preserve"> from 2024 estimates</w:t>
      </w:r>
      <w:r w:rsidR="00BF05F0">
        <w:t xml:space="preserve"> </w:t>
      </w:r>
      <w:r w:rsidR="003D7576">
        <w:t xml:space="preserve">both in the initial forecast and </w:t>
      </w:r>
      <w:r w:rsidR="00BF05F0">
        <w:t>in the AOU</w:t>
      </w:r>
      <w:r w:rsidR="00760673">
        <w:t xml:space="preserve"> based on the balance of increases and decreases within the cost categories</w:t>
      </w:r>
      <w:r w:rsidR="00DF004A">
        <w:t xml:space="preserve">, with major changes </w:t>
      </w:r>
      <w:r w:rsidR="00152821">
        <w:t>summarized here</w:t>
      </w:r>
      <w:r w:rsidR="00760673">
        <w:t>.</w:t>
      </w:r>
      <w:r w:rsidR="001F3BB6">
        <w:t xml:space="preserve"> </w:t>
      </w:r>
    </w:p>
    <w:p w:rsidR="00BE05F3" w:rsidP="00335716" w:rsidRDefault="00DE3060" w14:paraId="59BB77C4" w14:textId="6DC67F69">
      <w:pPr>
        <w:pStyle w:val="Standard"/>
      </w:pPr>
      <w:r>
        <w:t>SCE’s net bundled service lo</w:t>
      </w:r>
      <w:r w:rsidR="000D1E8B">
        <w:t xml:space="preserve">ad forecast decreased approximately </w:t>
      </w:r>
      <w:r w:rsidR="00403121">
        <w:t>6.8</w:t>
      </w:r>
      <w:r w:rsidR="00FB44D4">
        <w:t> </w:t>
      </w:r>
      <w:r w:rsidR="000D1E8B">
        <w:t xml:space="preserve">percent for </w:t>
      </w:r>
      <w:r w:rsidRPr="00AC6791" w:rsidR="000D1E8B">
        <w:t>2025.</w:t>
      </w:r>
      <w:r w:rsidRPr="00AC6791" w:rsidR="00B45A48">
        <w:rPr>
          <w:rStyle w:val="FootnoteReference"/>
        </w:rPr>
        <w:footnoteReference w:id="23"/>
      </w:r>
      <w:r w:rsidRPr="00AC6791" w:rsidR="000D1E8B">
        <w:t xml:space="preserve"> </w:t>
      </w:r>
      <w:r w:rsidRPr="00AC6791" w:rsidR="001F3BB6">
        <w:t xml:space="preserve">Both </w:t>
      </w:r>
      <w:r w:rsidR="001F3BB6">
        <w:t xml:space="preserve">power and gas prices </w:t>
      </w:r>
      <w:r w:rsidR="00496959">
        <w:t>decreased</w:t>
      </w:r>
      <w:r w:rsidR="002434D4">
        <w:t xml:space="preserve"> </w:t>
      </w:r>
      <w:r w:rsidR="009D0C8A">
        <w:t xml:space="preserve">and </w:t>
      </w:r>
      <w:r w:rsidR="00496959">
        <w:t>outage</w:t>
      </w:r>
      <w:r w:rsidR="00D45632">
        <w:t>s</w:t>
      </w:r>
      <w:r w:rsidR="00496959">
        <w:t xml:space="preserve"> on gas fired UOG units decreased the amount of generation </w:t>
      </w:r>
      <w:r w:rsidR="003B4C62">
        <w:t xml:space="preserve">from the PABA </w:t>
      </w:r>
      <w:r w:rsidRPr="00AC6791" w:rsidR="003B4C62">
        <w:t>portfolio.</w:t>
      </w:r>
      <w:r w:rsidRPr="00AC6791" w:rsidR="003B4C62">
        <w:rPr>
          <w:rStyle w:val="FootnoteReference"/>
        </w:rPr>
        <w:footnoteReference w:id="24"/>
      </w:r>
      <w:r w:rsidRPr="00AC6791" w:rsidR="00D50ABE">
        <w:t xml:space="preserve"> Large </w:t>
      </w:r>
      <w:r w:rsidR="00D50ABE">
        <w:t xml:space="preserve">increases in </w:t>
      </w:r>
      <w:r w:rsidR="00C871F3">
        <w:t xml:space="preserve">2025 RPS </w:t>
      </w:r>
      <w:r w:rsidR="00567FC9">
        <w:t>MPB</w:t>
      </w:r>
      <w:r w:rsidR="001E17C2">
        <w:t xml:space="preserve"> </w:t>
      </w:r>
      <w:r w:rsidR="00C871F3">
        <w:t xml:space="preserve">resulted in approximately double the revenue from SCE’s </w:t>
      </w:r>
      <w:r w:rsidR="00BC2FB2">
        <w:t>Voluntary</w:t>
      </w:r>
      <w:r w:rsidR="00C871F3">
        <w:t xml:space="preserve"> Allocation Sales</w:t>
      </w:r>
      <w:r w:rsidR="003F5B6E">
        <w:t xml:space="preserve"> as had been originally forecast, </w:t>
      </w:r>
      <w:r w:rsidR="00C871F3">
        <w:t>and</w:t>
      </w:r>
      <w:r w:rsidR="00497944">
        <w:t xml:space="preserve"> </w:t>
      </w:r>
      <w:r w:rsidR="009661BF">
        <w:t xml:space="preserve">there were </w:t>
      </w:r>
      <w:r w:rsidR="00C871F3">
        <w:t>additiona</w:t>
      </w:r>
      <w:r w:rsidR="008F0798">
        <w:t xml:space="preserve">l sales from </w:t>
      </w:r>
      <w:r w:rsidRPr="005C2D47" w:rsidR="008F0798">
        <w:t>SCE’s BioRAM</w:t>
      </w:r>
      <w:r w:rsidRPr="00020890" w:rsidR="008F0798">
        <w:t xml:space="preserve"> portfolio.</w:t>
      </w:r>
      <w:r w:rsidRPr="00020890" w:rsidR="00C63CC8">
        <w:rPr>
          <w:rStyle w:val="FootnoteReference"/>
        </w:rPr>
        <w:t xml:space="preserve"> </w:t>
      </w:r>
      <w:r w:rsidRPr="00020890" w:rsidR="00C63CC8">
        <w:rPr>
          <w:rStyle w:val="FootnoteReference"/>
        </w:rPr>
        <w:footnoteReference w:id="25"/>
      </w:r>
    </w:p>
    <w:p w:rsidR="005622D1" w:rsidP="00335716" w:rsidRDefault="00D942E9" w14:paraId="6548DDA7" w14:textId="54C96D1D">
      <w:pPr>
        <w:pStyle w:val="Standard"/>
      </w:pPr>
      <w:r>
        <w:t xml:space="preserve">Large increases in the </w:t>
      </w:r>
      <w:r w:rsidR="00D5003B">
        <w:t xml:space="preserve">2025 </w:t>
      </w:r>
      <w:r w:rsidR="00654DF4">
        <w:t>for</w:t>
      </w:r>
      <w:r w:rsidR="00E90A2A">
        <w:t xml:space="preserve">ecast </w:t>
      </w:r>
      <w:r w:rsidR="00D5003B">
        <w:t>RPS MPB increased revenues fr</w:t>
      </w:r>
      <w:r w:rsidR="008D6669">
        <w:t>o</w:t>
      </w:r>
      <w:r w:rsidR="00D5003B">
        <w:t xml:space="preserve">m SCE’s </w:t>
      </w:r>
      <w:r w:rsidR="007C4822">
        <w:t xml:space="preserve">Voluntary Allocation and </w:t>
      </w:r>
      <w:r w:rsidR="00D82B46">
        <w:t xml:space="preserve">Renewable Energy </w:t>
      </w:r>
      <w:r w:rsidRPr="00D82B46" w:rsidR="00D82B46">
        <w:t>Certificates (</w:t>
      </w:r>
      <w:r w:rsidRPr="00D82B46" w:rsidR="007C4822">
        <w:t>REC</w:t>
      </w:r>
      <w:r w:rsidRPr="00D82B46" w:rsidR="00D82B46">
        <w:t>)</w:t>
      </w:r>
      <w:r w:rsidR="007C4822">
        <w:t xml:space="preserve"> sales</w:t>
      </w:r>
      <w:r w:rsidR="00654DF4">
        <w:t>. Large increases in the 2025</w:t>
      </w:r>
      <w:r w:rsidR="00E90A2A">
        <w:t xml:space="preserve"> RA </w:t>
      </w:r>
      <w:r w:rsidR="00567FC9">
        <w:t>MPB</w:t>
      </w:r>
      <w:r w:rsidR="00E90A2A">
        <w:t>s</w:t>
      </w:r>
      <w:r w:rsidR="005B721A">
        <w:t xml:space="preserve"> and incorporation of SCE’</w:t>
      </w:r>
      <w:r w:rsidR="00313908">
        <w:t>s interim proposal for SOD</w:t>
      </w:r>
      <w:r w:rsidR="00B40CCF">
        <w:t xml:space="preserve"> both decreased RA</w:t>
      </w:r>
      <w:r w:rsidR="00D21F16">
        <w:t xml:space="preserve"> sales and increased the price of RA purchases.</w:t>
      </w:r>
      <w:r w:rsidR="00D77AEA">
        <w:t xml:space="preserve"> </w:t>
      </w:r>
      <w:r w:rsidR="0095601E">
        <w:t>Both c</w:t>
      </w:r>
      <w:r w:rsidR="00F30D85">
        <w:t>ontractual changes</w:t>
      </w:r>
      <w:r w:rsidR="00053A71">
        <w:t xml:space="preserve"> and the retirement of hedging reduced </w:t>
      </w:r>
      <w:r w:rsidR="0095601E">
        <w:t xml:space="preserve">financing </w:t>
      </w:r>
      <w:r w:rsidR="00053A71">
        <w:t>costs.</w:t>
      </w:r>
      <w:r w:rsidR="007910E1">
        <w:t xml:space="preserve"> Finally, the addition of new RA purchase</w:t>
      </w:r>
      <w:r w:rsidR="007C4AF0">
        <w:t>s and contractual arrangements related to</w:t>
      </w:r>
      <w:r w:rsidR="007126AE">
        <w:t xml:space="preserve"> mid-term </w:t>
      </w:r>
      <w:r w:rsidRPr="00D82B46" w:rsidR="007126AE">
        <w:t>reliability</w:t>
      </w:r>
      <w:r w:rsidRPr="00D82B46" w:rsidR="007C4AF0">
        <w:t xml:space="preserve"> </w:t>
      </w:r>
      <w:r w:rsidRPr="00D82B46" w:rsidR="007126AE">
        <w:t>(</w:t>
      </w:r>
      <w:r w:rsidRPr="00D82B46" w:rsidR="007C4AF0">
        <w:t>MTR</w:t>
      </w:r>
      <w:r w:rsidRPr="00D82B46" w:rsidR="007126AE">
        <w:t>)</w:t>
      </w:r>
      <w:r w:rsidR="007C4AF0">
        <w:t xml:space="preserve"> procurement increased costs.</w:t>
      </w:r>
    </w:p>
    <w:p w:rsidRPr="0095601E" w:rsidR="00FD2E86" w:rsidP="00335716" w:rsidRDefault="008C7FAC" w14:paraId="14244B87" w14:textId="6FB02B96">
      <w:pPr>
        <w:pStyle w:val="Heading3"/>
      </w:pPr>
      <w:bookmarkStart w:name="_Toc180783360" w:id="19"/>
      <w:bookmarkStart w:name="_Toc180842592" w:id="20"/>
      <w:bookmarkStart w:name="_Toc180842676" w:id="21"/>
      <w:bookmarkStart w:name="_Toc181731650" w:id="22"/>
      <w:bookmarkStart w:name="_Toc181879952" w:id="23"/>
      <w:bookmarkStart w:name="_Toc182155360" w:id="24"/>
      <w:bookmarkStart w:name="_Toc182155441" w:id="25"/>
      <w:bookmarkStart w:name="_Toc182233286" w:id="26"/>
      <w:bookmarkStart w:name="_Toc182242305" w:id="27"/>
      <w:bookmarkStart w:name="_Toc182242748" w:id="28"/>
      <w:bookmarkStart w:name="_Toc182245464" w:id="29"/>
      <w:bookmarkStart w:name="_Toc182245549" w:id="30"/>
      <w:bookmarkStart w:name="_Toc182245705" w:id="31"/>
      <w:bookmarkStart w:name="_Toc182245790" w:id="32"/>
      <w:bookmarkStart w:name="_Toc183184267" w:id="33"/>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5601E">
        <w:lastRenderedPageBreak/>
        <w:t>Hydroelectric Resources</w:t>
      </w:r>
      <w:bookmarkEnd w:id="33"/>
    </w:p>
    <w:p w:rsidR="00197553" w:rsidP="00197553" w:rsidRDefault="00197553" w14:paraId="4F00CAE4" w14:textId="5FF20613">
      <w:pPr>
        <w:pStyle w:val="Standard"/>
      </w:pPr>
      <w:r>
        <w:t xml:space="preserve">SCE’s </w:t>
      </w:r>
      <w:r w:rsidRPr="005E4BB8">
        <w:t>hydroelectric</w:t>
      </w:r>
      <w:r>
        <w:t xml:space="preserve"> resources consist </w:t>
      </w:r>
      <w:r w:rsidRPr="00EB2F21">
        <w:rPr>
          <w:color w:val="000000" w:themeColor="text1"/>
        </w:rPr>
        <w:t xml:space="preserve">of </w:t>
      </w:r>
      <w:r w:rsidRPr="00EB2F21" w:rsidR="00EB2F21">
        <w:rPr>
          <w:color w:val="000000" w:themeColor="text1"/>
        </w:rPr>
        <w:t>32 hydro generating facilities</w:t>
      </w:r>
      <w:r w:rsidRPr="00EB2F21">
        <w:rPr>
          <w:color w:val="000000" w:themeColor="text1"/>
        </w:rPr>
        <w:t xml:space="preserve"> </w:t>
      </w:r>
      <w:r>
        <w:t xml:space="preserve">in Central and Southern California that </w:t>
      </w:r>
      <w:r w:rsidRPr="007C0773">
        <w:t>provide a combined 1,1</w:t>
      </w:r>
      <w:r w:rsidRPr="007C0773" w:rsidR="00EB2F21">
        <w:t>64</w:t>
      </w:r>
      <w:r w:rsidRPr="007C0773">
        <w:t xml:space="preserve"> megawatts (MW) of nameplate capacity. SCE forecast</w:t>
      </w:r>
      <w:r w:rsidR="001A2B38">
        <w:t>s</w:t>
      </w:r>
      <w:r w:rsidRPr="007C0773">
        <w:t xml:space="preserve"> </w:t>
      </w:r>
      <w:r w:rsidRPr="007C0773" w:rsidR="00CF188E">
        <w:t>average</w:t>
      </w:r>
      <w:r w:rsidRPr="007C0773">
        <w:t xml:space="preserve"> hydrological conditions in 202</w:t>
      </w:r>
      <w:r w:rsidRPr="007C0773" w:rsidR="00E76CF0">
        <w:t>5</w:t>
      </w:r>
      <w:r w:rsidR="001863CB">
        <w:t xml:space="preserve"> </w:t>
      </w:r>
      <w:r w:rsidR="000C4248">
        <w:t>a</w:t>
      </w:r>
      <w:r w:rsidR="001863CB">
        <w:t>nd incorpo</w:t>
      </w:r>
      <w:r w:rsidR="000C4248">
        <w:t xml:space="preserve">rates SCE’s best estimate of upcoming outages and unavailability in </w:t>
      </w:r>
      <w:r w:rsidR="006E474C">
        <w:t xml:space="preserve">predicting </w:t>
      </w:r>
      <w:r w:rsidR="000C4248">
        <w:t>2025</w:t>
      </w:r>
      <w:r w:rsidR="006E474C">
        <w:t xml:space="preserve"> generation</w:t>
      </w:r>
      <w:r w:rsidR="000C4248">
        <w:t>.</w:t>
      </w:r>
      <w:r w:rsidRPr="007C0773" w:rsidR="009663D6">
        <w:rPr>
          <w:rStyle w:val="FootnoteReference"/>
        </w:rPr>
        <w:footnoteReference w:id="26"/>
      </w:r>
    </w:p>
    <w:p w:rsidR="00197553" w:rsidP="00197553" w:rsidRDefault="00197553" w14:paraId="6C7459C7" w14:textId="678E9C9F">
      <w:pPr>
        <w:pStyle w:val="Standard"/>
      </w:pPr>
      <w:r>
        <w:t xml:space="preserve">SCE’s </w:t>
      </w:r>
      <w:r w:rsidRPr="005E4BB8">
        <w:t>202</w:t>
      </w:r>
      <w:r w:rsidR="008120D8">
        <w:t>5</w:t>
      </w:r>
      <w:r>
        <w:t xml:space="preserve"> </w:t>
      </w:r>
      <w:r w:rsidRPr="00BC00A0">
        <w:t>forecast</w:t>
      </w:r>
      <w:r>
        <w:t xml:space="preserve"> optimize</w:t>
      </w:r>
      <w:r w:rsidR="000644F2">
        <w:t>s</w:t>
      </w:r>
      <w:r>
        <w:t xml:space="preserve"> the use of the full 1,015 MW of capacity from the nine-unit Big Creek Project, located about 50 miles east of Fresno, California (when operationally feasible) during the highest economic value hours.</w:t>
      </w:r>
      <w:r w:rsidR="001C1CD5">
        <w:rPr>
          <w:rStyle w:val="FootnoteReference"/>
        </w:rPr>
        <w:footnoteReference w:id="27"/>
      </w:r>
      <w:r>
        <w:t xml:space="preserve"> </w:t>
      </w:r>
    </w:p>
    <w:p w:rsidR="00FB44D4" w:rsidP="00197553" w:rsidRDefault="00197553" w14:paraId="46AFFC4E" w14:textId="77777777">
      <w:pPr>
        <w:pStyle w:val="Standard"/>
      </w:pPr>
      <w:r>
        <w:t xml:space="preserve">The other 24 powerhouses are in SCE’s Eastern Division. Its Eastern Division powerhouses are in the Sierra Nevada, San Bernadino, and San Gabriel mountains and provide 161 MW of </w:t>
      </w:r>
      <w:r w:rsidR="007C0773">
        <w:t xml:space="preserve">predominantly </w:t>
      </w:r>
      <w:r>
        <w:t xml:space="preserve">run-of-the-river, </w:t>
      </w:r>
    </w:p>
    <w:p w:rsidR="00197553" w:rsidP="00FB44D4" w:rsidRDefault="00197553" w14:paraId="46A51609" w14:textId="47A60238">
      <w:pPr>
        <w:pStyle w:val="Standard"/>
        <w:ind w:firstLine="0"/>
      </w:pPr>
      <w:r>
        <w:t>non-dispatchable resources.</w:t>
      </w:r>
      <w:r>
        <w:rPr>
          <w:rStyle w:val="FootnoteReference"/>
        </w:rPr>
        <w:footnoteReference w:id="28"/>
      </w:r>
      <w:r w:rsidR="001E15AD">
        <w:t xml:space="preserve"> SCE has applied </w:t>
      </w:r>
      <w:r w:rsidR="000F66B7">
        <w:t>for approval to sell two sets</w:t>
      </w:r>
      <w:r w:rsidR="00D20885">
        <w:rPr>
          <w:rStyle w:val="FootnoteReference"/>
        </w:rPr>
        <w:footnoteReference w:id="29"/>
      </w:r>
      <w:r w:rsidR="000F66B7">
        <w:t xml:space="preserve"> of hydroelectric production facilities</w:t>
      </w:r>
      <w:r w:rsidR="00D20885">
        <w:t>, with a requested final decision date of March</w:t>
      </w:r>
      <w:r w:rsidR="006E044D">
        <w:t> </w:t>
      </w:r>
      <w:r w:rsidR="00D20885">
        <w:t>2025</w:t>
      </w:r>
      <w:r w:rsidR="000F66B7">
        <w:t xml:space="preserve">. </w:t>
      </w:r>
      <w:r w:rsidR="00180E04">
        <w:t>SCE notes that these sales</w:t>
      </w:r>
      <w:r w:rsidR="00AC1029">
        <w:t>, if approved,</w:t>
      </w:r>
      <w:r w:rsidR="00180E04">
        <w:t xml:space="preserve"> would remove </w:t>
      </w:r>
      <w:r w:rsidR="00AC1029">
        <w:t xml:space="preserve">15.09 MW from its portfolio. </w:t>
      </w:r>
      <w:r w:rsidR="00DE5879">
        <w:t>As these sales have not been approved, SCE has not reduced its energy and capacity forecast to reflect the loss of these facilities.</w:t>
      </w:r>
      <w:r w:rsidR="00864240">
        <w:rPr>
          <w:rStyle w:val="FootnoteReference"/>
        </w:rPr>
        <w:footnoteReference w:id="30"/>
      </w:r>
    </w:p>
    <w:p w:rsidR="008C7FAC" w:rsidP="00910D7C" w:rsidRDefault="00E76CC6" w14:paraId="0FBC247C" w14:textId="32543FB8">
      <w:pPr>
        <w:pStyle w:val="Heading3"/>
      </w:pPr>
      <w:bookmarkStart w:name="_Toc183184268" w:id="34"/>
      <w:r>
        <w:t xml:space="preserve">SCE </w:t>
      </w:r>
      <w:r w:rsidR="00910D7C">
        <w:t xml:space="preserve">Solar Photovoltaic </w:t>
      </w:r>
      <w:r w:rsidR="006E044D">
        <w:br/>
      </w:r>
      <w:r w:rsidR="00910D7C">
        <w:t>Generation</w:t>
      </w:r>
      <w:r w:rsidR="00AF323F">
        <w:t xml:space="preserve"> Program (SPVP)</w:t>
      </w:r>
      <w:bookmarkEnd w:id="34"/>
    </w:p>
    <w:p w:rsidR="00FB44D4" w:rsidP="007361CF" w:rsidRDefault="007361CF" w14:paraId="2461290F" w14:textId="77777777">
      <w:pPr>
        <w:pStyle w:val="Standard"/>
      </w:pPr>
      <w:r>
        <w:t>D.</w:t>
      </w:r>
      <w:r w:rsidRPr="005E4BB8">
        <w:t>13</w:t>
      </w:r>
      <w:r>
        <w:t>-05-</w:t>
      </w:r>
      <w:r w:rsidRPr="00BC00A0">
        <w:t>033</w:t>
      </w:r>
      <w:r>
        <w:t xml:space="preserve"> authorized SCE to install, own, and operate up to 91 MW of solar photovoltaic generation on commercial rooftop space and ground </w:t>
      </w:r>
      <w:r w:rsidR="00A82D6E">
        <w:t>sites</w:t>
      </w:r>
      <w:r>
        <w:t xml:space="preserve"> </w:t>
      </w:r>
      <w:r>
        <w:lastRenderedPageBreak/>
        <w:t xml:space="preserve">within its service territory. </w:t>
      </w:r>
      <w:r w:rsidR="001C1CD5">
        <w:t xml:space="preserve">SCE notes that these sites were </w:t>
      </w:r>
      <w:r w:rsidR="00890450">
        <w:t>largely</w:t>
      </w:r>
      <w:r w:rsidR="00B81A39">
        <w:t xml:space="preserve"> decommissioned</w:t>
      </w:r>
      <w:r w:rsidR="00890450">
        <w:t xml:space="preserve"> in 2023</w:t>
      </w:r>
      <w:r w:rsidR="000726F8">
        <w:t>.</w:t>
      </w:r>
      <w:r>
        <w:t xml:space="preserve"> SCE expects </w:t>
      </w:r>
      <w:r w:rsidR="009E54C1">
        <w:t>the sole remaining</w:t>
      </w:r>
      <w:r w:rsidR="00F10089">
        <w:t xml:space="preserve"> </w:t>
      </w:r>
      <w:r>
        <w:t>site</w:t>
      </w:r>
      <w:r w:rsidR="009B72A3">
        <w:t>, site 42,</w:t>
      </w:r>
      <w:r>
        <w:t xml:space="preserve"> will be </w:t>
      </w:r>
    </w:p>
    <w:p w:rsidR="007361CF" w:rsidP="00FB44D4" w:rsidRDefault="007361CF" w14:paraId="1E36F9AB" w14:textId="735BD0AB">
      <w:pPr>
        <w:pStyle w:val="Standard"/>
        <w:ind w:firstLine="0"/>
      </w:pPr>
      <w:r>
        <w:t>de-energized</w:t>
      </w:r>
      <w:r w:rsidR="003400A4">
        <w:t xml:space="preserve"> in </w:t>
      </w:r>
      <w:r w:rsidR="00471C92">
        <w:t>2026</w:t>
      </w:r>
      <w:r w:rsidR="00597AB4">
        <w:t>.</w:t>
      </w:r>
      <w:r w:rsidR="00B82A68">
        <w:rPr>
          <w:rStyle w:val="FootnoteReference"/>
        </w:rPr>
        <w:footnoteReference w:id="31"/>
      </w:r>
      <w:r w:rsidR="00B82A68">
        <w:t xml:space="preserve"> </w:t>
      </w:r>
      <w:r w:rsidR="00597AB4">
        <w:t xml:space="preserve"> This site is rated at</w:t>
      </w:r>
      <w:r w:rsidR="000B237C">
        <w:t xml:space="preserve"> approximately</w:t>
      </w:r>
      <w:r w:rsidR="00597AB4">
        <w:t xml:space="preserve"> 9 MW</w:t>
      </w:r>
      <w:r w:rsidR="00E17422">
        <w:rPr>
          <w:rStyle w:val="FootnoteReference"/>
        </w:rPr>
        <w:footnoteReference w:id="32"/>
      </w:r>
      <w:r w:rsidR="00597AB4">
        <w:t xml:space="preserve"> and its</w:t>
      </w:r>
      <w:r w:rsidR="00F10089">
        <w:t xml:space="preserve"> production</w:t>
      </w:r>
      <w:r w:rsidR="007C08D9">
        <w:t xml:space="preserve"> is</w:t>
      </w:r>
      <w:r>
        <w:t xml:space="preserve"> reflected in </w:t>
      </w:r>
      <w:r w:rsidR="00597AB4">
        <w:t>SCE’s</w:t>
      </w:r>
      <w:r>
        <w:t xml:space="preserve"> </w:t>
      </w:r>
      <w:r w:rsidR="000D5ED4">
        <w:t xml:space="preserve">2025 </w:t>
      </w:r>
      <w:r>
        <w:t>energy forecast.</w:t>
      </w:r>
      <w:r>
        <w:rPr>
          <w:rStyle w:val="FootnoteReference"/>
        </w:rPr>
        <w:footnoteReference w:id="33"/>
      </w:r>
      <w:r>
        <w:t xml:space="preserve"> </w:t>
      </w:r>
    </w:p>
    <w:p w:rsidR="007361CF" w:rsidP="007361CF" w:rsidRDefault="007361CF" w14:paraId="3E14C454" w14:textId="46B7B433">
      <w:pPr>
        <w:pStyle w:val="Heading3"/>
      </w:pPr>
      <w:r>
        <w:t xml:space="preserve"> </w:t>
      </w:r>
      <w:bookmarkStart w:name="_Toc151976198" w:id="35"/>
      <w:bookmarkStart w:name="_Toc183184269" w:id="36"/>
      <w:r w:rsidRPr="00BC00A0">
        <w:t>Combined</w:t>
      </w:r>
      <w:r>
        <w:t xml:space="preserve"> Heat-and-Power </w:t>
      </w:r>
      <w:r w:rsidR="00196343">
        <w:br/>
      </w:r>
      <w:r>
        <w:t>(Co-Generation) and Renewables</w:t>
      </w:r>
      <w:bookmarkEnd w:id="35"/>
      <w:bookmarkEnd w:id="36"/>
      <w:r>
        <w:t xml:space="preserve"> </w:t>
      </w:r>
    </w:p>
    <w:p w:rsidR="007361CF" w:rsidP="007361CF" w:rsidRDefault="007361CF" w14:paraId="3DBC8EA0" w14:textId="6B87B767">
      <w:pPr>
        <w:pStyle w:val="Standard"/>
      </w:pPr>
      <w:r>
        <w:t xml:space="preserve">SCE </w:t>
      </w:r>
      <w:r w:rsidRPr="005E4BB8">
        <w:t>forecasted</w:t>
      </w:r>
      <w:r>
        <w:t xml:space="preserve"> the power deliveries from its co-generation and renewable resources as “must-take” energy, measured at the generators’ meters. The projects SCE included in its</w:t>
      </w:r>
      <w:r w:rsidR="00D30CB1">
        <w:t xml:space="preserve"> </w:t>
      </w:r>
      <w:r w:rsidR="009B3056">
        <w:t xml:space="preserve">2025 forecast </w:t>
      </w:r>
      <w:r w:rsidR="00D30CB1">
        <w:t>AOU</w:t>
      </w:r>
      <w:r>
        <w:t xml:space="preserve"> total approximately 10,</w:t>
      </w:r>
      <w:r w:rsidR="00B3340B">
        <w:t>0</w:t>
      </w:r>
      <w:r>
        <w:t>0</w:t>
      </w:r>
      <w:r w:rsidR="00B3340B">
        <w:t>7</w:t>
      </w:r>
      <w:r>
        <w:t xml:space="preserve"> MW of contracted capacity, representing historical performance of existing resources. </w:t>
      </w:r>
      <w:r w:rsidR="00C87936">
        <w:t xml:space="preserve">Four </w:t>
      </w:r>
      <w:r>
        <w:t>additional</w:t>
      </w:r>
      <w:r w:rsidR="002F74FB">
        <w:t xml:space="preserve"> solar</w:t>
      </w:r>
      <w:r>
        <w:t xml:space="preserve"> projects</w:t>
      </w:r>
      <w:r w:rsidR="009733B4">
        <w:t xml:space="preserve"> </w:t>
      </w:r>
      <w:r>
        <w:t>are expected to begin delivering energy between January and December 202</w:t>
      </w:r>
      <w:r w:rsidR="00CA0503">
        <w:t>5</w:t>
      </w:r>
      <w:r>
        <w:t>, but the contractual expectation of deliveries from those new projects was adjusted to account for their expected probability of successful development and commercial operation.</w:t>
      </w:r>
      <w:r>
        <w:rPr>
          <w:rStyle w:val="FootnoteReference"/>
        </w:rPr>
        <w:footnoteReference w:id="34"/>
      </w:r>
      <w:r>
        <w:t xml:space="preserve"> </w:t>
      </w:r>
    </w:p>
    <w:p w:rsidR="007361CF" w:rsidP="007361CF" w:rsidRDefault="007361CF" w14:paraId="05B86E3D" w14:textId="516E396C">
      <w:pPr>
        <w:pStyle w:val="Standard"/>
      </w:pPr>
      <w:r w:rsidRPr="005E4BB8">
        <w:t>SCE’s</w:t>
      </w:r>
      <w:r>
        <w:t xml:space="preserve"> renewable and CHP projects typically have contract-specific energy prices, but it also has </w:t>
      </w:r>
      <w:r w:rsidR="00DB67F8">
        <w:t>several</w:t>
      </w:r>
      <w:r>
        <w:t xml:space="preserve"> qualifying facility (QF) projects that are paid at the posted avoided cost of energy price under standard offer contracts (SOC). The SOC is either based on the New QF SOC adopted in D.20-05-006, which is based on a three-year average of CAISO locational marginal prices, or the QF SOC adopted in the QF Summit settlement, which is based on average 12-month forward heat rates for the resource type.</w:t>
      </w:r>
      <w:r>
        <w:rPr>
          <w:rStyle w:val="FootnoteReference"/>
        </w:rPr>
        <w:footnoteReference w:id="35"/>
      </w:r>
    </w:p>
    <w:p w:rsidR="007361CF" w:rsidP="007361CF" w:rsidRDefault="007361CF" w14:paraId="0F69D309" w14:textId="4118E77D">
      <w:pPr>
        <w:pStyle w:val="Standard"/>
      </w:pPr>
      <w:r>
        <w:lastRenderedPageBreak/>
        <w:t>SCE</w:t>
      </w:r>
      <w:r w:rsidR="00B67289">
        <w:t xml:space="preserve">’s </w:t>
      </w:r>
      <w:r w:rsidR="00831974">
        <w:t>A</w:t>
      </w:r>
      <w:r w:rsidR="00F77C0C">
        <w:t>OU</w:t>
      </w:r>
      <w:r>
        <w:t xml:space="preserve"> </w:t>
      </w:r>
      <w:r w:rsidRPr="005E4BB8">
        <w:t>forecasted</w:t>
      </w:r>
      <w:r>
        <w:t xml:space="preserve"> the annual capacity factors for its CHP and renewable energy projects as follows:</w:t>
      </w:r>
    </w:p>
    <w:p w:rsidR="007361CF" w:rsidP="007361CF" w:rsidRDefault="00831974" w14:paraId="69D1AE93" w14:textId="6CDFF4E2">
      <w:pPr>
        <w:pStyle w:val="TableTitleBodyH095"/>
      </w:pPr>
      <w:r w:rsidRPr="00196343">
        <w:rPr>
          <w:b/>
          <w:bCs w:val="0"/>
        </w:rPr>
        <w:t>Table 5-</w:t>
      </w:r>
      <w:r w:rsidRPr="00196343" w:rsidR="00DB67F8">
        <w:rPr>
          <w:b/>
          <w:bCs w:val="0"/>
        </w:rPr>
        <w:t>1</w:t>
      </w:r>
      <w:r w:rsidRPr="00196343">
        <w:rPr>
          <w:b/>
          <w:bCs w:val="0"/>
        </w:rPr>
        <w:t xml:space="preserve">: </w:t>
      </w:r>
      <w:r w:rsidRPr="00196343" w:rsidR="007361CF">
        <w:rPr>
          <w:b/>
          <w:bCs w:val="0"/>
        </w:rPr>
        <w:t>Annual Capacity Factors by Technology</w:t>
      </w:r>
      <w:r w:rsidR="007361CF">
        <w:rPr>
          <w:rStyle w:val="FootnoteReference"/>
        </w:rPr>
        <w:footnoteReference w:id="36"/>
      </w:r>
    </w:p>
    <w:tbl>
      <w:tblPr>
        <w:tblStyle w:val="TableGrid"/>
        <w:tblW w:w="0" w:type="auto"/>
        <w:jc w:val="center"/>
        <w:tblLook w:val="04A0" w:firstRow="1" w:lastRow="0" w:firstColumn="1" w:lastColumn="0" w:noHBand="0" w:noVBand="1"/>
      </w:tblPr>
      <w:tblGrid>
        <w:gridCol w:w="4675"/>
        <w:gridCol w:w="4675"/>
      </w:tblGrid>
      <w:tr w:rsidR="007361CF" w14:paraId="728E5856" w14:textId="77777777">
        <w:trPr>
          <w:jc w:val="center"/>
        </w:trPr>
        <w:tc>
          <w:tcPr>
            <w:tcW w:w="4675" w:type="dxa"/>
          </w:tcPr>
          <w:p w:rsidRPr="002F290B" w:rsidR="007361CF" w:rsidRDefault="007361CF" w14:paraId="2C2320FC" w14:textId="77777777">
            <w:pPr>
              <w:pStyle w:val="TableTitleBodyH095"/>
              <w:ind w:left="0" w:firstLine="0"/>
              <w:rPr>
                <w:b/>
                <w:bCs w:val="0"/>
              </w:rPr>
            </w:pPr>
            <w:r w:rsidRPr="002F290B">
              <w:rPr>
                <w:b/>
                <w:bCs w:val="0"/>
              </w:rPr>
              <w:t>Technology Type</w:t>
            </w:r>
          </w:p>
        </w:tc>
        <w:tc>
          <w:tcPr>
            <w:tcW w:w="4675" w:type="dxa"/>
          </w:tcPr>
          <w:p w:rsidRPr="002F290B" w:rsidR="007361CF" w:rsidRDefault="007361CF" w14:paraId="5AB52662" w14:textId="77777777">
            <w:pPr>
              <w:pStyle w:val="TableTitleBodyH095"/>
              <w:ind w:left="0" w:firstLine="0"/>
              <w:rPr>
                <w:b/>
                <w:bCs w:val="0"/>
              </w:rPr>
            </w:pPr>
            <w:r w:rsidRPr="002F290B">
              <w:rPr>
                <w:b/>
                <w:bCs w:val="0"/>
              </w:rPr>
              <w:t>Percent Capacity Factor</w:t>
            </w:r>
          </w:p>
        </w:tc>
      </w:tr>
      <w:tr w:rsidR="007361CF" w14:paraId="4D01BAFB" w14:textId="77777777">
        <w:trPr>
          <w:jc w:val="center"/>
        </w:trPr>
        <w:tc>
          <w:tcPr>
            <w:tcW w:w="4675" w:type="dxa"/>
          </w:tcPr>
          <w:p w:rsidR="007361CF" w:rsidRDefault="007361CF" w14:paraId="59DFDA2B" w14:textId="77777777">
            <w:pPr>
              <w:pStyle w:val="TableTitleBodyH095"/>
              <w:ind w:left="0" w:firstLine="0"/>
            </w:pPr>
            <w:r>
              <w:t>Biomass</w:t>
            </w:r>
          </w:p>
        </w:tc>
        <w:tc>
          <w:tcPr>
            <w:tcW w:w="4675" w:type="dxa"/>
          </w:tcPr>
          <w:p w:rsidR="007361CF" w:rsidRDefault="00046F40" w14:paraId="7BC1986E" w14:textId="0D83CA25">
            <w:pPr>
              <w:pStyle w:val="TableTitleBodyH095"/>
              <w:ind w:left="0" w:firstLine="0"/>
            </w:pPr>
            <w:r>
              <w:t>75.7%</w:t>
            </w:r>
          </w:p>
        </w:tc>
      </w:tr>
      <w:tr w:rsidR="007361CF" w14:paraId="2B41E6A8" w14:textId="77777777">
        <w:trPr>
          <w:jc w:val="center"/>
        </w:trPr>
        <w:tc>
          <w:tcPr>
            <w:tcW w:w="4675" w:type="dxa"/>
          </w:tcPr>
          <w:p w:rsidR="007361CF" w:rsidRDefault="007361CF" w14:paraId="566F154F" w14:textId="77777777">
            <w:pPr>
              <w:pStyle w:val="TableTitleBodyH095"/>
              <w:ind w:left="0" w:firstLine="0"/>
            </w:pPr>
            <w:r>
              <w:t>Cogeneration</w:t>
            </w:r>
          </w:p>
        </w:tc>
        <w:tc>
          <w:tcPr>
            <w:tcW w:w="4675" w:type="dxa"/>
          </w:tcPr>
          <w:p w:rsidR="007361CF" w:rsidRDefault="00046F40" w14:paraId="7E9167A3" w14:textId="2BE0382B">
            <w:pPr>
              <w:pStyle w:val="TableTitleBodyH095"/>
              <w:ind w:left="0" w:firstLine="0"/>
            </w:pPr>
            <w:r>
              <w:t>24.3%</w:t>
            </w:r>
          </w:p>
        </w:tc>
      </w:tr>
      <w:tr w:rsidR="007361CF" w14:paraId="64A4FE1B" w14:textId="77777777">
        <w:trPr>
          <w:jc w:val="center"/>
        </w:trPr>
        <w:tc>
          <w:tcPr>
            <w:tcW w:w="4675" w:type="dxa"/>
          </w:tcPr>
          <w:p w:rsidR="007361CF" w:rsidRDefault="007361CF" w14:paraId="1A3A7A0C" w14:textId="77777777">
            <w:pPr>
              <w:pStyle w:val="TableTitleBodyH095"/>
              <w:ind w:left="0" w:firstLine="0"/>
            </w:pPr>
            <w:r>
              <w:t>Geothermal</w:t>
            </w:r>
          </w:p>
        </w:tc>
        <w:tc>
          <w:tcPr>
            <w:tcW w:w="4675" w:type="dxa"/>
          </w:tcPr>
          <w:p w:rsidR="007361CF" w:rsidRDefault="00046F40" w14:paraId="5068EEFB" w14:textId="2AFA0861">
            <w:pPr>
              <w:pStyle w:val="TableTitleBodyH095"/>
              <w:ind w:left="0" w:firstLine="0"/>
            </w:pPr>
            <w:r>
              <w:t>90.2%</w:t>
            </w:r>
          </w:p>
        </w:tc>
      </w:tr>
      <w:tr w:rsidR="007361CF" w14:paraId="3A7BFAF3" w14:textId="77777777">
        <w:trPr>
          <w:jc w:val="center"/>
        </w:trPr>
        <w:tc>
          <w:tcPr>
            <w:tcW w:w="4675" w:type="dxa"/>
          </w:tcPr>
          <w:p w:rsidR="007361CF" w:rsidRDefault="007361CF" w14:paraId="28B5335E" w14:textId="77777777">
            <w:pPr>
              <w:pStyle w:val="TableTitleBodyH095"/>
              <w:ind w:left="0" w:firstLine="0"/>
            </w:pPr>
            <w:r>
              <w:t>Small Hydro</w:t>
            </w:r>
          </w:p>
        </w:tc>
        <w:tc>
          <w:tcPr>
            <w:tcW w:w="4675" w:type="dxa"/>
          </w:tcPr>
          <w:p w:rsidR="007361CF" w:rsidRDefault="0028538B" w14:paraId="4A8063A8" w14:textId="66510BD0">
            <w:pPr>
              <w:pStyle w:val="TableTitleBodyH095"/>
              <w:ind w:left="0" w:firstLine="0"/>
            </w:pPr>
            <w:r>
              <w:t>14.2%</w:t>
            </w:r>
          </w:p>
        </w:tc>
      </w:tr>
      <w:tr w:rsidR="007361CF" w14:paraId="0B1C310D" w14:textId="77777777">
        <w:trPr>
          <w:jc w:val="center"/>
        </w:trPr>
        <w:tc>
          <w:tcPr>
            <w:tcW w:w="4675" w:type="dxa"/>
          </w:tcPr>
          <w:p w:rsidR="007361CF" w:rsidRDefault="007361CF" w14:paraId="41570ABA" w14:textId="77777777">
            <w:pPr>
              <w:pStyle w:val="TableTitleBodyH095"/>
              <w:ind w:left="0" w:firstLine="0"/>
            </w:pPr>
            <w:r>
              <w:t>Solar</w:t>
            </w:r>
          </w:p>
        </w:tc>
        <w:tc>
          <w:tcPr>
            <w:tcW w:w="4675" w:type="dxa"/>
          </w:tcPr>
          <w:p w:rsidR="007361CF" w:rsidRDefault="0028538B" w14:paraId="4343623A" w14:textId="6BFBF8F3">
            <w:pPr>
              <w:pStyle w:val="TableTitleBodyH095"/>
              <w:ind w:left="0" w:firstLine="0"/>
            </w:pPr>
            <w:r>
              <w:t>28.8%</w:t>
            </w:r>
          </w:p>
        </w:tc>
      </w:tr>
      <w:tr w:rsidR="007361CF" w14:paraId="78E5BCFF" w14:textId="77777777">
        <w:trPr>
          <w:jc w:val="center"/>
        </w:trPr>
        <w:tc>
          <w:tcPr>
            <w:tcW w:w="4675" w:type="dxa"/>
          </w:tcPr>
          <w:p w:rsidR="007361CF" w:rsidRDefault="007361CF" w14:paraId="53927B5D" w14:textId="77777777">
            <w:pPr>
              <w:pStyle w:val="TableTitleBodyH095"/>
              <w:ind w:left="0" w:firstLine="0"/>
            </w:pPr>
            <w:r>
              <w:t>Wind</w:t>
            </w:r>
          </w:p>
        </w:tc>
        <w:tc>
          <w:tcPr>
            <w:tcW w:w="4675" w:type="dxa"/>
          </w:tcPr>
          <w:p w:rsidR="007361CF" w:rsidRDefault="0028538B" w14:paraId="35938F1B" w14:textId="371F6646">
            <w:pPr>
              <w:pStyle w:val="TableTitleBodyH095"/>
              <w:ind w:left="0" w:firstLine="0"/>
            </w:pPr>
            <w:r>
              <w:t>28.7%</w:t>
            </w:r>
          </w:p>
        </w:tc>
      </w:tr>
    </w:tbl>
    <w:p w:rsidR="007361CF" w:rsidP="00196343" w:rsidRDefault="007361CF" w14:paraId="209079B3" w14:textId="5BA243A5">
      <w:pPr>
        <w:pStyle w:val="Standard"/>
        <w:spacing w:before="240"/>
      </w:pPr>
      <w:r>
        <w:t>SCE noted that its energy and capacity prices for each of the CHP and renewable energy projects in its portfolio are based on the</w:t>
      </w:r>
      <w:r w:rsidR="00831974">
        <w:t>ir</w:t>
      </w:r>
      <w:r>
        <w:t xml:space="preserve"> individual contracts and that its forecast includes estimated curtailments from its solar and wind portfolios due to economic reasons, which are reflected in SCE’s energy and payment forecasts.</w:t>
      </w:r>
      <w:r>
        <w:rPr>
          <w:rStyle w:val="FootnoteReference"/>
        </w:rPr>
        <w:footnoteReference w:id="37"/>
      </w:r>
    </w:p>
    <w:p w:rsidR="007361CF" w:rsidP="007361CF" w:rsidRDefault="00965AB5" w14:paraId="619993A1" w14:textId="4AA35861">
      <w:pPr>
        <w:pStyle w:val="Heading3"/>
      </w:pPr>
      <w:bookmarkStart w:name="_Toc183184270" w:id="37"/>
      <w:bookmarkStart w:name="_Toc151976199" w:id="38"/>
      <w:r>
        <w:t xml:space="preserve">Utility Owned </w:t>
      </w:r>
      <w:r w:rsidRPr="00BC00A0" w:rsidR="007361CF">
        <w:t>Natural</w:t>
      </w:r>
      <w:r w:rsidR="007361CF">
        <w:t xml:space="preserve"> Gas</w:t>
      </w:r>
      <w:r>
        <w:t xml:space="preserve"> Facilities</w:t>
      </w:r>
      <w:bookmarkEnd w:id="37"/>
      <w:r w:rsidR="007361CF">
        <w:t xml:space="preserve"> </w:t>
      </w:r>
      <w:bookmarkEnd w:id="38"/>
    </w:p>
    <w:p w:rsidR="007361CF" w:rsidP="007361CF" w:rsidRDefault="007361CF" w14:paraId="5BC16BE4" w14:textId="33BBE6A3">
      <w:pPr>
        <w:pStyle w:val="Standard"/>
      </w:pPr>
      <w:r w:rsidRPr="00454D1A">
        <w:t xml:space="preserve">SCE </w:t>
      </w:r>
      <w:r>
        <w:t>include</w:t>
      </w:r>
      <w:r w:rsidR="00B357B0">
        <w:t>s</w:t>
      </w:r>
      <w:r>
        <w:t xml:space="preserve"> the natural gas procurement costs for its </w:t>
      </w:r>
      <w:r w:rsidRPr="00454D1A">
        <w:t>five black</w:t>
      </w:r>
      <w:r>
        <w:noBreakHyphen/>
      </w:r>
      <w:r w:rsidRPr="00454D1A">
        <w:t>start capable</w:t>
      </w:r>
      <w:r w:rsidR="00B357B0">
        <w:t>, dispatchable</w:t>
      </w:r>
      <w:r w:rsidRPr="00454D1A">
        <w:t xml:space="preserve"> peakers</w:t>
      </w:r>
      <w:r>
        <w:t xml:space="preserve"> within its 202</w:t>
      </w:r>
      <w:r w:rsidR="00B357B0">
        <w:t>5</w:t>
      </w:r>
      <w:r>
        <w:t xml:space="preserve"> ERRA forecast. The five natural gas peakers have a combined </w:t>
      </w:r>
      <w:r w:rsidRPr="00454D1A">
        <w:t>capacity of 245 MW.</w:t>
      </w:r>
      <w:r>
        <w:rPr>
          <w:rStyle w:val="FootnoteReference"/>
        </w:rPr>
        <w:footnoteReference w:id="38"/>
      </w:r>
      <w:r w:rsidRPr="00454D1A">
        <w:t xml:space="preserve"> </w:t>
      </w:r>
      <w:r>
        <w:t>The</w:t>
      </w:r>
      <w:r w:rsidRPr="00454D1A">
        <w:t xml:space="preserve"> </w:t>
      </w:r>
      <w:r w:rsidR="003A3F02">
        <w:t xml:space="preserve">capacity and </w:t>
      </w:r>
      <w:r w:rsidRPr="00454D1A">
        <w:t>non</w:t>
      </w:r>
      <w:r>
        <w:noBreakHyphen/>
      </w:r>
      <w:r w:rsidRPr="00454D1A">
        <w:t xml:space="preserve">fuel variable costs associated with these peakers are included in SCE’s </w:t>
      </w:r>
      <w:r w:rsidR="00196343">
        <w:t>g</w:t>
      </w:r>
      <w:r w:rsidRPr="001C0E35">
        <w:t xml:space="preserve">eneral </w:t>
      </w:r>
      <w:r w:rsidR="00196343">
        <w:t>r</w:t>
      </w:r>
      <w:r w:rsidRPr="001C0E35">
        <w:t xml:space="preserve">ate </w:t>
      </w:r>
      <w:r w:rsidR="00196343">
        <w:t>c</w:t>
      </w:r>
      <w:r w:rsidRPr="001C0E35">
        <w:t xml:space="preserve">ase </w:t>
      </w:r>
      <w:r w:rsidRPr="00454D1A">
        <w:t>(</w:t>
      </w:r>
      <w:r w:rsidRPr="001C0E35">
        <w:t>GRC</w:t>
      </w:r>
      <w:r w:rsidRPr="00454D1A">
        <w:t>) revenue requirement.</w:t>
      </w:r>
      <w:r>
        <w:rPr>
          <w:rStyle w:val="FootnoteReference"/>
        </w:rPr>
        <w:footnoteReference w:id="39"/>
      </w:r>
    </w:p>
    <w:p w:rsidR="007361CF" w:rsidP="007361CF" w:rsidRDefault="001C1CD5" w14:paraId="2654F2F4" w14:textId="3A9E68D7">
      <w:pPr>
        <w:pStyle w:val="Standard"/>
      </w:pPr>
      <w:r>
        <w:lastRenderedPageBreak/>
        <w:t xml:space="preserve">Additionally, </w:t>
      </w:r>
      <w:r w:rsidR="007361CF">
        <w:t>SCE owns the Mountainview Generating Station and propose</w:t>
      </w:r>
      <w:r w:rsidR="00EB6096">
        <w:t>s</w:t>
      </w:r>
      <w:r w:rsidR="007361CF">
        <w:t xml:space="preserve"> to continue recovering capital and fuel costs, pursuant to D.18-10-019.</w:t>
      </w:r>
      <w:r w:rsidR="007361CF">
        <w:rPr>
          <w:rStyle w:val="FootnoteReference"/>
        </w:rPr>
        <w:footnoteReference w:id="40"/>
      </w:r>
      <w:r w:rsidR="007361CF">
        <w:t xml:space="preserve"> </w:t>
      </w:r>
      <w:r w:rsidR="00003E68">
        <w:t xml:space="preserve">SCE does not </w:t>
      </w:r>
      <w:r w:rsidR="00AC7999">
        <w:t xml:space="preserve">state the current capacity of this </w:t>
      </w:r>
      <w:r w:rsidR="00DF0382">
        <w:t xml:space="preserve">generation station, but </w:t>
      </w:r>
      <w:r w:rsidR="00B62EF1">
        <w:t xml:space="preserve">prior </w:t>
      </w:r>
      <w:r w:rsidR="0089456B">
        <w:t xml:space="preserve">filings </w:t>
      </w:r>
      <w:r w:rsidR="00F454BC">
        <w:t>indi</w:t>
      </w:r>
      <w:r w:rsidR="000768FF">
        <w:t>cat</w:t>
      </w:r>
      <w:r w:rsidR="00506D93">
        <w:t>e a</w:t>
      </w:r>
      <w:r w:rsidR="001B4AAC">
        <w:t xml:space="preserve"> capacity of </w:t>
      </w:r>
      <w:r w:rsidR="00EB40CB">
        <w:t>1</w:t>
      </w:r>
      <w:r w:rsidR="00830AE4">
        <w:t>,056 MW.</w:t>
      </w:r>
      <w:r w:rsidR="00830AE4">
        <w:rPr>
          <w:rStyle w:val="FootnoteReference"/>
        </w:rPr>
        <w:footnoteReference w:id="41"/>
      </w:r>
    </w:p>
    <w:p w:rsidRPr="0001360F" w:rsidR="007361CF" w:rsidP="007361CF" w:rsidRDefault="007361CF" w14:paraId="23F94E6A" w14:textId="5CEB15FF">
      <w:pPr>
        <w:pStyle w:val="Standard"/>
      </w:pPr>
      <w:r w:rsidRPr="0001360F">
        <w:t xml:space="preserve">In </w:t>
      </w:r>
      <w:r w:rsidRPr="0001360F" w:rsidR="00890A8C">
        <w:t xml:space="preserve">both its </w:t>
      </w:r>
      <w:r w:rsidR="004A18F2">
        <w:t xml:space="preserve">initial </w:t>
      </w:r>
      <w:r w:rsidRPr="0001360F" w:rsidR="00890A8C">
        <w:t>forecast</w:t>
      </w:r>
      <w:r w:rsidRPr="0001360F" w:rsidR="001260BD">
        <w:rPr>
          <w:rStyle w:val="FootnoteReference"/>
        </w:rPr>
        <w:footnoteReference w:id="42"/>
      </w:r>
      <w:r w:rsidRPr="0001360F" w:rsidR="001260BD">
        <w:t xml:space="preserve"> </w:t>
      </w:r>
      <w:r w:rsidRPr="0001360F" w:rsidR="00C63524">
        <w:t>($5.48/MMBtu)</w:t>
      </w:r>
      <w:r w:rsidRPr="0001360F" w:rsidR="00890A8C">
        <w:t xml:space="preserve"> and </w:t>
      </w:r>
      <w:r w:rsidRPr="0001360F">
        <w:t xml:space="preserve">its </w:t>
      </w:r>
      <w:r w:rsidR="004A18F2">
        <w:t>A</w:t>
      </w:r>
      <w:r w:rsidR="00FA6C6E">
        <w:t>OU</w:t>
      </w:r>
      <w:r w:rsidRPr="0001360F" w:rsidR="001260BD">
        <w:rPr>
          <w:rStyle w:val="FootnoteReference"/>
        </w:rPr>
        <w:footnoteReference w:id="43"/>
      </w:r>
      <w:r w:rsidRPr="0001360F" w:rsidR="001260BD">
        <w:t xml:space="preserve"> </w:t>
      </w:r>
      <w:r w:rsidRPr="0001360F" w:rsidR="005F37BF">
        <w:t>($</w:t>
      </w:r>
      <w:r w:rsidRPr="0001360F" w:rsidR="0002488A">
        <w:t>4.7</w:t>
      </w:r>
      <w:r w:rsidR="00831974">
        <w:t>5</w:t>
      </w:r>
      <w:r w:rsidRPr="0001360F" w:rsidR="005F37BF">
        <w:t>/MMBtu)</w:t>
      </w:r>
      <w:r w:rsidRPr="0001360F">
        <w:t>, SCE noted that gas prices for 202</w:t>
      </w:r>
      <w:r w:rsidRPr="0001360F" w:rsidR="00FC3DEF">
        <w:t>5</w:t>
      </w:r>
      <w:r w:rsidRPr="0001360F">
        <w:t xml:space="preserve"> are expected to b</w:t>
      </w:r>
      <w:r w:rsidRPr="0001360F" w:rsidR="006F15C2">
        <w:t>e lower than previously forecasted.</w:t>
      </w:r>
      <w:r w:rsidRPr="004A18F2">
        <w:t xml:space="preserve"> </w:t>
      </w:r>
    </w:p>
    <w:p w:rsidR="00D055DD" w:rsidP="00D21ECF" w:rsidRDefault="00A9408A" w14:paraId="7A81BA66" w14:textId="4A8BC3BF">
      <w:pPr>
        <w:pStyle w:val="Heading3"/>
      </w:pPr>
      <w:bookmarkStart w:name="_Toc183184271" w:id="39"/>
      <w:r>
        <w:t xml:space="preserve">Santa Catalina Island </w:t>
      </w:r>
      <w:r w:rsidR="00196343">
        <w:br/>
      </w:r>
      <w:r w:rsidR="00524B12">
        <w:t>Generation Fuel Costs</w:t>
      </w:r>
      <w:bookmarkEnd w:id="39"/>
    </w:p>
    <w:p w:rsidRPr="006750F6" w:rsidR="006631EF" w:rsidP="006631EF" w:rsidRDefault="006631EF" w14:paraId="5C23DDDE" w14:textId="24494B06">
      <w:pPr>
        <w:pStyle w:val="Standard"/>
      </w:pPr>
      <w:r w:rsidRPr="00663DD0">
        <w:t>SCE</w:t>
      </w:r>
      <w:r>
        <w:t xml:space="preserve"> uses </w:t>
      </w:r>
      <w:r w:rsidRPr="00454D1A">
        <w:t>six diesel generators and 23 propane</w:t>
      </w:r>
      <w:r>
        <w:noBreakHyphen/>
      </w:r>
      <w:r w:rsidRPr="00454D1A">
        <w:t>fired micro</w:t>
      </w:r>
      <w:r>
        <w:noBreakHyphen/>
      </w:r>
      <w:r w:rsidRPr="00454D1A">
        <w:t>turbines at the Pebbly Beach Generating Station</w:t>
      </w:r>
      <w:r>
        <w:t xml:space="preserve"> to provide electricity service to Santa Catalina Island. Based on historical usage rates in 202</w:t>
      </w:r>
      <w:r w:rsidR="009170C9">
        <w:t>3</w:t>
      </w:r>
      <w:r>
        <w:t>-202</w:t>
      </w:r>
      <w:r w:rsidR="009170C9">
        <w:t>4</w:t>
      </w:r>
      <w:r>
        <w:t xml:space="preserve"> and the island’s storage capacity, </w:t>
      </w:r>
      <w:r w:rsidRPr="005164E9">
        <w:t>SCE</w:t>
      </w:r>
      <w:r w:rsidR="001C1CD5">
        <w:t>’s</w:t>
      </w:r>
      <w:r w:rsidRPr="005164E9">
        <w:t xml:space="preserve"> forecast</w:t>
      </w:r>
      <w:r w:rsidR="001C1CD5">
        <w:t xml:space="preserve"> indicated</w:t>
      </w:r>
      <w:r w:rsidRPr="005164E9">
        <w:t xml:space="preserve"> it will need to </w:t>
      </w:r>
      <w:r w:rsidRPr="00996421">
        <w:t xml:space="preserve">acquire </w:t>
      </w:r>
      <w:r w:rsidR="00F75C77">
        <w:t>48,386</w:t>
      </w:r>
      <w:r w:rsidRPr="005164E9">
        <w:t xml:space="preserve"> barrels of diesel fuel throughout 202</w:t>
      </w:r>
      <w:r w:rsidR="00F75C77">
        <w:t>5</w:t>
      </w:r>
      <w:r w:rsidRPr="005164E9">
        <w:t xml:space="preserve"> in the Los Angeles market, at a cost of approximately $1</w:t>
      </w:r>
      <w:r w:rsidR="00F75C77">
        <w:t>83.20</w:t>
      </w:r>
      <w:r w:rsidRPr="005164E9">
        <w:t xml:space="preserve">/barrel, or </w:t>
      </w:r>
      <w:r w:rsidRPr="00996421">
        <w:t>$</w:t>
      </w:r>
      <w:r w:rsidR="00294D9A">
        <w:t>7.988</w:t>
      </w:r>
      <w:r w:rsidRPr="005164E9">
        <w:t xml:space="preserve"> million total.</w:t>
      </w:r>
      <w:r w:rsidR="00023E77">
        <w:rPr>
          <w:rStyle w:val="FootnoteReference"/>
        </w:rPr>
        <w:footnoteReference w:id="44"/>
      </w:r>
      <w:r w:rsidRPr="005164E9">
        <w:t xml:space="preserve"> SCE also estimated it will need to procure approximately </w:t>
      </w:r>
      <w:r w:rsidRPr="00996421">
        <w:t>$</w:t>
      </w:r>
      <w:r w:rsidR="00F76F59">
        <w:t>1</w:t>
      </w:r>
      <w:r w:rsidR="00C80127">
        <w:t>.</w:t>
      </w:r>
      <w:r w:rsidR="00F76F59">
        <w:t>019</w:t>
      </w:r>
      <w:r w:rsidRPr="005164E9">
        <w:t xml:space="preserve"> million </w:t>
      </w:r>
      <w:r w:rsidR="00A57A15">
        <w:t>of</w:t>
      </w:r>
      <w:r w:rsidRPr="005164E9" w:rsidR="00A57A15">
        <w:t xml:space="preserve"> </w:t>
      </w:r>
      <w:r w:rsidRPr="005164E9">
        <w:t>propane fuel.</w:t>
      </w:r>
      <w:r>
        <w:rPr>
          <w:rStyle w:val="FootnoteReference"/>
        </w:rPr>
        <w:footnoteReference w:id="45"/>
      </w:r>
      <w:r w:rsidRPr="005164E9">
        <w:t xml:space="preserve"> Both the diesel and propane cost projections were based on the IHS Global Insight Variable for Gasoline and Fuels and </w:t>
      </w:r>
      <w:r w:rsidR="00297D0C">
        <w:t>collectively comprise</w:t>
      </w:r>
      <w:r w:rsidRPr="005164E9">
        <w:t xml:space="preserve"> </w:t>
      </w:r>
      <w:r w:rsidRPr="00996421">
        <w:t>$</w:t>
      </w:r>
      <w:r w:rsidR="00A261C0">
        <w:t>9.007</w:t>
      </w:r>
      <w:r w:rsidRPr="005164E9">
        <w:t xml:space="preserve"> million in fuel costs to service Catalina Island in 202</w:t>
      </w:r>
      <w:r w:rsidR="00297D0C">
        <w:t>5</w:t>
      </w:r>
      <w:r w:rsidRPr="006750F6" w:rsidR="00297D0C">
        <w:t>.</w:t>
      </w:r>
      <w:r w:rsidRPr="006750F6">
        <w:rPr>
          <w:rStyle w:val="FootnoteReference"/>
        </w:rPr>
        <w:footnoteReference w:id="46"/>
      </w:r>
      <w:r w:rsidRPr="006750F6" w:rsidR="00297D0C">
        <w:t xml:space="preserve"> </w:t>
      </w:r>
    </w:p>
    <w:p w:rsidR="006631EF" w:rsidP="006631EF" w:rsidRDefault="006631EF" w14:paraId="67037246" w14:textId="77777777">
      <w:pPr>
        <w:pStyle w:val="Standard"/>
      </w:pPr>
      <w:r w:rsidRPr="0001360F">
        <w:lastRenderedPageBreak/>
        <w:t xml:space="preserve">No parties addressed SCE’s forecasted 2024 fuel costs for its service to Santa Catalina Island in comments or testimony. </w:t>
      </w:r>
      <w:r w:rsidRPr="006750F6">
        <w:t xml:space="preserve">Upon </w:t>
      </w:r>
      <w:r>
        <w:t xml:space="preserve">review, we find the forecasted propane and diesel fuel costs to be reasonable and appropriately modeled using market-based pricing and authorize SCE to recover them as proposed. </w:t>
      </w:r>
    </w:p>
    <w:p w:rsidR="00D463EE" w:rsidP="00A304E7" w:rsidRDefault="00D463EE" w14:paraId="53269A43" w14:textId="3E08E204">
      <w:pPr>
        <w:pStyle w:val="Heading3"/>
      </w:pPr>
      <w:bookmarkStart w:name="_Toc183184272" w:id="40"/>
      <w:r>
        <w:t>Utility Owned Storage</w:t>
      </w:r>
      <w:r w:rsidR="0022473B">
        <w:t xml:space="preserve"> (UOS)</w:t>
      </w:r>
      <w:bookmarkEnd w:id="40"/>
    </w:p>
    <w:p w:rsidR="00A80F25" w:rsidP="00A261C0" w:rsidRDefault="00113E6B" w14:paraId="698882B5" w14:textId="794D5CC6">
      <w:pPr>
        <w:pStyle w:val="Standard"/>
      </w:pPr>
      <w:r>
        <w:t xml:space="preserve">SCE also </w:t>
      </w:r>
      <w:r w:rsidRPr="005E4BB8">
        <w:t>forecasted</w:t>
      </w:r>
      <w:r>
        <w:t xml:space="preserve"> that its DESI 2, or UOS Titanium project, will be a CAISO market resource of 1.4 MW/ 3.7 MWh, and stated it will recover storage charging costs and market revenues associated with this resource through its </w:t>
      </w:r>
      <w:r w:rsidRPr="00AF5D13" w:rsidR="001C1CD5">
        <w:t xml:space="preserve">New System Generation Balancing Account </w:t>
      </w:r>
      <w:r w:rsidR="001C1CD5">
        <w:t>(</w:t>
      </w:r>
      <w:r w:rsidRPr="00DA578A">
        <w:t>NSGBA</w:t>
      </w:r>
      <w:r w:rsidR="001C1CD5">
        <w:t>)</w:t>
      </w:r>
      <w:r>
        <w:t>.</w:t>
      </w:r>
      <w:r>
        <w:rPr>
          <w:rStyle w:val="FootnoteReference"/>
        </w:rPr>
        <w:footnoteReference w:id="47"/>
      </w:r>
      <w:r w:rsidR="00321C8A">
        <w:t xml:space="preserve"> Titanium</w:t>
      </w:r>
      <w:r w:rsidR="00D152C7">
        <w:t xml:space="preserve"> has an anticipated CAISO market start date of December 2024.</w:t>
      </w:r>
      <w:r w:rsidR="00D51519">
        <w:rPr>
          <w:rStyle w:val="FootnoteReference"/>
        </w:rPr>
        <w:footnoteReference w:id="48"/>
      </w:r>
    </w:p>
    <w:p w:rsidR="00626975" w:rsidP="00B5702C" w:rsidRDefault="00626975" w14:paraId="1D932256" w14:textId="0652863C">
      <w:pPr>
        <w:pStyle w:val="Heading3"/>
      </w:pPr>
      <w:bookmarkStart w:name="_Toc183184273" w:id="41"/>
      <w:r>
        <w:t>Inter-</w:t>
      </w:r>
      <w:r w:rsidR="009C7AE7">
        <w:t>A</w:t>
      </w:r>
      <w:r w:rsidR="00C52517">
        <w:t>gency</w:t>
      </w:r>
      <w:r>
        <w:t xml:space="preserve"> Contract Production</w:t>
      </w:r>
      <w:bookmarkEnd w:id="41"/>
    </w:p>
    <w:p w:rsidR="002002EE" w:rsidP="00A6252B" w:rsidRDefault="007361CF" w14:paraId="76F956EB" w14:textId="1DDECA8E">
      <w:pPr>
        <w:pStyle w:val="Standard"/>
      </w:pPr>
      <w:r>
        <w:t>SCE has a contract through September 2067 to purchase and/or exchange capacity</w:t>
      </w:r>
      <w:r w:rsidR="00576C02">
        <w:t xml:space="preserve"> and associated energy</w:t>
      </w:r>
      <w:r>
        <w:t xml:space="preserve"> with the Western Area Power Administration</w:t>
      </w:r>
      <w:r w:rsidR="00732C32">
        <w:t xml:space="preserve"> (WAPA)</w:t>
      </w:r>
      <w:r>
        <w:t xml:space="preserve"> and the U.S. Bureau of Reclamation. </w:t>
      </w:r>
      <w:r w:rsidR="00A6252B">
        <w:t>For 2025, SCE has an entitlement of 280.245 MW of contingent capacity and 238.16 GWh of firm energy</w:t>
      </w:r>
      <w:r w:rsidR="00EC736E">
        <w:t>.</w:t>
      </w:r>
      <w:r w:rsidR="00A6252B">
        <w:t xml:space="preserve"> </w:t>
      </w:r>
      <w:r w:rsidR="00E40B11">
        <w:t xml:space="preserve">These contracted quantities originate </w:t>
      </w:r>
      <w:r w:rsidR="00EC736E">
        <w:t xml:space="preserve">from the </w:t>
      </w:r>
      <w:r w:rsidR="004E1C07">
        <w:t xml:space="preserve">Boulder Canyon Project </w:t>
      </w:r>
      <w:r w:rsidR="00CC2FB4">
        <w:t xml:space="preserve">at Hoover Dam. </w:t>
      </w:r>
    </w:p>
    <w:p w:rsidR="007361CF" w:rsidP="00323E1C" w:rsidRDefault="007361CF" w14:paraId="2E41EED5" w14:textId="738E4843">
      <w:pPr>
        <w:pStyle w:val="Standard"/>
      </w:pPr>
      <w:r>
        <w:t xml:space="preserve">To account for the ongoing drought conditions affecting the Hoover power plant, </w:t>
      </w:r>
      <w:r w:rsidR="00C15F35">
        <w:t xml:space="preserve">the monthly capacity and firm energy available to SCE </w:t>
      </w:r>
      <w:r w:rsidR="00671317">
        <w:t xml:space="preserve">from </w:t>
      </w:r>
      <w:r w:rsidR="007D7C87">
        <w:t xml:space="preserve">this source </w:t>
      </w:r>
      <w:r w:rsidR="00C15F35">
        <w:t xml:space="preserve">may be curtailed. Monthly capacity </w:t>
      </w:r>
      <w:r w:rsidR="00810A63">
        <w:t xml:space="preserve">contingent on conditions </w:t>
      </w:r>
      <w:r w:rsidR="00C15F35">
        <w:t>is forecast to range between 108 and 192 MW</w:t>
      </w:r>
      <w:r w:rsidR="00810A63">
        <w:t>. Monthly</w:t>
      </w:r>
      <w:r w:rsidR="00D122AE">
        <w:t xml:space="preserve"> firm energy </w:t>
      </w:r>
      <w:r w:rsidR="00BF02B2">
        <w:t xml:space="preserve">is </w:t>
      </w:r>
      <w:r w:rsidR="00D122AE">
        <w:t xml:space="preserve">contingent on conditions </w:t>
      </w:r>
      <w:r w:rsidR="00BF02B2">
        <w:t xml:space="preserve">and </w:t>
      </w:r>
      <w:r w:rsidR="00D122AE">
        <w:t>is forecast to range between 9 and 21 GW</w:t>
      </w:r>
      <w:r w:rsidR="00640E93">
        <w:t>h</w:t>
      </w:r>
      <w:r w:rsidR="00634ABE">
        <w:t>.</w:t>
      </w:r>
      <w:r w:rsidR="007E5B69">
        <w:rPr>
          <w:rStyle w:val="FootnoteReference"/>
        </w:rPr>
        <w:footnoteReference w:id="49"/>
      </w:r>
      <w:r w:rsidR="007D7C87">
        <w:t xml:space="preserve"> During periods when Hoover is unable </w:t>
      </w:r>
      <w:r w:rsidRPr="00323E1C" w:rsidR="00323E1C">
        <w:t xml:space="preserve">to provide energy in amounts equal to the firm energy, the WAPA is </w:t>
      </w:r>
      <w:r w:rsidRPr="00323E1C" w:rsidR="00323E1C">
        <w:lastRenderedPageBreak/>
        <w:t>obligated to provide</w:t>
      </w:r>
      <w:r w:rsidR="00323E1C">
        <w:t xml:space="preserve"> </w:t>
      </w:r>
      <w:r w:rsidRPr="00323E1C" w:rsidR="00323E1C">
        <w:t>any deficit, if requested by the purchaser, at a rate equal to the WAPA’s cost to acquire</w:t>
      </w:r>
      <w:r w:rsidR="00732C32">
        <w:t>.</w:t>
      </w:r>
      <w:r w:rsidR="00323E1C">
        <w:rPr>
          <w:rStyle w:val="FootnoteReference"/>
        </w:rPr>
        <w:footnoteReference w:id="50"/>
      </w:r>
      <w:r w:rsidR="00810A63">
        <w:t xml:space="preserve"> </w:t>
      </w:r>
    </w:p>
    <w:p w:rsidRPr="00C9709D" w:rsidR="00F0455D" w:rsidP="00C9709D" w:rsidRDefault="00F0455D" w14:paraId="6179B5B9" w14:textId="4FCAA46F">
      <w:pPr>
        <w:pStyle w:val="Standard"/>
      </w:pPr>
      <w:r>
        <w:t xml:space="preserve">SCE does not include “Fringe Service” agreement totals in </w:t>
      </w:r>
      <w:r w:rsidR="004B4BFD">
        <w:t>its forecast. Thes</w:t>
      </w:r>
      <w:r w:rsidR="009D27C4">
        <w:t>e</w:t>
      </w:r>
      <w:r w:rsidR="004B4BFD">
        <w:t xml:space="preserve"> agreements provide for small amounts of energy exchange among neighboring utilities. </w:t>
      </w:r>
      <w:r w:rsidR="004D2CCB">
        <w:t>SCE holds agreements with the Department of Defense</w:t>
      </w:r>
      <w:r w:rsidR="00DB428A">
        <w:t xml:space="preserve">, detailed in </w:t>
      </w:r>
      <w:r w:rsidRPr="00C9709D" w:rsidR="00DB428A">
        <w:t>Advice Lette</w:t>
      </w:r>
      <w:r w:rsidR="006A192D">
        <w:t>r</w:t>
      </w:r>
      <w:r w:rsidRPr="00C9709D" w:rsidR="00DB428A">
        <w:t>s 2686-E and 1777-E.</w:t>
      </w:r>
      <w:r w:rsidRPr="00BA5A2E" w:rsidR="00DB428A">
        <w:rPr>
          <w:rStyle w:val="FootnoteReference"/>
        </w:rPr>
        <w:footnoteReference w:id="51"/>
      </w:r>
    </w:p>
    <w:p w:rsidRPr="00C9709D" w:rsidR="00C9709D" w:rsidP="00C9709D" w:rsidRDefault="00C9709D" w14:paraId="684DD0F5" w14:textId="6EE149A1">
      <w:pPr>
        <w:pStyle w:val="Heading3"/>
      </w:pPr>
      <w:bookmarkStart w:name="_Toc183184274" w:id="42"/>
      <w:r w:rsidRPr="00C9709D">
        <w:rPr>
          <w:rStyle w:val="Heading3Char"/>
          <w:b/>
        </w:rPr>
        <w:t>I</w:t>
      </w:r>
      <w:r w:rsidR="00EA7A57">
        <w:rPr>
          <w:rStyle w:val="Heading3Char"/>
          <w:b/>
        </w:rPr>
        <w:t xml:space="preserve">nter-Utility Nuclear </w:t>
      </w:r>
      <w:r w:rsidR="00196343">
        <w:rPr>
          <w:rStyle w:val="Heading3Char"/>
          <w:b/>
        </w:rPr>
        <w:br/>
      </w:r>
      <w:r w:rsidR="00EA7A57">
        <w:rPr>
          <w:rStyle w:val="Heading3Char"/>
          <w:b/>
        </w:rPr>
        <w:t>Contract Production</w:t>
      </w:r>
      <w:bookmarkEnd w:id="42"/>
    </w:p>
    <w:p w:rsidR="00C9709D" w:rsidP="00F32D8A" w:rsidRDefault="00D71B57" w14:paraId="6B4C8752" w14:textId="7BF0E363">
      <w:pPr>
        <w:pStyle w:val="Standard"/>
      </w:pPr>
      <w:r>
        <w:t>SCE owns a 15.8 percent share, or 213</w:t>
      </w:r>
      <w:r w:rsidR="00FB44D4">
        <w:t xml:space="preserve"> </w:t>
      </w:r>
      <w:r>
        <w:t xml:space="preserve">MW per unit, of the three-unit Palo Verde Nuclear Generation Station (PVNGS), which is operated by Arizona Public Service </w:t>
      </w:r>
      <w:r w:rsidR="005002C5">
        <w:t>Company (</w:t>
      </w:r>
      <w:r>
        <w:t>APS).</w:t>
      </w:r>
      <w:r w:rsidR="00A92E46">
        <w:rPr>
          <w:rStyle w:val="FootnoteReference"/>
        </w:rPr>
        <w:footnoteReference w:id="52"/>
      </w:r>
      <w:r>
        <w:t xml:space="preserve"> SCE forecast</w:t>
      </w:r>
      <w:r w:rsidR="002E2D0B">
        <w:t>s assume</w:t>
      </w:r>
      <w:r>
        <w:t xml:space="preserve"> that PVNGS will operate a</w:t>
      </w:r>
      <w:r w:rsidR="002E2D0B">
        <w:t>s</w:t>
      </w:r>
      <w:r>
        <w:t xml:space="preserve"> baseload capacity</w:t>
      </w:r>
      <w:r w:rsidR="00A227C9">
        <w:t>. PVNGS</w:t>
      </w:r>
      <w:r w:rsidR="00475F4A">
        <w:t xml:space="preserve"> Units 1 and 3 will experience</w:t>
      </w:r>
      <w:r>
        <w:t xml:space="preserve"> refueling outages</w:t>
      </w:r>
      <w:r w:rsidR="00475F4A">
        <w:t xml:space="preserve"> in 2025</w:t>
      </w:r>
      <w:r>
        <w:t>.</w:t>
      </w:r>
      <w:r w:rsidR="00E90ECA">
        <w:rPr>
          <w:rStyle w:val="FootnoteReference"/>
        </w:rPr>
        <w:footnoteReference w:id="53"/>
      </w:r>
      <w:r>
        <w:t xml:space="preserve"> SCE, through contracts with APS and other suppliers, incurs a share of the nuclear fuel management costs for PVNGS, from the mining of the uranium necessary to fabricate the fuel to spent fuel transportation, safe interim storage, and permanent disposal. SCE projected that its share of the PVNGS nuclear fuel expense for 202</w:t>
      </w:r>
      <w:r w:rsidR="006042D3">
        <w:t>5</w:t>
      </w:r>
      <w:r>
        <w:t xml:space="preserve"> will be $29.</w:t>
      </w:r>
      <w:r w:rsidR="00E90ECA">
        <w:t>2</w:t>
      </w:r>
      <w:r>
        <w:t xml:space="preserve"> million.</w:t>
      </w:r>
      <w:r w:rsidR="00CF2EA9">
        <w:rPr>
          <w:rStyle w:val="FootnoteReference"/>
        </w:rPr>
        <w:footnoteReference w:id="54"/>
      </w:r>
      <w:r>
        <w:t xml:space="preserve"> The costs to transfer fuel to, and store it in, the on-site Independent Spent Fuel Storage Installation (ISFSI) are considered operating costs for PVNGS, and therefore not included in the 202</w:t>
      </w:r>
      <w:r w:rsidR="006042D3">
        <w:t>5</w:t>
      </w:r>
      <w:r>
        <w:t xml:space="preserve"> ERRA forecast. However, SCE forecasted it will incur $2.9</w:t>
      </w:r>
      <w:r w:rsidR="00CF2EA9">
        <w:t>3</w:t>
      </w:r>
      <w:r>
        <w:t xml:space="preserve"> million in spent nuclear fuel storage costs associated with PVNGS, approximately $2.9</w:t>
      </w:r>
      <w:r w:rsidR="00CF2EA9">
        <w:t>2</w:t>
      </w:r>
      <w:r>
        <w:t xml:space="preserve"> million of which </w:t>
      </w:r>
      <w:r>
        <w:lastRenderedPageBreak/>
        <w:t>would be offset by credits from the U.S. Department of Energy spent fuel litigation. Therefore, SCE included a net cost associated with PVNGS spent fuel storage of $0.0</w:t>
      </w:r>
      <w:r w:rsidR="00D12BBE">
        <w:t>1</w:t>
      </w:r>
      <w:r>
        <w:t xml:space="preserve"> million.</w:t>
      </w:r>
    </w:p>
    <w:p w:rsidRPr="005C2C02" w:rsidR="00784310" w:rsidP="00F95E3B" w:rsidRDefault="00784310" w14:paraId="5B263D11" w14:textId="071B9931">
      <w:pPr>
        <w:pStyle w:val="Standard"/>
      </w:pPr>
      <w:r w:rsidRPr="005C2C02">
        <w:t>No parties addressed SCE’s PVNGS cost forecast for 2025. Upon review, we find SCE’s proposed costs associated with fuel storage and procurement for PVNGS to be reasonable and in accordance with state laws and regulations.</w:t>
      </w:r>
      <w:r w:rsidRPr="005C2C02" w:rsidR="00E72A35">
        <w:t xml:space="preserve"> SCE’s forecasted </w:t>
      </w:r>
      <w:r w:rsidRPr="005C2C02" w:rsidR="00CA5AB1">
        <w:t xml:space="preserve">PVNGS </w:t>
      </w:r>
      <w:r w:rsidRPr="005C2C02" w:rsidR="00E72A35">
        <w:t>fuel procurement</w:t>
      </w:r>
      <w:r w:rsidRPr="005C2C02" w:rsidR="00CA5AB1">
        <w:t xml:space="preserve"> and spent fu</w:t>
      </w:r>
      <w:r w:rsidRPr="005C2C02" w:rsidR="00434879">
        <w:t>el</w:t>
      </w:r>
      <w:r w:rsidRPr="005C2C02" w:rsidR="00E72A35">
        <w:t xml:space="preserve"> costs are approved.</w:t>
      </w:r>
    </w:p>
    <w:p w:rsidRPr="005E6010" w:rsidR="007361CF" w:rsidP="00C9709D" w:rsidRDefault="007361CF" w14:paraId="32742F4E" w14:textId="63504047">
      <w:pPr>
        <w:pStyle w:val="Heading3"/>
      </w:pPr>
      <w:bookmarkStart w:name="_Toc151976200" w:id="43"/>
      <w:bookmarkStart w:name="_Toc183184275" w:id="44"/>
      <w:r w:rsidRPr="005E6010">
        <w:t xml:space="preserve">Resource Adequacy </w:t>
      </w:r>
      <w:r w:rsidRPr="005E6010" w:rsidR="00CC0B04">
        <w:t xml:space="preserve">and </w:t>
      </w:r>
      <w:r w:rsidR="00FB44D4">
        <w:br/>
      </w:r>
      <w:r w:rsidRPr="005E6010" w:rsidR="00CC0B04">
        <w:t xml:space="preserve">Reliability </w:t>
      </w:r>
      <w:r w:rsidRPr="005E6010">
        <w:t>Contracts</w:t>
      </w:r>
      <w:bookmarkEnd w:id="43"/>
      <w:bookmarkEnd w:id="44"/>
    </w:p>
    <w:p w:rsidR="007361CF" w:rsidP="00C9709D" w:rsidRDefault="007361CF" w14:paraId="2E479994" w14:textId="6C3D4581">
      <w:pPr>
        <w:pStyle w:val="Standard"/>
      </w:pPr>
      <w:r w:rsidRPr="00C9709D">
        <w:t>D.06</w:t>
      </w:r>
      <w:r w:rsidRPr="00C9709D">
        <w:noBreakHyphen/>
        <w:t>07</w:t>
      </w:r>
      <w:r w:rsidRPr="00C9709D">
        <w:noBreakHyphen/>
        <w:t>029, as modified by D.10</w:t>
      </w:r>
      <w:r w:rsidRPr="00C9709D">
        <w:noBreakHyphen/>
        <w:t>12</w:t>
      </w:r>
      <w:r w:rsidRPr="00C9709D">
        <w:noBreakHyphen/>
        <w:t>035</w:t>
      </w:r>
      <w:r w:rsidRPr="00454D1A">
        <w:t xml:space="preserve"> and </w:t>
      </w:r>
      <w:r w:rsidRPr="001C0E35">
        <w:t xml:space="preserve">Senate Bill </w:t>
      </w:r>
      <w:r w:rsidRPr="00454D1A">
        <w:t>695</w:t>
      </w:r>
      <w:r w:rsidR="009E3F3E">
        <w:t xml:space="preserve"> (</w:t>
      </w:r>
      <w:r w:rsidR="00360A62">
        <w:t>Kehoe</w:t>
      </w:r>
      <w:r w:rsidR="003C7AEB">
        <w:t>), Stat</w:t>
      </w:r>
      <w:r w:rsidR="00D5528A">
        <w:t>. 2009</w:t>
      </w:r>
      <w:r w:rsidR="003C7AEB">
        <w:t xml:space="preserve">, </w:t>
      </w:r>
      <w:r w:rsidR="00AD4665">
        <w:t>C</w:t>
      </w:r>
      <w:r w:rsidR="003C7AEB">
        <w:t>h.</w:t>
      </w:r>
      <w:r w:rsidR="00AD4665">
        <w:t>337</w:t>
      </w:r>
      <w:r w:rsidR="003C7AEB">
        <w:t>,</w:t>
      </w:r>
      <w:r w:rsidRPr="00454D1A">
        <w:t xml:space="preserve"> adopted a </w:t>
      </w:r>
      <w:r>
        <w:t>cost allocation mechanism</w:t>
      </w:r>
      <w:r w:rsidRPr="005B337D">
        <w:t xml:space="preserve"> </w:t>
      </w:r>
      <w:r>
        <w:t>(</w:t>
      </w:r>
      <w:r w:rsidRPr="001C0E35">
        <w:t>CAM</w:t>
      </w:r>
      <w:r>
        <w:t>)</w:t>
      </w:r>
      <w:r w:rsidRPr="00454D1A">
        <w:t xml:space="preserve"> to allocate the costs electric utilities incur to meet </w:t>
      </w:r>
      <w:r>
        <w:t xml:space="preserve">Resource Adequacy </w:t>
      </w:r>
      <w:r w:rsidRPr="00454D1A">
        <w:t>requirements on behalf of customers in an electric utility’s service territory. In D.10</w:t>
      </w:r>
      <w:r>
        <w:noBreakHyphen/>
      </w:r>
      <w:r w:rsidRPr="00454D1A">
        <w:t>12</w:t>
      </w:r>
      <w:r>
        <w:noBreakHyphen/>
      </w:r>
      <w:r w:rsidRPr="00454D1A">
        <w:t xml:space="preserve">035, the Commission also allowed SCE to allocate costs associated with </w:t>
      </w:r>
      <w:r>
        <w:t xml:space="preserve">CHP </w:t>
      </w:r>
      <w:r w:rsidRPr="00454D1A">
        <w:t>generation procured on behalf of Direct Access customers’ Electric Service Providers and CCAs.</w:t>
      </w:r>
    </w:p>
    <w:p w:rsidR="007361CF" w:rsidP="007361CF" w:rsidRDefault="007361CF" w14:paraId="0BDB9F3B" w14:textId="7F7F930C">
      <w:pPr>
        <w:pStyle w:val="Standard"/>
      </w:pPr>
      <w:r>
        <w:t xml:space="preserve">Under a Joint </w:t>
      </w:r>
      <w:r w:rsidRPr="005E4BB8">
        <w:t>Party</w:t>
      </w:r>
      <w:r>
        <w:t xml:space="preserve"> Proposal adopted in D.07-09-044, SCE will hold the dispatch rights for all New Generation contracts in 202</w:t>
      </w:r>
      <w:r w:rsidR="00EF2D01">
        <w:t>5</w:t>
      </w:r>
      <w:r>
        <w:t>, but the energy from these contracts w</w:t>
      </w:r>
      <w:r w:rsidR="00EF2D01">
        <w:t>ill not be</w:t>
      </w:r>
      <w:r>
        <w:t xml:space="preserve"> used to meet forecasted bundled customer load.</w:t>
      </w:r>
      <w:r>
        <w:rPr>
          <w:rStyle w:val="FootnoteReference"/>
        </w:rPr>
        <w:footnoteReference w:id="55"/>
      </w:r>
      <w:r>
        <w:t xml:space="preserve"> Instead, SCE forecast</w:t>
      </w:r>
      <w:r w:rsidR="00EF2D01">
        <w:t>s</w:t>
      </w:r>
      <w:r>
        <w:t xml:space="preserve"> the energy revenue benefits from these resources to be allocated to all customers, and energy revenues from these resources were based on LCD.</w:t>
      </w:r>
    </w:p>
    <w:p w:rsidR="008B057D" w:rsidP="007361CF" w:rsidRDefault="00362847" w14:paraId="66F285E9" w14:textId="6296D3D4">
      <w:pPr>
        <w:pStyle w:val="Standard"/>
      </w:pPr>
      <w:r>
        <w:t xml:space="preserve">D.20-06-002 identifies SCE as the central procurement entity for </w:t>
      </w:r>
      <w:r w:rsidR="00BD1C06">
        <w:t>its distribution area</w:t>
      </w:r>
      <w:r w:rsidR="00632BFD">
        <w:t xml:space="preserve">, tasking them with </w:t>
      </w:r>
      <w:r w:rsidR="00C523EE">
        <w:t>multi-year local RA procurement beginning with the 2023</w:t>
      </w:r>
      <w:r w:rsidR="00600046">
        <w:t xml:space="preserve"> compliance year. Th</w:t>
      </w:r>
      <w:r w:rsidR="00BF02B2">
        <w:t>at</w:t>
      </w:r>
      <w:r w:rsidR="00600046">
        <w:t xml:space="preserve"> decision </w:t>
      </w:r>
      <w:r w:rsidR="006B72CD">
        <w:t>adopts CAM as the cost recovery mechanism for the procured RA and the a</w:t>
      </w:r>
      <w:r w:rsidR="007C46E7">
        <w:t>ssociated administrative costs.</w:t>
      </w:r>
    </w:p>
    <w:p w:rsidR="007361CF" w:rsidP="007361CF" w:rsidRDefault="007361CF" w14:paraId="3A266BBF" w14:textId="53D29E1F">
      <w:pPr>
        <w:pStyle w:val="Heading4"/>
      </w:pPr>
      <w:bookmarkStart w:name="_Toc151976201" w:id="45"/>
      <w:bookmarkStart w:name="_Toc183184276" w:id="46"/>
      <w:r>
        <w:lastRenderedPageBreak/>
        <w:t xml:space="preserve">System Reliability Request </w:t>
      </w:r>
      <w:r w:rsidR="00196343">
        <w:br/>
      </w:r>
      <w:r>
        <w:t>for Offers</w:t>
      </w:r>
      <w:bookmarkEnd w:id="45"/>
      <w:bookmarkEnd w:id="46"/>
    </w:p>
    <w:p w:rsidR="007361CF" w:rsidP="00DA3BB1" w:rsidRDefault="007361CF" w14:paraId="6F0059B9" w14:textId="5909395B">
      <w:pPr>
        <w:pStyle w:val="Standard"/>
      </w:pPr>
      <w:r w:rsidRPr="00454D1A">
        <w:t xml:space="preserve">SCE </w:t>
      </w:r>
      <w:r>
        <w:t>forecasted 202</w:t>
      </w:r>
      <w:r w:rsidR="00C10EB8">
        <w:t>5</w:t>
      </w:r>
      <w:r>
        <w:t xml:space="preserve"> </w:t>
      </w:r>
      <w:r w:rsidRPr="00454D1A">
        <w:t>costs associated with resources procured in accordance with D.19</w:t>
      </w:r>
      <w:r>
        <w:noBreakHyphen/>
      </w:r>
      <w:r w:rsidRPr="00454D1A">
        <w:t>11</w:t>
      </w:r>
      <w:r>
        <w:noBreakHyphen/>
      </w:r>
      <w:r w:rsidRPr="00454D1A">
        <w:t>016’s order directing</w:t>
      </w:r>
      <w:r>
        <w:t xml:space="preserve"> utilities to conduct System Reliability Request for Offers (SRRFO). D.19-11-016 directed</w:t>
      </w:r>
      <w:r w:rsidRPr="00454D1A">
        <w:t xml:space="preserve"> SCE to procure 1,184.7 MW of</w:t>
      </w:r>
      <w:r>
        <w:t xml:space="preserve"> incremental RA capacity, including seven “Fast Track” contracts for new energy storage resources (totaling approximately 678 MW of incremental RA system capacity) that were approved in Resolution E-5101, and an additional five “Standard Track” contracts that were approved in Resolution E-5142 (totaling approximately 590 MW of nameplate capacity).</w:t>
      </w:r>
      <w:r>
        <w:rPr>
          <w:rStyle w:val="FootnoteReference"/>
        </w:rPr>
        <w:footnoteReference w:id="56"/>
      </w:r>
      <w:r>
        <w:t xml:space="preserve"> </w:t>
      </w:r>
      <w:r w:rsidRPr="005E4BB8">
        <w:t>Pursuant</w:t>
      </w:r>
      <w:r>
        <w:t xml:space="preserve"> to Resolution E-5240, SCE accounted for emergency system reliability MCAM-eligible costs and revenues in its 202</w:t>
      </w:r>
      <w:r w:rsidR="00784F74">
        <w:t>5</w:t>
      </w:r>
      <w:r>
        <w:t xml:space="preserve"> forecast</w:t>
      </w:r>
      <w:r w:rsidRPr="00454D1A">
        <w:t>.</w:t>
      </w:r>
      <w:r>
        <w:rPr>
          <w:rStyle w:val="FootnoteReference"/>
        </w:rPr>
        <w:footnoteReference w:id="57"/>
      </w:r>
    </w:p>
    <w:p w:rsidR="00DA3BB1" w:rsidP="00DA3BB1" w:rsidRDefault="007361CF" w14:paraId="4D6D736D" w14:textId="211E1CD5">
      <w:pPr>
        <w:pStyle w:val="Standard"/>
      </w:pPr>
      <w:r>
        <w:t xml:space="preserve">SCE also included contract costs from </w:t>
      </w:r>
      <w:r w:rsidR="00841B5E">
        <w:t xml:space="preserve">and revenues from </w:t>
      </w:r>
      <w:r>
        <w:t>the SRRFO in its 202</w:t>
      </w:r>
      <w:r w:rsidR="000A1A88">
        <w:t>5</w:t>
      </w:r>
      <w:r>
        <w:t xml:space="preserve"> forecast. SCE segmented these costs across its PABA, </w:t>
      </w:r>
      <w:r w:rsidRPr="00B312D3" w:rsidR="00B312D3">
        <w:t xml:space="preserve">Modified Cost Allocation Mechanism </w:t>
      </w:r>
      <w:r w:rsidR="00B312D3">
        <w:t>BA (</w:t>
      </w:r>
      <w:r>
        <w:t>MCAMBA</w:t>
      </w:r>
      <w:r w:rsidR="00B312D3">
        <w:t>)</w:t>
      </w:r>
      <w:r>
        <w:t>, and NSGA accounts.</w:t>
      </w:r>
      <w:r>
        <w:rPr>
          <w:rStyle w:val="FootnoteReference"/>
        </w:rPr>
        <w:footnoteReference w:id="58"/>
      </w:r>
      <w:bookmarkStart w:name="_Toc151976202" w:id="47"/>
    </w:p>
    <w:p w:rsidR="00B3432E" w:rsidP="00C05979" w:rsidRDefault="00B3432E" w14:paraId="59681D8D" w14:textId="16BA7624">
      <w:pPr>
        <w:pStyle w:val="Heading4"/>
      </w:pPr>
      <w:bookmarkStart w:name="_Toc183184277" w:id="48"/>
      <w:bookmarkEnd w:id="47"/>
      <w:r>
        <w:t>Emergency Reliability</w:t>
      </w:r>
      <w:r w:rsidR="0005233B">
        <w:t xml:space="preserve"> Procurement</w:t>
      </w:r>
      <w:bookmarkEnd w:id="48"/>
    </w:p>
    <w:p w:rsidRPr="00454D1A" w:rsidR="007361CF" w:rsidP="007361CF" w:rsidRDefault="007361CF" w14:paraId="5102EA60" w14:textId="3B01DB4B">
      <w:pPr>
        <w:pStyle w:val="Standard"/>
      </w:pPr>
      <w:r w:rsidRPr="00454D1A">
        <w:t>D.21</w:t>
      </w:r>
      <w:r>
        <w:noBreakHyphen/>
      </w:r>
      <w:r w:rsidRPr="00454D1A">
        <w:t>02</w:t>
      </w:r>
      <w:r>
        <w:noBreakHyphen/>
      </w:r>
      <w:r w:rsidRPr="00454D1A">
        <w:t xml:space="preserve">028 authorized the </w:t>
      </w:r>
      <w:r>
        <w:t xml:space="preserve">investor-owned utilities (IOU) </w:t>
      </w:r>
      <w:r w:rsidRPr="00454D1A">
        <w:t xml:space="preserve">to contract for </w:t>
      </w:r>
      <w:r>
        <w:t xml:space="preserve">emergency reliability </w:t>
      </w:r>
      <w:r w:rsidRPr="00454D1A">
        <w:t>capacity that is available to serve peak and net peak demand in the summer of 2021, and seek approval for recovery of rates through CAM. In D.21</w:t>
      </w:r>
      <w:r>
        <w:noBreakHyphen/>
      </w:r>
      <w:r w:rsidRPr="00454D1A">
        <w:t>03</w:t>
      </w:r>
      <w:r>
        <w:noBreakHyphen/>
      </w:r>
      <w:r w:rsidRPr="00454D1A">
        <w:t xml:space="preserve">056, the Commission </w:t>
      </w:r>
      <w:r>
        <w:t xml:space="preserve">further </w:t>
      </w:r>
      <w:r w:rsidRPr="00454D1A">
        <w:t>authorized the IOUs to procure resources to meet the summer 2021 and 2022 effective planning reserve margin</w:t>
      </w:r>
      <w:r w:rsidR="00D1354A">
        <w:t xml:space="preserve"> of 17.5 percent</w:t>
      </w:r>
      <w:r w:rsidRPr="00454D1A">
        <w:t>. In D.21</w:t>
      </w:r>
      <w:r>
        <w:noBreakHyphen/>
      </w:r>
      <w:r w:rsidRPr="00454D1A">
        <w:t>12</w:t>
      </w:r>
      <w:r>
        <w:noBreakHyphen/>
      </w:r>
      <w:r w:rsidRPr="00454D1A">
        <w:t xml:space="preserve">015, the Commission adopted requirements for summers 2022 and 2023. </w:t>
      </w:r>
    </w:p>
    <w:p w:rsidRPr="00454D1A" w:rsidR="007361CF" w:rsidP="007361CF" w:rsidRDefault="007361CF" w14:paraId="77E6489A" w14:textId="6FE8D20D">
      <w:pPr>
        <w:pStyle w:val="Heading4"/>
      </w:pPr>
      <w:bookmarkStart w:name="_Toc151976203" w:id="49"/>
      <w:bookmarkStart w:name="_Toc183184278" w:id="50"/>
      <w:r>
        <w:lastRenderedPageBreak/>
        <w:t>Mid-Term Reliability</w:t>
      </w:r>
      <w:bookmarkEnd w:id="49"/>
      <w:r w:rsidR="00DA578A">
        <w:t xml:space="preserve"> (MTR)</w:t>
      </w:r>
      <w:bookmarkEnd w:id="50"/>
    </w:p>
    <w:p w:rsidR="000E3027" w:rsidP="002F3D5F" w:rsidRDefault="007361CF" w14:paraId="18A46561" w14:textId="51EA3EEF">
      <w:pPr>
        <w:pStyle w:val="Standard"/>
      </w:pPr>
      <w:r>
        <w:t>D.21-</w:t>
      </w:r>
      <w:r w:rsidRPr="007532FA">
        <w:t>06</w:t>
      </w:r>
      <w:r>
        <w:t xml:space="preserve">-035 addressed </w:t>
      </w:r>
      <w:r w:rsidR="007126AE">
        <w:t>MTR</w:t>
      </w:r>
      <w:r>
        <w:t xml:space="preserve"> needs across CAISO’s operating system, and SCE launched its Mid-Term Reliability Request for Offers (MTRRFO) for incremental resources to come online in 2023-202</w:t>
      </w:r>
      <w:r w:rsidR="005012D9">
        <w:t>6</w:t>
      </w:r>
      <w:r>
        <w:t xml:space="preserve"> on July</w:t>
      </w:r>
      <w:r w:rsidR="00196343">
        <w:t> </w:t>
      </w:r>
      <w:r>
        <w:t>30,</w:t>
      </w:r>
      <w:r w:rsidR="00196343">
        <w:t> </w:t>
      </w:r>
      <w:r>
        <w:t>2021.</w:t>
      </w:r>
      <w:r>
        <w:rPr>
          <w:rStyle w:val="FootnoteReference"/>
        </w:rPr>
        <w:footnoteReference w:id="59"/>
      </w:r>
      <w:r>
        <w:t xml:space="preserve"> </w:t>
      </w:r>
    </w:p>
    <w:p w:rsidR="007361CF" w:rsidP="002F3D5F" w:rsidRDefault="007361CF" w14:paraId="587C3315" w14:textId="0D2C6861">
      <w:pPr>
        <w:pStyle w:val="Standard"/>
      </w:pPr>
      <w:r w:rsidRPr="00454D1A">
        <w:t xml:space="preserve">SCE </w:t>
      </w:r>
      <w:r>
        <w:t xml:space="preserve">has </w:t>
      </w:r>
      <w:r w:rsidRPr="00454D1A">
        <w:t xml:space="preserve">executed </w:t>
      </w:r>
      <w:r w:rsidRPr="00841B5E">
        <w:t xml:space="preserve">contracts for </w:t>
      </w:r>
      <w:r w:rsidRPr="00E75708" w:rsidR="006C3D1C">
        <w:t>eleven</w:t>
      </w:r>
      <w:r w:rsidRPr="00E75708">
        <w:t xml:space="preserve"> </w:t>
      </w:r>
      <w:r w:rsidRPr="00841B5E">
        <w:t xml:space="preserve">energy storage and renewable energy projects to address </w:t>
      </w:r>
      <w:r w:rsidR="0011108D">
        <w:t>MTR</w:t>
      </w:r>
      <w:r w:rsidRPr="00841B5E">
        <w:t xml:space="preserve"> needs, which were approved in Resolutions E</w:t>
      </w:r>
      <w:r w:rsidRPr="00841B5E">
        <w:noBreakHyphen/>
        <w:t>5205, E-5225, E-5234, E-5251, E-5253, E-5271</w:t>
      </w:r>
      <w:r w:rsidRPr="00841B5E" w:rsidR="00F267CC">
        <w:t>, E-5307, E-</w:t>
      </w:r>
      <w:r w:rsidRPr="00841B5E" w:rsidR="00965D44">
        <w:t>5309, E-5313</w:t>
      </w:r>
      <w:r w:rsidRPr="00841B5E" w:rsidR="00DE34EA">
        <w:t>, E-</w:t>
      </w:r>
      <w:r w:rsidRPr="00841B5E" w:rsidR="00965D44">
        <w:t>5316</w:t>
      </w:r>
      <w:r w:rsidRPr="00841B5E" w:rsidR="002F3D5F">
        <w:t>, and</w:t>
      </w:r>
      <w:r w:rsidRPr="00841B5E" w:rsidR="007629EE">
        <w:t xml:space="preserve"> E-5333</w:t>
      </w:r>
      <w:r w:rsidRPr="00841B5E" w:rsidR="004A6BDD">
        <w:rPr>
          <w:rStyle w:val="FootnoteReference"/>
        </w:rPr>
        <w:footnoteReference w:id="60"/>
      </w:r>
      <w:r w:rsidRPr="00841B5E">
        <w:t xml:space="preserve">. </w:t>
      </w:r>
    </w:p>
    <w:p w:rsidR="00325749" w:rsidP="002F3D5F" w:rsidRDefault="00FF4910" w14:paraId="069A58BA" w14:textId="6A49B67F">
      <w:pPr>
        <w:pStyle w:val="Standard"/>
      </w:pPr>
      <w:r>
        <w:t>In addition to</w:t>
      </w:r>
      <w:r w:rsidR="00661F94">
        <w:t xml:space="preserve"> advice letters solely requesting</w:t>
      </w:r>
      <w:r>
        <w:t xml:space="preserve"> </w:t>
      </w:r>
      <w:r w:rsidR="00D55708">
        <w:t>approval of contracts</w:t>
      </w:r>
      <w:r w:rsidR="00661F94">
        <w:t xml:space="preserve"> for new MTR</w:t>
      </w:r>
      <w:r w:rsidR="00D55708">
        <w:t>, SCE</w:t>
      </w:r>
      <w:r w:rsidR="004F32C6">
        <w:t xml:space="preserve"> notes in </w:t>
      </w:r>
      <w:r w:rsidRPr="00BF02B2" w:rsidR="004F32C6">
        <w:t xml:space="preserve">its </w:t>
      </w:r>
      <w:r w:rsidRPr="00BF02B2" w:rsidR="003776A8">
        <w:t>A</w:t>
      </w:r>
      <w:r w:rsidRPr="00BF02B2" w:rsidR="004F32C6">
        <w:t xml:space="preserve">OU that </w:t>
      </w:r>
      <w:r w:rsidR="004F32C6">
        <w:t xml:space="preserve">two advice letters </w:t>
      </w:r>
      <w:r w:rsidR="00723FC8">
        <w:t>that modify the online date</w:t>
      </w:r>
      <w:r w:rsidR="00325749">
        <w:t xml:space="preserve"> and/</w:t>
      </w:r>
      <w:r w:rsidR="00723FC8">
        <w:t>or</w:t>
      </w:r>
      <w:r w:rsidR="00B216A4">
        <w:t xml:space="preserve"> pricing for </w:t>
      </w:r>
      <w:r w:rsidR="00325749">
        <w:t xml:space="preserve">known resources </w:t>
      </w:r>
      <w:r w:rsidR="004F32C6">
        <w:t>have been approved</w:t>
      </w:r>
      <w:r w:rsidR="00325749">
        <w:t>.</w:t>
      </w:r>
    </w:p>
    <w:p w:rsidR="00196343" w:rsidP="002F3D5F" w:rsidRDefault="00325749" w14:paraId="45D3AB00" w14:textId="77777777">
      <w:pPr>
        <w:pStyle w:val="Standard"/>
      </w:pPr>
      <w:r>
        <w:t>On</w:t>
      </w:r>
      <w:r w:rsidR="007A269F">
        <w:t xml:space="preserve"> April 10</w:t>
      </w:r>
      <w:r w:rsidR="007E1B95">
        <w:t xml:space="preserve">, </w:t>
      </w:r>
      <w:r w:rsidR="007A269F">
        <w:t xml:space="preserve">2024, SCE submitted 5257-E-A, </w:t>
      </w:r>
      <w:r w:rsidR="00010D11">
        <w:t>seeking approval</w:t>
      </w:r>
      <w:r w:rsidR="003E61B6">
        <w:t xml:space="preserve"> of</w:t>
      </w:r>
      <w:r w:rsidR="00010D11">
        <w:t xml:space="preserve"> an amended and restated Phase I contract. </w:t>
      </w:r>
      <w:r w:rsidR="00292877">
        <w:t xml:space="preserve">On June 10, 2024, </w:t>
      </w:r>
      <w:r w:rsidR="00F22143">
        <w:t xml:space="preserve">SCE </w:t>
      </w:r>
      <w:r w:rsidR="00292877">
        <w:t xml:space="preserve">submitted Advice </w:t>
      </w:r>
      <w:r w:rsidR="00073910">
        <w:t>5316</w:t>
      </w:r>
      <w:r w:rsidR="00292877">
        <w:t xml:space="preserve">-E </w:t>
      </w:r>
      <w:r w:rsidR="00F22143">
        <w:t xml:space="preserve">seeking approval of </w:t>
      </w:r>
      <w:r w:rsidR="00D17D33">
        <w:t>750 MW of new nameplate capacity</w:t>
      </w:r>
      <w:r w:rsidR="007F6994">
        <w:t xml:space="preserve"> for </w:t>
      </w:r>
      <w:r w:rsidR="00FF08D6">
        <w:t xml:space="preserve">2026-2027 MTR, </w:t>
      </w:r>
      <w:r w:rsidR="00D17D33">
        <w:t xml:space="preserve">and the </w:t>
      </w:r>
      <w:r w:rsidR="00B649E8">
        <w:t>modification of the terms for 100 MW</w:t>
      </w:r>
      <w:r w:rsidR="00FF08D6">
        <w:t xml:space="preserve"> of </w:t>
      </w:r>
      <w:r w:rsidR="0011108D">
        <w:t>2024 MTR</w:t>
      </w:r>
      <w:r w:rsidR="00B649E8">
        <w:t xml:space="preserve"> approved in </w:t>
      </w:r>
      <w:r w:rsidR="007F6994">
        <w:t>its first contract.</w:t>
      </w:r>
      <w:r w:rsidR="003E61B6">
        <w:t xml:space="preserve"> These advice letters were approved by </w:t>
      </w:r>
      <w:r w:rsidR="00A93983">
        <w:t>Resolutions E-5334</w:t>
      </w:r>
      <w:r w:rsidR="00994784">
        <w:t xml:space="preserve"> and </w:t>
      </w:r>
    </w:p>
    <w:p w:rsidR="000E3027" w:rsidP="00196343" w:rsidRDefault="00994784" w14:paraId="44B4F446" w14:textId="2496BCBF">
      <w:pPr>
        <w:pStyle w:val="Standard"/>
        <w:ind w:firstLine="0"/>
      </w:pPr>
      <w:r>
        <w:t>E-5344, respectively.</w:t>
      </w:r>
      <w:r>
        <w:rPr>
          <w:rStyle w:val="FootnoteReference"/>
        </w:rPr>
        <w:footnoteReference w:id="61"/>
      </w:r>
      <w:r w:rsidR="003E61B6">
        <w:t xml:space="preserve"> </w:t>
      </w:r>
    </w:p>
    <w:p w:rsidR="00B820DA" w:rsidP="002F3D5F" w:rsidRDefault="00401DA9" w14:paraId="6EEA43B1" w14:textId="02E0798B">
      <w:pPr>
        <w:pStyle w:val="Standard"/>
      </w:pPr>
      <w:r>
        <w:t xml:space="preserve">SCE asserts in its </w:t>
      </w:r>
      <w:r w:rsidR="00BC7A95">
        <w:t>A</w:t>
      </w:r>
      <w:r>
        <w:t xml:space="preserve">OU that it has updated its F&amp;PP </w:t>
      </w:r>
      <w:r w:rsidR="00CF67A3">
        <w:t xml:space="preserve">cost assumptions and PCIA workpaper to reflect these changes in </w:t>
      </w:r>
      <w:r w:rsidR="004156D0">
        <w:t>commercial operation date.</w:t>
      </w:r>
    </w:p>
    <w:p w:rsidR="00D85E03" w:rsidP="009C2046" w:rsidRDefault="00B41F9C" w14:paraId="0ABEC35E" w14:textId="586BC1A9">
      <w:pPr>
        <w:pStyle w:val="Heading4"/>
      </w:pPr>
      <w:bookmarkStart w:name="_Toc183184279" w:id="51"/>
      <w:r w:rsidRPr="00B41F9C">
        <w:lastRenderedPageBreak/>
        <w:t>Imports Used for MTR and Diablo Canyon Replacement</w:t>
      </w:r>
      <w:bookmarkEnd w:id="51"/>
    </w:p>
    <w:p w:rsidR="00EB2AE0" w:rsidP="00EB2AE0" w:rsidRDefault="007A3425" w14:paraId="1AA77C8B" w14:textId="7BACF7AC">
      <w:pPr>
        <w:pStyle w:val="Standard"/>
      </w:pPr>
      <w:r>
        <w:t>In its</w:t>
      </w:r>
      <w:r w:rsidR="005C3200">
        <w:t xml:space="preserve"> </w:t>
      </w:r>
      <w:r w:rsidR="00BC7A95">
        <w:t>A</w:t>
      </w:r>
      <w:r w:rsidR="005C3200">
        <w:t xml:space="preserve">OU, SCE includes </w:t>
      </w:r>
      <w:r w:rsidR="00BB5F4D">
        <w:t>firm resources</w:t>
      </w:r>
      <w:r w:rsidR="0000523C">
        <w:t xml:space="preserve"> and has identified other potential imports</w:t>
      </w:r>
      <w:r w:rsidR="00BB5F4D">
        <w:t xml:space="preserve"> for </w:t>
      </w:r>
      <w:r w:rsidR="009652AE">
        <w:t xml:space="preserve">possible </w:t>
      </w:r>
      <w:r w:rsidR="0090442A">
        <w:t>use as a bridge for MTR compliance</w:t>
      </w:r>
      <w:r w:rsidR="00C87CB3">
        <w:t>.</w:t>
      </w:r>
      <w:r w:rsidR="00AF62AB">
        <w:t xml:space="preserve"> These purchases </w:t>
      </w:r>
      <w:r w:rsidR="00A162A1">
        <w:t xml:space="preserve">may </w:t>
      </w:r>
      <w:r w:rsidR="00AF62AB">
        <w:t xml:space="preserve">have implications </w:t>
      </w:r>
      <w:r w:rsidR="00E1725B">
        <w:t xml:space="preserve">for </w:t>
      </w:r>
      <w:r w:rsidR="00AF62AB">
        <w:t>both the ERRA and PABA BA</w:t>
      </w:r>
      <w:r w:rsidR="004E5F1C">
        <w:t>, depending on how the volumes</w:t>
      </w:r>
      <w:r w:rsidR="00134A65">
        <w:t xml:space="preserve"> are ultimately</w:t>
      </w:r>
      <w:r w:rsidR="004E5F1C">
        <w:t xml:space="preserve"> used</w:t>
      </w:r>
      <w:r w:rsidR="00B41C1B">
        <w:t xml:space="preserve">. </w:t>
      </w:r>
    </w:p>
    <w:p w:rsidRPr="009C2046" w:rsidR="009C2046" w:rsidP="00EB2AE0" w:rsidRDefault="00EB2AE0" w14:paraId="498E89D3" w14:textId="46E6C3EF">
      <w:pPr>
        <w:pStyle w:val="Standard"/>
      </w:pPr>
      <w:r w:rsidRPr="00EB2AE0">
        <w:t>D.24-09-006 allows for any LSE with obligations in Ordering Paragraph 6 of D.21-06-035 to procure Diablo Canyon Power Plant Replacement resources to procure certain bridge resources to meet that requirement.</w:t>
      </w:r>
      <w:r>
        <w:t xml:space="preserve"> </w:t>
      </w:r>
      <w:r w:rsidR="00B41C1B">
        <w:t>Some of these resources are procured pursuant to D.24-09-006</w:t>
      </w:r>
      <w:r w:rsidR="00FD4497">
        <w:t>.</w:t>
      </w:r>
    </w:p>
    <w:p w:rsidR="007361CF" w:rsidP="007361CF" w:rsidRDefault="007361CF" w14:paraId="2FC07F47" w14:textId="77777777">
      <w:pPr>
        <w:pStyle w:val="Heading4"/>
      </w:pPr>
      <w:bookmarkStart w:name="_Toc151976204" w:id="52"/>
      <w:bookmarkStart w:name="_Toc183184280" w:id="53"/>
      <w:r>
        <w:t>Generic and Bilateral Resource Adequacy Contracts</w:t>
      </w:r>
      <w:bookmarkEnd w:id="52"/>
      <w:bookmarkEnd w:id="53"/>
    </w:p>
    <w:p w:rsidR="00353789" w:rsidP="00353789" w:rsidRDefault="007361CF" w14:paraId="25EB1A68" w14:textId="7BD4CD43">
      <w:pPr>
        <w:pStyle w:val="Standard"/>
      </w:pPr>
      <w:r w:rsidRPr="000A1A88">
        <w:t>SCE forecast</w:t>
      </w:r>
      <w:r w:rsidR="0074261C">
        <w:t>s</w:t>
      </w:r>
      <w:r w:rsidRPr="000A1A88">
        <w:t xml:space="preserve"> its 202</w:t>
      </w:r>
      <w:r w:rsidRPr="000A1A88" w:rsidR="009E5F9B">
        <w:t>5</w:t>
      </w:r>
      <w:r w:rsidRPr="000A1A88">
        <w:t xml:space="preserve"> RA purchase costs for generic RA contracts using the</w:t>
      </w:r>
      <w:r w:rsidR="00044289">
        <w:t xml:space="preserve"> 2025 </w:t>
      </w:r>
      <w:r w:rsidRPr="000A1A88">
        <w:t>RA</w:t>
      </w:r>
      <w:r w:rsidR="00A200F0">
        <w:t xml:space="preserve"> </w:t>
      </w:r>
      <w:r w:rsidRPr="000A1A88">
        <w:t>MPB</w:t>
      </w:r>
      <w:r w:rsidR="00D069D0">
        <w:t>s</w:t>
      </w:r>
      <w:r w:rsidR="00543CDC">
        <w:t xml:space="preserve"> in conjunction with SCE’s SOD position</w:t>
      </w:r>
      <w:r w:rsidRPr="000A1A88">
        <w:t>. It calculated its 202</w:t>
      </w:r>
      <w:r w:rsidR="00561D1E">
        <w:t>5</w:t>
      </w:r>
      <w:r w:rsidRPr="000A1A88">
        <w:t xml:space="preserve"> month-ahead RA position based on its RA requirements and the available supply it has contracted to meet them, plus a buffer.</w:t>
      </w:r>
      <w:r w:rsidR="00876BCD">
        <w:t xml:space="preserve"> </w:t>
      </w:r>
      <w:r w:rsidR="00D069D0">
        <w:t xml:space="preserve">It pro-rates </w:t>
      </w:r>
      <w:r w:rsidR="001B24DB">
        <w:t>its generic procurement between System, Local, and Flexible RA in the same proportions as its excess sold and unsold forecast</w:t>
      </w:r>
      <w:r w:rsidR="00467E53">
        <w:t xml:space="preserve"> and applies the appropriate </w:t>
      </w:r>
      <w:r w:rsidR="00567FC9">
        <w:t>MPB</w:t>
      </w:r>
      <w:r w:rsidR="00467E53">
        <w:t xml:space="preserve"> </w:t>
      </w:r>
      <w:r w:rsidRPr="00512B6A" w:rsidR="00467E53">
        <w:t>to each proportion</w:t>
      </w:r>
      <w:r w:rsidRPr="00512B6A" w:rsidR="001B24DB">
        <w:t>.</w:t>
      </w:r>
      <w:r w:rsidRPr="00512B6A" w:rsidR="00467E53">
        <w:rPr>
          <w:rStyle w:val="FootnoteReference"/>
        </w:rPr>
        <w:footnoteReference w:id="62"/>
      </w:r>
      <w:r w:rsidRPr="00512B6A" w:rsidR="001B24DB">
        <w:t xml:space="preserve"> </w:t>
      </w:r>
    </w:p>
    <w:p w:rsidR="00E4504C" w:rsidP="00353789" w:rsidRDefault="00E4504C" w14:paraId="5BD28473" w14:textId="4B2954CB">
      <w:pPr>
        <w:pStyle w:val="Standard"/>
        <w:rPr>
          <w:rFonts w:eastAsia="Times New Roman" w:cs="Times New Roman"/>
        </w:rPr>
      </w:pPr>
      <w:r w:rsidRPr="28FD45A9">
        <w:rPr>
          <w:rFonts w:eastAsia="Times New Roman" w:cs="Times New Roman"/>
        </w:rPr>
        <w:t xml:space="preserve">The MPB calculates the market value of the three revenue streams in the IOU portfolio—the Energy Index, Renewable Portfolio Standard (RPS) </w:t>
      </w:r>
      <w:r w:rsidR="00117A57">
        <w:rPr>
          <w:rFonts w:eastAsia="Times New Roman" w:cs="Times New Roman"/>
        </w:rPr>
        <w:t>MPB</w:t>
      </w:r>
      <w:r w:rsidRPr="28FD45A9">
        <w:rPr>
          <w:rFonts w:eastAsia="Times New Roman" w:cs="Times New Roman"/>
        </w:rPr>
        <w:t xml:space="preserve">, and Resource Adequacy (RA) </w:t>
      </w:r>
      <w:r w:rsidR="00117A57">
        <w:rPr>
          <w:rFonts w:eastAsia="Times New Roman" w:cs="Times New Roman"/>
        </w:rPr>
        <w:t>MPB</w:t>
      </w:r>
      <w:r w:rsidRPr="28FD45A9">
        <w:rPr>
          <w:rFonts w:eastAsia="Times New Roman" w:cs="Times New Roman"/>
        </w:rPr>
        <w:t xml:space="preserve">. The RA </w:t>
      </w:r>
      <w:r w:rsidR="00117A57">
        <w:rPr>
          <w:rFonts w:eastAsia="Times New Roman" w:cs="Times New Roman"/>
        </w:rPr>
        <w:t>MPB</w:t>
      </w:r>
      <w:r w:rsidRPr="28FD45A9">
        <w:rPr>
          <w:rFonts w:eastAsia="Times New Roman" w:cs="Times New Roman"/>
        </w:rPr>
        <w:t xml:space="preserve"> is the MPB that reflects the estimated value of each unit of capacity in an IOU’s PCIA-eligible portfolio that can be used to satisfy Resource Adequacy obligations, in dollars per kilowatt-month ($/kW-month), based on a weighted average of all RA transactions of the LSEs subject to the PCIA.</w:t>
      </w:r>
    </w:p>
    <w:p w:rsidRPr="00512B6A" w:rsidR="00891EB1" w:rsidP="00891EB1" w:rsidRDefault="00512B6A" w14:paraId="5C08E062" w14:textId="2C6B230F">
      <w:pPr>
        <w:spacing w:before="240" w:after="120"/>
        <w:rPr>
          <w:rFonts w:eastAsia="Times New Roman" w:cs="Times New Roman"/>
        </w:rPr>
      </w:pPr>
      <w:r w:rsidRPr="00512B6A">
        <w:rPr>
          <w:rFonts w:eastAsia="Times New Roman" w:cs="Times New Roman"/>
        </w:rPr>
        <w:lastRenderedPageBreak/>
        <w:t>The RA MPB has three subcomponents</w:t>
      </w:r>
      <w:r w:rsidR="00AF1A1B">
        <w:rPr>
          <w:rFonts w:eastAsia="Times New Roman" w:cs="Times New Roman"/>
        </w:rPr>
        <w:t xml:space="preserve">. </w:t>
      </w:r>
      <w:r w:rsidRPr="00891EB1" w:rsidR="00891EB1">
        <w:rPr>
          <w:rFonts w:eastAsia="Times New Roman" w:cs="Times New Roman"/>
        </w:rPr>
        <w:t>For purposes of Energy</w:t>
      </w:r>
      <w:r w:rsidR="00891EB1">
        <w:rPr>
          <w:rFonts w:eastAsia="Times New Roman" w:cs="Times New Roman"/>
        </w:rPr>
        <w:t xml:space="preserve"> </w:t>
      </w:r>
      <w:r w:rsidRPr="00891EB1" w:rsidR="00891EB1">
        <w:rPr>
          <w:rFonts w:eastAsia="Times New Roman" w:cs="Times New Roman"/>
        </w:rPr>
        <w:t>Division’s annual RA MPB calculation, for which Energy Division compiles information on RA</w:t>
      </w:r>
      <w:r w:rsidR="00891EB1">
        <w:rPr>
          <w:rFonts w:eastAsia="Times New Roman" w:cs="Times New Roman"/>
        </w:rPr>
        <w:t xml:space="preserve"> </w:t>
      </w:r>
      <w:r w:rsidRPr="00891EB1" w:rsidR="00891EB1">
        <w:rPr>
          <w:rFonts w:eastAsia="Times New Roman" w:cs="Times New Roman"/>
        </w:rPr>
        <w:t>transactions through data requests to the LSEs, these three types of RA are counted according to the</w:t>
      </w:r>
      <w:r w:rsidR="00AF1A1B">
        <w:rPr>
          <w:rFonts w:eastAsia="Times New Roman" w:cs="Times New Roman"/>
        </w:rPr>
        <w:t xml:space="preserve"> </w:t>
      </w:r>
      <w:r w:rsidRPr="00891EB1" w:rsidR="00891EB1">
        <w:rPr>
          <w:rFonts w:eastAsia="Times New Roman" w:cs="Times New Roman"/>
        </w:rPr>
        <w:t>following rules:</w:t>
      </w:r>
      <w:r w:rsidR="00AF1A1B">
        <w:rPr>
          <w:rStyle w:val="FootnoteReference"/>
          <w:rFonts w:eastAsia="Times New Roman" w:cs="Times New Roman"/>
        </w:rPr>
        <w:footnoteReference w:id="63"/>
      </w:r>
    </w:p>
    <w:p w:rsidRPr="00512B6A" w:rsidR="00512B6A" w:rsidP="006F4FAF" w:rsidRDefault="00512B6A" w14:paraId="2A27FFC5" w14:textId="77777777">
      <w:pPr>
        <w:pStyle w:val="ListParagraph"/>
        <w:numPr>
          <w:ilvl w:val="0"/>
          <w:numId w:val="44"/>
        </w:numPr>
        <w:spacing w:after="120" w:line="240" w:lineRule="auto"/>
        <w:ind w:left="1080" w:right="1440"/>
        <w:contextualSpacing w:val="0"/>
        <w:rPr>
          <w:rFonts w:eastAsia="Aptos" w:cs="Aptos"/>
        </w:rPr>
      </w:pPr>
      <w:r w:rsidRPr="00512B6A">
        <w:rPr>
          <w:rFonts w:eastAsia="Aptos" w:cs="Aptos"/>
        </w:rPr>
        <w:t>RA that provides both system and flexible capacity shall be counted as flexible capacity.</w:t>
      </w:r>
    </w:p>
    <w:p w:rsidRPr="00512B6A" w:rsidR="00512B6A" w:rsidP="006F4FAF" w:rsidRDefault="00512B6A" w14:paraId="5B8BDFA3" w14:textId="77777777">
      <w:pPr>
        <w:pStyle w:val="ListParagraph"/>
        <w:numPr>
          <w:ilvl w:val="0"/>
          <w:numId w:val="44"/>
        </w:numPr>
        <w:spacing w:after="120" w:line="240" w:lineRule="auto"/>
        <w:ind w:left="1080" w:right="1440"/>
        <w:contextualSpacing w:val="0"/>
        <w:rPr>
          <w:rFonts w:eastAsia="Aptos" w:cs="Aptos"/>
        </w:rPr>
      </w:pPr>
      <w:r w:rsidRPr="00512B6A">
        <w:rPr>
          <w:rFonts w:eastAsia="Aptos" w:cs="Aptos"/>
        </w:rPr>
        <w:t>RA that provides both system and local capacity shall be counted as local RA capacity.</w:t>
      </w:r>
    </w:p>
    <w:p w:rsidRPr="00E40960" w:rsidR="007B3710" w:rsidP="006F4FAF" w:rsidRDefault="00512B6A" w14:paraId="27D178DD" w14:textId="55E4F3BA">
      <w:pPr>
        <w:pStyle w:val="ListParagraph"/>
        <w:numPr>
          <w:ilvl w:val="0"/>
          <w:numId w:val="44"/>
        </w:numPr>
        <w:spacing w:after="120" w:line="240" w:lineRule="auto"/>
        <w:ind w:left="1080" w:right="1440"/>
        <w:contextualSpacing w:val="0"/>
        <w:rPr>
          <w:rFonts w:eastAsia="Aptos" w:cs="Aptos"/>
        </w:rPr>
      </w:pPr>
      <w:r w:rsidRPr="00512B6A">
        <w:rPr>
          <w:rFonts w:eastAsia="Aptos" w:cs="Aptos"/>
        </w:rPr>
        <w:t>If the RA provides all three types of RA capacity, it shall be counted as local capacity.</w:t>
      </w:r>
      <w:r w:rsidRPr="00512B6A">
        <w:rPr>
          <w:rStyle w:val="FootnoteReference"/>
          <w:rFonts w:eastAsia="Aptos" w:cs="Aptos"/>
        </w:rPr>
        <w:footnoteReference w:id="64"/>
      </w:r>
    </w:p>
    <w:p w:rsidR="008724F2" w:rsidP="00185CCA" w:rsidRDefault="008D4F6F" w14:paraId="7E988947" w14:textId="35AC2342">
      <w:pPr>
        <w:pStyle w:val="Standard"/>
      </w:pPr>
      <w:r>
        <w:t xml:space="preserve">SCE </w:t>
      </w:r>
      <w:r w:rsidR="000612E1">
        <w:t>utilizes a framework to attempt to monetize a</w:t>
      </w:r>
      <w:r w:rsidR="00876BCD">
        <w:t xml:space="preserve">ny </w:t>
      </w:r>
      <w:r w:rsidR="009E754C">
        <w:t>amounts of RA exceeding its calculated position</w:t>
      </w:r>
      <w:r w:rsidR="000612E1">
        <w:t>.</w:t>
      </w:r>
      <w:r w:rsidRPr="000A1A88" w:rsidR="007361CF">
        <w:t xml:space="preserve"> </w:t>
      </w:r>
    </w:p>
    <w:p w:rsidR="008724F2" w:rsidP="008724F2" w:rsidRDefault="008724F2" w14:paraId="03CA0B8D" w14:textId="2D3C5F12">
      <w:pPr>
        <w:pStyle w:val="Heading4"/>
      </w:pPr>
      <w:bookmarkStart w:name="_Toc183184281" w:id="54"/>
      <w:r>
        <w:t>Local Capacity Requirement Contracts</w:t>
      </w:r>
      <w:bookmarkEnd w:id="54"/>
    </w:p>
    <w:p w:rsidRPr="000A1A88" w:rsidR="007361CF" w:rsidP="001B24DB" w:rsidRDefault="007361CF" w14:paraId="06DF87AF" w14:textId="71812DE1">
      <w:pPr>
        <w:pStyle w:val="Standard"/>
      </w:pPr>
      <w:r w:rsidRPr="000A1A88">
        <w:t>SCE also included forecasted costs associated with its local capacity requirements (LCR) contracts in the Western LA Basin and Moorpark local reliability areas.</w:t>
      </w:r>
      <w:r w:rsidRPr="000A1A88">
        <w:rPr>
          <w:rStyle w:val="FootnoteReference"/>
        </w:rPr>
        <w:footnoteReference w:id="65"/>
      </w:r>
      <w:r w:rsidRPr="000A1A88">
        <w:t xml:space="preserve"> </w:t>
      </w:r>
    </w:p>
    <w:p w:rsidR="001C5990" w:rsidP="001C5990" w:rsidRDefault="001C5990" w14:paraId="14976F51" w14:textId="77777777">
      <w:pPr>
        <w:pStyle w:val="Heading3"/>
      </w:pPr>
      <w:bookmarkStart w:name="_Toc151976206" w:id="55"/>
      <w:bookmarkStart w:name="_Toc183184282" w:id="56"/>
      <w:r>
        <w:t xml:space="preserve">Public </w:t>
      </w:r>
      <w:r w:rsidRPr="00BC00A0">
        <w:t>Purpose</w:t>
      </w:r>
      <w:r>
        <w:t xml:space="preserve"> Program Charges</w:t>
      </w:r>
      <w:bookmarkEnd w:id="55"/>
      <w:bookmarkEnd w:id="56"/>
    </w:p>
    <w:p w:rsidR="001C5990" w:rsidP="001C5990" w:rsidRDefault="001C5990" w14:paraId="10963F1C" w14:textId="54C38501">
      <w:pPr>
        <w:pStyle w:val="Standard"/>
      </w:pPr>
      <w:r w:rsidRPr="00454D1A">
        <w:t xml:space="preserve">SCE </w:t>
      </w:r>
      <w:r w:rsidRPr="005E4BB8">
        <w:t>forecast</w:t>
      </w:r>
      <w:r w:rsidR="000432DB">
        <w:t>s</w:t>
      </w:r>
      <w:r w:rsidRPr="00454D1A">
        <w:t xml:space="preserve"> procurement</w:t>
      </w:r>
      <w:r>
        <w:noBreakHyphen/>
      </w:r>
      <w:r w:rsidRPr="00454D1A">
        <w:t xml:space="preserve">related expenses for </w:t>
      </w:r>
      <w:r w:rsidRPr="00996421">
        <w:t>th</w:t>
      </w:r>
      <w:r>
        <w:t>e four</w:t>
      </w:r>
      <w:r w:rsidRPr="00454D1A">
        <w:t xml:space="preserve"> programs </w:t>
      </w:r>
      <w:r>
        <w:t xml:space="preserve">it </w:t>
      </w:r>
      <w:r w:rsidRPr="00454D1A">
        <w:t>recover</w:t>
      </w:r>
      <w:r>
        <w:t>s</w:t>
      </w:r>
      <w:r w:rsidRPr="00454D1A">
        <w:t xml:space="preserve"> through the Public Purpose Program charge</w:t>
      </w:r>
      <w:r>
        <w:t xml:space="preserve"> (PPPC) in 2025</w:t>
      </w:r>
      <w:r w:rsidRPr="00454D1A">
        <w:t xml:space="preserve">. </w:t>
      </w:r>
    </w:p>
    <w:p w:rsidR="001C5990" w:rsidP="001C5990" w:rsidRDefault="001C5990" w14:paraId="6EFFCFFD" w14:textId="67C33416">
      <w:pPr>
        <w:pStyle w:val="Standard"/>
      </w:pPr>
      <w:r>
        <w:t xml:space="preserve">First, SCE </w:t>
      </w:r>
      <w:r w:rsidRPr="005E4BB8">
        <w:t>include</w:t>
      </w:r>
      <w:r w:rsidR="000432DB">
        <w:t>s</w:t>
      </w:r>
      <w:r>
        <w:t xml:space="preserve"> forecasted capacity costs and estimated in-front-of-the-meter production of resources procured through its Preferred Resource Pilot </w:t>
      </w:r>
      <w:r>
        <w:lastRenderedPageBreak/>
        <w:t>(PRP)</w:t>
      </w:r>
      <w:r w:rsidR="006333FA">
        <w:t xml:space="preserve"> </w:t>
      </w:r>
      <w:r>
        <w:t>#2.</w:t>
      </w:r>
      <w:r>
        <w:rPr>
          <w:rStyle w:val="FootnoteReference"/>
        </w:rPr>
        <w:footnoteReference w:id="66"/>
      </w:r>
      <w:r>
        <w:t xml:space="preserve"> These </w:t>
      </w:r>
      <w:r w:rsidRPr="00A61D4A">
        <w:rPr>
          <w:color w:val="000000" w:themeColor="text1"/>
        </w:rPr>
        <w:t>resources were procured pursuant to D.18-07-023 which authorized SCE’s second PRP. SCE propose</w:t>
      </w:r>
      <w:r w:rsidRPr="00A61D4A" w:rsidR="00814D1A">
        <w:rPr>
          <w:color w:val="000000" w:themeColor="text1"/>
        </w:rPr>
        <w:t>s</w:t>
      </w:r>
      <w:r w:rsidRPr="00A61D4A">
        <w:rPr>
          <w:color w:val="000000" w:themeColor="text1"/>
        </w:rPr>
        <w:t xml:space="preserve"> to recover the costs of the PRP behind-the-meter energy storage contracts from customers through the PPPC.</w:t>
      </w:r>
      <w:r w:rsidRPr="00A61D4A">
        <w:rPr>
          <w:rStyle w:val="FootnoteReference"/>
          <w:color w:val="000000" w:themeColor="text1"/>
        </w:rPr>
        <w:footnoteReference w:id="67"/>
      </w:r>
    </w:p>
    <w:p w:rsidR="001C5990" w:rsidP="001C5990" w:rsidRDefault="001C5990" w14:paraId="66DB0D4D" w14:textId="4E8866E5">
      <w:pPr>
        <w:pStyle w:val="Standard"/>
      </w:pPr>
      <w:r>
        <w:t>Second, SCE include</w:t>
      </w:r>
      <w:r w:rsidR="00B42F6E">
        <w:t>s</w:t>
      </w:r>
      <w:r>
        <w:t xml:space="preserve"> </w:t>
      </w:r>
      <w:r w:rsidR="008A465C">
        <w:t>i</w:t>
      </w:r>
      <w:r w:rsidR="00196EC5">
        <w:t xml:space="preserve">n its </w:t>
      </w:r>
      <w:r w:rsidR="00FE71C2">
        <w:t>A</w:t>
      </w:r>
      <w:r w:rsidR="00196EC5">
        <w:t xml:space="preserve">OU </w:t>
      </w:r>
      <w:r>
        <w:t>a</w:t>
      </w:r>
      <w:r w:rsidR="0064449F">
        <w:t xml:space="preserve"> </w:t>
      </w:r>
      <w:r w:rsidR="008A465C">
        <w:t xml:space="preserve">forecast </w:t>
      </w:r>
      <w:r>
        <w:t>of $</w:t>
      </w:r>
      <w:r w:rsidR="00CB434C">
        <w:t>1</w:t>
      </w:r>
      <w:r w:rsidR="006C4B73">
        <w:t>9.110</w:t>
      </w:r>
      <w:r>
        <w:t xml:space="preserve"> million in fuel and purchased power costs to be recorded in the</w:t>
      </w:r>
      <w:r w:rsidR="00324F30">
        <w:t xml:space="preserve"> Tree Mortality Non Bypassable </w:t>
      </w:r>
      <w:r w:rsidR="00FF39FA">
        <w:t>Charge Balancing Account (</w:t>
      </w:r>
      <w:r>
        <w:t>TMNBCBA</w:t>
      </w:r>
      <w:r w:rsidR="00FF39FA">
        <w:t>)</w:t>
      </w:r>
      <w:r>
        <w:t>, including the Franchise Fee and Uncollectible Factor (FF&amp;U)</w:t>
      </w:r>
      <w:r w:rsidR="00E97F0C">
        <w:t xml:space="preserve"> and </w:t>
      </w:r>
      <w:r w:rsidR="009511D4">
        <w:t>BioRAM</w:t>
      </w:r>
      <w:r w:rsidR="00493ACB">
        <w:t xml:space="preserve"> audit expenses</w:t>
      </w:r>
      <w:r>
        <w:t>.</w:t>
      </w:r>
      <w:r>
        <w:rPr>
          <w:rStyle w:val="FootnoteReference"/>
        </w:rPr>
        <w:footnoteReference w:id="68"/>
      </w:r>
    </w:p>
    <w:p w:rsidRPr="002A49D2" w:rsidR="001C5990" w:rsidP="001C5990" w:rsidRDefault="001C5990" w14:paraId="7C9A2E7E" w14:textId="452545ED">
      <w:pPr>
        <w:pStyle w:val="Standard"/>
        <w:rPr>
          <w:color w:val="FF0000"/>
        </w:rPr>
      </w:pPr>
      <w:r w:rsidRPr="00BC00A0">
        <w:t>Third</w:t>
      </w:r>
      <w:r>
        <w:t xml:space="preserve">, pursuant </w:t>
      </w:r>
      <w:r w:rsidRPr="005E4BB8">
        <w:t>to</w:t>
      </w:r>
      <w:r>
        <w:t xml:space="preserve"> Resolutions E-4805 and E-4770, SCE forecasted audit expenses for its BioRAM contracts to total $0.018 million in 202</w:t>
      </w:r>
      <w:r w:rsidR="00F50DFA">
        <w:t>5</w:t>
      </w:r>
      <w:r>
        <w:t>, but the actual audit expenses will be recorded in its TMNBCBA.</w:t>
      </w:r>
      <w:r>
        <w:rPr>
          <w:rStyle w:val="FootnoteReference"/>
        </w:rPr>
        <w:footnoteReference w:id="69"/>
      </w:r>
    </w:p>
    <w:p w:rsidR="001C5990" w:rsidP="001C5990" w:rsidRDefault="001C5990" w14:paraId="41F68AB7" w14:textId="7285933D">
      <w:pPr>
        <w:pStyle w:val="Standard"/>
      </w:pPr>
      <w:r w:rsidRPr="00323CDB">
        <w:t>Fourth, SCE project</w:t>
      </w:r>
      <w:r w:rsidR="00B971D0">
        <w:t>s</w:t>
      </w:r>
      <w:r w:rsidR="00000230">
        <w:t xml:space="preserve"> in its </w:t>
      </w:r>
      <w:r w:rsidR="00906870">
        <w:t>A</w:t>
      </w:r>
      <w:r w:rsidR="00000230">
        <w:t>OU</w:t>
      </w:r>
      <w:r w:rsidRPr="00323CDB">
        <w:t xml:space="preserve"> the fuel and purchased power costs related to its Bioenergy Market Adjusting Tariff BioMAT Resources or Contracts to total $</w:t>
      </w:r>
      <w:r w:rsidR="001C4B37">
        <w:t>5</w:t>
      </w:r>
      <w:r>
        <w:t>.</w:t>
      </w:r>
      <w:r w:rsidR="00000230">
        <w:t>642</w:t>
      </w:r>
      <w:r w:rsidRPr="00323CDB">
        <w:t xml:space="preserve"> million in 202</w:t>
      </w:r>
      <w:r w:rsidR="003D72C4">
        <w:t>5</w:t>
      </w:r>
      <w:r w:rsidRPr="00323CDB">
        <w:t>, including FF&amp;U.</w:t>
      </w:r>
      <w:r w:rsidR="00E72CEF">
        <w:rPr>
          <w:rStyle w:val="FootnoteReference"/>
        </w:rPr>
        <w:footnoteReference w:id="70"/>
      </w:r>
      <w:r w:rsidRPr="00323CDB">
        <w:t xml:space="preserve"> </w:t>
      </w:r>
    </w:p>
    <w:p w:rsidRPr="00454D1A" w:rsidR="001C5990" w:rsidP="001C5990" w:rsidRDefault="001C5990" w14:paraId="2A345A89" w14:textId="096E80CD">
      <w:pPr>
        <w:pStyle w:val="Standard"/>
      </w:pPr>
      <w:r>
        <w:t xml:space="preserve">Upon review of </w:t>
      </w:r>
      <w:r w:rsidRPr="00BF44D7">
        <w:t xml:space="preserve">SCE’s testimony, </w:t>
      </w:r>
      <w:r w:rsidRPr="00BF44D7" w:rsidR="00906870">
        <w:t xml:space="preserve">Alternate </w:t>
      </w:r>
      <w:r w:rsidRPr="00C05979">
        <w:t>October Update</w:t>
      </w:r>
      <w:r w:rsidRPr="00BF44D7">
        <w:t xml:space="preserve">, and Workpapers, the Commission finds SCE’s forecasted 2024 </w:t>
      </w:r>
      <w:r w:rsidRPr="00A01B0E">
        <w:t>PRPBA,</w:t>
      </w:r>
      <w:r w:rsidRPr="00BF44D7">
        <w:t xml:space="preserve"> TMNBCA, and </w:t>
      </w:r>
      <w:r w:rsidR="00AD028F">
        <w:t>BioMAT Non-Bypassable Charge Balancing Account</w:t>
      </w:r>
      <w:r w:rsidRPr="00BF44D7" w:rsidR="00AD028F">
        <w:t xml:space="preserve"> </w:t>
      </w:r>
      <w:r w:rsidR="00AD028F">
        <w:t>(</w:t>
      </w:r>
      <w:r w:rsidRPr="00BF44D7">
        <w:t>BMNBCBA</w:t>
      </w:r>
      <w:r w:rsidR="00AD028F">
        <w:t>)</w:t>
      </w:r>
      <w:r w:rsidRPr="00BF44D7">
        <w:t xml:space="preserve"> amounts reasonable. SCE is authorized to recover its costs associated with the programs described in </w:t>
      </w:r>
      <w:r w:rsidRPr="00C05979">
        <w:t>Section 5.</w:t>
      </w:r>
      <w:r w:rsidRPr="00C05979" w:rsidR="00D756B3">
        <w:t>1.10</w:t>
      </w:r>
      <w:r w:rsidRPr="00C05979">
        <w:t xml:space="preserve"> </w:t>
      </w:r>
      <w:r>
        <w:t>through the PPPC.</w:t>
      </w:r>
    </w:p>
    <w:p w:rsidR="001C5990" w:rsidP="006349DD" w:rsidRDefault="001C5990" w14:paraId="3581FB42" w14:textId="7D9C1AA6">
      <w:pPr>
        <w:pStyle w:val="Heading3"/>
      </w:pPr>
      <w:bookmarkStart w:name="_Toc151976207" w:id="57"/>
      <w:bookmarkStart w:name="_Toc183184283" w:id="58"/>
      <w:r>
        <w:lastRenderedPageBreak/>
        <w:t xml:space="preserve">Green Tariff </w:t>
      </w:r>
      <w:r w:rsidRPr="00BC00A0">
        <w:t>Shared</w:t>
      </w:r>
      <w:r>
        <w:t xml:space="preserve"> </w:t>
      </w:r>
      <w:r w:rsidR="00196343">
        <w:br/>
      </w:r>
      <w:r>
        <w:t>Renewables Program</w:t>
      </w:r>
      <w:bookmarkEnd w:id="57"/>
      <w:bookmarkEnd w:id="58"/>
    </w:p>
    <w:p w:rsidR="00196343" w:rsidP="00AE16E2" w:rsidRDefault="001C5990" w14:paraId="5D8E83D5" w14:textId="77777777">
      <w:pPr>
        <w:pStyle w:val="Standard"/>
      </w:pPr>
      <w:r>
        <w:t>SCE included the costs of implementing its Green Tariff Shared Renewables (GTSR) Program, pursuant to Public Util. Code § 2831-2833</w:t>
      </w:r>
      <w:r w:rsidR="00406BAD">
        <w:t>,</w:t>
      </w:r>
      <w:r>
        <w:t xml:space="preserve"> </w:t>
      </w:r>
    </w:p>
    <w:p w:rsidR="001C5990" w:rsidP="00196343" w:rsidRDefault="001C5990" w14:paraId="5690E360" w14:textId="5A81271A">
      <w:pPr>
        <w:pStyle w:val="Standard"/>
        <w:ind w:firstLine="0"/>
      </w:pPr>
      <w:r>
        <w:t>D.15-01-051</w:t>
      </w:r>
      <w:r w:rsidR="00406BAD">
        <w:t>, and D</w:t>
      </w:r>
      <w:r w:rsidR="009B6ECD">
        <w:t>.</w:t>
      </w:r>
      <w:r w:rsidR="00E5775F">
        <w:t>24-05-065</w:t>
      </w:r>
      <w:r>
        <w:t xml:space="preserve">. SCE provides customers with two options to be served with a larger mix of renewable energy, relative to SCE’s other tariff options. </w:t>
      </w:r>
      <w:r w:rsidR="00F31548">
        <w:t>As per D.24-05-065, however, the</w:t>
      </w:r>
      <w:r w:rsidR="00D44D6C">
        <w:t xml:space="preserve"> GTSR-ECR Program option is closed to new procurement not currently under negotiation or contract.</w:t>
      </w:r>
      <w:r w:rsidR="00C8595D">
        <w:rPr>
          <w:rStyle w:val="FootnoteReference"/>
        </w:rPr>
        <w:footnoteReference w:id="71"/>
      </w:r>
      <w:r w:rsidR="00D44D6C">
        <w:t xml:space="preserve"> </w:t>
      </w:r>
      <w:r w:rsidR="005F7667">
        <w:t>One of the projects serving the GTSR-ECR program is currently online, and the other three are expected to be online and producing power in 2025.</w:t>
      </w:r>
      <w:r w:rsidR="005F7667">
        <w:rPr>
          <w:rStyle w:val="FootnoteReference"/>
        </w:rPr>
        <w:footnoteReference w:id="72"/>
      </w:r>
      <w:r w:rsidR="005F7667">
        <w:t xml:space="preserve"> </w:t>
      </w:r>
      <w:r w:rsidR="00D44D6C">
        <w:t>The unprocured capacity for the GTSR-ECR option has</w:t>
      </w:r>
      <w:r w:rsidR="00D71FE4">
        <w:t xml:space="preserve"> </w:t>
      </w:r>
      <w:r w:rsidR="00D44D6C">
        <w:t>been reassigned to the modified G</w:t>
      </w:r>
      <w:r w:rsidR="000E2DD7">
        <w:t xml:space="preserve">reen </w:t>
      </w:r>
      <w:r w:rsidR="00D44D6C">
        <w:t>T</w:t>
      </w:r>
      <w:r w:rsidR="000E2DD7">
        <w:t>ariff</w:t>
      </w:r>
      <w:r w:rsidR="00D44D6C">
        <w:t xml:space="preserve"> Program.</w:t>
      </w:r>
      <w:r w:rsidR="000A0858">
        <w:rPr>
          <w:rStyle w:val="FootnoteReference"/>
        </w:rPr>
        <w:footnoteReference w:id="73"/>
      </w:r>
      <w:r>
        <w:t xml:space="preserve"> SCE has procured Green Tariff-specific projects to serve GTSR customer</w:t>
      </w:r>
      <w:r w:rsidR="00D94BA7">
        <w:t>s</w:t>
      </w:r>
      <w:r w:rsidR="00EF412F">
        <w:t>; these are online and expected to be producing power in 2025</w:t>
      </w:r>
      <w:r w:rsidR="00A6055D">
        <w:t>. The Green Tariff total capacity is capped at 562 MW with subscriptions capped at 40</w:t>
      </w:r>
      <w:r w:rsidR="00552BEC">
        <w:t> </w:t>
      </w:r>
      <w:r w:rsidR="00A6055D">
        <w:t>MW per customer.</w:t>
      </w:r>
    </w:p>
    <w:p w:rsidR="00AB6DCD" w:rsidP="00AB6DCD" w:rsidRDefault="00782B10" w14:paraId="3E651798" w14:textId="4D56E374">
      <w:pPr>
        <w:pStyle w:val="Standard"/>
      </w:pPr>
      <w:r>
        <w:t xml:space="preserve">The customer discounts provided by </w:t>
      </w:r>
      <w:r w:rsidR="00AB6DCD">
        <w:t xml:space="preserve">SCE’s DAC Green Tariff Program will also be funded through </w:t>
      </w:r>
      <w:r w:rsidR="00D46E7E">
        <w:t xml:space="preserve">Public Purpose Programs Charge, and more detail </w:t>
      </w:r>
      <w:r w:rsidR="00D420BA">
        <w:t>on this Program is provided</w:t>
      </w:r>
      <w:r w:rsidR="00D46E7E">
        <w:t xml:space="preserve"> in </w:t>
      </w:r>
      <w:r w:rsidR="00D420BA">
        <w:t>S</w:t>
      </w:r>
      <w:r w:rsidR="00D46E7E">
        <w:t>ecti</w:t>
      </w:r>
      <w:r w:rsidR="00D420BA">
        <w:t>on 6.2.4.2 below.</w:t>
      </w:r>
    </w:p>
    <w:p w:rsidR="001C5990" w:rsidP="00592EB2" w:rsidRDefault="001C5990" w14:paraId="0F6FAFE5" w14:textId="1B460AF5">
      <w:pPr>
        <w:pStyle w:val="Standard"/>
      </w:pPr>
      <w:r>
        <w:t>For 202</w:t>
      </w:r>
      <w:r w:rsidR="00B86B8D">
        <w:t>5</w:t>
      </w:r>
      <w:r>
        <w:t>, SCE forecast</w:t>
      </w:r>
      <w:r w:rsidR="00B86B8D">
        <w:t>s</w:t>
      </w:r>
      <w:r>
        <w:t xml:space="preserve"> that participation in its Green Tariff programs will equal approximately </w:t>
      </w:r>
      <w:r w:rsidR="00701FCA">
        <w:t>122,7</w:t>
      </w:r>
      <w:r w:rsidR="00867CFF">
        <w:t>7</w:t>
      </w:r>
      <w:r w:rsidR="00701FCA">
        <w:t>4</w:t>
      </w:r>
      <w:r>
        <w:t xml:space="preserve"> MWh and</w:t>
      </w:r>
      <w:r w:rsidR="00701FCA">
        <w:t xml:space="preserve"> ECR participation wi</w:t>
      </w:r>
      <w:r w:rsidR="004F56DB">
        <w:t>ll be 112,448 MWh.</w:t>
      </w:r>
      <w:r w:rsidR="002861DE">
        <w:rPr>
          <w:rStyle w:val="FootnoteReference"/>
        </w:rPr>
        <w:footnoteReference w:id="74"/>
      </w:r>
      <w:r w:rsidR="00165114">
        <w:t xml:space="preserve"> This is an increase from 2024</w:t>
      </w:r>
      <w:r w:rsidR="00DC4700">
        <w:t>.</w:t>
      </w:r>
      <w:r w:rsidR="00DC4700">
        <w:rPr>
          <w:rStyle w:val="FootnoteReference"/>
        </w:rPr>
        <w:footnoteReference w:id="75"/>
      </w:r>
      <w:r>
        <w:t xml:space="preserve"> </w:t>
      </w:r>
      <w:r w:rsidR="00E36D55">
        <w:t>The forecasted MWh required to serve Green</w:t>
      </w:r>
      <w:r w:rsidR="00592EB2">
        <w:t xml:space="preserve"> </w:t>
      </w:r>
      <w:r w:rsidR="00592EB2">
        <w:lastRenderedPageBreak/>
        <w:t>Tariff customers are removed from the CHP and Renewables energy and shown separately.</w:t>
      </w:r>
      <w:r w:rsidR="00592EB2">
        <w:rPr>
          <w:rStyle w:val="FootnoteReference"/>
        </w:rPr>
        <w:footnoteReference w:id="76"/>
      </w:r>
      <w:r w:rsidR="00E36D55">
        <w:t xml:space="preserve"> </w:t>
      </w:r>
    </w:p>
    <w:p w:rsidRPr="002D45B6" w:rsidR="001C5990" w:rsidP="001C5990" w:rsidRDefault="001C5990" w14:paraId="4ABBABBF" w14:textId="1D5311BF">
      <w:pPr>
        <w:pStyle w:val="Standard"/>
      </w:pPr>
      <w:r w:rsidRPr="00C05979">
        <w:t>No party directly referenced SCE’s Green Tariff programs in their testimony or briefs. Upon review of SCE’s testimony, October Update, and Workpapers, the Commission finds SCE’s forecasted 202</w:t>
      </w:r>
      <w:r w:rsidRPr="00C05979" w:rsidR="00592EB2">
        <w:t>5</w:t>
      </w:r>
      <w:r w:rsidRPr="00C05979">
        <w:t xml:space="preserve"> GTSR BA amount </w:t>
      </w:r>
      <w:r w:rsidRPr="002D45B6">
        <w:t>accurate, reasonable, and in compliance with applicable rules and Commission orders.</w:t>
      </w:r>
    </w:p>
    <w:p w:rsidR="00910D7C" w:rsidP="00B31E05" w:rsidRDefault="00B31E05" w14:paraId="2346D8AC" w14:textId="7303F6B6">
      <w:pPr>
        <w:pStyle w:val="Heading3"/>
      </w:pPr>
      <w:bookmarkStart w:name="_Toc183184284" w:id="59"/>
      <w:r>
        <w:t>Discussion</w:t>
      </w:r>
      <w:bookmarkEnd w:id="59"/>
    </w:p>
    <w:p w:rsidR="00E466C2" w:rsidP="00E466C2" w:rsidRDefault="00E466C2" w14:paraId="24075C5B" w14:textId="7563C4BF">
      <w:pPr>
        <w:pStyle w:val="Standard"/>
      </w:pPr>
      <w:r>
        <w:t xml:space="preserve">No </w:t>
      </w:r>
      <w:r w:rsidRPr="005E4BB8">
        <w:t>parties</w:t>
      </w:r>
      <w:r>
        <w:t xml:space="preserve"> directly addressed SCE’s testimony and workpapers related to its </w:t>
      </w:r>
      <w:r w:rsidR="001F7930">
        <w:t>Utility Owned Generation</w:t>
      </w:r>
      <w:r w:rsidR="00DC6C8C">
        <w:t xml:space="preserve"> fu</w:t>
      </w:r>
      <w:r w:rsidR="00E35B08">
        <w:t>el</w:t>
      </w:r>
      <w:r w:rsidR="001F7930">
        <w:t xml:space="preserve"> and Purchased Power Contracts</w:t>
      </w:r>
      <w:r w:rsidR="002D45B6">
        <w:t xml:space="preserve">, with the exception of SCE’s </w:t>
      </w:r>
      <w:r w:rsidRPr="00DD66F5" w:rsidR="002D45B6">
        <w:t xml:space="preserve">assignment </w:t>
      </w:r>
      <w:r w:rsidRPr="00DD66F5" w:rsidR="00912DC6">
        <w:t xml:space="preserve">of RA capacity to local, system and flexible </w:t>
      </w:r>
      <w:r w:rsidR="00117A57">
        <w:t>MPBs</w:t>
      </w:r>
      <w:r w:rsidRPr="00DD66F5">
        <w:t xml:space="preserve">. After reviewing the </w:t>
      </w:r>
      <w:r w:rsidR="008D0821">
        <w:t xml:space="preserve">Opening Testimony, </w:t>
      </w:r>
      <w:r w:rsidR="00DD010D">
        <w:t>Rebuttal T</w:t>
      </w:r>
      <w:r w:rsidRPr="00DD66F5" w:rsidR="00851914">
        <w:t xml:space="preserve">estimony, </w:t>
      </w:r>
      <w:r w:rsidRPr="00DD66F5">
        <w:t>workpapers</w:t>
      </w:r>
      <w:r w:rsidRPr="00DD66F5" w:rsidR="001411CB">
        <w:t>,</w:t>
      </w:r>
      <w:r w:rsidRPr="00DD66F5">
        <w:t xml:space="preserve"> </w:t>
      </w:r>
      <w:r w:rsidRPr="00DD66F5" w:rsidR="00E87627">
        <w:t>A</w:t>
      </w:r>
      <w:r w:rsidRPr="00DD66F5" w:rsidR="000022A3">
        <w:t>OU</w:t>
      </w:r>
      <w:r w:rsidRPr="00DD66F5" w:rsidR="001411CB">
        <w:t xml:space="preserve">, </w:t>
      </w:r>
      <w:r w:rsidRPr="00DD66F5" w:rsidR="00851914">
        <w:t>c</w:t>
      </w:r>
      <w:r w:rsidRPr="00DD66F5" w:rsidR="001411CB">
        <w:t xml:space="preserve">omments, Opening Brief, and Reply </w:t>
      </w:r>
      <w:r w:rsidRPr="00DD66F5" w:rsidR="00542DD8">
        <w:t>Brief</w:t>
      </w:r>
      <w:r w:rsidRPr="00DD66F5">
        <w:t xml:space="preserve"> documents, we </w:t>
      </w:r>
      <w:r>
        <w:t>find SCE’s forecasted 202</w:t>
      </w:r>
      <w:r w:rsidR="00695A8C">
        <w:t>5</w:t>
      </w:r>
      <w:r>
        <w:t xml:space="preserve"> portfolio of UOG</w:t>
      </w:r>
      <w:r w:rsidR="000F4D09">
        <w:t xml:space="preserve"> fuel</w:t>
      </w:r>
      <w:r>
        <w:t xml:space="preserve"> and purchased power resources to be reasonable pursuant to Pub. Util. Code §</w:t>
      </w:r>
      <w:r w:rsidRPr="00516A81">
        <w:t xml:space="preserve"> 454.5</w:t>
      </w:r>
      <w:r w:rsidR="0021436D">
        <w:t xml:space="preserve"> and therefore approve them as proposed</w:t>
      </w:r>
      <w:r w:rsidR="0007379E">
        <w:t>.</w:t>
      </w:r>
    </w:p>
    <w:p w:rsidRPr="00E23EA0" w:rsidR="00E23EA0" w:rsidP="000D00EA" w:rsidRDefault="00542DD8" w14:paraId="212804D8" w14:textId="2AAC5F54">
      <w:pPr>
        <w:pStyle w:val="Standard"/>
      </w:pPr>
      <w:r>
        <w:t xml:space="preserve">Further discussion of the assignment of RA capacity to local, system, and flexible </w:t>
      </w:r>
      <w:r w:rsidR="00386305">
        <w:t xml:space="preserve">MPBs </w:t>
      </w:r>
      <w:r>
        <w:t xml:space="preserve">is found in </w:t>
      </w:r>
      <w:r w:rsidRPr="006D2EC1">
        <w:t>Section 7.</w:t>
      </w:r>
      <w:r w:rsidR="008B44AA">
        <w:t>4</w:t>
      </w:r>
      <w:r w:rsidRPr="006D2EC1">
        <w:t>.</w:t>
      </w:r>
      <w:r w:rsidR="008B44AA">
        <w:t>2</w:t>
      </w:r>
    </w:p>
    <w:p w:rsidR="00FB0F4F" w:rsidP="00FB0F4F" w:rsidRDefault="001E1EC3" w14:paraId="7658B20A" w14:textId="462FCAC6">
      <w:pPr>
        <w:pStyle w:val="Heading2"/>
      </w:pPr>
      <w:bookmarkStart w:name="_Toc183184285" w:id="60"/>
      <w:r>
        <w:t>Other SCE Resources and Programs</w:t>
      </w:r>
      <w:bookmarkEnd w:id="60"/>
    </w:p>
    <w:p w:rsidR="00C533A2" w:rsidP="00F6466E" w:rsidRDefault="00C533A2" w14:paraId="481D9CBF" w14:textId="57905ACA">
      <w:pPr>
        <w:pStyle w:val="Heading3"/>
      </w:pPr>
      <w:bookmarkStart w:name="_Toc183184286" w:id="61"/>
      <w:r>
        <w:t>N</w:t>
      </w:r>
      <w:r w:rsidR="00F6466E">
        <w:t>uclear Decommissioning</w:t>
      </w:r>
      <w:bookmarkEnd w:id="61"/>
    </w:p>
    <w:p w:rsidRPr="005935C9" w:rsidR="00F6466E" w:rsidP="00F6466E" w:rsidRDefault="00F6466E" w14:paraId="793BD246" w14:textId="47399662">
      <w:pPr>
        <w:pStyle w:val="Standard"/>
      </w:pPr>
      <w:r>
        <w:t>SCE is the majority owner and decommissioning agent for the San Onofre Nuclear Generating Station (SONGS) Units 1, 2, and 3. SONGS Unit 1 was retired on November 30, 1992, and SONGS Units 2 and 3 were permanently retired on June 7, 2013.</w:t>
      </w:r>
      <w:r w:rsidR="00F41AE4">
        <w:rPr>
          <w:rStyle w:val="FootnoteReference"/>
        </w:rPr>
        <w:footnoteReference w:id="77"/>
      </w:r>
      <w:r>
        <w:t xml:space="preserve"> All three SONGS units are being decommissioned, and the fuel from the units has been transferred to its on-site ISFSI. The costs for storing spent </w:t>
      </w:r>
      <w:r>
        <w:lastRenderedPageBreak/>
        <w:t>fuel at the on-site ISFSI are covered by the SONGS Nuclear Decommissioning Trusts and were not included in the 2025 ERRA forecast. However, SCE include</w:t>
      </w:r>
      <w:r w:rsidR="00865399">
        <w:t>s</w:t>
      </w:r>
      <w:r>
        <w:t xml:space="preserve"> </w:t>
      </w:r>
      <w:r w:rsidRPr="005164E9">
        <w:t>$</w:t>
      </w:r>
      <w:r w:rsidR="00E66112">
        <w:t>5.</w:t>
      </w:r>
      <w:r w:rsidR="00303F91">
        <w:t>157</w:t>
      </w:r>
      <w:r>
        <w:t xml:space="preserve"> million in off-site interim storage costs</w:t>
      </w:r>
      <w:r>
        <w:rPr>
          <w:rStyle w:val="FootnoteReference"/>
        </w:rPr>
        <w:footnoteReference w:id="78"/>
      </w:r>
      <w:r>
        <w:t xml:space="preserve"> for SONGS Unit 1 spent fuel </w:t>
      </w:r>
      <w:r w:rsidRPr="005935C9">
        <w:t>assemblies in its 202</w:t>
      </w:r>
      <w:r w:rsidR="0012246E">
        <w:t>5</w:t>
      </w:r>
      <w:r w:rsidRPr="005935C9">
        <w:t xml:space="preserve"> ERRA forecast.</w:t>
      </w:r>
    </w:p>
    <w:p w:rsidR="00F6466E" w:rsidP="00F6466E" w:rsidRDefault="00F6466E" w14:paraId="06FED187" w14:textId="0F45B38C">
      <w:pPr>
        <w:pStyle w:val="Standard"/>
      </w:pPr>
      <w:r w:rsidRPr="005935C9">
        <w:t>No parties addressed SCE’s SONGS-related cost forecasts for 202</w:t>
      </w:r>
      <w:r w:rsidRPr="005935C9" w:rsidR="0076076E">
        <w:t>5</w:t>
      </w:r>
      <w:r>
        <w:t>. Upon review</w:t>
      </w:r>
      <w:r w:rsidRPr="00DC6C8C" w:rsidR="00DC6C8C">
        <w:t xml:space="preserve"> </w:t>
      </w:r>
      <w:r w:rsidR="00DC6C8C">
        <w:t xml:space="preserve">of </w:t>
      </w:r>
      <w:r w:rsidRPr="00DD66F5" w:rsidR="00DC6C8C">
        <w:t xml:space="preserve">the </w:t>
      </w:r>
      <w:r w:rsidR="00DC6C8C">
        <w:t>Opening Testimony, Rebuttal T</w:t>
      </w:r>
      <w:r w:rsidRPr="00DD66F5" w:rsidR="00DC6C8C">
        <w:t>estimony, workpapers, AOU, comments, Opening Brief, and Reply Brief documents</w:t>
      </w:r>
      <w:r>
        <w:t>, we find SCE’s proposed costs associated with off-site interim storage costs for SONGS to be reasonable and in accordance with state laws and regulations. SCE is authorized to recover up to $</w:t>
      </w:r>
      <w:r w:rsidR="00212160">
        <w:t>5.</w:t>
      </w:r>
      <w:r w:rsidR="0028380F">
        <w:t>157</w:t>
      </w:r>
      <w:r>
        <w:t xml:space="preserve"> million in </w:t>
      </w:r>
      <w:r w:rsidR="00212160">
        <w:t xml:space="preserve">SONGS </w:t>
      </w:r>
      <w:r>
        <w:t>spent nuclear-fuel storage related costs in 202</w:t>
      </w:r>
      <w:r w:rsidR="0076076E">
        <w:t>5.</w:t>
      </w:r>
    </w:p>
    <w:p w:rsidR="00F6466E" w:rsidP="002F7A4B" w:rsidRDefault="00F6466E" w14:paraId="78B8D286" w14:textId="77777777">
      <w:pPr>
        <w:pStyle w:val="Heading3"/>
      </w:pPr>
      <w:bookmarkStart w:name="_Toc151976210" w:id="62"/>
      <w:bookmarkStart w:name="_Toc183184287" w:id="63"/>
      <w:r>
        <w:t>Demand Response</w:t>
      </w:r>
      <w:bookmarkEnd w:id="62"/>
      <w:bookmarkEnd w:id="63"/>
    </w:p>
    <w:p w:rsidR="00F6466E" w:rsidP="00F6466E" w:rsidRDefault="00F6466E" w14:paraId="65715E81" w14:textId="41F28D30">
      <w:pPr>
        <w:pStyle w:val="Standard"/>
      </w:pPr>
      <w:r>
        <w:t xml:space="preserve">SCE forecasted an estimated </w:t>
      </w:r>
      <w:r w:rsidR="009B34AD">
        <w:t>5</w:t>
      </w:r>
      <w:r>
        <w:t xml:space="preserve"> GWh of energy reductions in 202</w:t>
      </w:r>
      <w:r w:rsidR="000B1D69">
        <w:t>5</w:t>
      </w:r>
      <w:r>
        <w:t xml:space="preserve"> through several price-responsive demand-response (DR) programs: Summer Discount Plan (SDP), Smart Energy Program (SEP), and Capacity Bidding Program (CBP). SDP and SEP are bid into the CAISO markets as Reliability Demand Response Resource (RDRR) and CBP as Proxy Demand Resource (PDR).</w:t>
      </w:r>
      <w:r w:rsidR="00FB5381">
        <w:rPr>
          <w:rStyle w:val="FootnoteReference"/>
        </w:rPr>
        <w:footnoteReference w:id="79"/>
      </w:r>
      <w:r>
        <w:t xml:space="preserve"> The impact of these programs is based on past customer performance and enrollment, which can vary month-to-month. Pursuant to D.</w:t>
      </w:r>
      <w:r w:rsidR="00C312A6">
        <w:t>23-12-005</w:t>
      </w:r>
      <w:r>
        <w:t xml:space="preserve">, SCE records all demand response incentives in its Demand Response Program Balancing Account (DRPBA), and the annual balances are transferred to the </w:t>
      </w:r>
      <w:r w:rsidR="009E5037">
        <w:t>Base Revenue Requirement Balancing Account (</w:t>
      </w:r>
      <w:r>
        <w:t>BRRBA</w:t>
      </w:r>
      <w:r w:rsidR="009E5037">
        <w:t>)</w:t>
      </w:r>
      <w:r>
        <w:t>. SCE’s 202</w:t>
      </w:r>
      <w:r w:rsidR="009E5037">
        <w:t>5</w:t>
      </w:r>
      <w:r>
        <w:t xml:space="preserve"> DR forecast was based on its Load Impact Protocols and opportunity costs that factor in the maximum </w:t>
      </w:r>
      <w:r>
        <w:lastRenderedPageBreak/>
        <w:t>available hours for customers to participate in specific programs per day, month, and year.</w:t>
      </w:r>
      <w:r>
        <w:rPr>
          <w:rStyle w:val="FootnoteReference"/>
        </w:rPr>
        <w:footnoteReference w:id="80"/>
      </w:r>
    </w:p>
    <w:p w:rsidRPr="00F6466E" w:rsidR="00F6466E" w:rsidP="002F793F" w:rsidRDefault="00F6466E" w14:paraId="793BC65A" w14:textId="59B384DF">
      <w:pPr>
        <w:pStyle w:val="Standard"/>
      </w:pPr>
      <w:r>
        <w:t xml:space="preserve">No </w:t>
      </w:r>
      <w:r w:rsidRPr="005E4BB8">
        <w:t>parties</w:t>
      </w:r>
      <w:r>
        <w:t xml:space="preserve"> directly contested SCE’s forecasted DR energy reductions or its forecast calculations. Upon review of Commission precedent and SCE’s filings in this proceeding, we find its DR forecasts for 202</w:t>
      </w:r>
      <w:r w:rsidR="002267CB">
        <w:t>5</w:t>
      </w:r>
      <w:r>
        <w:t xml:space="preserve"> to be reasonable and therefore adopt them.</w:t>
      </w:r>
    </w:p>
    <w:p w:rsidR="002D176D" w:rsidP="004B2436" w:rsidRDefault="002D176D" w14:paraId="465D1D43" w14:textId="2531F8CE">
      <w:pPr>
        <w:pStyle w:val="Heading3"/>
      </w:pPr>
      <w:bookmarkStart w:name="_Toc183184288" w:id="64"/>
      <w:r>
        <w:t>CAISO Costs, Load Procurement Charges, and Energy</w:t>
      </w:r>
      <w:r w:rsidR="009E53AD">
        <w:t xml:space="preserve"> </w:t>
      </w:r>
      <w:r>
        <w:t>Revenue</w:t>
      </w:r>
      <w:bookmarkEnd w:id="64"/>
    </w:p>
    <w:p w:rsidR="002F793F" w:rsidP="002F793F" w:rsidRDefault="002F793F" w14:paraId="00D05352" w14:textId="77777777">
      <w:pPr>
        <w:pStyle w:val="Standard"/>
      </w:pPr>
      <w:r>
        <w:t xml:space="preserve">SCE </w:t>
      </w:r>
      <w:r w:rsidRPr="005E4BB8">
        <w:t>separated</w:t>
      </w:r>
      <w:r>
        <w:t xml:space="preserve"> CAISO-</w:t>
      </w:r>
      <w:r w:rsidRPr="00663DD0">
        <w:t>related</w:t>
      </w:r>
      <w:r>
        <w:t xml:space="preserve"> costs into (1) non-energy related costs; </w:t>
      </w:r>
      <w:r>
        <w:br/>
        <w:t>(2) load-procurement charges; and (3) energy-related revenues associated with SCE’s PABA- and CAM-eligible resources.</w:t>
      </w:r>
      <w:r>
        <w:rPr>
          <w:rStyle w:val="FootnoteReference"/>
        </w:rPr>
        <w:footnoteReference w:id="81"/>
      </w:r>
      <w:r>
        <w:t xml:space="preserve"> </w:t>
      </w:r>
    </w:p>
    <w:p w:rsidR="002F793F" w:rsidP="002F793F" w:rsidRDefault="002F793F" w14:paraId="53192B75" w14:textId="3663578D">
      <w:pPr>
        <w:pStyle w:val="Standard"/>
      </w:pPr>
      <w:r>
        <w:t xml:space="preserve">SCE stated that non-energy-related CAISO costs are not sensitive to </w:t>
      </w:r>
      <w:r>
        <w:br/>
        <w:t>short-term energy market prices, and therefore its 202</w:t>
      </w:r>
      <w:r w:rsidR="00E81F91">
        <w:t>5</w:t>
      </w:r>
      <w:r>
        <w:t xml:space="preserve"> forecast for such costs will be equal to the most recent 12-month period.</w:t>
      </w:r>
      <w:r>
        <w:rPr>
          <w:rStyle w:val="FootnoteReference"/>
        </w:rPr>
        <w:footnoteReference w:id="82"/>
      </w:r>
    </w:p>
    <w:p w:rsidR="002F793F" w:rsidP="002F793F" w:rsidRDefault="002F793F" w14:paraId="07A509F7" w14:textId="63BF7BE3">
      <w:pPr>
        <w:pStyle w:val="Standard"/>
      </w:pPr>
      <w:r>
        <w:t xml:space="preserve">SCE calculated load-procurement charges for 2024 by multiplying the hourly load by the hourly SP-15 prices for each hour. Pursuant to Resolution </w:t>
      </w:r>
      <w:r>
        <w:br/>
        <w:t>E-5183, SCE contracted to develop 537.5 MW of energy storage</w:t>
      </w:r>
      <w:r w:rsidR="00781ED1">
        <w:t xml:space="preserve"> at three sites</w:t>
      </w:r>
      <w:r>
        <w:t xml:space="preserve"> to address summer reliability. </w:t>
      </w:r>
      <w:r w:rsidR="00781ED1">
        <w:t>Pursuant to Resolution E-5259, one of these three sites (referred to as the “Separator” project) is now counted toward SCE’s MTR procurement requirements.</w:t>
      </w:r>
      <w:r w:rsidR="00B749C0">
        <w:t xml:space="preserve"> Separator had a commercial online date of September </w:t>
      </w:r>
      <w:r w:rsidR="00037F5D">
        <w:t>24, 2024.</w:t>
      </w:r>
      <w:r w:rsidR="00037F5D">
        <w:rPr>
          <w:rStyle w:val="FootnoteReference"/>
        </w:rPr>
        <w:footnoteReference w:id="83"/>
      </w:r>
      <w:r w:rsidR="00781ED1">
        <w:t xml:space="preserve"> </w:t>
      </w:r>
      <w:r>
        <w:t xml:space="preserve">SCE stated it will credit energy benefits </w:t>
      </w:r>
      <w:r w:rsidR="00AF7C02">
        <w:t>associated with the remaining two projects (referred to as the “Anode” and “Cathode” projects)</w:t>
      </w:r>
      <w:r w:rsidR="0073334E">
        <w:t xml:space="preserve"> </w:t>
      </w:r>
      <w:r>
        <w:lastRenderedPageBreak/>
        <w:t xml:space="preserve">against the costs that are recovered through distribution charges and reduce load-procurement charges that apply to bundled service customers to reflect the net benefits. </w:t>
      </w:r>
    </w:p>
    <w:p w:rsidR="00CF7EDC" w:rsidP="001D3DFF" w:rsidRDefault="002F793F" w14:paraId="0CA0B1D7" w14:textId="74384E66">
      <w:pPr>
        <w:pStyle w:val="Standard"/>
      </w:pPr>
      <w:r w:rsidRPr="00711EDB">
        <w:t>Finally</w:t>
      </w:r>
      <w:r>
        <w:t xml:space="preserve">, SCE </w:t>
      </w:r>
      <w:r w:rsidRPr="005E4BB8">
        <w:t>estimated</w:t>
      </w:r>
      <w:r>
        <w:t xml:space="preserve"> its energy revenue</w:t>
      </w:r>
      <w:r w:rsidR="00FD621B">
        <w:t xml:space="preserve"> from the dispatch of these resources</w:t>
      </w:r>
      <w:r>
        <w:t xml:space="preserve"> by multiplying the forecasted </w:t>
      </w:r>
      <w:r w:rsidR="00C55793">
        <w:t xml:space="preserve">hourly </w:t>
      </w:r>
      <w:r>
        <w:t>production from its PABA-, ERRA-, BMNBC</w:t>
      </w:r>
      <w:r w:rsidR="00EE6D66">
        <w:t>BA</w:t>
      </w:r>
      <w:r>
        <w:t>-, CGST-, and CAM-eligible portfolios by the SP-15 price at that hour. The energy revenues are used to offset forecasted PABA, ERRA, BMNBC, CGST, and NSGBA revenue requirements.</w:t>
      </w:r>
      <w:r>
        <w:rPr>
          <w:rStyle w:val="FootnoteReference"/>
        </w:rPr>
        <w:footnoteReference w:id="84"/>
      </w:r>
    </w:p>
    <w:p w:rsidR="00E614EA" w:rsidP="00E614EA" w:rsidRDefault="00D84EEF" w14:paraId="01C7FC37" w14:textId="2AF660A8">
      <w:pPr>
        <w:pStyle w:val="Standard"/>
      </w:pPr>
      <w:r>
        <w:t>No</w:t>
      </w:r>
      <w:r w:rsidR="002F793F">
        <w:t xml:space="preserve"> party directly addressed SCE’s forecasted 202</w:t>
      </w:r>
      <w:r>
        <w:t>5</w:t>
      </w:r>
      <w:r w:rsidR="002F793F">
        <w:t xml:space="preserve"> CAISO costs, load procurement charges, or energy revenue. Upon review of SCE’s testimony, rebuttal testimony, </w:t>
      </w:r>
      <w:r w:rsidRPr="00771B5E" w:rsidR="00127488">
        <w:t>A</w:t>
      </w:r>
      <w:r w:rsidR="00417625">
        <w:t>OU</w:t>
      </w:r>
      <w:r w:rsidR="002F793F">
        <w:t xml:space="preserve">, workpapers, </w:t>
      </w:r>
      <w:r w:rsidR="00394212">
        <w:t>Comments, Openin</w:t>
      </w:r>
      <w:r w:rsidR="007F571B">
        <w:t xml:space="preserve">g briefs, and reply briefs </w:t>
      </w:r>
      <w:r w:rsidR="002F793F">
        <w:t>we find its forecasted 202</w:t>
      </w:r>
      <w:r>
        <w:t>5</w:t>
      </w:r>
      <w:r w:rsidR="002F793F">
        <w:t xml:space="preserve"> CAISO-related costs to be reasonable and therefore approve them as proposed</w:t>
      </w:r>
      <w:bookmarkStart w:name="_Toc151976237" w:id="65"/>
      <w:r w:rsidR="007F571B">
        <w:t>.</w:t>
      </w:r>
      <w:r w:rsidRPr="00E614EA" w:rsidR="00E614EA">
        <w:t xml:space="preserve"> </w:t>
      </w:r>
    </w:p>
    <w:p w:rsidR="00E614EA" w:rsidP="00E614EA" w:rsidRDefault="00E614EA" w14:paraId="5F292EDA" w14:textId="38AA8BF5">
      <w:pPr>
        <w:pStyle w:val="Heading2"/>
      </w:pPr>
      <w:bookmarkStart w:name="_Toc183184289" w:id="66"/>
      <w:r>
        <w:t>Carrying</w:t>
      </w:r>
      <w:r w:rsidRPr="006B284B">
        <w:t xml:space="preserve"> </w:t>
      </w:r>
      <w:r>
        <w:t>and Financing Costs</w:t>
      </w:r>
      <w:bookmarkEnd w:id="66"/>
    </w:p>
    <w:p w:rsidR="00E614EA" w:rsidP="00E614EA" w:rsidRDefault="00E614EA" w14:paraId="52829F07" w14:textId="49B4FA2D">
      <w:pPr>
        <w:pStyle w:val="Standard"/>
      </w:pPr>
      <w:r>
        <w:t>SCE uses a variety of financial mechanisms to control cost risk and ensure reliable energy supply. This section addresses the cost of both those mechanisms and the market data and reporting service that inform its strategy for deploying them.</w:t>
      </w:r>
      <w:bookmarkEnd w:id="65"/>
    </w:p>
    <w:p w:rsidR="00E614EA" w:rsidP="00E614EA" w:rsidRDefault="00E614EA" w14:paraId="781BBB70" w14:textId="77777777">
      <w:pPr>
        <w:pStyle w:val="Heading3"/>
      </w:pPr>
      <w:bookmarkStart w:name="_Toc151976212" w:id="67"/>
      <w:bookmarkStart w:name="_Toc183184290" w:id="68"/>
      <w:r w:rsidRPr="00711EDB">
        <w:t>Hedging</w:t>
      </w:r>
      <w:r>
        <w:t xml:space="preserve"> Costs</w:t>
      </w:r>
      <w:bookmarkEnd w:id="67"/>
      <w:bookmarkEnd w:id="68"/>
    </w:p>
    <w:p w:rsidR="00E614EA" w:rsidP="00E614EA" w:rsidRDefault="00E614EA" w14:paraId="5AF2A71B" w14:textId="0E615DE0">
      <w:pPr>
        <w:pStyle w:val="Standard"/>
      </w:pPr>
      <w:r>
        <w:t xml:space="preserve">SCE’s costs of </w:t>
      </w:r>
      <w:r w:rsidRPr="00711EDB">
        <w:t>power</w:t>
      </w:r>
      <w:r>
        <w:t xml:space="preserve"> and natural gas for its UOG, purchased power contracts, and QF contracts are hedged using the underlying commodities trading markets to offset risks of market volatility. The hedging costs for 2025 </w:t>
      </w:r>
      <w:r w:rsidR="006303BC">
        <w:t xml:space="preserve">initially </w:t>
      </w:r>
      <w:r>
        <w:t>include</w:t>
      </w:r>
      <w:r w:rsidR="006303BC">
        <w:t>d</w:t>
      </w:r>
      <w:r>
        <w:t xml:space="preserve"> brokerage fees and options premiums.</w:t>
      </w:r>
      <w:r w:rsidR="00FE16DC">
        <w:t xml:space="preserve"> Due to a lack of liquidity, however, </w:t>
      </w:r>
      <w:r w:rsidR="00B83395">
        <w:t>SCE retired its option-based budget for hedging.</w:t>
      </w:r>
      <w:r w:rsidR="00B83395">
        <w:rPr>
          <w:rStyle w:val="FootnoteReference"/>
        </w:rPr>
        <w:footnoteReference w:id="85"/>
      </w:r>
      <w:r w:rsidR="00FE16DC">
        <w:t xml:space="preserve"> </w:t>
      </w:r>
      <w:r>
        <w:t xml:space="preserve">No party </w:t>
      </w:r>
      <w:r>
        <w:lastRenderedPageBreak/>
        <w:t>addressed this issue. Upon the Commission’s review of SCE’s documents, we find the hedging costs forecasted for 2024 to be reasonable.</w:t>
      </w:r>
    </w:p>
    <w:p w:rsidR="00E614EA" w:rsidP="00E614EA" w:rsidRDefault="00E614EA" w14:paraId="2A01948C" w14:textId="77777777">
      <w:pPr>
        <w:pStyle w:val="Heading3"/>
      </w:pPr>
      <w:bookmarkStart w:name="_Toc151976213" w:id="69"/>
      <w:bookmarkStart w:name="_Toc183184291" w:id="70"/>
      <w:r>
        <w:t>Gas Transportation and Storage</w:t>
      </w:r>
      <w:bookmarkEnd w:id="69"/>
      <w:bookmarkEnd w:id="70"/>
    </w:p>
    <w:p w:rsidR="00E614EA" w:rsidP="00E614EA" w:rsidRDefault="00E614EA" w14:paraId="19AC7B41" w14:textId="173B9725">
      <w:pPr>
        <w:pStyle w:val="Standard"/>
      </w:pPr>
      <w:r>
        <w:t>SCE forecasted it will maintain its current gas transportation agreements through 2025. These agreements have an estimated fixed cost of $1</w:t>
      </w:r>
      <w:r w:rsidR="006837FC">
        <w:t>5</w:t>
      </w:r>
      <w:r>
        <w:t>.</w:t>
      </w:r>
      <w:r w:rsidR="006837FC">
        <w:t>532</w:t>
      </w:r>
      <w:r>
        <w:t xml:space="preserve"> million for SCE-owned gas fired resources. This cost is based on an estimated daily reservation charge for Backbone Transportation Service (BTS) rights.</w:t>
      </w:r>
      <w:r w:rsidR="00441793">
        <w:rPr>
          <w:rStyle w:val="FootnoteReference"/>
        </w:rPr>
        <w:footnoteReference w:id="86"/>
      </w:r>
      <w:r w:rsidR="00441793">
        <w:t xml:space="preserve"> </w:t>
      </w:r>
      <w:r>
        <w:t xml:space="preserve"> </w:t>
      </w:r>
    </w:p>
    <w:p w:rsidR="00E614EA" w:rsidP="00E614EA" w:rsidRDefault="00E614EA" w14:paraId="09012F87" w14:textId="0D553B3E">
      <w:pPr>
        <w:pStyle w:val="Standard"/>
      </w:pPr>
      <w:r>
        <w:t>Separately, SCE has month-to-month capacity contracts with Southern California Gas Company under Rate Schedule GT-TLS for gas transportation to its (1) Mountainview Plant and (2) Barre, Center, Grapeland, McGrath, and Mira Loma peaker plants. SCE expects that these contracts will auto-renew each month in 202</w:t>
      </w:r>
      <w:r w:rsidR="001E7859">
        <w:t>5</w:t>
      </w:r>
      <w:r>
        <w:t>.</w:t>
      </w:r>
      <w:r>
        <w:rPr>
          <w:rStyle w:val="FootnoteReference"/>
        </w:rPr>
        <w:footnoteReference w:id="87"/>
      </w:r>
    </w:p>
    <w:p w:rsidR="00E614EA" w:rsidP="00E614EA" w:rsidRDefault="00E614EA" w14:paraId="0D890964" w14:textId="0D39271C">
      <w:pPr>
        <w:pStyle w:val="Standard"/>
      </w:pPr>
      <w:r>
        <w:t>SCE also has a BTS contract with Southern California Gas Company for firm rights of 60,000 MMBtu/day for a three-year contract (October 2023-September 2026). SCE forecasted that the total fixed costs for this contract in 2025 will be $</w:t>
      </w:r>
      <w:r w:rsidRPr="00901721" w:rsidR="004A32E8">
        <w:t>15.53</w:t>
      </w:r>
      <w:r w:rsidRPr="00901721" w:rsidR="00263FC3">
        <w:t>0</w:t>
      </w:r>
      <w:r w:rsidRPr="00901721">
        <w:t xml:space="preserve"> million</w:t>
      </w:r>
      <w:r w:rsidRPr="00901721" w:rsidR="004A32E8">
        <w:rPr>
          <w:rStyle w:val="FootnoteReference"/>
        </w:rPr>
        <w:footnoteReference w:id="88"/>
      </w:r>
      <w:r w:rsidRPr="00901721">
        <w:t>, and the tariff-based reservation charge is currently $</w:t>
      </w:r>
      <w:r w:rsidRPr="00771B5E">
        <w:t>0.</w:t>
      </w:r>
      <w:r w:rsidRPr="00771B5E" w:rsidR="00263FC3">
        <w:t>70913</w:t>
      </w:r>
      <w:r w:rsidRPr="00901721">
        <w:t xml:space="preserve">/MMBtu </w:t>
      </w:r>
      <w:r>
        <w:t>per day.</w:t>
      </w:r>
      <w:r>
        <w:rPr>
          <w:rStyle w:val="FootnoteReference"/>
        </w:rPr>
        <w:footnoteReference w:id="89"/>
      </w:r>
    </w:p>
    <w:p w:rsidR="00E614EA" w:rsidP="00E614EA" w:rsidRDefault="00E614EA" w14:paraId="5D39EF68" w14:textId="0BB0CE44">
      <w:pPr>
        <w:pStyle w:val="Standard"/>
      </w:pPr>
      <w:r>
        <w:t xml:space="preserve">Finally, SCE has a gas storage contract for interruptible gas storage under Rate Schedule G-TBS, a modified fixed variable rate with a reservation charge of </w:t>
      </w:r>
      <w:r>
        <w:lastRenderedPageBreak/>
        <w:t>$1.65/MMBtu. This contract confers a capacity of 150,000 MMBtu/day between April 2024 and March 2025 at a total fixed cost of $0.062 million.</w:t>
      </w:r>
      <w:r w:rsidR="002B0580">
        <w:rPr>
          <w:rStyle w:val="FootnoteReference"/>
        </w:rPr>
        <w:footnoteReference w:id="90"/>
      </w:r>
    </w:p>
    <w:p w:rsidRPr="009F1BE5" w:rsidR="00E614EA" w:rsidP="00E614EA" w:rsidRDefault="00E614EA" w14:paraId="12A25DD3" w14:textId="26BCEED1">
      <w:pPr>
        <w:pStyle w:val="Standard"/>
      </w:pPr>
      <w:r w:rsidRPr="009F1BE5">
        <w:t>No party addressed SCE’s gas transportation and storage forecasts directly in filings. Upon the Commission’s review of SCE’s documents, we find its forecasted 2024 gas transportation and storage costs to be reasonable and therefore approve them as proposed in A.2</w:t>
      </w:r>
      <w:r w:rsidRPr="009F1BE5" w:rsidR="009F1BE5">
        <w:t>4</w:t>
      </w:r>
      <w:r w:rsidRPr="009F1BE5">
        <w:t>-0</w:t>
      </w:r>
      <w:r w:rsidRPr="009F1BE5" w:rsidR="009F1BE5">
        <w:t>5</w:t>
      </w:r>
      <w:r w:rsidRPr="009F1BE5">
        <w:t>-00</w:t>
      </w:r>
      <w:r w:rsidRPr="009F1BE5" w:rsidR="009F1BE5">
        <w:t>7</w:t>
      </w:r>
      <w:r w:rsidRPr="009F1BE5">
        <w:t xml:space="preserve"> and updated in SCE’s October Update.</w:t>
      </w:r>
    </w:p>
    <w:p w:rsidR="00E614EA" w:rsidP="00E614EA" w:rsidRDefault="00E614EA" w14:paraId="79F6107C" w14:textId="77777777">
      <w:pPr>
        <w:pStyle w:val="Heading3"/>
      </w:pPr>
      <w:bookmarkStart w:name="_Toc151976214" w:id="71"/>
      <w:bookmarkStart w:name="_Toc183184292" w:id="72"/>
      <w:r w:rsidRPr="00711EDB">
        <w:t>Subscription</w:t>
      </w:r>
      <w:r>
        <w:t xml:space="preserve"> Fees, Financing Costs, </w:t>
      </w:r>
      <w:r>
        <w:br/>
        <w:t>and Carrying Costs</w:t>
      </w:r>
      <w:bookmarkEnd w:id="71"/>
      <w:bookmarkEnd w:id="72"/>
      <w:r>
        <w:t xml:space="preserve"> </w:t>
      </w:r>
    </w:p>
    <w:p w:rsidR="00E614EA" w:rsidP="00E614EA" w:rsidRDefault="00E614EA" w14:paraId="6FE36506" w14:textId="4199AA7D">
      <w:pPr>
        <w:pStyle w:val="Standard"/>
      </w:pPr>
      <w:r w:rsidRPr="00711EDB">
        <w:t>SCE</w:t>
      </w:r>
      <w:r>
        <w:t xml:space="preserve"> forecast</w:t>
      </w:r>
      <w:r w:rsidR="00D15ACF">
        <w:t>s</w:t>
      </w:r>
      <w:r>
        <w:t xml:space="preserve"> that it will spend up to $835,000 on subscription fees to access market data, risk analysis, reports on power, gas, and GHG allowance price forecasts, and other industry news in 2025.</w:t>
      </w:r>
    </w:p>
    <w:p w:rsidR="006F07DC" w:rsidP="00901E53" w:rsidRDefault="00E614EA" w14:paraId="54BC4CCE" w14:textId="77777777">
      <w:pPr>
        <w:pStyle w:val="Standard"/>
      </w:pPr>
      <w:r>
        <w:t xml:space="preserve">Separately, SCE is authorized to recover actual fuel inventory financing costs and actual collateral costs, pursuant to D.93-01-027, D.02-10-062, and </w:t>
      </w:r>
    </w:p>
    <w:p w:rsidR="00E614EA" w:rsidP="006F07DC" w:rsidRDefault="00E614EA" w14:paraId="110C0E88" w14:textId="73D530C1">
      <w:pPr>
        <w:pStyle w:val="Standard"/>
        <w:ind w:firstLine="0"/>
      </w:pPr>
      <w:r>
        <w:t>D.04-01-048. The latter Decision directs SCE to apply the three-month commercial paper rate index to under</w:t>
      </w:r>
      <w:r w:rsidR="00432DAA">
        <w:t>-</w:t>
      </w:r>
      <w:r>
        <w:t xml:space="preserve">collected balances. SCE forecasted it will use a portion of a $3.35 billion multi-year revolving credit facility (revolver) to provide capacity for collateral and supporting account balances and requested to recover various fees and upfront costs associated with that portion in its 2025 ERRA proceeding-related balancing accounts. In 2024, SCE </w:t>
      </w:r>
      <w:r w:rsidR="00A34138">
        <w:t xml:space="preserve">exercised </w:t>
      </w:r>
      <w:r w:rsidR="00901E53">
        <w:t xml:space="preserve">an </w:t>
      </w:r>
      <w:r w:rsidR="00A34138">
        <w:t xml:space="preserve">option </w:t>
      </w:r>
      <w:r>
        <w:t>to extend this revolver one additional year</w:t>
      </w:r>
      <w:r w:rsidR="00901E53">
        <w:rPr>
          <w:rStyle w:val="FootnoteReference"/>
        </w:rPr>
        <w:footnoteReference w:id="91"/>
      </w:r>
      <w:r>
        <w:t xml:space="preserve"> with the following features:</w:t>
      </w:r>
    </w:p>
    <w:p w:rsidR="00E614EA" w:rsidP="00E75708" w:rsidRDefault="00E614EA" w14:paraId="1696251E" w14:textId="77777777">
      <w:pPr>
        <w:pStyle w:val="ListNum"/>
        <w:numPr>
          <w:ilvl w:val="6"/>
          <w:numId w:val="24"/>
        </w:numPr>
        <w:ind w:right="1440"/>
      </w:pPr>
      <w:r>
        <w:t>$3.35 billion borrowing capacity;</w:t>
      </w:r>
    </w:p>
    <w:p w:rsidR="00E614EA" w:rsidP="00E75708" w:rsidRDefault="00E614EA" w14:paraId="191AA73C" w14:textId="1E2D428A">
      <w:pPr>
        <w:pStyle w:val="ListNum"/>
        <w:numPr>
          <w:ilvl w:val="6"/>
          <w:numId w:val="24"/>
        </w:numPr>
        <w:ind w:right="1440"/>
      </w:pPr>
      <w:r>
        <w:t>May 202</w:t>
      </w:r>
      <w:r w:rsidR="00901E53">
        <w:t>8</w:t>
      </w:r>
      <w:r>
        <w:t xml:space="preserve"> maturity;</w:t>
      </w:r>
    </w:p>
    <w:p w:rsidR="00E614EA" w:rsidP="00E75708" w:rsidRDefault="00E614EA" w14:paraId="2E8E74E3" w14:textId="77777777">
      <w:pPr>
        <w:pStyle w:val="ListNum"/>
        <w:numPr>
          <w:ilvl w:val="6"/>
          <w:numId w:val="24"/>
        </w:numPr>
        <w:ind w:right="1440"/>
      </w:pPr>
      <w:r>
        <w:lastRenderedPageBreak/>
        <w:t>$20,000 annual administrative fee;</w:t>
      </w:r>
    </w:p>
    <w:p w:rsidR="00E614EA" w:rsidP="00E75708" w:rsidRDefault="00E614EA" w14:paraId="2A27009F" w14:textId="77777777">
      <w:pPr>
        <w:pStyle w:val="ListNum"/>
        <w:numPr>
          <w:ilvl w:val="6"/>
          <w:numId w:val="24"/>
        </w:numPr>
        <w:ind w:right="1440"/>
      </w:pPr>
      <w:r>
        <w:t>17.5 basis point annual facility fee;</w:t>
      </w:r>
    </w:p>
    <w:p w:rsidR="00E614EA" w:rsidP="00E75708" w:rsidRDefault="00E614EA" w14:paraId="354F8EEB" w14:textId="77777777">
      <w:pPr>
        <w:pStyle w:val="ListNum"/>
        <w:numPr>
          <w:ilvl w:val="6"/>
          <w:numId w:val="24"/>
        </w:numPr>
        <w:ind w:right="1440"/>
      </w:pPr>
      <w:r>
        <w:t>107.5 basis point participation fee on any outstanding letters of credit;</w:t>
      </w:r>
    </w:p>
    <w:p w:rsidR="00E614EA" w:rsidP="00E75708" w:rsidRDefault="00E614EA" w14:paraId="482AA393" w14:textId="77777777">
      <w:pPr>
        <w:pStyle w:val="ListNum"/>
        <w:numPr>
          <w:ilvl w:val="6"/>
          <w:numId w:val="24"/>
        </w:numPr>
        <w:ind w:right="1440"/>
      </w:pPr>
      <w:r>
        <w:t>20 basis point issuer fees on any letters of credit; and</w:t>
      </w:r>
    </w:p>
    <w:p w:rsidR="00E614EA" w:rsidP="00E75708" w:rsidRDefault="00E614EA" w14:paraId="26D22A90" w14:textId="77777777">
      <w:pPr>
        <w:pStyle w:val="ListNum"/>
        <w:numPr>
          <w:ilvl w:val="6"/>
          <w:numId w:val="24"/>
        </w:numPr>
        <w:ind w:right="1440"/>
      </w:pPr>
      <w:r>
        <w:t>Adjusted Daily Simple Secured Overnight Financing Rate plus 107.5 basis points loan rate.</w:t>
      </w:r>
      <w:r w:rsidRPr="00996421">
        <w:rPr>
          <w:rStyle w:val="FootnoteReference"/>
        </w:rPr>
        <w:footnoteReference w:id="92"/>
      </w:r>
    </w:p>
    <w:p w:rsidR="00E614EA" w:rsidP="00E614EA" w:rsidRDefault="00E614EA" w14:paraId="0B300DE4" w14:textId="77777777">
      <w:pPr>
        <w:pStyle w:val="Standard"/>
      </w:pPr>
      <w:r w:rsidRPr="0067581A">
        <w:t>If SCE’s collateral requirements exceed the revolver capacity, it has an accordion option that would allow it to increase the limit to $4.00 billion.</w:t>
      </w:r>
    </w:p>
    <w:p w:rsidR="00E614EA" w:rsidP="00E614EA" w:rsidRDefault="00E614EA" w14:paraId="4D918971" w14:textId="4B0748D0">
      <w:pPr>
        <w:pStyle w:val="Standard"/>
      </w:pPr>
      <w:r>
        <w:t xml:space="preserve">SCE </w:t>
      </w:r>
      <w:r w:rsidRPr="00711EDB">
        <w:t>also</w:t>
      </w:r>
      <w:r>
        <w:t xml:space="preserve"> </w:t>
      </w:r>
      <w:r w:rsidRPr="00EA4874">
        <w:t>stated</w:t>
      </w:r>
      <w:r>
        <w:t xml:space="preserve"> it will use its $3.00 billion commercial paper program to finance fuel inventories in 2025, assuming the market for A2/P2</w:t>
      </w:r>
      <w:r w:rsidR="00950F3A">
        <w:t>/F3</w:t>
      </w:r>
      <w:r>
        <w:t xml:space="preserve"> commercial paper remains stable and SCE can use this program for short-term borrowing needs.</w:t>
      </w:r>
      <w:r>
        <w:rPr>
          <w:rStyle w:val="FootnoteReference"/>
        </w:rPr>
        <w:footnoteReference w:id="93"/>
      </w:r>
    </w:p>
    <w:p w:rsidR="00C17111" w:rsidP="00E614EA" w:rsidRDefault="00E614EA" w14:paraId="10D22B38" w14:textId="1B9BB583">
      <w:pPr>
        <w:pStyle w:val="Standard"/>
      </w:pPr>
      <w:r w:rsidRPr="00454D1A">
        <w:t xml:space="preserve">SCE </w:t>
      </w:r>
      <w:r>
        <w:t xml:space="preserve">separately </w:t>
      </w:r>
      <w:r w:rsidRPr="00454D1A">
        <w:t>forecast</w:t>
      </w:r>
      <w:r>
        <w:t>ed</w:t>
      </w:r>
      <w:r w:rsidRPr="00454D1A">
        <w:t xml:space="preserve"> fuel inventory</w:t>
      </w:r>
      <w:r w:rsidR="00C11A72">
        <w:t xml:space="preserve">, GHG </w:t>
      </w:r>
      <w:r w:rsidR="00D871B2">
        <w:t>p</w:t>
      </w:r>
      <w:r w:rsidR="00C11A72">
        <w:t>rocurement</w:t>
      </w:r>
      <w:r w:rsidR="00D871B2">
        <w:t xml:space="preserve"> compliance</w:t>
      </w:r>
      <w:r w:rsidR="00C11A72">
        <w:t>,</w:t>
      </w:r>
      <w:r w:rsidR="00D871B2">
        <w:t xml:space="preserve"> and power procurement collateral requirement carrying costs. Fuel inventory</w:t>
      </w:r>
      <w:r w:rsidRPr="00454D1A">
        <w:t xml:space="preserve"> carrying costs</w:t>
      </w:r>
      <w:r w:rsidR="007B13DC">
        <w:t xml:space="preserve"> </w:t>
      </w:r>
      <w:r w:rsidR="00FF299C">
        <w:t xml:space="preserve">account for ownership interests and storage of </w:t>
      </w:r>
      <w:r w:rsidR="00CE2E5C">
        <w:t xml:space="preserve">in core </w:t>
      </w:r>
      <w:r w:rsidRPr="00454D1A">
        <w:t>nuclear</w:t>
      </w:r>
      <w:r w:rsidR="00CE2E5C">
        <w:t xml:space="preserve"> fuel</w:t>
      </w:r>
      <w:r w:rsidRPr="00454D1A">
        <w:t>, natural gas, and diesel</w:t>
      </w:r>
      <w:r w:rsidR="006D53E1">
        <w:t>, using short-term debt to finance the inventory.</w:t>
      </w:r>
      <w:r w:rsidRPr="00454D1A">
        <w:t xml:space="preserve"> </w:t>
      </w:r>
      <w:r w:rsidR="006F07DC">
        <w:t>Greenhouse gas (</w:t>
      </w:r>
      <w:r w:rsidRPr="00454D1A">
        <w:t>GHG</w:t>
      </w:r>
      <w:r w:rsidR="006F07DC">
        <w:t>)</w:t>
      </w:r>
      <w:r w:rsidRPr="00454D1A">
        <w:t xml:space="preserve"> procurement compliance carrying costs</w:t>
      </w:r>
      <w:r w:rsidR="00FA618C">
        <w:t xml:space="preserve"> are computed using the historical inventory </w:t>
      </w:r>
      <w:r w:rsidR="0092428D">
        <w:t>balances and the commercial paper rate.</w:t>
      </w:r>
      <w:r w:rsidR="00AA61FB">
        <w:t xml:space="preserve"> </w:t>
      </w:r>
      <w:r w:rsidR="00C775AB">
        <w:t>Power procurement carrying costs are based on a</w:t>
      </w:r>
      <w:r w:rsidR="009E6055">
        <w:t>verage collateral requirements and the projected terms of SCE’s revolve</w:t>
      </w:r>
      <w:r w:rsidR="00C17111">
        <w:t>rs; these costs will be updated with actual requirements and terms as requirements change in 2025.</w:t>
      </w:r>
    </w:p>
    <w:p w:rsidRPr="002F793F" w:rsidR="00B70505" w:rsidP="00910C8F" w:rsidRDefault="00E614EA" w14:paraId="22A76722" w14:textId="472BAEE3">
      <w:pPr>
        <w:pStyle w:val="Standard"/>
      </w:pPr>
      <w:r w:rsidRPr="00996421">
        <w:t xml:space="preserve">No party directly addressed SCE’s forecasted subscription fees, financing costs, or carrying costs as described in its testimony, workpapers, and October </w:t>
      </w:r>
      <w:r w:rsidRPr="00996421">
        <w:lastRenderedPageBreak/>
        <w:t>Update documents</w:t>
      </w:r>
      <w:r w:rsidRPr="00312309">
        <w:t>.</w:t>
      </w:r>
      <w:r>
        <w:t xml:space="preserve"> Upon review, we find its 2025 forecasts for subscription fees; financing costs; and</w:t>
      </w:r>
      <w:r w:rsidRPr="00454D1A">
        <w:t xml:space="preserve"> carrying costs for 202</w:t>
      </w:r>
      <w:r>
        <w:t>5 as described above to be reasonable and therefore approved for 202</w:t>
      </w:r>
      <w:r w:rsidR="00E31FFD">
        <w:t>5</w:t>
      </w:r>
      <w:r>
        <w:t xml:space="preserve">. </w:t>
      </w:r>
    </w:p>
    <w:p w:rsidR="009E53AD" w:rsidP="002D7F6D" w:rsidRDefault="006F07DC" w14:paraId="1F0F1324" w14:textId="249E8521">
      <w:pPr>
        <w:pStyle w:val="Heading1"/>
      </w:pPr>
      <w:bookmarkStart w:name="_Toc183184293" w:id="73"/>
      <w:r>
        <w:t>GHG</w:t>
      </w:r>
      <w:r w:rsidR="002D7F6D">
        <w:t xml:space="preserve"> Forecast Costs, Revenues, </w:t>
      </w:r>
      <w:r>
        <w:br/>
      </w:r>
      <w:r w:rsidR="002D7F6D">
        <w:t>and Reconciliation</w:t>
      </w:r>
      <w:bookmarkEnd w:id="73"/>
      <w:r w:rsidR="002D7F6D">
        <w:t xml:space="preserve"> </w:t>
      </w:r>
    </w:p>
    <w:p w:rsidRPr="0011157C" w:rsidR="00AA4A90" w:rsidP="00AA4A90" w:rsidRDefault="00AA4A90" w14:paraId="733A509F" w14:textId="182E4F69">
      <w:pPr>
        <w:pStyle w:val="Standard"/>
      </w:pPr>
      <w:r>
        <w:t xml:space="preserve">In D.14-10-033, the Commission </w:t>
      </w:r>
      <w:r w:rsidRPr="00454D1A">
        <w:t xml:space="preserve">adopted standard procedures for electric utilities to request </w:t>
      </w:r>
      <w:r>
        <w:t>GHG</w:t>
      </w:r>
      <w:r w:rsidRPr="00454D1A">
        <w:t xml:space="preserve"> forecast revenue and reconciliation requirements filed after 2013</w:t>
      </w:r>
      <w:r>
        <w:t>;</w:t>
      </w:r>
      <w:r w:rsidRPr="00454D1A">
        <w:t xml:space="preserve"> adopted Confidentiality Protocols for Cap</w:t>
      </w:r>
      <w:r>
        <w:noBreakHyphen/>
      </w:r>
      <w:r w:rsidRPr="00454D1A">
        <w:t>and</w:t>
      </w:r>
      <w:r>
        <w:noBreakHyphen/>
      </w:r>
      <w:r w:rsidRPr="00454D1A">
        <w:t>Trade</w:t>
      </w:r>
      <w:r>
        <w:noBreakHyphen/>
      </w:r>
      <w:r w:rsidRPr="00454D1A">
        <w:t>related data</w:t>
      </w:r>
      <w:r>
        <w:t>;</w:t>
      </w:r>
      <w:r w:rsidRPr="00454D1A">
        <w:t xml:space="preserve"> and required the utilities to use a proxy price in their forecast</w:t>
      </w:r>
      <w:r>
        <w:t xml:space="preserve">s. The IOUs were also required to submit </w:t>
      </w:r>
      <w:r w:rsidRPr="00454D1A">
        <w:t>GHG Forecast Revenue and Reconciliation Applications</w:t>
      </w:r>
      <w:r>
        <w:t xml:space="preserve"> annually within their ERRA forecast filings.</w:t>
      </w:r>
      <w:r>
        <w:rPr>
          <w:rStyle w:val="FootnoteReference"/>
        </w:rPr>
        <w:footnoteReference w:id="94"/>
      </w:r>
      <w:r>
        <w:t xml:space="preserve"> In Advice Letter 4587</w:t>
      </w:r>
      <w:r w:rsidR="00D44631">
        <w:t>-E</w:t>
      </w:r>
      <w:r>
        <w:t>, SCE submitted updated GHG templates (Templates D-1 through D-5), as directed by D.21-08-026.</w:t>
      </w:r>
      <w:r>
        <w:rPr>
          <w:rStyle w:val="FootnoteReference"/>
        </w:rPr>
        <w:footnoteReference w:id="95"/>
      </w:r>
      <w:r>
        <w:t xml:space="preserve"> We therefore apply the standards adopted in D.21-08-026 to review SCE’s current forecast and determine the reasonableness of its revenue and reconciliation proposal. </w:t>
      </w:r>
    </w:p>
    <w:p w:rsidR="00AA4A90" w:rsidP="002D7F6D" w:rsidRDefault="00361803" w14:paraId="1F33DA13" w14:textId="1E7C05A9">
      <w:pPr>
        <w:pStyle w:val="Heading2"/>
      </w:pPr>
      <w:bookmarkStart w:name="_Toc151976235" w:id="74"/>
      <w:bookmarkStart w:name="_Toc183184294" w:id="75"/>
      <w:r>
        <w:t xml:space="preserve">2025 </w:t>
      </w:r>
      <w:r w:rsidR="006F07DC">
        <w:t>GHG</w:t>
      </w:r>
      <w:r w:rsidR="00AA4A90">
        <w:t xml:space="preserve"> </w:t>
      </w:r>
      <w:r>
        <w:t xml:space="preserve">Forecast </w:t>
      </w:r>
      <w:r w:rsidR="00AA4A90">
        <w:t>Costs</w:t>
      </w:r>
      <w:bookmarkEnd w:id="74"/>
      <w:bookmarkEnd w:id="75"/>
    </w:p>
    <w:p w:rsidR="00AA4A90" w:rsidP="00AA4A90" w:rsidRDefault="00AA4A90" w14:paraId="2341DD8D" w14:textId="77777777">
      <w:pPr>
        <w:pStyle w:val="Standard"/>
      </w:pPr>
      <w:r>
        <w:t xml:space="preserve">SCE </w:t>
      </w:r>
      <w:r w:rsidRPr="00AB41BA">
        <w:t>and</w:t>
      </w:r>
      <w:r>
        <w:t xml:space="preserve"> the other IOUs in California began incurring compliance costs related to Assembly Bill 32 and the California Air Resources Board’s (CARB) GHG cap-and-trade program in January 2013. The program is intended to reduce California’s economy-wide GHG emissions to 40 percent below 1990 levels by 2030. Because SCE still owns, operates, and procures power from GHG-emitting </w:t>
      </w:r>
      <w:r>
        <w:lastRenderedPageBreak/>
        <w:t xml:space="preserve">resources, it incurs compliance costs associated with this program either directly or indirectly. </w:t>
      </w:r>
    </w:p>
    <w:p w:rsidRPr="006C7D0C" w:rsidR="007612CA" w:rsidP="007612CA" w:rsidRDefault="007612CA" w14:paraId="4D4E1F40" w14:textId="6B57E13B">
      <w:pPr>
        <w:pStyle w:val="Standard"/>
      </w:pPr>
      <w:r w:rsidRPr="006C7D0C">
        <w:t>SCE propose</w:t>
      </w:r>
      <w:r>
        <w:t>s</w:t>
      </w:r>
      <w:r w:rsidRPr="006C7D0C">
        <w:t xml:space="preserve"> to allocate direct GHG costs to the customers who benefit from the resources to which the GHG costs are attributable, and to include the direct cost of the GHG compliance instruments in its proposed generation service though the ERRA BA, PABA and the </w:t>
      </w:r>
      <w:r>
        <w:t>ES</w:t>
      </w:r>
      <w:r w:rsidRPr="006C7D0C">
        <w:t>MA</w:t>
      </w:r>
      <w:r w:rsidR="00DF6007">
        <w:t>.</w:t>
      </w:r>
      <w:r w:rsidRPr="006C7D0C">
        <w:t xml:space="preserve"> </w:t>
      </w:r>
    </w:p>
    <w:p w:rsidR="00AA4A90" w:rsidP="00AA4A90" w:rsidRDefault="00AA4A90" w14:paraId="30DD2B1D" w14:textId="284FAB82">
      <w:pPr>
        <w:pStyle w:val="Standard"/>
      </w:pPr>
      <w:r>
        <w:t xml:space="preserve">Direct GHG costs are related to GHG-emitting resources from which SCE is the ‘first deliverer’ of electricity, such as in-state facilities that emit </w:t>
      </w:r>
      <w:r w:rsidR="0016157A">
        <w:t xml:space="preserve">more than </w:t>
      </w:r>
      <w:r>
        <w:t>25,000 metric ton (MT) of GHG</w:t>
      </w:r>
      <w:r w:rsidR="00144897">
        <w:t>, or out-of state facilities with unspecified em</w:t>
      </w:r>
      <w:r w:rsidR="00F455D6">
        <w:t>i</w:t>
      </w:r>
      <w:r w:rsidR="00144897">
        <w:t>ssions (assessed a</w:t>
      </w:r>
      <w:r w:rsidR="00AC45B0">
        <w:t>t a default rate of 0.428MT/MWh</w:t>
      </w:r>
      <w:r w:rsidRPr="00F13A28" w:rsidR="00AC45B0">
        <w:t>)</w:t>
      </w:r>
      <w:r w:rsidRPr="00F13A28" w:rsidR="00E505D3">
        <w:t>.</w:t>
      </w:r>
      <w:r w:rsidRPr="00F13A28" w:rsidR="00E505D3">
        <w:rPr>
          <w:rStyle w:val="FootnoteReference"/>
        </w:rPr>
        <w:footnoteReference w:id="96"/>
      </w:r>
      <w:r w:rsidRPr="00F13A28">
        <w:t xml:space="preserve"> Based</w:t>
      </w:r>
      <w:r>
        <w:t xml:space="preserve"> on CARB’s calculations of SCE’s resource portfolio, SCE must procure and surrender compliance instruments to CARB on annual and triennial deadlines. </w:t>
      </w:r>
    </w:p>
    <w:p w:rsidR="00AA4A90" w:rsidP="00AA4A90" w:rsidRDefault="00AA4A90" w14:paraId="2FCBB68D" w14:textId="549A8C71">
      <w:pPr>
        <w:pStyle w:val="Standard"/>
      </w:pPr>
      <w:r>
        <w:t xml:space="preserve">SCE is also exposed to indirect GHG costs through </w:t>
      </w:r>
      <w:r w:rsidRPr="00DA578A">
        <w:t>its QF</w:t>
      </w:r>
      <w:r>
        <w:t xml:space="preserve"> contracts and its wholesale market electricity purchases, each of which include an embedded GHG compliance price</w:t>
      </w:r>
      <w:r w:rsidR="00873E53">
        <w:t xml:space="preserve"> that is updated monthly</w:t>
      </w:r>
      <w:r w:rsidR="009E76F7">
        <w:t xml:space="preserve"> and based on the heat rate of the resource</w:t>
      </w:r>
      <w:r>
        <w:t>.</w:t>
      </w:r>
      <w:r w:rsidR="00043CB5">
        <w:t xml:space="preserve"> The gas equivalent value for energy purchased is multiplied by an emissions factor of 117 </w:t>
      </w:r>
      <w:r w:rsidR="00A8672B">
        <w:t xml:space="preserve">pounds of </w:t>
      </w:r>
      <w:r w:rsidR="00BB3319">
        <w:t>CO</w:t>
      </w:r>
      <w:r w:rsidRPr="00B01DEC" w:rsidR="00BB3319">
        <w:rPr>
          <w:vertAlign w:val="subscript"/>
        </w:rPr>
        <w:t>2</w:t>
      </w:r>
      <w:r w:rsidR="00BB3319">
        <w:t xml:space="preserve">e </w:t>
      </w:r>
      <w:r w:rsidR="00A8672B">
        <w:t>per MMBtu.</w:t>
      </w:r>
      <w:r>
        <w:t xml:space="preserve"> </w:t>
      </w:r>
    </w:p>
    <w:p w:rsidRPr="007612CA" w:rsidR="00AA4A90" w:rsidP="007612CA" w:rsidRDefault="00AA4A90" w14:paraId="7222E50A" w14:textId="48EFDF4E">
      <w:pPr>
        <w:pStyle w:val="Standard"/>
      </w:pPr>
      <w:r>
        <w:t>For 202</w:t>
      </w:r>
      <w:r w:rsidR="00BB3319">
        <w:t>5</w:t>
      </w:r>
      <w:r>
        <w:t xml:space="preserve">, SCE forecasted a </w:t>
      </w:r>
      <w:r w:rsidRPr="005F0CF9">
        <w:t>proxy price of $</w:t>
      </w:r>
      <w:r w:rsidRPr="005F0CF9" w:rsidR="007661E0">
        <w:t>35.46</w:t>
      </w:r>
      <w:r w:rsidRPr="005F0CF9">
        <w:t xml:space="preserve">/MT </w:t>
      </w:r>
      <w:r w:rsidRPr="00BB3319">
        <w:t>of</w:t>
      </w:r>
      <w:r>
        <w:t xml:space="preserve"> GHG emissions, using the Intercontinental Exchange (ICE) settlement price </w:t>
      </w:r>
      <w:r w:rsidR="00BB3319">
        <w:t xml:space="preserve">as of </w:t>
      </w:r>
      <w:r w:rsidR="005F0CF9">
        <w:t>August</w:t>
      </w:r>
      <w:r w:rsidR="00BB3319">
        <w:t xml:space="preserve"> 26, 2024.</w:t>
      </w:r>
      <w:r>
        <w:t xml:space="preserve"> SCE forecast</w:t>
      </w:r>
      <w:r w:rsidR="00C17733">
        <w:t>s</w:t>
      </w:r>
      <w:r>
        <w:t xml:space="preserve"> </w:t>
      </w:r>
      <w:r w:rsidRPr="002D3CE7">
        <w:t>$</w:t>
      </w:r>
      <w:r w:rsidRPr="002D3CE7" w:rsidR="00C17733">
        <w:t>436.214</w:t>
      </w:r>
      <w:r w:rsidRPr="002D3CE7">
        <w:t xml:space="preserve"> million </w:t>
      </w:r>
      <w:r w:rsidRPr="005A32DA">
        <w:t xml:space="preserve">in </w:t>
      </w:r>
      <w:r>
        <w:t>costs</w:t>
      </w:r>
      <w:r w:rsidR="002C1137">
        <w:rPr>
          <w:rStyle w:val="FootnoteReference"/>
        </w:rPr>
        <w:footnoteReference w:id="97"/>
      </w:r>
      <w:r>
        <w:t xml:space="preserve"> resulting from compliance with the California Cap-and-Trade program in 202</w:t>
      </w:r>
      <w:r w:rsidR="007F0764">
        <w:t>5</w:t>
      </w:r>
      <w:r>
        <w:t xml:space="preserve"> across its direct and indirect costs, GHG costs associated with its QF contracts, and GHG costs associated with electricity purchased from the California wholesale market. </w:t>
      </w:r>
    </w:p>
    <w:p w:rsidR="00651079" w:rsidP="00840F11" w:rsidRDefault="00840F11" w14:paraId="7087FD5F" w14:textId="7537BB55">
      <w:pPr>
        <w:pStyle w:val="Heading2"/>
      </w:pPr>
      <w:bookmarkStart w:name="_Toc183184295" w:id="76"/>
      <w:r>
        <w:lastRenderedPageBreak/>
        <w:t>2025 Greenhouse Gas Forecast Revenues</w:t>
      </w:r>
      <w:r w:rsidR="003811B0">
        <w:t>, Program Costs</w:t>
      </w:r>
      <w:r w:rsidR="00EF6FE8">
        <w:t>, and Returns</w:t>
      </w:r>
      <w:bookmarkEnd w:id="76"/>
    </w:p>
    <w:p w:rsidRPr="0067536C" w:rsidR="0067536C" w:rsidP="004727BA" w:rsidRDefault="00847D59" w14:paraId="30870385" w14:textId="108E8537">
      <w:pPr>
        <w:pStyle w:val="Standard"/>
      </w:pPr>
      <w:r>
        <w:t>Each year, CARB allocates GHG allowances to each of California’s large electric IOUs as part of California’s Cap-and-Trade program. The IOUs sell these allowances at quarterly auction and return the proceeds to ratepayers, as well as use a portion of the funds for specific clean energy programs.</w:t>
      </w:r>
      <w:r w:rsidR="00FA22B1">
        <w:t xml:space="preserve"> </w:t>
      </w:r>
      <w:r w:rsidR="005D686D">
        <w:t xml:space="preserve">SCE forecasts each year’s GHG allowance revenue by multiplying the total volume of allowances that the CARB has allocated to SCE for 2025 by a forecast proxy price </w:t>
      </w:r>
      <w:r w:rsidR="00522282">
        <w:t xml:space="preserve">meant to represent </w:t>
      </w:r>
      <w:r w:rsidR="00BB3828">
        <w:t xml:space="preserve">auction prices </w:t>
      </w:r>
      <w:r w:rsidR="005D686D">
        <w:t xml:space="preserve">for these allowances. This allowance revenue </w:t>
      </w:r>
      <w:r w:rsidR="00A93072">
        <w:t>has FF&amp;U amounts deducted, then is</w:t>
      </w:r>
      <w:r w:rsidR="005D686D">
        <w:t xml:space="preserve"> adjusted by truing up the previous year</w:t>
      </w:r>
      <w:r w:rsidR="00522282">
        <w:t>’s forecast with actual revenues</w:t>
      </w:r>
      <w:r w:rsidR="00C03EBD">
        <w:t xml:space="preserve">. </w:t>
      </w:r>
      <w:r w:rsidR="00B917E2">
        <w:t>F</w:t>
      </w:r>
      <w:r w:rsidR="00B35FE1">
        <w:t>orecast administrative</w:t>
      </w:r>
      <w:r w:rsidR="00522282">
        <w:t xml:space="preserve"> </w:t>
      </w:r>
      <w:r w:rsidR="00B35FE1">
        <w:t xml:space="preserve">expenses are </w:t>
      </w:r>
      <w:r w:rsidR="00B917E2">
        <w:t xml:space="preserve">the </w:t>
      </w:r>
      <w:r w:rsidR="00B35FE1">
        <w:t xml:space="preserve">deducted, </w:t>
      </w:r>
      <w:r w:rsidR="00B917E2">
        <w:t xml:space="preserve">leaving a GHG Auction Revenue Subtotal amount for </w:t>
      </w:r>
      <w:r w:rsidR="00922768">
        <w:t xml:space="preserve">clean energy </w:t>
      </w:r>
      <w:r w:rsidR="00B917E2">
        <w:t>program costs</w:t>
      </w:r>
      <w:r w:rsidR="00B2553A">
        <w:t xml:space="preserve"> and</w:t>
      </w:r>
      <w:r w:rsidR="00922768">
        <w:t xml:space="preserve"> customer</w:t>
      </w:r>
      <w:r w:rsidRPr="00B2553A" w:rsidR="00B2553A">
        <w:t xml:space="preserve"> </w:t>
      </w:r>
      <w:r w:rsidR="00B2553A">
        <w:t>returns.</w:t>
      </w:r>
    </w:p>
    <w:p w:rsidR="0099670E" w:rsidP="005922CD" w:rsidRDefault="005922CD" w14:paraId="626DC228" w14:textId="2530CEFD">
      <w:pPr>
        <w:pStyle w:val="Heading3"/>
      </w:pPr>
      <w:bookmarkStart w:name="_Toc183184296" w:id="77"/>
      <w:r>
        <w:t>Revenues</w:t>
      </w:r>
      <w:bookmarkEnd w:id="77"/>
    </w:p>
    <w:p w:rsidR="00D2058A" w:rsidP="009C20D8" w:rsidRDefault="00C107FB" w14:paraId="63168EF4" w14:textId="77777777">
      <w:pPr>
        <w:pStyle w:val="Standard"/>
        <w:rPr>
          <w:rStyle w:val="StandardChar"/>
        </w:rPr>
      </w:pPr>
      <w:r w:rsidRPr="009C20D8">
        <w:rPr>
          <w:rStyle w:val="StandardChar"/>
        </w:rPr>
        <w:t xml:space="preserve">GHG revenue is expected to be materially lower than previous forecasts for both 2024 and 2025 due to a significant drop in the GHG proxy price for the remainder of 2024 through </w:t>
      </w:r>
      <w:r w:rsidRPr="00D2058A">
        <w:rPr>
          <w:rStyle w:val="StandardChar"/>
        </w:rPr>
        <w:t>2025.</w:t>
      </w:r>
      <w:r w:rsidRPr="00DE0F66" w:rsidR="00DB7846">
        <w:rPr>
          <w:rStyle w:val="FootnoteReference"/>
          <w:rFonts w:eastAsiaTheme="majorEastAsia" w:cstheme="majorBidi"/>
          <w:bCs/>
          <w:szCs w:val="24"/>
        </w:rPr>
        <w:footnoteReference w:id="98"/>
      </w:r>
      <w:r w:rsidRPr="00D2058A">
        <w:rPr>
          <w:rStyle w:val="StandardChar"/>
        </w:rPr>
        <w:t xml:space="preserve"> </w:t>
      </w:r>
    </w:p>
    <w:p w:rsidR="00FD7CA0" w:rsidP="009C20D8" w:rsidRDefault="000E1D37" w14:paraId="4F56989E" w14:textId="742C98F4">
      <w:pPr>
        <w:pStyle w:val="Standard"/>
      </w:pPr>
      <w:r w:rsidRPr="00D2058A">
        <w:rPr>
          <w:rStyle w:val="StandardChar"/>
        </w:rPr>
        <w:t>SCE</w:t>
      </w:r>
      <w:r w:rsidRPr="00345B92">
        <w:rPr>
          <w:rStyle w:val="StandardChar"/>
        </w:rPr>
        <w:t xml:space="preserve"> estimate</w:t>
      </w:r>
      <w:r w:rsidRPr="00345B92" w:rsidR="000C59FD">
        <w:rPr>
          <w:rStyle w:val="StandardChar"/>
        </w:rPr>
        <w:t>s</w:t>
      </w:r>
      <w:r w:rsidRPr="00345B92">
        <w:rPr>
          <w:rStyle w:val="StandardChar"/>
        </w:rPr>
        <w:t xml:space="preserve"> its 202</w:t>
      </w:r>
      <w:r w:rsidRPr="00345B92" w:rsidR="000C59FD">
        <w:rPr>
          <w:rStyle w:val="StandardChar"/>
        </w:rPr>
        <w:t>5</w:t>
      </w:r>
      <w:r w:rsidRPr="00345B92">
        <w:rPr>
          <w:rStyle w:val="StandardChar"/>
        </w:rPr>
        <w:t xml:space="preserve"> GHG allowance revenue</w:t>
      </w:r>
      <w:r w:rsidR="00701DD0">
        <w:rPr>
          <w:rStyle w:val="StandardChar"/>
        </w:rPr>
        <w:t xml:space="preserve"> (including FF&amp;U)</w:t>
      </w:r>
      <w:r w:rsidRPr="00345B92">
        <w:rPr>
          <w:rStyle w:val="StandardChar"/>
        </w:rPr>
        <w:t xml:space="preserve"> w</w:t>
      </w:r>
      <w:r w:rsidRPr="00345B92" w:rsidR="000C59FD">
        <w:rPr>
          <w:rStyle w:val="StandardChar"/>
        </w:rPr>
        <w:t>ill</w:t>
      </w:r>
      <w:r w:rsidRPr="00345B92">
        <w:rPr>
          <w:rStyle w:val="StandardChar"/>
        </w:rPr>
        <w:t xml:space="preserve"> total $</w:t>
      </w:r>
      <w:r w:rsidR="00C63A1F">
        <w:rPr>
          <w:rStyle w:val="StandardChar"/>
        </w:rPr>
        <w:t>825.968</w:t>
      </w:r>
      <w:r w:rsidRPr="00345B92">
        <w:rPr>
          <w:rStyle w:val="StandardChar"/>
        </w:rPr>
        <w:t xml:space="preserve"> million, as illustrated in Table </w:t>
      </w:r>
      <w:r w:rsidR="00A1402A">
        <w:rPr>
          <w:rStyle w:val="StandardChar"/>
        </w:rPr>
        <w:t>6</w:t>
      </w:r>
      <w:r w:rsidRPr="00345B92">
        <w:rPr>
          <w:rStyle w:val="StandardChar"/>
        </w:rPr>
        <w:t>-1.</w:t>
      </w:r>
      <w:r>
        <w:t xml:space="preserve"> </w:t>
      </w:r>
    </w:p>
    <w:p w:rsidR="005E0ACD" w:rsidP="009C20D8" w:rsidRDefault="005E0ACD" w14:paraId="21D860BB" w14:textId="20AD580B">
      <w:pPr>
        <w:pStyle w:val="Standard"/>
      </w:pPr>
      <w:r>
        <w:t xml:space="preserve">SCE forecasts that </w:t>
      </w:r>
      <w:r w:rsidR="0078347F">
        <w:t xml:space="preserve">California IOUs’ combined allocation of forecast GHG </w:t>
      </w:r>
      <w:r w:rsidR="009C6836">
        <w:t>allowance auction proceeds w</w:t>
      </w:r>
      <w:r w:rsidR="00A41F18">
        <w:t xml:space="preserve">ill total </w:t>
      </w:r>
      <w:r w:rsidR="00902E81">
        <w:t>$</w:t>
      </w:r>
      <w:r w:rsidR="00A41F18">
        <w:t>1.</w:t>
      </w:r>
      <w:r w:rsidR="00902E81">
        <w:t>893 billion</w:t>
      </w:r>
      <w:r w:rsidR="00902E81">
        <w:rPr>
          <w:rStyle w:val="FootnoteReference"/>
        </w:rPr>
        <w:footnoteReference w:id="99"/>
      </w:r>
      <w:r w:rsidR="00902E81">
        <w:t>.</w:t>
      </w:r>
    </w:p>
    <w:p w:rsidRPr="00267142" w:rsidR="00FD7CA0" w:rsidP="005A13E3" w:rsidRDefault="00FD7CA0" w14:paraId="06F2AEFA" w14:textId="275FB31B">
      <w:pPr>
        <w:pStyle w:val="Heading3"/>
        <w:ind w:left="1620" w:hanging="900"/>
      </w:pPr>
      <w:bookmarkStart w:name="_Toc183184297" w:id="78"/>
      <w:r w:rsidRPr="00267142">
        <w:lastRenderedPageBreak/>
        <w:t xml:space="preserve">Reconciliation of Prior Period </w:t>
      </w:r>
      <w:r w:rsidR="005A13E3">
        <w:br/>
      </w:r>
      <w:r w:rsidR="006F07DC">
        <w:t>GHG</w:t>
      </w:r>
      <w:r w:rsidRPr="00267142">
        <w:t xml:space="preserve"> Costs</w:t>
      </w:r>
      <w:bookmarkEnd w:id="78"/>
      <w:r w:rsidRPr="00267142">
        <w:t xml:space="preserve"> </w:t>
      </w:r>
    </w:p>
    <w:p w:rsidRPr="00FD110D" w:rsidR="00FD110D" w:rsidP="00FD110D" w:rsidRDefault="00FD7CA0" w14:paraId="411CA484" w14:textId="41B8B9CE">
      <w:pPr>
        <w:pStyle w:val="Standard"/>
      </w:pPr>
      <w:r w:rsidRPr="00FD110D">
        <w:t xml:space="preserve">As per the Alternate </w:t>
      </w:r>
      <w:r w:rsidRPr="00C3787B">
        <w:t>October</w:t>
      </w:r>
      <w:r w:rsidRPr="00FD110D">
        <w:t xml:space="preserve"> Update, SCE estimated its GHG allowance proceeds will result in an undercollection of </w:t>
      </w:r>
      <w:r w:rsidRPr="00C3787B">
        <w:t>$1</w:t>
      </w:r>
      <w:r w:rsidRPr="00FD110D" w:rsidR="00F14472">
        <w:t>2</w:t>
      </w:r>
      <w:r w:rsidRPr="00345B92">
        <w:t xml:space="preserve">7.531 million </w:t>
      </w:r>
      <w:r w:rsidRPr="00FD110D">
        <w:t>in 2024.</w:t>
      </w:r>
      <w:r w:rsidRPr="00F13A28">
        <w:rPr>
          <w:rStyle w:val="FootnoteReference"/>
        </w:rPr>
        <w:footnoteReference w:id="100"/>
      </w:r>
      <w:r w:rsidRPr="00F13A28">
        <w:rPr>
          <w:vertAlign w:val="superscript"/>
        </w:rPr>
        <w:t xml:space="preserve"> </w:t>
      </w:r>
      <w:r w:rsidRPr="00FD110D">
        <w:t xml:space="preserve">This represents the 2024 consignment to auction of GHG allowances allocated to SCE by the State of California. The undercollection is due to a difference in forecast and actual auction allowance </w:t>
      </w:r>
      <w:r w:rsidRPr="00FD110D" w:rsidR="00DE0F66">
        <w:t>revenues</w:t>
      </w:r>
      <w:r w:rsidR="00DE0F66">
        <w:t xml:space="preserve"> and</w:t>
      </w:r>
      <w:r w:rsidR="007F7AFB">
        <w:t xml:space="preserve"> accrues </w:t>
      </w:r>
      <w:r w:rsidR="00DE0F66">
        <w:t>within</w:t>
      </w:r>
      <w:r w:rsidR="007F7AFB">
        <w:t xml:space="preserve"> the </w:t>
      </w:r>
      <w:r w:rsidR="00A31E9A">
        <w:t>Greenhouse Gas Revenue Balancing Account (GHGRBA)</w:t>
      </w:r>
      <w:r w:rsidRPr="00FD110D">
        <w:t>.</w:t>
      </w:r>
    </w:p>
    <w:p w:rsidR="00FD110D" w:rsidP="005A13E3" w:rsidRDefault="00FD110D" w14:paraId="61AB665B" w14:textId="1B38B9DD">
      <w:pPr>
        <w:pStyle w:val="Heading3"/>
        <w:ind w:left="1620" w:hanging="900"/>
      </w:pPr>
      <w:bookmarkStart w:name="_Toc183184298" w:id="79"/>
      <w:r w:rsidRPr="006A6990">
        <w:t>Administrative</w:t>
      </w:r>
      <w:r>
        <w:t xml:space="preserve"> and Customer </w:t>
      </w:r>
      <w:r w:rsidR="005A13E3">
        <w:br/>
      </w:r>
      <w:r>
        <w:t>Outreach Expenses</w:t>
      </w:r>
      <w:bookmarkEnd w:id="79"/>
    </w:p>
    <w:p w:rsidR="00D2058A" w:rsidP="00C107FB" w:rsidRDefault="00FD110D" w14:paraId="6236F3B6" w14:textId="77777777">
      <w:pPr>
        <w:pStyle w:val="Standard"/>
      </w:pPr>
      <w:r>
        <w:t>SCE forecasted it will spend approximately $0.868 million to administer its California Climate Credit program in 2025,</w:t>
      </w:r>
      <w:r>
        <w:rPr>
          <w:rStyle w:val="FootnoteReference"/>
        </w:rPr>
        <w:footnoteReference w:id="101"/>
      </w:r>
      <w:r>
        <w:t xml:space="preserve"> which includes internal employee and customer-outreach related costs. This amount is slightly higher than in past years, which SCE asserts is due to system updates related to the </w:t>
      </w:r>
      <w:r w:rsidRPr="00DA578A">
        <w:t>delivery of EITE</w:t>
      </w:r>
      <w:r>
        <w:t xml:space="preserve"> credits. The majority of administrative costs are associated with the disbursement of the California Climate Credit in April and October, and SCE’s 2025 forecast aligns with what was approved in D.23-11-094 in its 2024 ERRA forecast proceeding.</w:t>
      </w:r>
      <w:r>
        <w:rPr>
          <w:rStyle w:val="FootnoteReference"/>
        </w:rPr>
        <w:footnoteReference w:id="102"/>
      </w:r>
      <w:r>
        <w:t xml:space="preserve"> </w:t>
      </w:r>
    </w:p>
    <w:p w:rsidRPr="00CC76AF" w:rsidR="000E1D37" w:rsidP="00C107FB" w:rsidRDefault="00FD110D" w14:paraId="0368ED54" w14:textId="2A2ED891">
      <w:pPr>
        <w:pStyle w:val="Standard"/>
      </w:pPr>
      <w:r w:rsidRPr="008017EC">
        <w:t>No parties opposed or commented on SCE’s 2025 forecast of administrative and customer outreach expenses. Upon consideration, the Commission finds SCE’s 2025 forecast GHG-revenue related administrative and customer outreach expense costs reasonable and in compliance with applicable rules, orders, and Commission Decisions</w:t>
      </w:r>
      <w:r w:rsidRPr="00CC76AF">
        <w:t>.</w:t>
      </w:r>
    </w:p>
    <w:p w:rsidRPr="00454D1A" w:rsidR="000E1D37" w:rsidP="00C44C91" w:rsidRDefault="000E1D37" w14:paraId="6B655BDF" w14:textId="172205F9">
      <w:pPr>
        <w:pStyle w:val="TableTitleBodyH095"/>
        <w:ind w:left="720" w:right="1296" w:hanging="720"/>
      </w:pPr>
      <w:r w:rsidRPr="002F290B">
        <w:rPr>
          <w:b/>
          <w:bCs w:val="0"/>
        </w:rPr>
        <w:lastRenderedPageBreak/>
        <w:t>Table</w:t>
      </w:r>
      <w:r w:rsidRPr="002F290B">
        <w:rPr>
          <w:b/>
        </w:rPr>
        <w:t> </w:t>
      </w:r>
      <w:r w:rsidR="00E83ADF">
        <w:rPr>
          <w:b/>
          <w:bCs w:val="0"/>
        </w:rPr>
        <w:t>6</w:t>
      </w:r>
      <w:r w:rsidRPr="002F290B">
        <w:rPr>
          <w:b/>
        </w:rPr>
        <w:noBreakHyphen/>
        <w:t>1.</w:t>
      </w:r>
      <w:r w:rsidRPr="002F290B">
        <w:rPr>
          <w:b/>
        </w:rPr>
        <w:tab/>
      </w:r>
      <w:r w:rsidRPr="002F290B">
        <w:t xml:space="preserve">Summary of SCE 2024 GHG </w:t>
      </w:r>
      <w:r>
        <w:t>Allocated Allowance Auction Proceeds</w:t>
      </w:r>
      <w:r w:rsidRPr="002F290B">
        <w:t xml:space="preserve"> and </w:t>
      </w:r>
      <w:r>
        <w:t xml:space="preserve">Related </w:t>
      </w:r>
      <w:r w:rsidRPr="002F290B">
        <w:t>Expenses</w:t>
      </w:r>
      <w:r>
        <w:rPr>
          <w:rStyle w:val="FootnoteReference"/>
        </w:rPr>
        <w:footnoteReference w:id="103"/>
      </w:r>
    </w:p>
    <w:tbl>
      <w:tblPr>
        <w:tblStyle w:val="TableGrid2"/>
        <w:tblW w:w="7645" w:type="dxa"/>
        <w:jc w:val="center"/>
        <w:tblLayout w:type="fixed"/>
        <w:tblCellMar>
          <w:top w:w="58" w:type="dxa"/>
          <w:bottom w:w="58" w:type="dxa"/>
        </w:tblCellMar>
        <w:tblLook w:val="04A0" w:firstRow="1" w:lastRow="0" w:firstColumn="1" w:lastColumn="0" w:noHBand="0" w:noVBand="1"/>
      </w:tblPr>
      <w:tblGrid>
        <w:gridCol w:w="5722"/>
        <w:gridCol w:w="1923"/>
      </w:tblGrid>
      <w:tr w:rsidRPr="006A6990" w:rsidR="000E1D37" w14:paraId="4044CFE7" w14:textId="77777777">
        <w:trPr>
          <w:cantSplit/>
          <w:trHeight w:val="445"/>
          <w:tblHeader/>
          <w:jc w:val="center"/>
        </w:trPr>
        <w:tc>
          <w:tcPr>
            <w:tcW w:w="5722" w:type="dxa"/>
            <w:tcBorders>
              <w:top w:val="single" w:color="auto" w:sz="4" w:space="0"/>
              <w:left w:val="single" w:color="auto" w:sz="4" w:space="0"/>
              <w:bottom w:val="single" w:color="auto" w:sz="4" w:space="0"/>
              <w:right w:val="single" w:color="auto" w:sz="4" w:space="0"/>
            </w:tcBorders>
            <w:vAlign w:val="bottom"/>
            <w:hideMark/>
          </w:tcPr>
          <w:p w:rsidRPr="006A6990" w:rsidR="000E1D37" w:rsidRDefault="000E1D37" w14:paraId="2A82683C" w14:textId="77777777">
            <w:pPr>
              <w:keepNext/>
              <w:spacing w:line="240" w:lineRule="auto"/>
              <w:ind w:firstLine="0"/>
              <w:jc w:val="center"/>
              <w:rPr>
                <w:b/>
                <w:szCs w:val="26"/>
              </w:rPr>
            </w:pPr>
            <w:r w:rsidRPr="006A6990">
              <w:rPr>
                <w:b/>
                <w:szCs w:val="26"/>
              </w:rPr>
              <w:t>Program</w:t>
            </w:r>
          </w:p>
        </w:tc>
        <w:tc>
          <w:tcPr>
            <w:tcW w:w="1923" w:type="dxa"/>
            <w:tcBorders>
              <w:top w:val="single" w:color="auto" w:sz="4" w:space="0"/>
              <w:left w:val="single" w:color="auto" w:sz="4" w:space="0"/>
              <w:bottom w:val="single" w:color="auto" w:sz="4" w:space="0"/>
              <w:right w:val="single" w:color="auto" w:sz="4" w:space="0"/>
            </w:tcBorders>
            <w:vAlign w:val="bottom"/>
          </w:tcPr>
          <w:p w:rsidRPr="006A6990" w:rsidR="000E1D37" w:rsidRDefault="000E1D37" w14:paraId="67E580C3" w14:textId="77777777">
            <w:pPr>
              <w:keepNext/>
              <w:spacing w:line="240" w:lineRule="auto"/>
              <w:ind w:firstLine="0"/>
              <w:jc w:val="center"/>
              <w:rPr>
                <w:b/>
                <w:szCs w:val="26"/>
              </w:rPr>
            </w:pPr>
          </w:p>
          <w:p w:rsidRPr="006A6990" w:rsidR="000E1D37" w:rsidRDefault="000E1D37" w14:paraId="6A89B72B" w14:textId="77777777">
            <w:pPr>
              <w:keepNext/>
              <w:spacing w:line="240" w:lineRule="auto"/>
              <w:ind w:firstLine="0"/>
              <w:jc w:val="center"/>
              <w:rPr>
                <w:b/>
                <w:szCs w:val="26"/>
              </w:rPr>
            </w:pPr>
            <w:r w:rsidRPr="006A6990">
              <w:rPr>
                <w:b/>
                <w:szCs w:val="26"/>
              </w:rPr>
              <w:t>SCE Proposed (Mill</w:t>
            </w:r>
            <w:r>
              <w:rPr>
                <w:b/>
                <w:szCs w:val="26"/>
              </w:rPr>
              <w:t>i</w:t>
            </w:r>
            <w:r w:rsidRPr="006A6990">
              <w:rPr>
                <w:b/>
                <w:szCs w:val="26"/>
              </w:rPr>
              <w:t xml:space="preserve">ons) </w:t>
            </w:r>
          </w:p>
        </w:tc>
      </w:tr>
      <w:tr w:rsidRPr="006A6990" w:rsidR="000E1D37" w14:paraId="36151DCB" w14:textId="77777777">
        <w:trPr>
          <w:cantSplit/>
          <w:jc w:val="center"/>
        </w:trPr>
        <w:tc>
          <w:tcPr>
            <w:tcW w:w="5722" w:type="dxa"/>
            <w:tcBorders>
              <w:top w:val="single" w:color="auto" w:sz="4" w:space="0"/>
              <w:left w:val="single" w:color="auto" w:sz="4" w:space="0"/>
              <w:bottom w:val="single" w:color="auto" w:sz="4" w:space="0"/>
              <w:right w:val="single" w:color="auto" w:sz="4" w:space="0"/>
            </w:tcBorders>
          </w:tcPr>
          <w:p w:rsidRPr="00F71AB0" w:rsidR="000E1D37" w:rsidRDefault="000E1D37" w14:paraId="2AE89E3F" w14:textId="02C6E8D0">
            <w:pPr>
              <w:spacing w:line="240" w:lineRule="auto"/>
              <w:ind w:firstLine="0"/>
              <w:rPr>
                <w:szCs w:val="26"/>
                <w:u w:val="single"/>
              </w:rPr>
            </w:pPr>
            <w:r w:rsidRPr="00F71AB0">
              <w:rPr>
                <w:szCs w:val="26"/>
                <w:u w:val="single"/>
              </w:rPr>
              <w:t xml:space="preserve">GHG </w:t>
            </w:r>
            <w:r w:rsidRPr="00F71AB0" w:rsidR="002071DB">
              <w:rPr>
                <w:szCs w:val="26"/>
                <w:u w:val="single"/>
              </w:rPr>
              <w:t>A</w:t>
            </w:r>
            <w:r w:rsidRPr="00F71AB0">
              <w:rPr>
                <w:szCs w:val="26"/>
                <w:u w:val="single"/>
              </w:rPr>
              <w:t xml:space="preserve">uction revenues </w:t>
            </w:r>
          </w:p>
          <w:p w:rsidRPr="006A6990" w:rsidR="000C59FD" w:rsidP="00676AEE" w:rsidRDefault="000C59FD" w14:paraId="6D862F78" w14:textId="018B55D4">
            <w:pPr>
              <w:numPr>
                <w:ilvl w:val="0"/>
                <w:numId w:val="19"/>
              </w:numPr>
              <w:spacing w:line="240" w:lineRule="auto"/>
              <w:rPr>
                <w:szCs w:val="26"/>
              </w:rPr>
            </w:pPr>
            <w:r w:rsidRPr="006A6990">
              <w:rPr>
                <w:szCs w:val="26"/>
              </w:rPr>
              <w:t>202</w:t>
            </w:r>
            <w:r>
              <w:rPr>
                <w:szCs w:val="26"/>
              </w:rPr>
              <w:t>5</w:t>
            </w:r>
            <w:r w:rsidRPr="006A6990">
              <w:rPr>
                <w:szCs w:val="26"/>
              </w:rPr>
              <w:t xml:space="preserve"> Forecast GHG auction allowance revenue</w:t>
            </w:r>
            <w:r>
              <w:rPr>
                <w:szCs w:val="26"/>
              </w:rPr>
              <w:t>s</w:t>
            </w:r>
          </w:p>
          <w:p w:rsidRPr="006A6990" w:rsidR="000E1D37" w:rsidP="00676AEE" w:rsidRDefault="006A5DDC" w14:paraId="390B9BBF" w14:textId="2CB3033B">
            <w:pPr>
              <w:numPr>
                <w:ilvl w:val="0"/>
                <w:numId w:val="19"/>
              </w:numPr>
              <w:spacing w:line="240" w:lineRule="auto"/>
              <w:rPr>
                <w:szCs w:val="26"/>
              </w:rPr>
            </w:pPr>
            <w:r>
              <w:rPr>
                <w:szCs w:val="26"/>
              </w:rPr>
              <w:t xml:space="preserve">Associated </w:t>
            </w:r>
            <w:r w:rsidRPr="006A6990" w:rsidR="000D7831">
              <w:rPr>
                <w:szCs w:val="26"/>
              </w:rPr>
              <w:t xml:space="preserve">FF&amp;U </w:t>
            </w:r>
          </w:p>
          <w:p w:rsidR="000E1D37" w:rsidP="00676AEE" w:rsidRDefault="000D7831" w14:paraId="213DCF88" w14:textId="22505156">
            <w:pPr>
              <w:numPr>
                <w:ilvl w:val="0"/>
                <w:numId w:val="19"/>
              </w:numPr>
              <w:spacing w:line="240" w:lineRule="auto"/>
              <w:rPr>
                <w:szCs w:val="26"/>
              </w:rPr>
            </w:pPr>
            <w:r w:rsidRPr="006A6990">
              <w:rPr>
                <w:szCs w:val="26"/>
              </w:rPr>
              <w:t>202</w:t>
            </w:r>
            <w:r>
              <w:rPr>
                <w:szCs w:val="26"/>
              </w:rPr>
              <w:t>4</w:t>
            </w:r>
            <w:r w:rsidRPr="006A6990">
              <w:rPr>
                <w:szCs w:val="26"/>
              </w:rPr>
              <w:t xml:space="preserve"> GHG Auction revenue true</w:t>
            </w:r>
            <w:r w:rsidRPr="006A6990">
              <w:rPr>
                <w:szCs w:val="26"/>
              </w:rPr>
              <w:noBreakHyphen/>
              <w:t>up</w:t>
            </w:r>
          </w:p>
          <w:p w:rsidR="00F57CE3" w:rsidP="00F71AB0" w:rsidRDefault="00F57CE3" w14:paraId="61991002" w14:textId="77777777">
            <w:pPr>
              <w:spacing w:line="240" w:lineRule="auto"/>
              <w:ind w:left="720" w:firstLine="0"/>
              <w:rPr>
                <w:szCs w:val="26"/>
              </w:rPr>
            </w:pPr>
          </w:p>
          <w:p w:rsidRPr="00F71AB0" w:rsidR="000C59FD" w:rsidP="00F71AB0" w:rsidRDefault="002071DB" w14:paraId="0177A7C1" w14:textId="3808F1B1">
            <w:pPr>
              <w:spacing w:line="240" w:lineRule="auto"/>
              <w:ind w:firstLine="0"/>
              <w:rPr>
                <w:szCs w:val="26"/>
                <w:u w:val="single"/>
              </w:rPr>
            </w:pPr>
            <w:r w:rsidRPr="00F71AB0">
              <w:rPr>
                <w:szCs w:val="26"/>
                <w:u w:val="single"/>
              </w:rPr>
              <w:t>2025 Forecast Administrative</w:t>
            </w:r>
            <w:r w:rsidRPr="00F71AB0" w:rsidR="003C4BF4">
              <w:rPr>
                <w:szCs w:val="26"/>
                <w:u w:val="single"/>
              </w:rPr>
              <w:t xml:space="preserve"> Expenses</w:t>
            </w:r>
          </w:p>
          <w:p w:rsidRPr="006A6990" w:rsidR="00C62E9C" w:rsidP="00676AEE" w:rsidRDefault="00C62E9C" w14:paraId="570FA75C" w14:textId="6D44B7A7">
            <w:pPr>
              <w:numPr>
                <w:ilvl w:val="0"/>
                <w:numId w:val="19"/>
              </w:numPr>
              <w:spacing w:line="240" w:lineRule="auto"/>
              <w:rPr>
                <w:szCs w:val="26"/>
              </w:rPr>
            </w:pPr>
            <w:r w:rsidRPr="006A6990">
              <w:rPr>
                <w:szCs w:val="26"/>
              </w:rPr>
              <w:t>202</w:t>
            </w:r>
            <w:r w:rsidR="00563478">
              <w:rPr>
                <w:szCs w:val="26"/>
              </w:rPr>
              <w:t>5</w:t>
            </w:r>
            <w:r w:rsidRPr="006A6990">
              <w:rPr>
                <w:szCs w:val="26"/>
              </w:rPr>
              <w:t xml:space="preserve"> Outreach and Administrative Expenses</w:t>
            </w:r>
          </w:p>
          <w:p w:rsidRPr="006A6990" w:rsidR="006A5DDC" w:rsidP="006A5DDC" w:rsidRDefault="006A5DDC" w14:paraId="2EC28229" w14:textId="77777777">
            <w:pPr>
              <w:numPr>
                <w:ilvl w:val="0"/>
                <w:numId w:val="19"/>
              </w:numPr>
              <w:spacing w:line="240" w:lineRule="auto"/>
              <w:rPr>
                <w:szCs w:val="26"/>
              </w:rPr>
            </w:pPr>
            <w:r w:rsidRPr="006A6990">
              <w:rPr>
                <w:szCs w:val="26"/>
              </w:rPr>
              <w:t>202</w:t>
            </w:r>
            <w:r>
              <w:rPr>
                <w:szCs w:val="26"/>
              </w:rPr>
              <w:t>5</w:t>
            </w:r>
            <w:r w:rsidRPr="006A6990">
              <w:rPr>
                <w:szCs w:val="26"/>
              </w:rPr>
              <w:t xml:space="preserve"> Forecast FF&amp;U </w:t>
            </w:r>
          </w:p>
          <w:p w:rsidRPr="006A6990" w:rsidR="000E1D37" w:rsidRDefault="000E1D37" w14:paraId="5B4F4675" w14:textId="77777777">
            <w:pPr>
              <w:spacing w:line="240" w:lineRule="auto"/>
              <w:ind w:firstLine="0"/>
              <w:rPr>
                <w:szCs w:val="26"/>
              </w:rPr>
            </w:pPr>
            <w:r w:rsidRPr="006A6990">
              <w:rPr>
                <w:szCs w:val="26"/>
              </w:rPr>
              <w:t>_________________________________________</w:t>
            </w:r>
          </w:p>
          <w:p w:rsidRPr="000E2A76" w:rsidR="000E1D37" w:rsidRDefault="000E1D37" w14:paraId="0B4EDD3C" w14:textId="19E6907C">
            <w:pPr>
              <w:spacing w:line="240" w:lineRule="auto"/>
              <w:ind w:firstLine="0"/>
              <w:rPr>
                <w:b/>
                <w:bCs/>
                <w:szCs w:val="26"/>
              </w:rPr>
            </w:pPr>
            <w:r w:rsidRPr="000E2A76">
              <w:rPr>
                <w:b/>
                <w:bCs/>
                <w:szCs w:val="26"/>
              </w:rPr>
              <w:t xml:space="preserve">GHG </w:t>
            </w:r>
            <w:r w:rsidR="0081543D">
              <w:rPr>
                <w:b/>
                <w:bCs/>
                <w:szCs w:val="26"/>
              </w:rPr>
              <w:t xml:space="preserve">Auction </w:t>
            </w:r>
            <w:r w:rsidRPr="000E2A76">
              <w:rPr>
                <w:b/>
                <w:bCs/>
                <w:szCs w:val="26"/>
              </w:rPr>
              <w:t>Revenue Subtotal</w:t>
            </w:r>
          </w:p>
        </w:tc>
        <w:tc>
          <w:tcPr>
            <w:tcW w:w="1923" w:type="dxa"/>
            <w:tcBorders>
              <w:top w:val="single" w:color="auto" w:sz="4" w:space="0"/>
              <w:left w:val="single" w:color="auto" w:sz="4" w:space="0"/>
              <w:bottom w:val="single" w:color="auto" w:sz="4" w:space="0"/>
              <w:right w:val="single" w:color="auto" w:sz="4" w:space="0"/>
            </w:tcBorders>
          </w:tcPr>
          <w:p w:rsidRPr="006A6990" w:rsidR="000E1D37" w:rsidP="00BF67C3" w:rsidRDefault="000E1D37" w14:paraId="6B89FB65" w14:textId="77777777">
            <w:pPr>
              <w:keepNext/>
              <w:spacing w:line="240" w:lineRule="auto"/>
              <w:ind w:firstLine="0"/>
              <w:jc w:val="right"/>
              <w:rPr>
                <w:szCs w:val="26"/>
              </w:rPr>
            </w:pPr>
          </w:p>
          <w:p w:rsidRPr="00DF5CAC" w:rsidR="000E1D37" w:rsidP="00F71AB0" w:rsidRDefault="00476C27" w14:paraId="277E3F2A" w14:textId="098439AF">
            <w:pPr>
              <w:pStyle w:val="ListParagraph"/>
              <w:keepNext/>
              <w:numPr>
                <w:ilvl w:val="0"/>
                <w:numId w:val="32"/>
              </w:numPr>
              <w:spacing w:line="240" w:lineRule="auto"/>
              <w:ind w:left="654"/>
              <w:jc w:val="center"/>
              <w:rPr>
                <w:szCs w:val="26"/>
              </w:rPr>
            </w:pPr>
            <w:r>
              <w:rPr>
                <w:szCs w:val="26"/>
              </w:rPr>
              <w:t>$</w:t>
            </w:r>
            <w:r w:rsidR="006F5FB8">
              <w:rPr>
                <w:szCs w:val="26"/>
              </w:rPr>
              <w:t xml:space="preserve"> </w:t>
            </w:r>
            <w:r>
              <w:rPr>
                <w:szCs w:val="26"/>
              </w:rPr>
              <w:t>816.832</w:t>
            </w:r>
          </w:p>
          <w:p w:rsidRPr="006A6990" w:rsidR="000E1D37" w:rsidP="00BF67C3" w:rsidRDefault="000E1D37" w14:paraId="3149F045" w14:textId="77777777">
            <w:pPr>
              <w:keepNext/>
              <w:spacing w:line="240" w:lineRule="auto"/>
              <w:ind w:firstLine="0"/>
              <w:jc w:val="right"/>
              <w:rPr>
                <w:szCs w:val="26"/>
              </w:rPr>
            </w:pPr>
          </w:p>
          <w:p w:rsidRPr="00577CF4" w:rsidR="000E1D37" w:rsidP="00701DD0" w:rsidRDefault="000E1D37" w14:paraId="7C9361E0" w14:textId="6FE87157">
            <w:pPr>
              <w:pStyle w:val="ListParagraph"/>
              <w:keepNext/>
              <w:numPr>
                <w:ilvl w:val="0"/>
                <w:numId w:val="32"/>
              </w:numPr>
              <w:spacing w:line="240" w:lineRule="auto"/>
              <w:ind w:left="459"/>
              <w:jc w:val="right"/>
              <w:rPr>
                <w:szCs w:val="26"/>
              </w:rPr>
            </w:pPr>
            <w:r w:rsidRPr="00577CF4">
              <w:rPr>
                <w:szCs w:val="26"/>
              </w:rPr>
              <w:t>$</w:t>
            </w:r>
            <w:r w:rsidRPr="00577CF4" w:rsidR="006F5FB8">
              <w:rPr>
                <w:szCs w:val="26"/>
              </w:rPr>
              <w:t xml:space="preserve"> </w:t>
            </w:r>
            <w:r w:rsidRPr="00577CF4" w:rsidR="00F42845">
              <w:rPr>
                <w:szCs w:val="26"/>
              </w:rPr>
              <w:t xml:space="preserve">  </w:t>
            </w:r>
            <w:r w:rsidRPr="00577CF4" w:rsidR="000D7831">
              <w:rPr>
                <w:szCs w:val="26"/>
              </w:rPr>
              <w:t xml:space="preserve">  9</w:t>
            </w:r>
            <w:r w:rsidRPr="00577CF4" w:rsidR="00DF5CAC">
              <w:rPr>
                <w:szCs w:val="26"/>
              </w:rPr>
              <w:t>.</w:t>
            </w:r>
            <w:r w:rsidRPr="00577CF4" w:rsidR="000D7831">
              <w:rPr>
                <w:szCs w:val="26"/>
              </w:rPr>
              <w:t>136</w:t>
            </w:r>
          </w:p>
          <w:p w:rsidR="000E1D37" w:rsidP="00BF67C3" w:rsidRDefault="000E1D37" w14:paraId="3D1ED446" w14:textId="4206BD19">
            <w:pPr>
              <w:keepNext/>
              <w:spacing w:line="240" w:lineRule="auto"/>
              <w:ind w:firstLine="0"/>
              <w:jc w:val="right"/>
              <w:rPr>
                <w:szCs w:val="26"/>
              </w:rPr>
            </w:pPr>
            <w:r w:rsidRPr="006A6990">
              <w:rPr>
                <w:szCs w:val="26"/>
              </w:rPr>
              <w:t>$</w:t>
            </w:r>
            <w:r w:rsidR="006F5FB8">
              <w:rPr>
                <w:szCs w:val="26"/>
              </w:rPr>
              <w:t xml:space="preserve"> </w:t>
            </w:r>
            <w:r w:rsidR="002923D5">
              <w:rPr>
                <w:szCs w:val="26"/>
              </w:rPr>
              <w:t>127</w:t>
            </w:r>
            <w:r w:rsidR="00F42845">
              <w:rPr>
                <w:szCs w:val="26"/>
              </w:rPr>
              <w:t>.</w:t>
            </w:r>
            <w:r w:rsidR="002923D5">
              <w:rPr>
                <w:szCs w:val="26"/>
              </w:rPr>
              <w:t>5</w:t>
            </w:r>
            <w:r w:rsidR="00F42845">
              <w:rPr>
                <w:szCs w:val="26"/>
              </w:rPr>
              <w:t>3</w:t>
            </w:r>
            <w:r w:rsidR="002923D5">
              <w:rPr>
                <w:szCs w:val="26"/>
              </w:rPr>
              <w:t>1</w:t>
            </w:r>
          </w:p>
          <w:p w:rsidR="00676AEE" w:rsidP="00BF67C3" w:rsidRDefault="00676AEE" w14:paraId="2C8AA05E" w14:textId="77777777">
            <w:pPr>
              <w:keepNext/>
              <w:spacing w:line="240" w:lineRule="auto"/>
              <w:ind w:firstLine="0"/>
              <w:jc w:val="right"/>
              <w:rPr>
                <w:szCs w:val="26"/>
              </w:rPr>
            </w:pPr>
          </w:p>
          <w:p w:rsidR="00F57CE3" w:rsidP="00BF67C3" w:rsidRDefault="00F57CE3" w14:paraId="3F535061" w14:textId="77777777">
            <w:pPr>
              <w:keepNext/>
              <w:spacing w:line="240" w:lineRule="auto"/>
              <w:ind w:firstLine="0"/>
              <w:jc w:val="right"/>
              <w:rPr>
                <w:szCs w:val="26"/>
              </w:rPr>
            </w:pPr>
          </w:p>
          <w:p w:rsidR="00676AEE" w:rsidP="00BF67C3" w:rsidRDefault="00F42845" w14:paraId="1EB8589A" w14:textId="470368DA">
            <w:pPr>
              <w:keepNext/>
              <w:spacing w:line="240" w:lineRule="auto"/>
              <w:ind w:firstLine="0"/>
              <w:jc w:val="right"/>
              <w:rPr>
                <w:szCs w:val="26"/>
              </w:rPr>
            </w:pPr>
            <w:r>
              <w:rPr>
                <w:szCs w:val="26"/>
              </w:rPr>
              <w:t>$</w:t>
            </w:r>
            <w:r w:rsidR="00FD298C">
              <w:rPr>
                <w:szCs w:val="26"/>
              </w:rPr>
              <w:t xml:space="preserve">    </w:t>
            </w:r>
            <w:r w:rsidR="006F5FB8">
              <w:rPr>
                <w:szCs w:val="26"/>
              </w:rPr>
              <w:t xml:space="preserve"> </w:t>
            </w:r>
            <w:r w:rsidR="00FD298C">
              <w:rPr>
                <w:szCs w:val="26"/>
              </w:rPr>
              <w:t>0</w:t>
            </w:r>
            <w:r w:rsidR="00194DA6">
              <w:rPr>
                <w:szCs w:val="26"/>
              </w:rPr>
              <w:t>.</w:t>
            </w:r>
            <w:r w:rsidR="00FD298C">
              <w:rPr>
                <w:szCs w:val="26"/>
              </w:rPr>
              <w:t>868</w:t>
            </w:r>
          </w:p>
          <w:p w:rsidR="00676AEE" w:rsidP="00BF67C3" w:rsidRDefault="00676AEE" w14:paraId="4F6F985E" w14:textId="77777777">
            <w:pPr>
              <w:keepNext/>
              <w:spacing w:line="240" w:lineRule="auto"/>
              <w:ind w:firstLine="0"/>
              <w:jc w:val="right"/>
              <w:rPr>
                <w:szCs w:val="26"/>
              </w:rPr>
            </w:pPr>
          </w:p>
          <w:p w:rsidR="00676AEE" w:rsidP="00BF67C3" w:rsidRDefault="000D7831" w14:paraId="2F5D8354" w14:textId="7AEBF99B">
            <w:pPr>
              <w:keepNext/>
              <w:spacing w:line="240" w:lineRule="auto"/>
              <w:ind w:firstLine="0"/>
              <w:jc w:val="right"/>
              <w:rPr>
                <w:szCs w:val="26"/>
              </w:rPr>
            </w:pPr>
            <w:r>
              <w:rPr>
                <w:szCs w:val="26"/>
              </w:rPr>
              <w:t>$</w:t>
            </w:r>
            <w:r w:rsidR="006F5FB8">
              <w:rPr>
                <w:szCs w:val="26"/>
              </w:rPr>
              <w:t xml:space="preserve">     0.010</w:t>
            </w:r>
          </w:p>
          <w:p w:rsidRPr="006A6990" w:rsidR="00676AEE" w:rsidP="00BF67C3" w:rsidRDefault="00676AEE" w14:paraId="698DDB40" w14:textId="77777777">
            <w:pPr>
              <w:keepNext/>
              <w:pBdr>
                <w:bottom w:val="single" w:color="auto" w:sz="12" w:space="1"/>
              </w:pBdr>
              <w:spacing w:line="240" w:lineRule="auto"/>
              <w:ind w:firstLine="0"/>
              <w:jc w:val="right"/>
              <w:rPr>
                <w:szCs w:val="26"/>
              </w:rPr>
            </w:pPr>
          </w:p>
          <w:p w:rsidRPr="00F71AB0" w:rsidR="000E1D37" w:rsidP="00F71AB0" w:rsidRDefault="000E1D37" w14:paraId="068851DD" w14:textId="4F7BC1DD">
            <w:pPr>
              <w:pStyle w:val="ListParagraph"/>
              <w:keepNext/>
              <w:numPr>
                <w:ilvl w:val="0"/>
                <w:numId w:val="31"/>
              </w:numPr>
              <w:spacing w:line="240" w:lineRule="auto"/>
              <w:ind w:left="474"/>
              <w:jc w:val="right"/>
              <w:rPr>
                <w:b/>
                <w:bCs/>
                <w:szCs w:val="26"/>
              </w:rPr>
            </w:pPr>
            <w:r w:rsidRPr="00F71AB0">
              <w:rPr>
                <w:b/>
                <w:bCs/>
                <w:szCs w:val="26"/>
              </w:rPr>
              <w:t>$</w:t>
            </w:r>
            <w:r w:rsidRPr="00F71AB0" w:rsidR="006F5FB8">
              <w:rPr>
                <w:b/>
                <w:bCs/>
                <w:szCs w:val="26"/>
              </w:rPr>
              <w:t xml:space="preserve"> </w:t>
            </w:r>
            <w:r w:rsidRPr="00F71AB0" w:rsidR="002923D5">
              <w:rPr>
                <w:b/>
                <w:bCs/>
                <w:szCs w:val="26"/>
              </w:rPr>
              <w:t>641</w:t>
            </w:r>
            <w:r w:rsidRPr="00F71AB0">
              <w:rPr>
                <w:b/>
                <w:bCs/>
                <w:szCs w:val="26"/>
              </w:rPr>
              <w:t>.</w:t>
            </w:r>
            <w:r w:rsidRPr="00F71AB0" w:rsidR="002923D5">
              <w:rPr>
                <w:b/>
                <w:bCs/>
                <w:szCs w:val="26"/>
              </w:rPr>
              <w:t>624</w:t>
            </w:r>
          </w:p>
          <w:p w:rsidRPr="000E2A76" w:rsidR="000C59FD" w:rsidRDefault="000C59FD" w14:paraId="52DE52A3" w14:textId="77777777">
            <w:pPr>
              <w:keepNext/>
              <w:spacing w:line="240" w:lineRule="auto"/>
              <w:ind w:firstLine="0"/>
              <w:jc w:val="right"/>
              <w:rPr>
                <w:b/>
                <w:bCs/>
                <w:szCs w:val="26"/>
              </w:rPr>
            </w:pPr>
          </w:p>
        </w:tc>
      </w:tr>
    </w:tbl>
    <w:p w:rsidRPr="00C44C91" w:rsidR="005922CD" w:rsidP="005922CD" w:rsidRDefault="005922CD" w14:paraId="1F2F0FB2" w14:textId="77777777">
      <w:pPr>
        <w:pStyle w:val="Standard"/>
        <w:rPr>
          <w:sz w:val="12"/>
          <w:szCs w:val="12"/>
        </w:rPr>
      </w:pPr>
    </w:p>
    <w:p w:rsidR="009D4DF7" w:rsidP="009D4DF7" w:rsidRDefault="00A42C93" w14:paraId="2C64047D" w14:textId="76660FC8">
      <w:pPr>
        <w:pStyle w:val="Heading3"/>
      </w:pPr>
      <w:bookmarkStart w:name="_Toc180842625" w:id="80"/>
      <w:bookmarkStart w:name="_Toc180842709" w:id="81"/>
      <w:bookmarkStart w:name="_Toc180842626" w:id="82"/>
      <w:bookmarkStart w:name="_Toc180842710" w:id="83"/>
      <w:bookmarkStart w:name="_Toc180842627" w:id="84"/>
      <w:bookmarkStart w:name="_Toc180842711" w:id="85"/>
      <w:bookmarkStart w:name="_Toc180842628" w:id="86"/>
      <w:bookmarkStart w:name="_Toc180842712" w:id="87"/>
      <w:bookmarkStart w:name="_Toc180842629" w:id="88"/>
      <w:bookmarkStart w:name="_Toc180842713" w:id="89"/>
      <w:bookmarkStart w:name="_Toc180842630" w:id="90"/>
      <w:bookmarkStart w:name="_Toc180842714" w:id="91"/>
      <w:bookmarkStart w:name="_Toc180842631" w:id="92"/>
      <w:bookmarkStart w:name="_Toc180842715" w:id="93"/>
      <w:bookmarkStart w:name="_Toc180842632" w:id="94"/>
      <w:bookmarkStart w:name="_Toc180842716" w:id="95"/>
      <w:bookmarkStart w:name="_Toc180842633" w:id="96"/>
      <w:bookmarkStart w:name="_Toc180842717" w:id="97"/>
      <w:bookmarkStart w:name="_Toc180842634" w:id="98"/>
      <w:bookmarkStart w:name="_Toc180842718" w:id="99"/>
      <w:bookmarkStart w:name="_Toc180842635" w:id="100"/>
      <w:bookmarkStart w:name="_Toc180842719" w:id="101"/>
      <w:bookmarkStart w:name="_Toc180842636" w:id="102"/>
      <w:bookmarkStart w:name="_Toc180842720" w:id="103"/>
      <w:bookmarkStart w:name="_Toc183184299" w:id="10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Clean Energy Programs Set Aside Funding – SOMAH, DAC</w:t>
      </w:r>
      <w:r w:rsidR="001B4B0D">
        <w:t>-SASH</w:t>
      </w:r>
      <w:r>
        <w:t>, and CEOP</w:t>
      </w:r>
      <w:bookmarkEnd w:id="104"/>
    </w:p>
    <w:p w:rsidR="00421471" w:rsidP="00CC76AF" w:rsidRDefault="00441D79" w14:paraId="4AAC2A68" w14:textId="160F8FA1">
      <w:pPr>
        <w:pStyle w:val="Standard"/>
      </w:pPr>
      <w:r w:rsidRPr="00454D1A">
        <w:t>Pub.</w:t>
      </w:r>
      <w:r>
        <w:t> </w:t>
      </w:r>
      <w:r w:rsidRPr="006A6990">
        <w:t>Util</w:t>
      </w:r>
      <w:r w:rsidRPr="00454D1A">
        <w:t xml:space="preserve">. Code </w:t>
      </w:r>
      <w:r>
        <w:t>§</w:t>
      </w:r>
      <w:r w:rsidRPr="00454D1A">
        <w:t> 748.5(c</w:t>
      </w:r>
      <w:r>
        <w:t>) authorizes the</w:t>
      </w:r>
      <w:r w:rsidRPr="00454D1A">
        <w:t xml:space="preserve"> Commission </w:t>
      </w:r>
      <w:r>
        <w:t>to</w:t>
      </w:r>
      <w:r w:rsidRPr="00454D1A">
        <w:t xml:space="preserve"> allocate up to 15</w:t>
      </w:r>
      <w:r w:rsidR="00C44C91">
        <w:t> </w:t>
      </w:r>
      <w:r>
        <w:t xml:space="preserve">percent </w:t>
      </w:r>
      <w:r w:rsidRPr="00454D1A">
        <w:t>of the revenue received by an electric corporation from its sales of allocated GHG allowances to specific clean energy and energy efficiency projects that are</w:t>
      </w:r>
      <w:r>
        <w:t xml:space="preserve"> not funded by any other source and are already approved by the Commission. SCE noted that it has set </w:t>
      </w:r>
      <w:r w:rsidRPr="00D93AC0">
        <w:t xml:space="preserve">aside </w:t>
      </w:r>
      <w:r w:rsidRPr="000E2A76">
        <w:t>$</w:t>
      </w:r>
      <w:r w:rsidR="00812F60">
        <w:t>5</w:t>
      </w:r>
      <w:r w:rsidR="00A01127">
        <w:t>5</w:t>
      </w:r>
      <w:r w:rsidR="00812F60">
        <w:t>.</w:t>
      </w:r>
      <w:r w:rsidR="00AE365F">
        <w:t>9</w:t>
      </w:r>
      <w:r w:rsidR="00A01127">
        <w:t>36</w:t>
      </w:r>
      <w:r w:rsidRPr="006312AD">
        <w:rPr>
          <w:color w:val="FF0000"/>
        </w:rPr>
        <w:t xml:space="preserve"> </w:t>
      </w:r>
      <w:r>
        <w:t>million in allowance revenues to fund all of its Clean Energy Programs in 202</w:t>
      </w:r>
      <w:r w:rsidR="006312AD">
        <w:t>5</w:t>
      </w:r>
      <w:r>
        <w:t>.</w:t>
      </w:r>
      <w:r>
        <w:rPr>
          <w:rStyle w:val="FootnoteReference"/>
        </w:rPr>
        <w:footnoteReference w:id="104"/>
      </w:r>
    </w:p>
    <w:p w:rsidRPr="00CC76AF" w:rsidR="00441D79" w:rsidP="00D420BA" w:rsidRDefault="00441D79" w14:paraId="312B8DE4" w14:textId="6E05D067">
      <w:pPr>
        <w:pStyle w:val="Heading4"/>
      </w:pPr>
      <w:bookmarkStart w:name="_Toc151976242" w:id="105"/>
      <w:bookmarkStart w:name="_Toc183184300" w:id="106"/>
      <w:r w:rsidRPr="00CC76AF">
        <w:lastRenderedPageBreak/>
        <w:t xml:space="preserve">Solar on Multifamily Affordable </w:t>
      </w:r>
      <w:r w:rsidR="00C44C91">
        <w:br/>
      </w:r>
      <w:r w:rsidRPr="00CC76AF">
        <w:t>Housing Program</w:t>
      </w:r>
      <w:bookmarkEnd w:id="105"/>
      <w:bookmarkEnd w:id="106"/>
    </w:p>
    <w:p w:rsidRPr="007E0F6B" w:rsidR="00441D79" w:rsidP="00ED6D1C" w:rsidRDefault="00441D79" w14:paraId="6EEF3306" w14:textId="17336BCB">
      <w:pPr>
        <w:pStyle w:val="Standard"/>
      </w:pPr>
      <w:r w:rsidRPr="00454D1A">
        <w:t>A</w:t>
      </w:r>
      <w:r>
        <w:t xml:space="preserve">ssembly </w:t>
      </w:r>
      <w:r w:rsidRPr="00454D1A">
        <w:t>B</w:t>
      </w:r>
      <w:r>
        <w:t>ill</w:t>
      </w:r>
      <w:r w:rsidRPr="00454D1A">
        <w:t> 693 (</w:t>
      </w:r>
      <w:r w:rsidRPr="007E0F6B">
        <w:t>Eggman</w:t>
      </w:r>
      <w:r w:rsidR="002B2573">
        <w:t>)</w:t>
      </w:r>
      <w:r w:rsidRPr="0051309D">
        <w:t xml:space="preserve"> </w:t>
      </w:r>
      <w:r w:rsidRPr="006A6990">
        <w:t>Stat</w:t>
      </w:r>
      <w:r w:rsidR="002B2573">
        <w:t>.</w:t>
      </w:r>
      <w:r>
        <w:t xml:space="preserve"> 2015, C</w:t>
      </w:r>
      <w:r w:rsidRPr="0051309D">
        <w:t>h</w:t>
      </w:r>
      <w:r w:rsidR="002B2573">
        <w:t>.</w:t>
      </w:r>
      <w:r w:rsidRPr="0051309D">
        <w:t xml:space="preserve"> </w:t>
      </w:r>
      <w:r w:rsidRPr="00454D1A">
        <w:t>582 created the</w:t>
      </w:r>
      <w:r>
        <w:t xml:space="preserve"> Solar on Multifamily Affordable Housing</w:t>
      </w:r>
      <w:r w:rsidRPr="00454D1A">
        <w:t xml:space="preserve"> </w:t>
      </w:r>
      <w:r>
        <w:t>(</w:t>
      </w:r>
      <w:r w:rsidRPr="00454D1A">
        <w:t>SOMAH</w:t>
      </w:r>
      <w:r>
        <w:t>)</w:t>
      </w:r>
      <w:r w:rsidRPr="00454D1A">
        <w:t xml:space="preserve"> program, allocating 10</w:t>
      </w:r>
      <w:r w:rsidR="00C44C91">
        <w:t> </w:t>
      </w:r>
      <w:r>
        <w:t>percent</w:t>
      </w:r>
      <w:r w:rsidRPr="00454D1A">
        <w:t xml:space="preserve"> of </w:t>
      </w:r>
      <w:r>
        <w:t xml:space="preserve">GHG allowance </w:t>
      </w:r>
      <w:r w:rsidRPr="00454D1A">
        <w:t>auction proceeds</w:t>
      </w:r>
      <w:r>
        <w:t>, or</w:t>
      </w:r>
      <w:r w:rsidRPr="00454D1A">
        <w:t xml:space="preserve"> up to $100 million annually</w:t>
      </w:r>
      <w:r>
        <w:t xml:space="preserve">, whichever is less, </w:t>
      </w:r>
      <w:r w:rsidRPr="00454D1A">
        <w:t xml:space="preserve">for </w:t>
      </w:r>
      <w:r>
        <w:t>f</w:t>
      </w:r>
      <w:r w:rsidRPr="00454D1A">
        <w:t>iscal year</w:t>
      </w:r>
      <w:r>
        <w:t>s</w:t>
      </w:r>
      <w:r w:rsidRPr="00454D1A">
        <w:t xml:space="preserve"> 2016 through 2026</w:t>
      </w:r>
      <w:r>
        <w:t xml:space="preserve">. </w:t>
      </w:r>
      <w:r w:rsidRPr="00454D1A">
        <w:t>In D.17</w:t>
      </w:r>
      <w:r>
        <w:noBreakHyphen/>
      </w:r>
      <w:r w:rsidRPr="00454D1A">
        <w:t>12</w:t>
      </w:r>
      <w:r>
        <w:noBreakHyphen/>
      </w:r>
      <w:r w:rsidRPr="00454D1A">
        <w:t>022, the Commission required that 10</w:t>
      </w:r>
      <w:r>
        <w:t xml:space="preserve"> percent</w:t>
      </w:r>
      <w:r w:rsidRPr="00454D1A">
        <w:t xml:space="preserve"> of forecast auction revenue be reserved for SOMAH through each IOU’s ERRA applications and established that each IOU shall contribute its proportionate share of $100</w:t>
      </w:r>
      <w:r>
        <w:t> </w:t>
      </w:r>
      <w:r w:rsidRPr="00454D1A">
        <w:t>million, when necessary, based on its share of allowance sale proceeds from the previous four quarters.</w:t>
      </w:r>
      <w:r w:rsidRPr="00454D1A">
        <w:rPr>
          <w:rStyle w:val="FootnoteReference"/>
        </w:rPr>
        <w:footnoteReference w:id="105"/>
      </w:r>
    </w:p>
    <w:p w:rsidR="00441D79" w:rsidP="00ED6D1C" w:rsidRDefault="00441D79" w14:paraId="69856D28" w14:textId="737A9905">
      <w:pPr>
        <w:pStyle w:val="Standard"/>
      </w:pPr>
      <w:r w:rsidRPr="00454D1A">
        <w:t>D.20</w:t>
      </w:r>
      <w:r>
        <w:noBreakHyphen/>
      </w:r>
      <w:r w:rsidRPr="00454D1A">
        <w:t>01</w:t>
      </w:r>
      <w:r>
        <w:noBreakHyphen/>
      </w:r>
      <w:r w:rsidRPr="00454D1A">
        <w:t>022 clarified that prior</w:t>
      </w:r>
      <w:r>
        <w:noBreakHyphen/>
      </w:r>
      <w:r w:rsidRPr="00454D1A">
        <w:t>year GHG revenue allocations should be trued</w:t>
      </w:r>
      <w:r>
        <w:noBreakHyphen/>
      </w:r>
      <w:r w:rsidRPr="00454D1A">
        <w:t>up based on a 10</w:t>
      </w:r>
      <w:r>
        <w:t xml:space="preserve"> percent</w:t>
      </w:r>
      <w:r w:rsidRPr="00454D1A">
        <w:t xml:space="preserve"> allocation of actual GHG revenues received. In D.20</w:t>
      </w:r>
      <w:r>
        <w:noBreakHyphen/>
      </w:r>
      <w:r w:rsidRPr="00454D1A">
        <w:t>04</w:t>
      </w:r>
      <w:r>
        <w:noBreakHyphen/>
      </w:r>
      <w:r w:rsidRPr="00454D1A">
        <w:t>012, the Commission extended SOMAH through</w:t>
      </w:r>
      <w:r>
        <w:t xml:space="preserve"> June </w:t>
      </w:r>
      <w:r w:rsidRPr="00454D1A">
        <w:t>2026</w:t>
      </w:r>
      <w:r>
        <w:t>,</w:t>
      </w:r>
      <w:r w:rsidRPr="00454D1A">
        <w:t xml:space="preserve"> clarified existing requirements, and set additional requirements for the SOMAH budget true</w:t>
      </w:r>
      <w:r>
        <w:noBreakHyphen/>
      </w:r>
      <w:r w:rsidRPr="00454D1A">
        <w:t>up process</w:t>
      </w:r>
      <w:r w:rsidRPr="00C27F1D">
        <w:t>.</w:t>
      </w:r>
      <w:r w:rsidRPr="00C27F1D">
        <w:rPr>
          <w:rStyle w:val="FootnoteReference"/>
          <w:szCs w:val="26"/>
        </w:rPr>
        <w:footnoteReference w:id="106"/>
      </w:r>
      <w:r w:rsidRPr="00C27F1D">
        <w:t xml:space="preserve"> D.22</w:t>
      </w:r>
      <w:r w:rsidRPr="00C27F1D">
        <w:noBreakHyphen/>
        <w:t>09</w:t>
      </w:r>
      <w:r w:rsidRPr="00C27F1D">
        <w:noBreakHyphen/>
        <w:t>009 modified the forecast budgeting process by adding a pathway for each IOU to request to set aside its proportionate share of a $100 million budget and identifying a set allocation for each IOU’s share.</w:t>
      </w:r>
      <w:r w:rsidRPr="00C27F1D">
        <w:rPr>
          <w:rStyle w:val="FootnoteReference"/>
        </w:rPr>
        <w:footnoteReference w:id="107"/>
      </w:r>
      <w:r w:rsidRPr="00C27F1D">
        <w:t xml:space="preserve"> This pathway is dependent on their ability to adequately demonstrate that the IOUs’ combined forecast GHG allowances will equal or exceed $1 billion.</w:t>
      </w:r>
      <w:r w:rsidRPr="00C27F1D">
        <w:rPr>
          <w:rStyle w:val="FootnoteReference"/>
        </w:rPr>
        <w:footnoteReference w:id="108"/>
      </w:r>
      <w:r w:rsidRPr="00C27F1D">
        <w:t xml:space="preserve"> As a result, IOUs may either propose setting aside 10 percent of their forecast revenue or their share of $100 million.</w:t>
      </w:r>
      <w:r w:rsidRPr="00454D1A">
        <w:t xml:space="preserve"> </w:t>
      </w:r>
      <w:r w:rsidR="00E53CD8">
        <w:t xml:space="preserve"> </w:t>
      </w:r>
    </w:p>
    <w:p w:rsidR="00C44C91" w:rsidP="00441D79" w:rsidRDefault="00441D79" w14:paraId="0BA5FFB8" w14:textId="77777777">
      <w:pPr>
        <w:pStyle w:val="Standard"/>
      </w:pPr>
      <w:r>
        <w:lastRenderedPageBreak/>
        <w:t>In its 202</w:t>
      </w:r>
      <w:r w:rsidR="003875EB">
        <w:t>5</w:t>
      </w:r>
      <w:r>
        <w:t xml:space="preserve"> ERRA forecast, SCE set</w:t>
      </w:r>
      <w:r w:rsidR="003875EB">
        <w:t>s</w:t>
      </w:r>
      <w:r>
        <w:t xml:space="preserve"> aside $46.528 million to cover its share of the $100 million annual SOMAH cap. It also noted that its 202</w:t>
      </w:r>
      <w:r w:rsidR="00EE4C10">
        <w:t>4</w:t>
      </w:r>
      <w:r>
        <w:t xml:space="preserve"> SOMAH </w:t>
      </w:r>
    </w:p>
    <w:p w:rsidRPr="003D752E" w:rsidR="00441D79" w:rsidP="00C44C91" w:rsidRDefault="00441D79" w14:paraId="3EB97AA9" w14:textId="30DF900D">
      <w:pPr>
        <w:pStyle w:val="Standard"/>
        <w:ind w:firstLine="0"/>
      </w:pPr>
      <w:r>
        <w:t>true-up, which will be recorded in 202</w:t>
      </w:r>
      <w:r w:rsidR="00EE4C10">
        <w:t>5</w:t>
      </w:r>
      <w:r>
        <w:t>, w</w:t>
      </w:r>
      <w:r w:rsidR="004E13F6">
        <w:t>ill</w:t>
      </w:r>
      <w:r>
        <w:t xml:space="preserve"> result in a</w:t>
      </w:r>
      <w:r w:rsidR="004E13F6">
        <w:t>n</w:t>
      </w:r>
      <w:r>
        <w:t xml:space="preserve"> </w:t>
      </w:r>
      <w:r w:rsidR="004E13F6">
        <w:t>in</w:t>
      </w:r>
      <w:r>
        <w:t>crease in SOMAH funding of $</w:t>
      </w:r>
      <w:r w:rsidR="00B6189B">
        <w:t>3.681 million</w:t>
      </w:r>
      <w:r w:rsidRPr="003D752E">
        <w:t>.</w:t>
      </w:r>
      <w:r w:rsidRPr="003D752E">
        <w:rPr>
          <w:rStyle w:val="FootnoteReference"/>
        </w:rPr>
        <w:footnoteReference w:id="109"/>
      </w:r>
    </w:p>
    <w:p w:rsidRPr="006A6990" w:rsidR="00441D79" w:rsidP="00D420BA" w:rsidRDefault="00441D79" w14:paraId="7B122C54" w14:textId="0F4BD3E3">
      <w:pPr>
        <w:pStyle w:val="Standard"/>
        <w:rPr>
          <w:sz w:val="16"/>
          <w:szCs w:val="16"/>
        </w:rPr>
      </w:pPr>
      <w:r w:rsidRPr="003D752E">
        <w:t xml:space="preserve">No parties commented on SCE’s proposed SOMAH allocation. Upon </w:t>
      </w:r>
      <w:r w:rsidRPr="00454D1A">
        <w:t>review, the Commission finds SCE’s SOMAH allocation</w:t>
      </w:r>
      <w:r>
        <w:t xml:space="preserve"> </w:t>
      </w:r>
      <w:r w:rsidRPr="00454D1A">
        <w:t xml:space="preserve">reasonable and in compliance with applicable rules, orders and Commission </w:t>
      </w:r>
      <w:r>
        <w:t>Decision</w:t>
      </w:r>
      <w:r w:rsidRPr="00454D1A">
        <w:t>s.</w:t>
      </w:r>
      <w:r>
        <w:t xml:space="preserve"> A summary of SCE’s SOMAH forecasted allocation for 202</w:t>
      </w:r>
      <w:r w:rsidR="00E645CF">
        <w:t>5</w:t>
      </w:r>
      <w:r>
        <w:t xml:space="preserve"> is detailed below</w:t>
      </w:r>
      <w:r w:rsidR="00937182">
        <w:t xml:space="preserve"> in Table 6-2</w:t>
      </w:r>
      <w:r>
        <w:t>.</w:t>
      </w:r>
    </w:p>
    <w:p w:rsidRPr="00D420BA" w:rsidR="00441D79" w:rsidP="00D420BA" w:rsidRDefault="00441D79" w14:paraId="1C33F427" w14:textId="675AD43F">
      <w:pPr>
        <w:pStyle w:val="Heading4"/>
      </w:pPr>
      <w:bookmarkStart w:name="_Toc151976244" w:id="107"/>
      <w:bookmarkStart w:name="_Toc183184301" w:id="108"/>
      <w:r w:rsidRPr="00D420BA">
        <w:t xml:space="preserve">SCE’s Disadvantaged </w:t>
      </w:r>
      <w:r w:rsidR="00C44C91">
        <w:br/>
      </w:r>
      <w:r w:rsidRPr="00D420BA">
        <w:t>Community Programs</w:t>
      </w:r>
      <w:bookmarkEnd w:id="107"/>
      <w:bookmarkEnd w:id="108"/>
    </w:p>
    <w:p w:rsidR="00441D79" w:rsidP="00441D79" w:rsidRDefault="00441D79" w14:paraId="102A392A" w14:textId="7FB5AD15">
      <w:pPr>
        <w:pStyle w:val="Standard"/>
      </w:pPr>
      <w:r w:rsidRPr="00454D1A">
        <w:t>In D.18</w:t>
      </w:r>
      <w:r>
        <w:noBreakHyphen/>
      </w:r>
      <w:r w:rsidRPr="00454D1A">
        <w:t>06</w:t>
      </w:r>
      <w:r>
        <w:noBreakHyphen/>
      </w:r>
      <w:r w:rsidRPr="00454D1A">
        <w:t xml:space="preserve">027, the Commission created the </w:t>
      </w:r>
      <w:r>
        <w:t>Disadvantaged Communities (DAC) Single Family Solar Homes (SASH) program and</w:t>
      </w:r>
      <w:r w:rsidRPr="00454D1A">
        <w:t xml:space="preserve"> set an annual $10 million budget. SCE</w:t>
      </w:r>
      <w:r>
        <w:t>’s proportionate share of that $10 million annual budget is 46 percent, starting in 2019. In its 202</w:t>
      </w:r>
      <w:r w:rsidR="00A61402">
        <w:t>5</w:t>
      </w:r>
      <w:r>
        <w:t xml:space="preserve"> ERRA Forecast, SCE has allocated </w:t>
      </w:r>
      <w:r>
        <w:br/>
        <w:t>$4.6 million to its DAC-SASH program (46 percent of $10 million).</w:t>
      </w:r>
      <w:r>
        <w:rPr>
          <w:rStyle w:val="FootnoteReference"/>
        </w:rPr>
        <w:footnoteReference w:id="110"/>
      </w:r>
    </w:p>
    <w:p w:rsidR="00441D79" w:rsidP="0045147B" w:rsidRDefault="00441D79" w14:paraId="3EDFC531" w14:textId="2FA12FC6">
      <w:pPr>
        <w:pStyle w:val="Standard"/>
      </w:pPr>
      <w:r>
        <w:t xml:space="preserve">On </w:t>
      </w:r>
      <w:r w:rsidR="005F0306">
        <w:t>January 24, 2024</w:t>
      </w:r>
      <w:r w:rsidR="00F53EB5">
        <w:t xml:space="preserve">, the CPUC Executive Director granted SCE an extension </w:t>
      </w:r>
      <w:r w:rsidR="00C61940">
        <w:t>to the February 1</w:t>
      </w:r>
      <w:r w:rsidR="003D752E">
        <w:t>, 2024</w:t>
      </w:r>
      <w:r w:rsidR="00C61208">
        <w:t>,</w:t>
      </w:r>
      <w:r w:rsidR="00C61940">
        <w:t xml:space="preserve"> deadline for submitting </w:t>
      </w:r>
      <w:r w:rsidR="001E43B5">
        <w:t>annual program budget estimates for the DAC Green Tariff (DAC-GT) and Community Solar Green Tariff (CSGT) Programs.</w:t>
      </w:r>
      <w:r w:rsidR="005579DC">
        <w:t xml:space="preserve"> This extension </w:t>
      </w:r>
      <w:r w:rsidR="00DE1392">
        <w:t xml:space="preserve">was </w:t>
      </w:r>
      <w:r w:rsidR="005579DC">
        <w:t>due to the reliance of these programs on a final decision in the Green Access Program</w:t>
      </w:r>
      <w:r w:rsidR="00DA5DB0">
        <w:t xml:space="preserve"> </w:t>
      </w:r>
      <w:r w:rsidR="005579DC">
        <w:t>(GAP) proceeding</w:t>
      </w:r>
      <w:r w:rsidR="00DA5DB0">
        <w:t>.</w:t>
      </w:r>
      <w:r w:rsidR="000D3C7B">
        <w:t xml:space="preserve"> The GAP final decision, D.24-05-065, </w:t>
      </w:r>
      <w:r w:rsidRPr="000D3C7B" w:rsidR="000D3C7B">
        <w:t>was issued on June 7, 2024</w:t>
      </w:r>
      <w:r w:rsidRPr="00D778DA" w:rsidR="00D778DA">
        <w:t xml:space="preserve"> </w:t>
      </w:r>
      <w:r w:rsidR="00D778DA">
        <w:t>and discontinues the CSGT program and transfers all remaining unprocured capacity to the Modified DAC-GT program</w:t>
      </w:r>
      <w:r w:rsidR="00475C74">
        <w:t xml:space="preserve">. </w:t>
      </w:r>
      <w:r w:rsidR="000D3C7B">
        <w:t>SCE</w:t>
      </w:r>
      <w:r w:rsidR="00475C74">
        <w:t>’s</w:t>
      </w:r>
      <w:r w:rsidR="000D3C7B">
        <w:t xml:space="preserve"> </w:t>
      </w:r>
      <w:r w:rsidR="00F92513">
        <w:t>Advice</w:t>
      </w:r>
      <w:r w:rsidR="006F07DC">
        <w:t> </w:t>
      </w:r>
      <w:r w:rsidR="00694E3F">
        <w:t>Letter </w:t>
      </w:r>
      <w:r w:rsidR="00475C74">
        <w:t>5329-E-A was approved on July 18, 2024</w:t>
      </w:r>
      <w:r w:rsidRPr="006C6468" w:rsidR="009F2089">
        <w:rPr>
          <w:i/>
          <w:iCs/>
        </w:rPr>
        <w:t xml:space="preserve"> </w:t>
      </w:r>
      <w:r w:rsidRPr="006C6468" w:rsidR="009F2089">
        <w:t xml:space="preserve">and states that SCE will target CSGT customer transition to the </w:t>
      </w:r>
      <w:r w:rsidRPr="006C6468" w:rsidR="009F2089">
        <w:lastRenderedPageBreak/>
        <w:t>DAC-GT program in early Q1 2025</w:t>
      </w:r>
      <w:r w:rsidR="00712CE5">
        <w:t>.</w:t>
      </w:r>
      <w:r w:rsidRPr="008B56B9" w:rsidR="008B56B9">
        <w:rPr>
          <w:rStyle w:val="FootnoteReference"/>
        </w:rPr>
        <w:t xml:space="preserve"> </w:t>
      </w:r>
      <w:r w:rsidR="008B56B9">
        <w:rPr>
          <w:rStyle w:val="FootnoteReference"/>
        </w:rPr>
        <w:footnoteReference w:id="111"/>
      </w:r>
      <w:r w:rsidR="00712CE5">
        <w:t xml:space="preserve"> </w:t>
      </w:r>
      <w:r w:rsidR="0045147B">
        <w:t xml:space="preserve"> The customer bill discounts for </w:t>
      </w:r>
      <w:r w:rsidR="00621231">
        <w:t>DAC</w:t>
      </w:r>
      <w:r w:rsidR="001A4B6C">
        <w:t>-GT</w:t>
      </w:r>
      <w:r w:rsidR="00621231">
        <w:t xml:space="preserve"> </w:t>
      </w:r>
      <w:r w:rsidR="0045147B">
        <w:t>are</w:t>
      </w:r>
      <w:r w:rsidR="008402C6">
        <w:t xml:space="preserve"> funded through </w:t>
      </w:r>
      <w:r w:rsidR="00F636E0">
        <w:t>public purpose program rates</w:t>
      </w:r>
      <w:r w:rsidR="000416DF">
        <w:t>, while procurement and other costs are funded through GHG revenues. SCE does not forecast additional funding for the latter category, thus does not request GHG funding for DAC-GT in 2025</w:t>
      </w:r>
      <w:r w:rsidR="00F636E0">
        <w:t>. SCE forecasts expenditures of $16,960</w:t>
      </w:r>
      <w:r w:rsidR="00F40767">
        <w:t>,000</w:t>
      </w:r>
      <w:r w:rsidR="00F324AA">
        <w:t xml:space="preserve"> for </w:t>
      </w:r>
      <w:r w:rsidR="009353F6">
        <w:t xml:space="preserve">bill discounts in </w:t>
      </w:r>
      <w:r w:rsidR="00F324AA">
        <w:t xml:space="preserve">2025 </w:t>
      </w:r>
      <w:r w:rsidR="009353F6">
        <w:t xml:space="preserve">for </w:t>
      </w:r>
      <w:r w:rsidR="00F324AA">
        <w:t>DAC</w:t>
      </w:r>
      <w:r w:rsidR="001A4B6C">
        <w:t>-GT</w:t>
      </w:r>
      <w:r w:rsidR="0013081C">
        <w:t xml:space="preserve">, </w:t>
      </w:r>
      <w:r w:rsidR="0092305F">
        <w:t>coming from the Public Purpose Programs</w:t>
      </w:r>
      <w:r w:rsidR="00F324AA">
        <w:t>.</w:t>
      </w:r>
      <w:r w:rsidR="009B5463">
        <w:rPr>
          <w:rStyle w:val="FootnoteReference"/>
        </w:rPr>
        <w:footnoteReference w:id="112"/>
      </w:r>
    </w:p>
    <w:p w:rsidRPr="00DE0F66" w:rsidR="00441D79" w:rsidP="00DE0F66" w:rsidRDefault="00441D79" w14:paraId="299CC6D6" w14:textId="228D74B7">
      <w:pPr>
        <w:pStyle w:val="Heading4"/>
      </w:pPr>
      <w:bookmarkStart w:name="_Toc151976245" w:id="109"/>
      <w:bookmarkStart w:name="_Toc183184302" w:id="110"/>
      <w:r w:rsidRPr="00DE0F66">
        <w:t xml:space="preserve">Community Choice Aggregator </w:t>
      </w:r>
      <w:r w:rsidR="00C44C91">
        <w:br/>
      </w:r>
      <w:r w:rsidRPr="00DE0F66">
        <w:t>DAC Programs</w:t>
      </w:r>
      <w:bookmarkEnd w:id="109"/>
      <w:bookmarkEnd w:id="110"/>
    </w:p>
    <w:p w:rsidR="0012670F" w:rsidP="0012670F" w:rsidRDefault="00441D79" w14:paraId="23663518" w14:textId="77777777">
      <w:pPr>
        <w:pStyle w:val="Standard"/>
      </w:pPr>
      <w:r w:rsidRPr="00454D1A">
        <w:t>D.18</w:t>
      </w:r>
      <w:r>
        <w:noBreakHyphen/>
      </w:r>
      <w:r w:rsidRPr="00454D1A">
        <w:t>06</w:t>
      </w:r>
      <w:r>
        <w:noBreakHyphen/>
      </w:r>
      <w:r w:rsidRPr="00454D1A">
        <w:t xml:space="preserve">027, as clarified by </w:t>
      </w:r>
      <w:r w:rsidRPr="000A60E2">
        <w:t xml:space="preserve">Resolution </w:t>
      </w:r>
      <w:r w:rsidRPr="00454D1A">
        <w:t>E</w:t>
      </w:r>
      <w:r>
        <w:noBreakHyphen/>
      </w:r>
      <w:r w:rsidRPr="00454D1A">
        <w:t>4999, authorized CCAs to access these same program funding sources to run their own DAC</w:t>
      </w:r>
      <w:r>
        <w:noBreakHyphen/>
      </w:r>
      <w:r w:rsidRPr="00454D1A">
        <w:t xml:space="preserve">GT and CSGT programs. </w:t>
      </w:r>
      <w:r w:rsidR="0012670F">
        <w:t>On July 8, 2024, Clean Power Alliance of Southern California (CPA)</w:t>
      </w:r>
    </w:p>
    <w:p w:rsidRPr="003D752E" w:rsidR="00637994" w:rsidP="005D7FD2" w:rsidRDefault="0012670F" w14:paraId="5FC2EA2B" w14:textId="1BE6DD33">
      <w:pPr>
        <w:pStyle w:val="Standard"/>
        <w:ind w:firstLine="0"/>
      </w:pPr>
      <w:r>
        <w:t>submitted Advice 0029-E</w:t>
      </w:r>
      <w:r w:rsidRPr="00C81DC3" w:rsidR="00FF14E1">
        <w:t xml:space="preserve"> which states that CPA elects to maintain</w:t>
      </w:r>
      <w:r w:rsidR="00FF14E1">
        <w:t xml:space="preserve"> </w:t>
      </w:r>
      <w:r w:rsidRPr="00C81DC3" w:rsidR="00FF14E1">
        <w:t>its existing CSGT program in accordance with D.24-05-065</w:t>
      </w:r>
      <w:r w:rsidR="00FF14E1">
        <w:t xml:space="preserve"> issued on June 7, 2024</w:t>
      </w:r>
      <w:r w:rsidRPr="00C81DC3" w:rsidR="00FF14E1">
        <w:t xml:space="preserve">. </w:t>
      </w:r>
      <w:r w:rsidR="00FF14E1">
        <w:t>The Decision allows Program Administrators to discontinue the CSGT program and transfer all remaining unprocured capacity to the Modified DAC-GT program.</w:t>
      </w:r>
      <w:r w:rsidRPr="00C81DC3" w:rsidR="00FF14E1">
        <w:t xml:space="preserve"> Therefore, CPA has requested a PY 2025 budget </w:t>
      </w:r>
      <w:r w:rsidR="00FF14E1">
        <w:t>for its</w:t>
      </w:r>
      <w:r w:rsidRPr="00C81DC3" w:rsidR="00FF14E1">
        <w:t xml:space="preserve"> CSGT </w:t>
      </w:r>
      <w:r w:rsidR="00FF14E1">
        <w:t>program</w:t>
      </w:r>
      <w:r>
        <w:t>.</w:t>
      </w:r>
      <w:r w:rsidRPr="00FF14E1" w:rsidR="00FF14E1">
        <w:rPr>
          <w:rStyle w:val="FootnoteReference"/>
        </w:rPr>
        <w:t xml:space="preserve"> </w:t>
      </w:r>
      <w:r w:rsidR="00FF14E1">
        <w:rPr>
          <w:rStyle w:val="FootnoteReference"/>
        </w:rPr>
        <w:footnoteReference w:id="113"/>
      </w:r>
      <w:r w:rsidR="00D44660">
        <w:t xml:space="preserve"> Of the $4.074 million </w:t>
      </w:r>
      <w:r w:rsidR="0093002A">
        <w:t xml:space="preserve">requested, the above market generation portion </w:t>
      </w:r>
      <w:r w:rsidR="005D7FD2">
        <w:t>of $1.127 million will be funded through GHG allowance</w:t>
      </w:r>
      <w:r w:rsidR="008B2256">
        <w:t xml:space="preserve"> </w:t>
      </w:r>
      <w:r w:rsidR="005D7FD2">
        <w:t xml:space="preserve">revenue, with </w:t>
      </w:r>
      <w:r w:rsidRPr="003D752E" w:rsidR="005D7FD2">
        <w:t>the remainder of $2.947 million recovered through PPP funds</w:t>
      </w:r>
      <w:r w:rsidRPr="003D752E" w:rsidR="00637994">
        <w:t>.</w:t>
      </w:r>
      <w:r w:rsidRPr="003D752E" w:rsidR="00637994">
        <w:rPr>
          <w:rStyle w:val="FootnoteReference"/>
        </w:rPr>
        <w:footnoteReference w:id="114"/>
      </w:r>
    </w:p>
    <w:p w:rsidR="00441D79" w:rsidP="00441D79" w:rsidRDefault="007A20D3" w14:paraId="3689A37C" w14:textId="13923CEC">
      <w:pPr>
        <w:pStyle w:val="Standard"/>
      </w:pPr>
      <w:r w:rsidRPr="003D752E">
        <w:t>Lancaster Choice Energy, Pico Rivera Innovative Municipal Energy, and San Jacinto Power, jointly as CalChoice,</w:t>
      </w:r>
      <w:r w:rsidRPr="003D752E" w:rsidR="002005F8">
        <w:t xml:space="preserve"> demonstrated surplus funding through </w:t>
      </w:r>
      <w:r w:rsidRPr="003D752E" w:rsidR="002005F8">
        <w:lastRenderedPageBreak/>
        <w:t>2025 and therefore will not require any GHG or public purpose funding.</w:t>
      </w:r>
      <w:r w:rsidRPr="003D752E" w:rsidR="002005F8">
        <w:rPr>
          <w:rStyle w:val="FootnoteReference"/>
        </w:rPr>
        <w:footnoteReference w:id="115"/>
      </w:r>
      <w:r w:rsidRPr="003D752E" w:rsidR="002005F8">
        <w:t xml:space="preserve"> </w:t>
      </w:r>
      <w:r w:rsidRPr="00454D1A" w:rsidR="00441D79">
        <w:t xml:space="preserve">No parties commented on SCE’s set aside for </w:t>
      </w:r>
      <w:r w:rsidR="00441D79">
        <w:t>its own or the CCA’s</w:t>
      </w:r>
      <w:r w:rsidRPr="00454D1A" w:rsidR="00441D79">
        <w:t xml:space="preserve"> DAC programs. Upon consideration, the Commission finds SCE’s </w:t>
      </w:r>
      <w:r w:rsidR="00441D79">
        <w:t>202</w:t>
      </w:r>
      <w:r w:rsidR="00700023">
        <w:t>5</w:t>
      </w:r>
      <w:r w:rsidR="00441D79">
        <w:t xml:space="preserve"> forecast </w:t>
      </w:r>
      <w:r w:rsidRPr="00454D1A" w:rsidR="00441D79">
        <w:t>for DAC</w:t>
      </w:r>
      <w:r w:rsidR="00441D79">
        <w:noBreakHyphen/>
      </w:r>
      <w:r w:rsidRPr="00454D1A" w:rsidR="00441D79">
        <w:t>SASH, DAC</w:t>
      </w:r>
      <w:r w:rsidR="00441D79">
        <w:noBreakHyphen/>
      </w:r>
      <w:r w:rsidRPr="00454D1A" w:rsidR="00441D79">
        <w:t xml:space="preserve">GT and CSGT </w:t>
      </w:r>
      <w:r w:rsidR="00441D79">
        <w:t xml:space="preserve">set-asides </w:t>
      </w:r>
      <w:r w:rsidR="007226F1">
        <w:t>from GHG and public purpose</w:t>
      </w:r>
      <w:r w:rsidR="00D420BA">
        <w:t xml:space="preserve"> program charge</w:t>
      </w:r>
      <w:r w:rsidR="007226F1">
        <w:t xml:space="preserve"> funding </w:t>
      </w:r>
      <w:r w:rsidR="00441D79">
        <w:t xml:space="preserve">to be </w:t>
      </w:r>
      <w:r w:rsidRPr="00454D1A" w:rsidR="00441D79">
        <w:t xml:space="preserve">reasonable and in compliance with all rules, law and Commission orders. </w:t>
      </w:r>
    </w:p>
    <w:p w:rsidRPr="00D420BA" w:rsidR="00441D79" w:rsidP="00D420BA" w:rsidRDefault="00441D79" w14:paraId="5951A31D" w14:textId="77777777">
      <w:pPr>
        <w:pStyle w:val="Heading4"/>
      </w:pPr>
      <w:bookmarkStart w:name="_Toc151976246" w:id="111"/>
      <w:bookmarkStart w:name="_Toc183184303" w:id="112"/>
      <w:r w:rsidRPr="00D420BA">
        <w:t>Clean Energy Optimization Pilot</w:t>
      </w:r>
      <w:bookmarkEnd w:id="111"/>
      <w:bookmarkEnd w:id="112"/>
    </w:p>
    <w:p w:rsidR="00441D79" w:rsidP="00441D79" w:rsidRDefault="00441D79" w14:paraId="2BEB6BEC" w14:textId="77777777">
      <w:pPr>
        <w:pStyle w:val="Standard"/>
      </w:pPr>
      <w:r>
        <w:t>In D.19-04-010, the Commission approved a $20.4 million Clean Energy Optimization Pilot (CEOP) designed to provide a pay-for-performance pilot project at University of California (UC) and California State University (CSU) schools, starting in 2019. D.20-01-002 authorized SCE to spend $10 million for the CEOP. Due to the COVID-19 pandemic, UC and CSU schools transitioned to remote learning, drastically affecting on-campus energy use. As a result, a Petition to Modify (PFM) D.19-04-014 was filed in August 2020. D.20-12-035 approved a settlement agreement that modified the CEOP and authorized it to continue.</w:t>
      </w:r>
      <w:r>
        <w:rPr>
          <w:rStyle w:val="FootnoteReference"/>
        </w:rPr>
        <w:footnoteReference w:id="116"/>
      </w:r>
      <w:r>
        <w:t xml:space="preserve"> </w:t>
      </w:r>
    </w:p>
    <w:p w:rsidR="00441D79" w:rsidP="00441D79" w:rsidRDefault="00441D79" w14:paraId="01981527" w14:textId="047DE4CF">
      <w:pPr>
        <w:pStyle w:val="Standard"/>
      </w:pPr>
      <w:r>
        <w:t>D.22-01-003 separately authorized an additional $10 million to fund CEOP. Because SCE already requested and attained approval for funding totaling $20.4 million for the project, it forecas</w:t>
      </w:r>
      <w:r w:rsidR="00DF3B79">
        <w:t>ts</w:t>
      </w:r>
      <w:r>
        <w:t xml:space="preserve"> that, as of 202</w:t>
      </w:r>
      <w:r w:rsidR="00276578">
        <w:t>5</w:t>
      </w:r>
      <w:r>
        <w:t>, its CEOP program is fully funded and did not request any further funding in the instant application.</w:t>
      </w:r>
      <w:r>
        <w:rPr>
          <w:rStyle w:val="FootnoteReference"/>
        </w:rPr>
        <w:footnoteReference w:id="117"/>
      </w:r>
      <w:r>
        <w:t xml:space="preserve"> </w:t>
      </w:r>
    </w:p>
    <w:p w:rsidR="00441D79" w:rsidP="00441D79" w:rsidRDefault="00441D79" w14:paraId="42703988" w14:textId="77777777">
      <w:pPr>
        <w:pStyle w:val="Standard"/>
      </w:pPr>
      <w:r>
        <w:t xml:space="preserve">No parties commented on SCE’s CEOP funding in this proceeding. Upon review, SCE’s request is </w:t>
      </w:r>
      <w:r w:rsidRPr="00454D1A">
        <w:t>consistent with all rules, law and Commission orders</w:t>
      </w:r>
      <w:r>
        <w:t>, and no additional funding for the CEOP program is granted in this Decision.</w:t>
      </w:r>
    </w:p>
    <w:p w:rsidRPr="00454D1A" w:rsidR="00FC78BA" w:rsidP="00FC78BA" w:rsidRDefault="00FC78BA" w14:paraId="59925D6C" w14:textId="6B0C684E">
      <w:pPr>
        <w:pStyle w:val="TableTitleBodyH095"/>
        <w:ind w:left="2808" w:right="1296"/>
      </w:pPr>
      <w:r w:rsidRPr="002F290B">
        <w:rPr>
          <w:b/>
          <w:bCs w:val="0"/>
        </w:rPr>
        <w:lastRenderedPageBreak/>
        <w:t>Table</w:t>
      </w:r>
      <w:r w:rsidRPr="002F290B">
        <w:rPr>
          <w:b/>
        </w:rPr>
        <w:t> </w:t>
      </w:r>
      <w:r w:rsidR="00937182">
        <w:rPr>
          <w:b/>
          <w:bCs w:val="0"/>
        </w:rPr>
        <w:t>6</w:t>
      </w:r>
      <w:r w:rsidRPr="002F290B">
        <w:rPr>
          <w:b/>
        </w:rPr>
        <w:noBreakHyphen/>
      </w:r>
      <w:r w:rsidR="007C53DD">
        <w:rPr>
          <w:b/>
        </w:rPr>
        <w:t>2</w:t>
      </w:r>
      <w:r w:rsidRPr="002F290B">
        <w:rPr>
          <w:b/>
        </w:rPr>
        <w:t>.</w:t>
      </w:r>
      <w:r w:rsidRPr="002F290B">
        <w:rPr>
          <w:b/>
        </w:rPr>
        <w:tab/>
      </w:r>
      <w:r w:rsidRPr="002F290B">
        <w:t>Summary of SCE 202</w:t>
      </w:r>
      <w:r>
        <w:t>5</w:t>
      </w:r>
      <w:r w:rsidRPr="002F290B">
        <w:t xml:space="preserve"> GHG </w:t>
      </w:r>
      <w:r>
        <w:t xml:space="preserve">Clean Energy Related </w:t>
      </w:r>
      <w:r w:rsidRPr="002F290B">
        <w:t>Expenses</w:t>
      </w:r>
    </w:p>
    <w:tbl>
      <w:tblPr>
        <w:tblStyle w:val="TableGrid2"/>
        <w:tblW w:w="7645" w:type="dxa"/>
        <w:jc w:val="center"/>
        <w:tblLayout w:type="fixed"/>
        <w:tblCellMar>
          <w:top w:w="58" w:type="dxa"/>
          <w:bottom w:w="58" w:type="dxa"/>
        </w:tblCellMar>
        <w:tblLook w:val="04A0" w:firstRow="1" w:lastRow="0" w:firstColumn="1" w:lastColumn="0" w:noHBand="0" w:noVBand="1"/>
      </w:tblPr>
      <w:tblGrid>
        <w:gridCol w:w="5722"/>
        <w:gridCol w:w="1923"/>
      </w:tblGrid>
      <w:tr w:rsidRPr="006A6990" w:rsidR="00FC78BA" w14:paraId="6E6C0BF1" w14:textId="77777777">
        <w:trPr>
          <w:cantSplit/>
          <w:trHeight w:val="445"/>
          <w:tblHeader/>
          <w:jc w:val="center"/>
        </w:trPr>
        <w:tc>
          <w:tcPr>
            <w:tcW w:w="5722" w:type="dxa"/>
            <w:tcBorders>
              <w:top w:val="single" w:color="auto" w:sz="4" w:space="0"/>
              <w:left w:val="single" w:color="auto" w:sz="4" w:space="0"/>
              <w:bottom w:val="single" w:color="auto" w:sz="4" w:space="0"/>
              <w:right w:val="single" w:color="auto" w:sz="4" w:space="0"/>
            </w:tcBorders>
            <w:vAlign w:val="bottom"/>
            <w:hideMark/>
          </w:tcPr>
          <w:p w:rsidRPr="006A6990" w:rsidR="00FC78BA" w:rsidRDefault="00FC78BA" w14:paraId="5F16D153" w14:textId="77777777">
            <w:pPr>
              <w:keepNext/>
              <w:spacing w:line="240" w:lineRule="auto"/>
              <w:ind w:firstLine="0"/>
              <w:jc w:val="center"/>
              <w:rPr>
                <w:b/>
                <w:szCs w:val="26"/>
              </w:rPr>
            </w:pPr>
            <w:r w:rsidRPr="006A6990">
              <w:rPr>
                <w:b/>
                <w:szCs w:val="26"/>
              </w:rPr>
              <w:t>Program</w:t>
            </w:r>
          </w:p>
        </w:tc>
        <w:tc>
          <w:tcPr>
            <w:tcW w:w="1923" w:type="dxa"/>
            <w:tcBorders>
              <w:top w:val="single" w:color="auto" w:sz="4" w:space="0"/>
              <w:left w:val="single" w:color="auto" w:sz="4" w:space="0"/>
              <w:bottom w:val="single" w:color="auto" w:sz="4" w:space="0"/>
              <w:right w:val="single" w:color="auto" w:sz="4" w:space="0"/>
            </w:tcBorders>
            <w:vAlign w:val="bottom"/>
          </w:tcPr>
          <w:p w:rsidRPr="006A6990" w:rsidR="00FC78BA" w:rsidRDefault="00FC78BA" w14:paraId="096935DF" w14:textId="77777777">
            <w:pPr>
              <w:keepNext/>
              <w:spacing w:line="240" w:lineRule="auto"/>
              <w:ind w:firstLine="0"/>
              <w:jc w:val="center"/>
              <w:rPr>
                <w:b/>
                <w:szCs w:val="26"/>
              </w:rPr>
            </w:pPr>
          </w:p>
          <w:p w:rsidRPr="006A6990" w:rsidR="00FC78BA" w:rsidRDefault="00FC78BA" w14:paraId="244461E3" w14:textId="77777777">
            <w:pPr>
              <w:keepNext/>
              <w:spacing w:line="240" w:lineRule="auto"/>
              <w:ind w:firstLine="0"/>
              <w:jc w:val="center"/>
              <w:rPr>
                <w:b/>
                <w:szCs w:val="26"/>
              </w:rPr>
            </w:pPr>
            <w:r w:rsidRPr="006A6990">
              <w:rPr>
                <w:b/>
                <w:szCs w:val="26"/>
              </w:rPr>
              <w:t>SCE Proposed (Mill</w:t>
            </w:r>
            <w:r>
              <w:rPr>
                <w:b/>
                <w:szCs w:val="26"/>
              </w:rPr>
              <w:t>i</w:t>
            </w:r>
            <w:r w:rsidRPr="006A6990">
              <w:rPr>
                <w:b/>
                <w:szCs w:val="26"/>
              </w:rPr>
              <w:t xml:space="preserve">ons) </w:t>
            </w:r>
          </w:p>
        </w:tc>
      </w:tr>
      <w:tr w:rsidRPr="006A6990" w:rsidR="00FC78BA" w14:paraId="0569B930" w14:textId="77777777">
        <w:trPr>
          <w:jc w:val="center"/>
        </w:trPr>
        <w:tc>
          <w:tcPr>
            <w:tcW w:w="5722" w:type="dxa"/>
            <w:hideMark/>
          </w:tcPr>
          <w:p w:rsidRPr="006A6990" w:rsidR="00FC78BA" w:rsidRDefault="00FC78BA" w14:paraId="21EF4925" w14:textId="77777777">
            <w:pPr>
              <w:pStyle w:val="standard0"/>
              <w:spacing w:line="240" w:lineRule="auto"/>
              <w:ind w:firstLine="0"/>
              <w:rPr>
                <w:szCs w:val="26"/>
              </w:rPr>
            </w:pPr>
            <w:r w:rsidRPr="006A6990">
              <w:rPr>
                <w:szCs w:val="26"/>
              </w:rPr>
              <w:t>Clean Energy and Energy Efficiency Programs</w:t>
            </w:r>
          </w:p>
          <w:p w:rsidR="00FC78BA" w:rsidP="00FC78BA" w:rsidRDefault="00FC78BA" w14:paraId="73D5C5B6" w14:textId="012001F8">
            <w:pPr>
              <w:pStyle w:val="ListParagraph"/>
              <w:numPr>
                <w:ilvl w:val="0"/>
                <w:numId w:val="21"/>
              </w:numPr>
              <w:spacing w:line="240" w:lineRule="auto"/>
              <w:rPr>
                <w:szCs w:val="26"/>
              </w:rPr>
            </w:pPr>
            <w:r w:rsidRPr="00EA4A78">
              <w:rPr>
                <w:szCs w:val="26"/>
              </w:rPr>
              <w:t>SCE 202</w:t>
            </w:r>
            <w:r w:rsidR="00A73801">
              <w:rPr>
                <w:szCs w:val="26"/>
              </w:rPr>
              <w:t>5</w:t>
            </w:r>
            <w:r w:rsidRPr="00EA4A78">
              <w:rPr>
                <w:szCs w:val="26"/>
              </w:rPr>
              <w:t xml:space="preserve"> Solar on Multifamily Affordable Housing Program (SOMAH)</w:t>
            </w:r>
          </w:p>
          <w:p w:rsidRPr="00EA4A78" w:rsidR="00FC78BA" w:rsidP="00FC78BA" w:rsidRDefault="00FC78BA" w14:paraId="6B0EDCF0" w14:textId="751FDF3B">
            <w:pPr>
              <w:pStyle w:val="ListParagraph"/>
              <w:numPr>
                <w:ilvl w:val="0"/>
                <w:numId w:val="21"/>
              </w:numPr>
              <w:spacing w:line="240" w:lineRule="auto"/>
              <w:rPr>
                <w:szCs w:val="26"/>
              </w:rPr>
            </w:pPr>
            <w:r w:rsidRPr="00EA4A78">
              <w:rPr>
                <w:szCs w:val="26"/>
              </w:rPr>
              <w:t>SCE 202</w:t>
            </w:r>
            <w:r w:rsidR="007C53DD">
              <w:rPr>
                <w:szCs w:val="26"/>
              </w:rPr>
              <w:t>4</w:t>
            </w:r>
            <w:r w:rsidRPr="00EA4A78">
              <w:rPr>
                <w:szCs w:val="26"/>
              </w:rPr>
              <w:t xml:space="preserve"> SOMAH True</w:t>
            </w:r>
            <w:r w:rsidRPr="00EA4A78">
              <w:rPr>
                <w:szCs w:val="26"/>
              </w:rPr>
              <w:noBreakHyphen/>
              <w:t xml:space="preserve">Up </w:t>
            </w:r>
          </w:p>
          <w:p w:rsidRPr="006A6990" w:rsidR="00FC78BA" w:rsidP="00FC78BA" w:rsidRDefault="00FC78BA" w14:paraId="343ECCEA" w14:textId="1DA9EE7E">
            <w:pPr>
              <w:numPr>
                <w:ilvl w:val="0"/>
                <w:numId w:val="21"/>
              </w:numPr>
              <w:spacing w:line="240" w:lineRule="auto"/>
              <w:rPr>
                <w:szCs w:val="26"/>
              </w:rPr>
            </w:pPr>
            <w:r w:rsidRPr="006A6990">
              <w:rPr>
                <w:szCs w:val="26"/>
              </w:rPr>
              <w:t>SCE 202</w:t>
            </w:r>
            <w:r w:rsidR="007C53DD">
              <w:rPr>
                <w:szCs w:val="26"/>
              </w:rPr>
              <w:t>5</w:t>
            </w:r>
            <w:r w:rsidRPr="006A6990">
              <w:rPr>
                <w:szCs w:val="26"/>
              </w:rPr>
              <w:t xml:space="preserve"> Disadvantaged Communities — Single</w:t>
            </w:r>
            <w:r w:rsidRPr="006A6990">
              <w:rPr>
                <w:szCs w:val="26"/>
              </w:rPr>
              <w:noBreakHyphen/>
              <w:t>family Solar Homes (DAC</w:t>
            </w:r>
            <w:r w:rsidRPr="006A6990">
              <w:rPr>
                <w:szCs w:val="26"/>
              </w:rPr>
              <w:noBreakHyphen/>
              <w:t>SASH)</w:t>
            </w:r>
          </w:p>
          <w:p w:rsidRPr="006A6990" w:rsidR="00FC78BA" w:rsidP="00FC78BA" w:rsidRDefault="00FC78BA" w14:paraId="2A30B310" w14:textId="48789A9F">
            <w:pPr>
              <w:numPr>
                <w:ilvl w:val="0"/>
                <w:numId w:val="21"/>
              </w:numPr>
              <w:spacing w:line="240" w:lineRule="auto"/>
              <w:rPr>
                <w:szCs w:val="26"/>
              </w:rPr>
            </w:pPr>
            <w:r w:rsidRPr="006A6990">
              <w:rPr>
                <w:szCs w:val="26"/>
              </w:rPr>
              <w:t>CPA 202</w:t>
            </w:r>
            <w:r w:rsidR="00A21BCD">
              <w:rPr>
                <w:szCs w:val="26"/>
              </w:rPr>
              <w:t>5</w:t>
            </w:r>
            <w:r w:rsidRPr="006A6990">
              <w:rPr>
                <w:szCs w:val="26"/>
              </w:rPr>
              <w:t xml:space="preserve"> DAC</w:t>
            </w:r>
            <w:r w:rsidRPr="006A6990">
              <w:rPr>
                <w:szCs w:val="26"/>
              </w:rPr>
              <w:noBreakHyphen/>
              <w:t>GT and CSGT</w:t>
            </w:r>
          </w:p>
          <w:p w:rsidRPr="006A6990" w:rsidR="00FC78BA" w:rsidRDefault="00FC78BA" w14:paraId="0B545806" w14:textId="7CE83790">
            <w:pPr>
              <w:pStyle w:val="standard0"/>
              <w:spacing w:line="240" w:lineRule="auto"/>
              <w:ind w:firstLine="0"/>
              <w:rPr>
                <w:szCs w:val="26"/>
              </w:rPr>
            </w:pPr>
            <w:r w:rsidRPr="006A6990">
              <w:rPr>
                <w:szCs w:val="26"/>
              </w:rPr>
              <w:t>__________________________________________</w:t>
            </w:r>
          </w:p>
          <w:p w:rsidRPr="00997CC9" w:rsidR="00FC78BA" w:rsidRDefault="00FC78BA" w14:paraId="3DC19195" w14:textId="77777777">
            <w:pPr>
              <w:pStyle w:val="standard0"/>
              <w:spacing w:line="240" w:lineRule="auto"/>
              <w:ind w:firstLine="0"/>
              <w:rPr>
                <w:b/>
                <w:bCs/>
                <w:szCs w:val="26"/>
              </w:rPr>
            </w:pPr>
            <w:r w:rsidRPr="00997CC9">
              <w:rPr>
                <w:b/>
                <w:bCs/>
                <w:szCs w:val="26"/>
              </w:rPr>
              <w:t>Total Clean Energy and EE Program Set</w:t>
            </w:r>
            <w:r w:rsidRPr="00997CC9">
              <w:rPr>
                <w:b/>
                <w:bCs/>
                <w:szCs w:val="26"/>
              </w:rPr>
              <w:noBreakHyphen/>
              <w:t>Asides</w:t>
            </w:r>
          </w:p>
        </w:tc>
        <w:tc>
          <w:tcPr>
            <w:tcW w:w="1923" w:type="dxa"/>
          </w:tcPr>
          <w:p w:rsidRPr="006A6990" w:rsidR="00FC78BA" w:rsidRDefault="00FC78BA" w14:paraId="45FACBD5" w14:textId="77777777">
            <w:pPr>
              <w:pStyle w:val="standard0"/>
              <w:spacing w:line="240" w:lineRule="auto"/>
              <w:ind w:firstLine="0"/>
              <w:rPr>
                <w:szCs w:val="26"/>
              </w:rPr>
            </w:pPr>
          </w:p>
          <w:p w:rsidR="00FC78BA" w:rsidP="00A73801" w:rsidRDefault="00FC78BA" w14:paraId="2F55F97D" w14:textId="056A8C52">
            <w:pPr>
              <w:pStyle w:val="standard0"/>
              <w:spacing w:line="240" w:lineRule="auto"/>
              <w:ind w:firstLine="0"/>
              <w:jc w:val="right"/>
              <w:rPr>
                <w:szCs w:val="26"/>
              </w:rPr>
            </w:pPr>
            <w:r w:rsidRPr="006A6990">
              <w:rPr>
                <w:szCs w:val="26"/>
              </w:rPr>
              <w:t>$</w:t>
            </w:r>
            <w:r w:rsidR="001264F0">
              <w:rPr>
                <w:szCs w:val="26"/>
              </w:rPr>
              <w:t xml:space="preserve"> </w:t>
            </w:r>
            <w:r w:rsidRPr="006A6990">
              <w:rPr>
                <w:szCs w:val="26"/>
              </w:rPr>
              <w:t>46.528</w:t>
            </w:r>
          </w:p>
          <w:p w:rsidRPr="006A6990" w:rsidR="00070E0F" w:rsidP="00A73801" w:rsidRDefault="00070E0F" w14:paraId="40B35DE3" w14:textId="77777777">
            <w:pPr>
              <w:pStyle w:val="standard0"/>
              <w:spacing w:line="240" w:lineRule="auto"/>
              <w:ind w:firstLine="0"/>
              <w:jc w:val="right"/>
              <w:rPr>
                <w:szCs w:val="26"/>
              </w:rPr>
            </w:pPr>
          </w:p>
          <w:p w:rsidR="00FC78BA" w:rsidP="00DE0F66" w:rsidRDefault="00FC78BA" w14:paraId="17B44B44" w14:textId="31A6AFEC">
            <w:pPr>
              <w:pStyle w:val="standard0"/>
              <w:spacing w:line="240" w:lineRule="auto"/>
              <w:ind w:left="720" w:firstLine="0"/>
              <w:jc w:val="right"/>
              <w:rPr>
                <w:szCs w:val="26"/>
              </w:rPr>
            </w:pPr>
            <w:r w:rsidRPr="006A6990">
              <w:rPr>
                <w:szCs w:val="26"/>
              </w:rPr>
              <w:t>$</w:t>
            </w:r>
            <w:r w:rsidR="001264F0">
              <w:rPr>
                <w:szCs w:val="26"/>
              </w:rPr>
              <w:t xml:space="preserve">  </w:t>
            </w:r>
            <w:r w:rsidR="00A73801">
              <w:rPr>
                <w:szCs w:val="26"/>
              </w:rPr>
              <w:t xml:space="preserve"> </w:t>
            </w:r>
            <w:r w:rsidR="001264F0">
              <w:rPr>
                <w:szCs w:val="26"/>
              </w:rPr>
              <w:t>3.681</w:t>
            </w:r>
          </w:p>
          <w:p w:rsidR="00FC78BA" w:rsidP="00A73801" w:rsidRDefault="00FC78BA" w14:paraId="7AB83948" w14:textId="10B93ED8">
            <w:pPr>
              <w:pStyle w:val="standard0"/>
              <w:spacing w:line="240" w:lineRule="auto"/>
              <w:ind w:firstLine="0"/>
              <w:jc w:val="right"/>
              <w:rPr>
                <w:szCs w:val="26"/>
              </w:rPr>
            </w:pPr>
            <w:r w:rsidRPr="006A6990">
              <w:rPr>
                <w:szCs w:val="26"/>
              </w:rPr>
              <w:t>$</w:t>
            </w:r>
            <w:r w:rsidR="007C53DD">
              <w:rPr>
                <w:szCs w:val="26"/>
              </w:rPr>
              <w:t xml:space="preserve">   </w:t>
            </w:r>
            <w:r>
              <w:rPr>
                <w:szCs w:val="26"/>
              </w:rPr>
              <w:t>4.600</w:t>
            </w:r>
          </w:p>
          <w:p w:rsidR="00FC78BA" w:rsidP="00DE0F66" w:rsidRDefault="00FC78BA" w14:paraId="5AD727CF" w14:textId="77777777">
            <w:pPr>
              <w:pStyle w:val="standard0"/>
              <w:spacing w:line="240" w:lineRule="auto"/>
              <w:ind w:firstLine="0"/>
              <w:rPr>
                <w:szCs w:val="26"/>
              </w:rPr>
            </w:pPr>
          </w:p>
          <w:p w:rsidRPr="006A6990" w:rsidR="00FC78BA" w:rsidP="00A73801" w:rsidRDefault="00FC78BA" w14:paraId="0B1F2730" w14:textId="7A0EF83D">
            <w:pPr>
              <w:pStyle w:val="standard0"/>
              <w:spacing w:line="240" w:lineRule="auto"/>
              <w:ind w:firstLine="0"/>
              <w:jc w:val="right"/>
              <w:rPr>
                <w:szCs w:val="26"/>
              </w:rPr>
            </w:pPr>
            <w:r w:rsidRPr="006A6990">
              <w:rPr>
                <w:szCs w:val="26"/>
              </w:rPr>
              <w:t>$</w:t>
            </w:r>
            <w:r w:rsidR="00A21BCD">
              <w:rPr>
                <w:szCs w:val="26"/>
              </w:rPr>
              <w:t xml:space="preserve">   1.127</w:t>
            </w:r>
          </w:p>
          <w:p w:rsidR="00FC78BA" w:rsidP="00A73801" w:rsidRDefault="00FC78BA" w14:paraId="54A742DE" w14:textId="77777777">
            <w:pPr>
              <w:pStyle w:val="standard0"/>
              <w:pBdr>
                <w:bottom w:val="single" w:color="auto" w:sz="12" w:space="1"/>
              </w:pBdr>
              <w:spacing w:line="240" w:lineRule="auto"/>
              <w:ind w:firstLine="0"/>
              <w:jc w:val="right"/>
              <w:rPr>
                <w:szCs w:val="26"/>
              </w:rPr>
            </w:pPr>
          </w:p>
          <w:p w:rsidRPr="006A6990" w:rsidR="001360A9" w:rsidP="00A73801" w:rsidRDefault="001360A9" w14:paraId="2211FD0E" w14:textId="77777777">
            <w:pPr>
              <w:pStyle w:val="standard0"/>
              <w:pBdr>
                <w:bottom w:val="single" w:color="auto" w:sz="12" w:space="1"/>
              </w:pBdr>
              <w:spacing w:line="240" w:lineRule="auto"/>
              <w:ind w:firstLine="0"/>
              <w:jc w:val="right"/>
              <w:rPr>
                <w:szCs w:val="26"/>
              </w:rPr>
            </w:pPr>
          </w:p>
          <w:p w:rsidRPr="00997CC9" w:rsidR="00FC78BA" w:rsidP="00A73801" w:rsidRDefault="00FC78BA" w14:paraId="2FBD1F62" w14:textId="6BE03F96">
            <w:pPr>
              <w:pStyle w:val="standard0"/>
              <w:spacing w:line="240" w:lineRule="auto"/>
              <w:ind w:firstLine="0"/>
              <w:jc w:val="right"/>
              <w:rPr>
                <w:b/>
                <w:bCs/>
                <w:szCs w:val="26"/>
              </w:rPr>
            </w:pPr>
            <w:r w:rsidRPr="00997CC9">
              <w:rPr>
                <w:b/>
                <w:bCs/>
                <w:szCs w:val="26"/>
              </w:rPr>
              <w:t>$</w:t>
            </w:r>
            <w:r w:rsidR="0007290D">
              <w:rPr>
                <w:b/>
                <w:bCs/>
                <w:szCs w:val="26"/>
              </w:rPr>
              <w:t xml:space="preserve"> 55.936</w:t>
            </w:r>
          </w:p>
        </w:tc>
      </w:tr>
    </w:tbl>
    <w:p w:rsidRPr="005F6706" w:rsidR="00FC78BA" w:rsidP="00441D79" w:rsidRDefault="00FC78BA" w14:paraId="1342A2C0" w14:textId="77777777">
      <w:pPr>
        <w:pStyle w:val="Standard"/>
        <w:rPr>
          <w:sz w:val="12"/>
          <w:szCs w:val="12"/>
        </w:rPr>
      </w:pPr>
    </w:p>
    <w:p w:rsidR="00FD110D" w:rsidP="00FD110D" w:rsidRDefault="00FD110D" w14:paraId="43F577FB" w14:textId="77777777">
      <w:pPr>
        <w:pStyle w:val="Heading3"/>
        <w:ind w:left="720" w:firstLine="0"/>
      </w:pPr>
      <w:bookmarkStart w:name="_Toc183184304" w:id="113"/>
      <w:bookmarkStart w:name="_Toc151976240" w:id="114"/>
      <w:r>
        <w:t>GHG Revenue Returns</w:t>
      </w:r>
      <w:bookmarkEnd w:id="113"/>
    </w:p>
    <w:p w:rsidRPr="00D420BA" w:rsidR="00D420BA" w:rsidP="00730B68" w:rsidRDefault="00A81296" w14:paraId="1F1861E6" w14:textId="52D8807C">
      <w:pPr>
        <w:pStyle w:val="Standard"/>
      </w:pPr>
      <w:r>
        <w:t xml:space="preserve">After deducting </w:t>
      </w:r>
      <w:r w:rsidR="003835B2">
        <w:t xml:space="preserve">expenses and program set asides, GHG auction proceeds are returned to </w:t>
      </w:r>
      <w:r w:rsidR="005977EC">
        <w:t xml:space="preserve">Residential, Small Commercial, and </w:t>
      </w:r>
      <w:r w:rsidRPr="005977EC" w:rsidR="005977EC">
        <w:t>Emissions-Intensive and Trade-Exposed Customers</w:t>
      </w:r>
      <w:r w:rsidR="00730B68">
        <w:t>.</w:t>
      </w:r>
    </w:p>
    <w:p w:rsidRPr="00CC76AF" w:rsidR="001C1D7F" w:rsidP="00730B68" w:rsidRDefault="001C1D7F" w14:paraId="47299D8A" w14:textId="27C365AD">
      <w:pPr>
        <w:pStyle w:val="Heading4"/>
        <w:rPr>
          <w:rFonts w:eastAsiaTheme="minorHAnsi"/>
        </w:rPr>
      </w:pPr>
      <w:bookmarkStart w:name="_Toc183184305" w:id="115"/>
      <w:r w:rsidRPr="00CC76AF">
        <w:rPr>
          <w:rFonts w:eastAsiaTheme="minorHAnsi"/>
        </w:rPr>
        <w:t xml:space="preserve">Residential and Small </w:t>
      </w:r>
      <w:r w:rsidR="00C44C91">
        <w:rPr>
          <w:rFonts w:eastAsiaTheme="minorHAnsi"/>
        </w:rPr>
        <w:br/>
      </w:r>
      <w:r w:rsidRPr="00CC76AF">
        <w:rPr>
          <w:rFonts w:eastAsiaTheme="minorHAnsi"/>
        </w:rPr>
        <w:t>Commercial Customers</w:t>
      </w:r>
      <w:bookmarkEnd w:id="115"/>
    </w:p>
    <w:p w:rsidR="00FD110D" w:rsidP="00FD110D" w:rsidRDefault="00FD110D" w14:paraId="3B08AA61" w14:textId="0B054CC8">
      <w:pPr>
        <w:pStyle w:val="Standard"/>
      </w:pPr>
      <w:r w:rsidRPr="00CC76AF">
        <w:t>SCE proposes to return $</w:t>
      </w:r>
      <w:r w:rsidRPr="00730B68">
        <w:t xml:space="preserve">583.441 </w:t>
      </w:r>
      <w:r w:rsidRPr="00CC76AF">
        <w:t>million in GHG revenue</w:t>
      </w:r>
      <w:r w:rsidRPr="00CC76AF">
        <w:rPr>
          <w:rStyle w:val="FootnoteReference"/>
        </w:rPr>
        <w:footnoteReference w:id="118"/>
      </w:r>
      <w:r w:rsidRPr="00CC76AF">
        <w:t xml:space="preserve"> in its residential and small commercial customers’ 2025 California Climate Credit.</w:t>
      </w:r>
      <w:r w:rsidRPr="00CC76AF">
        <w:rPr>
          <w:rStyle w:val="FootnoteReference"/>
        </w:rPr>
        <w:footnoteReference w:id="119"/>
      </w:r>
      <w:r w:rsidRPr="00CC76AF">
        <w:t xml:space="preserve"> This estimate accounts for administrative and customer outreach costs and w</w:t>
      </w:r>
      <w:r w:rsidRPr="00CC76AF" w:rsidR="002208F6">
        <w:t>ill</w:t>
      </w:r>
      <w:r w:rsidRPr="00CC76AF">
        <w:t xml:space="preserve"> equal </w:t>
      </w:r>
      <w:r w:rsidRPr="00555E57">
        <w:t xml:space="preserve">$56 </w:t>
      </w:r>
      <w:r w:rsidRPr="00CC76AF">
        <w:t xml:space="preserve">per eligible </w:t>
      </w:r>
      <w:r w:rsidRPr="006C7D0C">
        <w:t>customer</w:t>
      </w:r>
      <w:r>
        <w:t xml:space="preserve"> in bill credits forecasted to be distributed in April </w:t>
      </w:r>
      <w:r>
        <w:lastRenderedPageBreak/>
        <w:t>and October</w:t>
      </w:r>
      <w:r w:rsidRPr="006C7D0C">
        <w:t xml:space="preserve"> 202</w:t>
      </w:r>
      <w:r>
        <w:t>5</w:t>
      </w:r>
      <w:r w:rsidRPr="006C7D0C">
        <w:t>.</w:t>
      </w:r>
      <w:r w:rsidR="00243A81">
        <w:t xml:space="preserve"> This amount is significantly below the 2024 credit of </w:t>
      </w:r>
      <w:r w:rsidR="00BB0DD5">
        <w:t>$86</w:t>
      </w:r>
      <w:r w:rsidR="00787CBA">
        <w:rPr>
          <w:rStyle w:val="FootnoteReference"/>
        </w:rPr>
        <w:footnoteReference w:id="120"/>
      </w:r>
      <w:r w:rsidR="00787CBA">
        <w:t xml:space="preserve"> and the May forecast of </w:t>
      </w:r>
      <w:r w:rsidR="00EA3B1F">
        <w:t>$92</w:t>
      </w:r>
      <w:r w:rsidR="00682CFE">
        <w:rPr>
          <w:rStyle w:val="FootnoteReference"/>
        </w:rPr>
        <w:footnoteReference w:id="121"/>
      </w:r>
      <w:r w:rsidR="00EA3B1F">
        <w:t xml:space="preserve"> per Residential and Small Commercial Customer.</w:t>
      </w:r>
    </w:p>
    <w:p w:rsidRPr="00CC76AF" w:rsidR="00FD110D" w:rsidP="002D3CE7" w:rsidRDefault="00FD110D" w14:paraId="1B8290BD" w14:textId="0C30F1BE">
      <w:pPr>
        <w:pStyle w:val="Heading4"/>
        <w:rPr>
          <w:rFonts w:eastAsiaTheme="minorHAnsi"/>
        </w:rPr>
      </w:pPr>
      <w:bookmarkStart w:name="_Toc183184306" w:id="116"/>
      <w:r w:rsidRPr="00CC76AF">
        <w:rPr>
          <w:rFonts w:eastAsiaTheme="minorHAnsi"/>
        </w:rPr>
        <w:t xml:space="preserve">Emissions-Intensive and </w:t>
      </w:r>
      <w:r w:rsidR="005F6706">
        <w:rPr>
          <w:rFonts w:eastAsiaTheme="minorHAnsi"/>
        </w:rPr>
        <w:br/>
      </w:r>
      <w:r w:rsidRPr="00CC76AF">
        <w:rPr>
          <w:rFonts w:eastAsiaTheme="minorHAnsi"/>
        </w:rPr>
        <w:t>Trade-Exposed Customer</w:t>
      </w:r>
      <w:r w:rsidRPr="00CC76AF" w:rsidR="001C1D7F">
        <w:rPr>
          <w:rFonts w:eastAsiaTheme="minorHAnsi"/>
        </w:rPr>
        <w:t>s</w:t>
      </w:r>
      <w:bookmarkEnd w:id="116"/>
    </w:p>
    <w:p w:rsidR="00715C34" w:rsidP="00597B8D" w:rsidRDefault="00FD110D" w14:paraId="69E7AE84" w14:textId="11458A36">
      <w:pPr>
        <w:pStyle w:val="Standard"/>
      </w:pPr>
      <w:r w:rsidRPr="00E96838">
        <w:t>Customers operating EITE businesses are eligible to receive industry assistance in the form of a bill credit once annually, in April. SCE forecasted its 202</w:t>
      </w:r>
      <w:r>
        <w:t>5</w:t>
      </w:r>
      <w:r w:rsidRPr="00E96838">
        <w:t xml:space="preserve"> EITE customer return costs to be $5</w:t>
      </w:r>
      <w:r>
        <w:t>8</w:t>
      </w:r>
      <w:r w:rsidRPr="00E96838">
        <w:t>.</w:t>
      </w:r>
      <w:r>
        <w:t>183</w:t>
      </w:r>
      <w:r w:rsidRPr="00E96838">
        <w:t xml:space="preserve"> million</w:t>
      </w:r>
      <w:r w:rsidRPr="00FD1D9B">
        <w:t>.</w:t>
      </w:r>
      <w:r w:rsidRPr="00FD1D9B">
        <w:rPr>
          <w:rStyle w:val="FootnoteReference"/>
        </w:rPr>
        <w:footnoteReference w:id="122"/>
      </w:r>
      <w:r w:rsidRPr="00FD1D9B">
        <w:t xml:space="preserve">  No party commented on SCE’s forecasted EITE costs for 2025, and upon review, the Commission finds them consistent with all rules, laws, and prior Commission orders. SCE </w:t>
      </w:r>
      <w:r w:rsidRPr="00555E57">
        <w:t>is authorized to return the $58.183 million allocated to industry assistance funds to eligible EITE customers in 2025, as proposed in its testimony, workpapers, and A</w:t>
      </w:r>
      <w:r w:rsidR="00A97ED5">
        <w:t>OU</w:t>
      </w:r>
      <w:r w:rsidRPr="00511479">
        <w:t xml:space="preserve"> </w:t>
      </w:r>
      <w:r w:rsidRPr="00E96838">
        <w:t>documents</w:t>
      </w:r>
      <w:r>
        <w:t>.</w:t>
      </w:r>
    </w:p>
    <w:p w:rsidRPr="00454D1A" w:rsidR="00070E0F" w:rsidP="00070E0F" w:rsidRDefault="00070E0F" w14:paraId="7B9477A3" w14:textId="33D3F004">
      <w:pPr>
        <w:pStyle w:val="TableTitleBodyH095"/>
        <w:ind w:left="2808" w:right="1296"/>
      </w:pPr>
      <w:r w:rsidRPr="002F290B">
        <w:rPr>
          <w:b/>
          <w:bCs w:val="0"/>
        </w:rPr>
        <w:t>Table</w:t>
      </w:r>
      <w:r w:rsidRPr="002F290B">
        <w:rPr>
          <w:b/>
        </w:rPr>
        <w:t> </w:t>
      </w:r>
      <w:r w:rsidR="00E83ADF">
        <w:rPr>
          <w:b/>
          <w:bCs w:val="0"/>
        </w:rPr>
        <w:t>6</w:t>
      </w:r>
      <w:r w:rsidRPr="002F290B">
        <w:rPr>
          <w:b/>
        </w:rPr>
        <w:noBreakHyphen/>
      </w:r>
      <w:r>
        <w:rPr>
          <w:b/>
        </w:rPr>
        <w:t>3</w:t>
      </w:r>
      <w:r w:rsidRPr="002F290B">
        <w:rPr>
          <w:b/>
        </w:rPr>
        <w:t>.</w:t>
      </w:r>
      <w:r w:rsidRPr="002F290B">
        <w:rPr>
          <w:b/>
        </w:rPr>
        <w:tab/>
      </w:r>
      <w:r w:rsidRPr="003333FD">
        <w:t xml:space="preserve">Summary of SCE 2025 </w:t>
      </w:r>
      <w:r w:rsidRPr="003333FD" w:rsidR="00184687">
        <w:t>California Clean Credit and EITE Refunds</w:t>
      </w:r>
    </w:p>
    <w:tbl>
      <w:tblPr>
        <w:tblStyle w:val="TableGrid2"/>
        <w:tblW w:w="7645" w:type="dxa"/>
        <w:jc w:val="center"/>
        <w:tblLayout w:type="fixed"/>
        <w:tblCellMar>
          <w:top w:w="58" w:type="dxa"/>
          <w:bottom w:w="58" w:type="dxa"/>
        </w:tblCellMar>
        <w:tblLook w:val="04A0" w:firstRow="1" w:lastRow="0" w:firstColumn="1" w:lastColumn="0" w:noHBand="0" w:noVBand="1"/>
      </w:tblPr>
      <w:tblGrid>
        <w:gridCol w:w="5722"/>
        <w:gridCol w:w="1923"/>
      </w:tblGrid>
      <w:tr w:rsidRPr="006A6990" w:rsidR="00070E0F" w14:paraId="6CB9366E" w14:textId="77777777">
        <w:trPr>
          <w:cantSplit/>
          <w:trHeight w:val="445"/>
          <w:tblHeader/>
          <w:jc w:val="center"/>
        </w:trPr>
        <w:tc>
          <w:tcPr>
            <w:tcW w:w="5722" w:type="dxa"/>
            <w:tcBorders>
              <w:top w:val="single" w:color="auto" w:sz="4" w:space="0"/>
              <w:left w:val="single" w:color="auto" w:sz="4" w:space="0"/>
              <w:bottom w:val="single" w:color="auto" w:sz="4" w:space="0"/>
              <w:right w:val="single" w:color="auto" w:sz="4" w:space="0"/>
            </w:tcBorders>
            <w:vAlign w:val="bottom"/>
            <w:hideMark/>
          </w:tcPr>
          <w:p w:rsidRPr="006A6990" w:rsidR="00070E0F" w:rsidRDefault="00070E0F" w14:paraId="09BE9876" w14:textId="77777777">
            <w:pPr>
              <w:keepNext/>
              <w:spacing w:line="240" w:lineRule="auto"/>
              <w:ind w:firstLine="0"/>
              <w:jc w:val="center"/>
              <w:rPr>
                <w:b/>
                <w:szCs w:val="26"/>
              </w:rPr>
            </w:pPr>
            <w:r w:rsidRPr="006A6990">
              <w:rPr>
                <w:b/>
                <w:szCs w:val="26"/>
              </w:rPr>
              <w:t>Program</w:t>
            </w:r>
          </w:p>
        </w:tc>
        <w:tc>
          <w:tcPr>
            <w:tcW w:w="1923" w:type="dxa"/>
            <w:tcBorders>
              <w:top w:val="single" w:color="auto" w:sz="4" w:space="0"/>
              <w:left w:val="single" w:color="auto" w:sz="4" w:space="0"/>
              <w:bottom w:val="single" w:color="auto" w:sz="4" w:space="0"/>
              <w:right w:val="single" w:color="auto" w:sz="4" w:space="0"/>
            </w:tcBorders>
            <w:vAlign w:val="bottom"/>
          </w:tcPr>
          <w:p w:rsidRPr="006A6990" w:rsidR="00070E0F" w:rsidRDefault="00070E0F" w14:paraId="6FEB9E3D" w14:textId="77777777">
            <w:pPr>
              <w:keepNext/>
              <w:spacing w:line="240" w:lineRule="auto"/>
              <w:ind w:firstLine="0"/>
              <w:jc w:val="center"/>
              <w:rPr>
                <w:b/>
                <w:szCs w:val="26"/>
              </w:rPr>
            </w:pPr>
          </w:p>
          <w:p w:rsidRPr="006A6990" w:rsidR="00070E0F" w:rsidRDefault="00070E0F" w14:paraId="3D226CEB" w14:textId="77777777">
            <w:pPr>
              <w:keepNext/>
              <w:spacing w:line="240" w:lineRule="auto"/>
              <w:ind w:firstLine="0"/>
              <w:jc w:val="center"/>
              <w:rPr>
                <w:b/>
                <w:szCs w:val="26"/>
              </w:rPr>
            </w:pPr>
            <w:r w:rsidRPr="006A6990">
              <w:rPr>
                <w:b/>
                <w:szCs w:val="26"/>
              </w:rPr>
              <w:t>SCE Proposed (Mill</w:t>
            </w:r>
            <w:r>
              <w:rPr>
                <w:b/>
                <w:szCs w:val="26"/>
              </w:rPr>
              <w:t>i</w:t>
            </w:r>
            <w:r w:rsidRPr="006A6990">
              <w:rPr>
                <w:b/>
                <w:szCs w:val="26"/>
              </w:rPr>
              <w:t xml:space="preserve">ons) </w:t>
            </w:r>
          </w:p>
        </w:tc>
      </w:tr>
      <w:tr w:rsidRPr="006A6990" w:rsidR="00070E0F" w14:paraId="2294C01D" w14:textId="77777777">
        <w:trPr>
          <w:jc w:val="center"/>
        </w:trPr>
        <w:tc>
          <w:tcPr>
            <w:tcW w:w="5722" w:type="dxa"/>
            <w:hideMark/>
          </w:tcPr>
          <w:p w:rsidRPr="006A6990" w:rsidR="00070E0F" w:rsidRDefault="00070E0F" w14:paraId="186A099B" w14:textId="77777777">
            <w:pPr>
              <w:pStyle w:val="standard0"/>
              <w:spacing w:line="240" w:lineRule="auto"/>
              <w:ind w:firstLine="0"/>
              <w:rPr>
                <w:szCs w:val="26"/>
              </w:rPr>
            </w:pPr>
            <w:r w:rsidRPr="006A6990">
              <w:rPr>
                <w:szCs w:val="26"/>
              </w:rPr>
              <w:t>Clean Energy and Energy Efficiency Programs</w:t>
            </w:r>
          </w:p>
          <w:p w:rsidR="00070E0F" w:rsidP="00070E0F" w:rsidRDefault="00070E0F" w14:paraId="36FF4BA9" w14:textId="5288E6A1">
            <w:pPr>
              <w:pStyle w:val="ListParagraph"/>
              <w:numPr>
                <w:ilvl w:val="0"/>
                <w:numId w:val="33"/>
              </w:numPr>
              <w:spacing w:line="240" w:lineRule="auto"/>
              <w:rPr>
                <w:szCs w:val="26"/>
              </w:rPr>
            </w:pPr>
            <w:r w:rsidRPr="00EA4A78">
              <w:rPr>
                <w:szCs w:val="26"/>
              </w:rPr>
              <w:t>SCE 202</w:t>
            </w:r>
            <w:r>
              <w:rPr>
                <w:szCs w:val="26"/>
              </w:rPr>
              <w:t>5</w:t>
            </w:r>
            <w:r w:rsidRPr="00EA4A78">
              <w:rPr>
                <w:szCs w:val="26"/>
              </w:rPr>
              <w:t xml:space="preserve"> </w:t>
            </w:r>
            <w:r w:rsidR="00982BD5">
              <w:rPr>
                <w:szCs w:val="26"/>
              </w:rPr>
              <w:t>California Clean Credit Return</w:t>
            </w:r>
          </w:p>
          <w:p w:rsidRPr="00EA4A78" w:rsidR="00070E0F" w:rsidP="00070E0F" w:rsidRDefault="00070E0F" w14:paraId="7B066FC0" w14:textId="76E59B1E">
            <w:pPr>
              <w:pStyle w:val="ListParagraph"/>
              <w:numPr>
                <w:ilvl w:val="0"/>
                <w:numId w:val="33"/>
              </w:numPr>
              <w:spacing w:line="240" w:lineRule="auto"/>
              <w:rPr>
                <w:szCs w:val="26"/>
              </w:rPr>
            </w:pPr>
            <w:r w:rsidRPr="00EA4A78">
              <w:rPr>
                <w:szCs w:val="26"/>
              </w:rPr>
              <w:t>SCE 202</w:t>
            </w:r>
            <w:r w:rsidR="00555E57">
              <w:rPr>
                <w:szCs w:val="26"/>
              </w:rPr>
              <w:t>5</w:t>
            </w:r>
            <w:r w:rsidRPr="00EA4A78">
              <w:rPr>
                <w:szCs w:val="26"/>
              </w:rPr>
              <w:t xml:space="preserve"> </w:t>
            </w:r>
            <w:r w:rsidR="00982BD5">
              <w:rPr>
                <w:szCs w:val="26"/>
              </w:rPr>
              <w:t>EITE Return</w:t>
            </w:r>
          </w:p>
          <w:p w:rsidRPr="006A6990" w:rsidR="00070E0F" w:rsidRDefault="00070E0F" w14:paraId="6255D22C" w14:textId="77777777">
            <w:pPr>
              <w:pStyle w:val="standard0"/>
              <w:spacing w:line="240" w:lineRule="auto"/>
              <w:ind w:firstLine="0"/>
              <w:rPr>
                <w:szCs w:val="26"/>
              </w:rPr>
            </w:pPr>
            <w:r w:rsidRPr="006A6990">
              <w:rPr>
                <w:szCs w:val="26"/>
              </w:rPr>
              <w:t>__________________________________________</w:t>
            </w:r>
          </w:p>
          <w:p w:rsidRPr="00997CC9" w:rsidR="00070E0F" w:rsidRDefault="00070E0F" w14:paraId="116CC3EB" w14:textId="12FEA1B7">
            <w:pPr>
              <w:pStyle w:val="standard0"/>
              <w:spacing w:line="240" w:lineRule="auto"/>
              <w:ind w:firstLine="0"/>
              <w:rPr>
                <w:b/>
                <w:bCs/>
                <w:szCs w:val="26"/>
              </w:rPr>
            </w:pPr>
            <w:r w:rsidRPr="00997CC9">
              <w:rPr>
                <w:b/>
                <w:bCs/>
                <w:szCs w:val="26"/>
              </w:rPr>
              <w:t xml:space="preserve">Total </w:t>
            </w:r>
            <w:r w:rsidR="00B518D1">
              <w:rPr>
                <w:b/>
                <w:bCs/>
                <w:szCs w:val="26"/>
              </w:rPr>
              <w:t>GHG Returns</w:t>
            </w:r>
          </w:p>
        </w:tc>
        <w:tc>
          <w:tcPr>
            <w:tcW w:w="1923" w:type="dxa"/>
          </w:tcPr>
          <w:p w:rsidRPr="006A6990" w:rsidR="00070E0F" w:rsidRDefault="00070E0F" w14:paraId="14A4D15C" w14:textId="77777777">
            <w:pPr>
              <w:pStyle w:val="standard0"/>
              <w:spacing w:line="240" w:lineRule="auto"/>
              <w:ind w:firstLine="0"/>
              <w:rPr>
                <w:szCs w:val="26"/>
              </w:rPr>
            </w:pPr>
          </w:p>
          <w:p w:rsidRPr="006A6990" w:rsidR="00070E0F" w:rsidRDefault="00070E0F" w14:paraId="3724949F" w14:textId="70D82E84">
            <w:pPr>
              <w:pStyle w:val="standard0"/>
              <w:spacing w:line="240" w:lineRule="auto"/>
              <w:ind w:firstLine="0"/>
              <w:jc w:val="right"/>
              <w:rPr>
                <w:szCs w:val="26"/>
              </w:rPr>
            </w:pPr>
            <w:r w:rsidRPr="006A6990">
              <w:rPr>
                <w:szCs w:val="26"/>
              </w:rPr>
              <w:t>$</w:t>
            </w:r>
            <w:r w:rsidR="007F3570">
              <w:rPr>
                <w:szCs w:val="26"/>
              </w:rPr>
              <w:t xml:space="preserve"> 583.441</w:t>
            </w:r>
          </w:p>
          <w:p w:rsidR="00070E0F" w:rsidP="00511479" w:rsidRDefault="00070E0F" w14:paraId="116666D0" w14:textId="7A4A431F">
            <w:pPr>
              <w:pStyle w:val="standard0"/>
              <w:spacing w:line="240" w:lineRule="auto"/>
              <w:ind w:left="294" w:firstLine="0"/>
              <w:jc w:val="right"/>
              <w:rPr>
                <w:szCs w:val="26"/>
              </w:rPr>
            </w:pPr>
            <w:r w:rsidRPr="006A6990">
              <w:rPr>
                <w:szCs w:val="26"/>
              </w:rPr>
              <w:t>$</w:t>
            </w:r>
            <w:r w:rsidR="00B518D1">
              <w:rPr>
                <w:szCs w:val="26"/>
              </w:rPr>
              <w:t xml:space="preserve">  </w:t>
            </w:r>
            <w:r w:rsidR="007F3570">
              <w:rPr>
                <w:szCs w:val="26"/>
              </w:rPr>
              <w:t xml:space="preserve"> </w:t>
            </w:r>
            <w:r w:rsidR="00B518D1">
              <w:rPr>
                <w:szCs w:val="26"/>
              </w:rPr>
              <w:t>58.183</w:t>
            </w:r>
          </w:p>
          <w:p w:rsidRPr="006A6990" w:rsidR="00070E0F" w:rsidRDefault="00070E0F" w14:paraId="4BC6960C" w14:textId="77777777">
            <w:pPr>
              <w:pStyle w:val="standard0"/>
              <w:pBdr>
                <w:bottom w:val="single" w:color="auto" w:sz="12" w:space="1"/>
              </w:pBdr>
              <w:spacing w:line="240" w:lineRule="auto"/>
              <w:ind w:firstLine="0"/>
              <w:jc w:val="right"/>
              <w:rPr>
                <w:szCs w:val="26"/>
              </w:rPr>
            </w:pPr>
          </w:p>
          <w:p w:rsidRPr="00997CC9" w:rsidR="00070E0F" w:rsidRDefault="00070E0F" w14:paraId="1C772A0C" w14:textId="5ABDDF86">
            <w:pPr>
              <w:pStyle w:val="standard0"/>
              <w:spacing w:line="240" w:lineRule="auto"/>
              <w:ind w:firstLine="0"/>
              <w:jc w:val="right"/>
              <w:rPr>
                <w:b/>
                <w:bCs/>
                <w:szCs w:val="26"/>
              </w:rPr>
            </w:pPr>
            <w:r w:rsidRPr="00997CC9">
              <w:rPr>
                <w:b/>
                <w:bCs/>
                <w:szCs w:val="26"/>
              </w:rPr>
              <w:t>$</w:t>
            </w:r>
            <w:r>
              <w:rPr>
                <w:b/>
                <w:bCs/>
                <w:szCs w:val="26"/>
              </w:rPr>
              <w:t xml:space="preserve"> </w:t>
            </w:r>
            <w:r w:rsidR="007F3570">
              <w:rPr>
                <w:b/>
                <w:bCs/>
                <w:szCs w:val="26"/>
              </w:rPr>
              <w:t>641.624</w:t>
            </w:r>
          </w:p>
        </w:tc>
      </w:tr>
    </w:tbl>
    <w:p w:rsidRPr="00C44C91" w:rsidR="00070E0F" w:rsidP="00070E0F" w:rsidRDefault="00070E0F" w14:paraId="3F9AE364" w14:textId="77777777">
      <w:pPr>
        <w:pStyle w:val="Standard"/>
        <w:rPr>
          <w:sz w:val="12"/>
          <w:szCs w:val="12"/>
        </w:rPr>
      </w:pPr>
    </w:p>
    <w:p w:rsidR="009D4DF7" w:rsidP="00660A26" w:rsidRDefault="009D4DF7" w14:paraId="52AD137B" w14:textId="749DEF06">
      <w:pPr>
        <w:pStyle w:val="Heading3"/>
      </w:pPr>
      <w:bookmarkStart w:name="_Toc183184307" w:id="117"/>
      <w:r>
        <w:t>Discussion</w:t>
      </w:r>
      <w:bookmarkEnd w:id="114"/>
      <w:bookmarkEnd w:id="117"/>
    </w:p>
    <w:p w:rsidR="009D4DF7" w:rsidP="009D4DF7" w:rsidRDefault="009D4DF7" w14:paraId="54D146D3" w14:textId="697152CF">
      <w:pPr>
        <w:pStyle w:val="Standard"/>
      </w:pPr>
      <w:r>
        <w:t xml:space="preserve">No party directly addressed SCE’s forecasted GHG </w:t>
      </w:r>
      <w:r w:rsidR="00C02327">
        <w:t xml:space="preserve">revenues and </w:t>
      </w:r>
      <w:r w:rsidR="00AB4D58">
        <w:t>expenses</w:t>
      </w:r>
      <w:r>
        <w:t xml:space="preserve">, forecasted allocated allowance auction proceeds, or other aspects </w:t>
      </w:r>
      <w:r>
        <w:lastRenderedPageBreak/>
        <w:t>related to SCE’s GHG accounting for its 202</w:t>
      </w:r>
      <w:r w:rsidR="009778B9">
        <w:t>5</w:t>
      </w:r>
      <w:r>
        <w:t xml:space="preserve"> ERRA forecast proceeding. </w:t>
      </w:r>
      <w:r w:rsidR="00DA578A">
        <w:t xml:space="preserve">Weighing the record, </w:t>
      </w:r>
      <w:r>
        <w:t xml:space="preserve">we find </w:t>
      </w:r>
      <w:r w:rsidR="00DA578A">
        <w:t xml:space="preserve">SCE’s </w:t>
      </w:r>
      <w:r w:rsidR="008E77EE">
        <w:t xml:space="preserve">GHG </w:t>
      </w:r>
      <w:r w:rsidR="00135CF6">
        <w:t>revenues and</w:t>
      </w:r>
      <w:r w:rsidR="007816FE">
        <w:t xml:space="preserve"> </w:t>
      </w:r>
      <w:r w:rsidR="00AB4D58">
        <w:t>expenses</w:t>
      </w:r>
      <w:r w:rsidR="008E77EE">
        <w:t>,</w:t>
      </w:r>
      <w:r w:rsidR="00847BC8">
        <w:t xml:space="preserve"> set asides for</w:t>
      </w:r>
      <w:r w:rsidR="006773CA">
        <w:t xml:space="preserve"> clean energy and energy efficiency prog</w:t>
      </w:r>
      <w:r w:rsidR="003F3547">
        <w:t xml:space="preserve">rams, returns </w:t>
      </w:r>
      <w:r w:rsidR="00510009">
        <w:t>for EITE and CCC</w:t>
      </w:r>
      <w:r w:rsidR="00847BC8">
        <w:t xml:space="preserve"> </w:t>
      </w:r>
      <w:r w:rsidR="00510009">
        <w:t xml:space="preserve">eligible customers, </w:t>
      </w:r>
      <w:r w:rsidR="008E77EE">
        <w:t>and accounting</w:t>
      </w:r>
      <w:r>
        <w:t xml:space="preserve"> are</w:t>
      </w:r>
      <w:r w:rsidR="00F97CC0">
        <w:t xml:space="preserve"> rea</w:t>
      </w:r>
      <w:r w:rsidR="00EF6875">
        <w:t>sonable</w:t>
      </w:r>
      <w:r w:rsidR="00DA578A">
        <w:t xml:space="preserve"> and</w:t>
      </w:r>
      <w:r w:rsidRPr="00693C61">
        <w:t xml:space="preserve"> approved.</w:t>
      </w:r>
    </w:p>
    <w:p w:rsidRPr="00DF72D7" w:rsidR="00AF5D13" w:rsidP="00DF72D7" w:rsidRDefault="00AF5D13" w14:paraId="7142D553" w14:textId="50C19105">
      <w:pPr>
        <w:pStyle w:val="Heading1"/>
      </w:pPr>
      <w:bookmarkStart w:name="_Toc151976215" w:id="118"/>
      <w:bookmarkStart w:name="_Toc183184308" w:id="119"/>
      <w:r w:rsidRPr="00DF72D7">
        <w:t xml:space="preserve">SCE’s Revenue Requirement </w:t>
      </w:r>
      <w:r w:rsidR="00FB6C74">
        <w:br/>
      </w:r>
      <w:r w:rsidRPr="00DF72D7">
        <w:t>and Ratemaking Proposal</w:t>
      </w:r>
      <w:bookmarkEnd w:id="118"/>
      <w:bookmarkEnd w:id="119"/>
    </w:p>
    <w:p w:rsidR="006526BE" w:rsidP="006526BE" w:rsidRDefault="009713FE" w14:paraId="3FD61F50" w14:textId="1C47D7CB">
      <w:pPr>
        <w:pStyle w:val="Standard"/>
        <w:rPr>
          <w:rStyle w:val="Heading2Char"/>
        </w:rPr>
      </w:pPr>
      <w:r>
        <w:t>SCE proposes a total 2025 reve</w:t>
      </w:r>
      <w:r w:rsidR="00F54617">
        <w:t xml:space="preserve">nue requirement of $4.637 billion, comprised of the </w:t>
      </w:r>
      <w:r w:rsidR="00176B6F">
        <w:t>following g</w:t>
      </w:r>
      <w:r w:rsidR="00F54617">
        <w:t xml:space="preserve">eneration and </w:t>
      </w:r>
      <w:r w:rsidR="00176B6F">
        <w:t>d</w:t>
      </w:r>
      <w:r w:rsidR="00F54617">
        <w:t xml:space="preserve">elivery service </w:t>
      </w:r>
      <w:r w:rsidR="00176B6F">
        <w:t>requirements.</w:t>
      </w:r>
      <w:bookmarkStart w:name="_Toc151976216" w:id="120"/>
    </w:p>
    <w:p w:rsidRPr="00DF72D7" w:rsidR="00AF5D13" w:rsidP="00DF72D7" w:rsidRDefault="00AF5D13" w14:paraId="2BFECE9F" w14:textId="2CE55186">
      <w:pPr>
        <w:pStyle w:val="Heading2"/>
      </w:pPr>
      <w:bookmarkStart w:name="_Toc183184309" w:id="121"/>
      <w:r w:rsidRPr="00DF72D7">
        <w:t xml:space="preserve">Generation Service </w:t>
      </w:r>
      <w:r w:rsidR="00FB6C74">
        <w:br/>
      </w:r>
      <w:r w:rsidRPr="00DF72D7">
        <w:t>Revenue Requirement</w:t>
      </w:r>
      <w:bookmarkEnd w:id="120"/>
      <w:bookmarkEnd w:id="121"/>
    </w:p>
    <w:p w:rsidR="00C74CF3" w:rsidRDefault="00AF5D13" w14:paraId="06277EEC" w14:textId="2D43C60D">
      <w:pPr>
        <w:pStyle w:val="Standard"/>
        <w:rPr>
          <w:rStyle w:val="StandardChar"/>
        </w:rPr>
      </w:pPr>
      <w:r w:rsidRPr="00AF5D13">
        <w:t xml:space="preserve">The </w:t>
      </w:r>
      <w:r w:rsidRPr="00B17017">
        <w:rPr>
          <w:rStyle w:val="StandardChar"/>
        </w:rPr>
        <w:t xml:space="preserve">generation service revenue requirement recovers F&amp;PP costs, along with the associated GHG costs of resources, recorded in SCE’s </w:t>
      </w:r>
      <w:r w:rsidRPr="00B17017" w:rsidR="00CE4BAA">
        <w:rPr>
          <w:rStyle w:val="StandardChar"/>
        </w:rPr>
        <w:t>(1)</w:t>
      </w:r>
      <w:r w:rsidRPr="00B17017" w:rsidR="00EC10B6">
        <w:rPr>
          <w:rStyle w:val="StandardChar"/>
        </w:rPr>
        <w:t xml:space="preserve"> </w:t>
      </w:r>
      <w:r w:rsidRPr="00B17017">
        <w:rPr>
          <w:rStyle w:val="StandardChar"/>
        </w:rPr>
        <w:t xml:space="preserve">ERRA BA; </w:t>
      </w:r>
      <w:r w:rsidRPr="00B17017" w:rsidR="00EC10B6">
        <w:rPr>
          <w:rStyle w:val="StandardChar"/>
        </w:rPr>
        <w:t>(2)</w:t>
      </w:r>
      <w:r w:rsidR="00FB6C74">
        <w:rPr>
          <w:rStyle w:val="StandardChar"/>
        </w:rPr>
        <w:t> </w:t>
      </w:r>
      <w:r w:rsidRPr="00B17017">
        <w:rPr>
          <w:rStyle w:val="StandardChar"/>
        </w:rPr>
        <w:t>PABA; and (3) the GTSR BA. SCE’s 202</w:t>
      </w:r>
      <w:r w:rsidRPr="00B17017" w:rsidR="00EB58B5">
        <w:rPr>
          <w:rStyle w:val="StandardChar"/>
        </w:rPr>
        <w:t>5</w:t>
      </w:r>
      <w:r w:rsidRPr="00B17017">
        <w:rPr>
          <w:rStyle w:val="StandardChar"/>
        </w:rPr>
        <w:t xml:space="preserve"> forecast generation service requirement, as </w:t>
      </w:r>
      <w:r w:rsidRPr="00D20490">
        <w:rPr>
          <w:rStyle w:val="StandardChar"/>
        </w:rPr>
        <w:t xml:space="preserve">provided in its </w:t>
      </w:r>
      <w:r w:rsidR="00DA578A">
        <w:rPr>
          <w:rStyle w:val="StandardChar"/>
        </w:rPr>
        <w:t>AOU,</w:t>
      </w:r>
      <w:r w:rsidRPr="00D20490">
        <w:rPr>
          <w:rStyle w:val="StandardChar"/>
        </w:rPr>
        <w:t xml:space="preserve"> is $</w:t>
      </w:r>
      <w:r w:rsidRPr="00D20490" w:rsidR="00FE3C9B">
        <w:rPr>
          <w:rStyle w:val="StandardChar"/>
        </w:rPr>
        <w:t>4.663</w:t>
      </w:r>
      <w:r w:rsidRPr="00D20490">
        <w:rPr>
          <w:rStyle w:val="StandardChar"/>
        </w:rPr>
        <w:t xml:space="preserve"> bill</w:t>
      </w:r>
      <w:r w:rsidR="00DE0F66">
        <w:rPr>
          <w:rStyle w:val="StandardChar"/>
        </w:rPr>
        <w:t>i</w:t>
      </w:r>
      <w:r w:rsidRPr="00D20490">
        <w:rPr>
          <w:rStyle w:val="StandardChar"/>
        </w:rPr>
        <w:t>on, which is $</w:t>
      </w:r>
      <w:r w:rsidRPr="00D20490" w:rsidR="00830E3D">
        <w:rPr>
          <w:rStyle w:val="StandardChar"/>
        </w:rPr>
        <w:t>725.230</w:t>
      </w:r>
      <w:r w:rsidR="005F6706">
        <w:rPr>
          <w:rStyle w:val="StandardChar"/>
        </w:rPr>
        <w:t> </w:t>
      </w:r>
      <w:r w:rsidRPr="00D20490">
        <w:rPr>
          <w:rStyle w:val="StandardChar"/>
        </w:rPr>
        <w:t>million</w:t>
      </w:r>
      <w:r w:rsidR="005F6706">
        <w:rPr>
          <w:rStyle w:val="StandardChar"/>
        </w:rPr>
        <w:t>,</w:t>
      </w:r>
      <w:r w:rsidRPr="00F4445B" w:rsidR="00830E3D">
        <w:rPr>
          <w:rStyle w:val="FootnoteReference"/>
        </w:rPr>
        <w:footnoteReference w:id="123"/>
      </w:r>
      <w:r w:rsidRPr="00D20490">
        <w:rPr>
          <w:rStyle w:val="StandardChar"/>
        </w:rPr>
        <w:t xml:space="preserve"> or </w:t>
      </w:r>
      <w:r w:rsidRPr="00D20490" w:rsidR="0083564F">
        <w:rPr>
          <w:rStyle w:val="StandardChar"/>
        </w:rPr>
        <w:t>13.</w:t>
      </w:r>
      <w:r w:rsidRPr="00D20490" w:rsidR="00022524">
        <w:rPr>
          <w:rStyle w:val="StandardChar"/>
        </w:rPr>
        <w:t>46</w:t>
      </w:r>
      <w:r w:rsidRPr="00D20490">
        <w:rPr>
          <w:rStyle w:val="StandardChar"/>
        </w:rPr>
        <w:t xml:space="preserve"> percent, below its generation service revenue requirement from rates in effect today</w:t>
      </w:r>
      <w:bookmarkStart w:name="Table61" w:id="122"/>
      <w:r w:rsidRPr="00D20490">
        <w:rPr>
          <w:rStyle w:val="StandardChar"/>
        </w:rPr>
        <w:t xml:space="preserve">. </w:t>
      </w:r>
    </w:p>
    <w:bookmarkEnd w:id="122"/>
    <w:p w:rsidRPr="00AF5D13" w:rsidR="003742BA" w:rsidP="003742BA" w:rsidRDefault="003742BA" w14:paraId="0684CABE" w14:textId="4DC90719">
      <w:pPr>
        <w:keepNext/>
        <w:spacing w:after="120" w:line="240" w:lineRule="auto"/>
        <w:ind w:left="1944" w:right="576" w:hanging="1368"/>
        <w:jc w:val="center"/>
        <w:rPr>
          <w:bCs/>
        </w:rPr>
      </w:pPr>
      <w:r w:rsidRPr="00AF5D13">
        <w:rPr>
          <w:b/>
        </w:rPr>
        <w:lastRenderedPageBreak/>
        <w:t>Table</w:t>
      </w:r>
      <w:r w:rsidRPr="00AF5D13">
        <w:rPr>
          <w:b/>
          <w:bCs/>
        </w:rPr>
        <w:t> </w:t>
      </w:r>
      <w:r w:rsidR="005C36EC">
        <w:rPr>
          <w:b/>
        </w:rPr>
        <w:t>7</w:t>
      </w:r>
      <w:r w:rsidRPr="00AF5D13">
        <w:rPr>
          <w:b/>
          <w:bCs/>
        </w:rPr>
        <w:noBreakHyphen/>
      </w:r>
      <w:r w:rsidR="005C36EC">
        <w:rPr>
          <w:b/>
        </w:rPr>
        <w:t>1</w:t>
      </w:r>
      <w:r w:rsidRPr="00AF5D13">
        <w:rPr>
          <w:b/>
        </w:rPr>
        <w:t>.</w:t>
      </w:r>
      <w:r w:rsidRPr="00AF5D13">
        <w:rPr>
          <w:bCs/>
        </w:rPr>
        <w:tab/>
        <w:t>Summary of SCE’s Proposed 202</w:t>
      </w:r>
      <w:r>
        <w:rPr>
          <w:bCs/>
        </w:rPr>
        <w:t>5</w:t>
      </w:r>
      <w:r w:rsidRPr="00AF5D13">
        <w:rPr>
          <w:bCs/>
        </w:rPr>
        <w:t xml:space="preserve"> ERRA Forecast Proceeding Generation Service Revenue Requirement</w:t>
      </w:r>
      <w:r w:rsidRPr="00AF5D13">
        <w:rPr>
          <w:bCs/>
          <w:vertAlign w:val="superscript"/>
        </w:rPr>
        <w:footnoteReference w:id="124"/>
      </w:r>
    </w:p>
    <w:tbl>
      <w:tblPr>
        <w:tblStyle w:val="TableGrid"/>
        <w:tblW w:w="7195" w:type="dxa"/>
        <w:jc w:val="center"/>
        <w:tblLayout w:type="fixed"/>
        <w:tblCellMar>
          <w:top w:w="58" w:type="dxa"/>
          <w:bottom w:w="58" w:type="dxa"/>
        </w:tblCellMar>
        <w:tblLook w:val="04A0" w:firstRow="1" w:lastRow="0" w:firstColumn="1" w:lastColumn="0" w:noHBand="0" w:noVBand="1"/>
      </w:tblPr>
      <w:tblGrid>
        <w:gridCol w:w="3865"/>
        <w:gridCol w:w="3330"/>
      </w:tblGrid>
      <w:tr w:rsidRPr="00AF5D13" w:rsidR="003742BA" w:rsidTr="008E66E4" w14:paraId="0D063AA8" w14:textId="77777777">
        <w:trPr>
          <w:cantSplit/>
          <w:trHeight w:val="1237"/>
          <w:tblHeader/>
          <w:jc w:val="center"/>
        </w:trPr>
        <w:tc>
          <w:tcPr>
            <w:tcW w:w="3865" w:type="dxa"/>
            <w:tcBorders>
              <w:bottom w:val="single" w:color="auto" w:sz="4" w:space="0"/>
            </w:tcBorders>
            <w:vAlign w:val="bottom"/>
          </w:tcPr>
          <w:p w:rsidRPr="00AF5D13" w:rsidR="003742BA" w:rsidRDefault="003742BA" w14:paraId="2F629D09" w14:textId="77777777">
            <w:pPr>
              <w:keepNext/>
              <w:spacing w:line="240" w:lineRule="auto"/>
              <w:ind w:firstLine="0"/>
              <w:jc w:val="center"/>
              <w:rPr>
                <w:b/>
                <w:bCs/>
              </w:rPr>
            </w:pPr>
            <w:r w:rsidRPr="00AF5D13">
              <w:rPr>
                <w:b/>
                <w:bCs/>
              </w:rPr>
              <w:t>Description</w:t>
            </w:r>
          </w:p>
        </w:tc>
        <w:tc>
          <w:tcPr>
            <w:tcW w:w="3330" w:type="dxa"/>
            <w:tcBorders>
              <w:bottom w:val="single" w:color="auto" w:sz="4" w:space="0"/>
            </w:tcBorders>
            <w:vAlign w:val="bottom"/>
          </w:tcPr>
          <w:p w:rsidRPr="00AF5D13" w:rsidR="003742BA" w:rsidRDefault="003742BA" w14:paraId="752F3D14" w14:textId="77777777">
            <w:pPr>
              <w:keepNext/>
              <w:spacing w:line="240" w:lineRule="auto"/>
              <w:ind w:firstLine="0"/>
              <w:jc w:val="center"/>
              <w:rPr>
                <w:b/>
                <w:bCs/>
              </w:rPr>
            </w:pPr>
            <w:r w:rsidRPr="00AF5D13">
              <w:rPr>
                <w:b/>
                <w:bCs/>
              </w:rPr>
              <w:t xml:space="preserve">SCE Proposed </w:t>
            </w:r>
          </w:p>
          <w:p w:rsidRPr="00AF5D13" w:rsidR="003742BA" w:rsidRDefault="003742BA" w14:paraId="30472E2A" w14:textId="77777777">
            <w:pPr>
              <w:keepNext/>
              <w:spacing w:line="240" w:lineRule="auto"/>
              <w:ind w:firstLine="0"/>
              <w:jc w:val="center"/>
              <w:rPr>
                <w:b/>
                <w:bCs/>
              </w:rPr>
            </w:pPr>
            <w:r w:rsidRPr="00AF5D13">
              <w:rPr>
                <w:b/>
                <w:bCs/>
              </w:rPr>
              <w:t>202</w:t>
            </w:r>
            <w:r>
              <w:rPr>
                <w:b/>
                <w:bCs/>
              </w:rPr>
              <w:t>5</w:t>
            </w:r>
            <w:r w:rsidRPr="00AF5D13">
              <w:rPr>
                <w:b/>
                <w:bCs/>
              </w:rPr>
              <w:t xml:space="preserve"> Revenue </w:t>
            </w:r>
          </w:p>
          <w:p w:rsidR="0049788E" w:rsidRDefault="003742BA" w14:paraId="3EADBC74" w14:textId="77777777">
            <w:pPr>
              <w:keepNext/>
              <w:spacing w:line="240" w:lineRule="auto"/>
              <w:ind w:firstLine="0"/>
              <w:jc w:val="center"/>
              <w:rPr>
                <w:b/>
                <w:bCs/>
              </w:rPr>
            </w:pPr>
            <w:r w:rsidRPr="00AF5D13">
              <w:rPr>
                <w:b/>
                <w:bCs/>
              </w:rPr>
              <w:t xml:space="preserve">Requirement </w:t>
            </w:r>
          </w:p>
          <w:p w:rsidRPr="00AF5D13" w:rsidR="003742BA" w:rsidRDefault="0049788E" w14:paraId="35C2CB83" w14:textId="2A2A9548">
            <w:pPr>
              <w:keepNext/>
              <w:spacing w:line="240" w:lineRule="auto"/>
              <w:ind w:firstLine="0"/>
              <w:jc w:val="center"/>
            </w:pPr>
            <w:r w:rsidRPr="00AF5D13">
              <w:rPr>
                <w:b/>
                <w:szCs w:val="26"/>
              </w:rPr>
              <w:t>(millions)</w:t>
            </w:r>
          </w:p>
        </w:tc>
      </w:tr>
      <w:tr w:rsidRPr="00AF5D13" w:rsidR="003742BA" w14:paraId="0271937C" w14:textId="77777777">
        <w:trPr>
          <w:cantSplit/>
          <w:jc w:val="center"/>
        </w:trPr>
        <w:tc>
          <w:tcPr>
            <w:tcW w:w="3865" w:type="dxa"/>
            <w:tcBorders>
              <w:top w:val="nil"/>
            </w:tcBorders>
          </w:tcPr>
          <w:p w:rsidRPr="00AF5D13" w:rsidR="003742BA" w:rsidRDefault="003742BA" w14:paraId="4304FF3F" w14:textId="77777777">
            <w:pPr>
              <w:keepNext/>
              <w:spacing w:line="240" w:lineRule="auto"/>
              <w:ind w:firstLine="0"/>
            </w:pPr>
            <w:r w:rsidRPr="00AF5D13">
              <w:t>202</w:t>
            </w:r>
            <w:r>
              <w:t>5</w:t>
            </w:r>
            <w:r w:rsidRPr="00AF5D13">
              <w:t xml:space="preserve"> F&amp;PP Costs </w:t>
            </w:r>
          </w:p>
          <w:p w:rsidRPr="00AF5D13" w:rsidR="003742BA" w:rsidRDefault="003742BA" w14:paraId="31C0E0EA" w14:textId="77777777">
            <w:pPr>
              <w:spacing w:line="240" w:lineRule="auto"/>
              <w:ind w:firstLine="0"/>
            </w:pPr>
            <w:r w:rsidRPr="00AF5D13">
              <w:t>(including GHG costs)</w:t>
            </w:r>
          </w:p>
          <w:p w:rsidRPr="00AF5D13" w:rsidR="003742BA" w:rsidRDefault="003742BA" w14:paraId="4F81405B" w14:textId="77777777">
            <w:pPr>
              <w:numPr>
                <w:ilvl w:val="0"/>
                <w:numId w:val="26"/>
              </w:numPr>
              <w:spacing w:line="240" w:lineRule="auto"/>
              <w:ind w:left="576" w:hanging="216"/>
            </w:pPr>
            <w:r w:rsidRPr="00AF5D13">
              <w:t>ERRA BA</w:t>
            </w:r>
            <w:r w:rsidRPr="00AF5D13">
              <w:noBreakHyphen/>
              <w:t>related</w:t>
            </w:r>
          </w:p>
          <w:p w:rsidRPr="00AF5D13" w:rsidR="003742BA" w:rsidRDefault="003742BA" w14:paraId="2C8ECA9C" w14:textId="77777777">
            <w:pPr>
              <w:numPr>
                <w:ilvl w:val="0"/>
                <w:numId w:val="26"/>
              </w:numPr>
              <w:spacing w:line="240" w:lineRule="auto"/>
              <w:ind w:left="576" w:hanging="216"/>
            </w:pPr>
            <w:r w:rsidRPr="00AF5D13">
              <w:t>PABA</w:t>
            </w:r>
            <w:r w:rsidRPr="00AF5D13">
              <w:noBreakHyphen/>
              <w:t>related</w:t>
            </w:r>
          </w:p>
          <w:p w:rsidRPr="00AF5D13" w:rsidR="003742BA" w:rsidRDefault="003742BA" w14:paraId="7CFF9D8E" w14:textId="77777777">
            <w:pPr>
              <w:numPr>
                <w:ilvl w:val="0"/>
                <w:numId w:val="26"/>
              </w:numPr>
              <w:spacing w:line="240" w:lineRule="auto"/>
              <w:ind w:left="576" w:hanging="216"/>
            </w:pPr>
            <w:r w:rsidRPr="00AF5D13">
              <w:t>Green Tariff Shared Renewables BA</w:t>
            </w:r>
            <w:r w:rsidRPr="00AF5D13">
              <w:noBreakHyphen/>
              <w:t>related</w:t>
            </w:r>
          </w:p>
        </w:tc>
        <w:tc>
          <w:tcPr>
            <w:tcW w:w="3330" w:type="dxa"/>
            <w:tcBorders>
              <w:top w:val="nil"/>
            </w:tcBorders>
          </w:tcPr>
          <w:p w:rsidRPr="00AF5D13" w:rsidR="003742BA" w:rsidRDefault="003742BA" w14:paraId="754C5D73" w14:textId="77777777">
            <w:pPr>
              <w:spacing w:line="240" w:lineRule="auto"/>
              <w:ind w:firstLine="0"/>
              <w:jc w:val="right"/>
            </w:pPr>
          </w:p>
          <w:p w:rsidRPr="00AF5D13" w:rsidR="003742BA" w:rsidRDefault="003742BA" w14:paraId="0DA9F134" w14:textId="77777777">
            <w:pPr>
              <w:spacing w:line="240" w:lineRule="auto"/>
              <w:ind w:firstLine="0"/>
              <w:jc w:val="right"/>
            </w:pPr>
          </w:p>
          <w:p w:rsidRPr="00AF5D13" w:rsidR="003742BA" w:rsidRDefault="0048302E" w14:paraId="4B970512" w14:textId="44ABE0FF">
            <w:pPr>
              <w:spacing w:line="240" w:lineRule="auto"/>
              <w:ind w:firstLine="0"/>
              <w:jc w:val="right"/>
            </w:pPr>
            <w:r>
              <w:t>$</w:t>
            </w:r>
            <w:r w:rsidR="000B4882">
              <w:t xml:space="preserve"> </w:t>
            </w:r>
            <w:r w:rsidR="003742BA">
              <w:t>2</w:t>
            </w:r>
            <w:r w:rsidR="00D55F3B">
              <w:t>,</w:t>
            </w:r>
            <w:r w:rsidR="003742BA">
              <w:t>83</w:t>
            </w:r>
            <w:r w:rsidR="005138B4">
              <w:t>0.</w:t>
            </w:r>
            <w:r w:rsidR="006C1DB8">
              <w:t>024</w:t>
            </w:r>
          </w:p>
          <w:p w:rsidRPr="00AF5D13" w:rsidR="003742BA" w:rsidRDefault="00D55F3B" w14:paraId="7BAA71AE" w14:textId="2422592F">
            <w:pPr>
              <w:spacing w:line="240" w:lineRule="auto"/>
              <w:ind w:left="720" w:firstLine="0"/>
              <w:jc w:val="right"/>
            </w:pPr>
            <w:r>
              <w:t>$</w:t>
            </w:r>
            <w:r w:rsidR="000B4882">
              <w:t xml:space="preserve"> </w:t>
            </w:r>
            <w:r w:rsidR="003742BA">
              <w:t>1</w:t>
            </w:r>
            <w:r>
              <w:t>,</w:t>
            </w:r>
            <w:r w:rsidR="003742BA">
              <w:t>248</w:t>
            </w:r>
            <w:r w:rsidR="005138B4">
              <w:t>.</w:t>
            </w:r>
            <w:r w:rsidR="00AD55DA">
              <w:t>713</w:t>
            </w:r>
          </w:p>
          <w:p w:rsidRPr="00AF5D13" w:rsidR="003742BA" w:rsidRDefault="00D55F3B" w14:paraId="54D820DD" w14:textId="4BBE9D82">
            <w:pPr>
              <w:spacing w:line="240" w:lineRule="auto"/>
              <w:ind w:left="720" w:firstLine="0"/>
              <w:jc w:val="right"/>
            </w:pPr>
            <w:r>
              <w:t>$</w:t>
            </w:r>
            <w:r w:rsidR="000B4882">
              <w:t xml:space="preserve"> </w:t>
            </w:r>
            <w:r w:rsidR="00AD55DA">
              <w:t xml:space="preserve">       </w:t>
            </w:r>
            <w:r w:rsidR="003742BA">
              <w:t>7.132</w:t>
            </w:r>
          </w:p>
        </w:tc>
      </w:tr>
      <w:tr w:rsidRPr="00AF5D13" w:rsidR="003742BA" w14:paraId="3722DEA8" w14:textId="77777777">
        <w:trPr>
          <w:cantSplit/>
          <w:jc w:val="center"/>
        </w:trPr>
        <w:tc>
          <w:tcPr>
            <w:tcW w:w="3865" w:type="dxa"/>
          </w:tcPr>
          <w:p w:rsidRPr="00AF5D13" w:rsidR="003742BA" w:rsidRDefault="003742BA" w14:paraId="5A339D50" w14:textId="77777777">
            <w:pPr>
              <w:spacing w:line="240" w:lineRule="auto"/>
              <w:ind w:firstLine="0"/>
            </w:pPr>
            <w:r w:rsidRPr="00AF5D13">
              <w:t>202</w:t>
            </w:r>
            <w:r>
              <w:t>4</w:t>
            </w:r>
            <w:r w:rsidRPr="00AF5D13">
              <w:t xml:space="preserve"> ERRA BA True</w:t>
            </w:r>
            <w:r w:rsidRPr="00AF5D13">
              <w:noBreakHyphen/>
              <w:t>up</w:t>
            </w:r>
          </w:p>
        </w:tc>
        <w:tc>
          <w:tcPr>
            <w:tcW w:w="3330" w:type="dxa"/>
          </w:tcPr>
          <w:p w:rsidRPr="00AF5D13" w:rsidR="003742BA" w:rsidRDefault="003742BA" w14:paraId="0926F8C9" w14:textId="37C08699">
            <w:pPr>
              <w:spacing w:line="240" w:lineRule="auto"/>
              <w:ind w:firstLine="0"/>
              <w:jc w:val="right"/>
            </w:pPr>
            <w:r>
              <w:t>-</w:t>
            </w:r>
            <w:r w:rsidR="00D55F3B">
              <w:t>$</w:t>
            </w:r>
            <w:r w:rsidR="000B4882">
              <w:t xml:space="preserve"> </w:t>
            </w:r>
            <w:r w:rsidR="00AD55DA">
              <w:t xml:space="preserve">     </w:t>
            </w:r>
            <w:r>
              <w:t>10.152</w:t>
            </w:r>
            <w:r w:rsidRPr="00AF5D13">
              <w:t xml:space="preserve"> </w:t>
            </w:r>
          </w:p>
        </w:tc>
      </w:tr>
      <w:tr w:rsidRPr="00AF5D13" w:rsidR="003742BA" w14:paraId="62A2880B" w14:textId="77777777">
        <w:trPr>
          <w:cantSplit/>
          <w:jc w:val="center"/>
        </w:trPr>
        <w:tc>
          <w:tcPr>
            <w:tcW w:w="3865" w:type="dxa"/>
          </w:tcPr>
          <w:p w:rsidRPr="00AF5D13" w:rsidR="003742BA" w:rsidRDefault="003742BA" w14:paraId="4FC4B03E" w14:textId="77777777">
            <w:pPr>
              <w:spacing w:line="240" w:lineRule="auto"/>
              <w:ind w:firstLine="0"/>
            </w:pPr>
            <w:r w:rsidRPr="00AF5D13">
              <w:t>202</w:t>
            </w:r>
            <w:r>
              <w:t>4</w:t>
            </w:r>
            <w:r w:rsidRPr="00AF5D13">
              <w:t xml:space="preserve"> PABA True</w:t>
            </w:r>
            <w:r w:rsidRPr="00AF5D13">
              <w:noBreakHyphen/>
              <w:t>Up</w:t>
            </w:r>
          </w:p>
        </w:tc>
        <w:tc>
          <w:tcPr>
            <w:tcW w:w="3330" w:type="dxa"/>
          </w:tcPr>
          <w:p w:rsidRPr="00AF5D13" w:rsidR="003742BA" w:rsidRDefault="00D55F3B" w14:paraId="47AA12DD" w14:textId="6D5C61FE">
            <w:pPr>
              <w:spacing w:line="240" w:lineRule="auto"/>
              <w:ind w:firstLine="0"/>
              <w:jc w:val="right"/>
            </w:pPr>
            <w:r>
              <w:t>$</w:t>
            </w:r>
            <w:r w:rsidR="000B4882">
              <w:t xml:space="preserve"> </w:t>
            </w:r>
            <w:r w:rsidR="00AD55DA">
              <w:t xml:space="preserve">   </w:t>
            </w:r>
            <w:r w:rsidR="003742BA">
              <w:t>587.214</w:t>
            </w:r>
            <w:r w:rsidRPr="00AF5D13" w:rsidR="003742BA">
              <w:t xml:space="preserve"> </w:t>
            </w:r>
          </w:p>
        </w:tc>
      </w:tr>
      <w:tr w:rsidRPr="00AF5D13" w:rsidR="003742BA" w14:paraId="7DEF863E" w14:textId="77777777">
        <w:trPr>
          <w:cantSplit/>
          <w:jc w:val="center"/>
        </w:trPr>
        <w:tc>
          <w:tcPr>
            <w:tcW w:w="3865" w:type="dxa"/>
          </w:tcPr>
          <w:p w:rsidRPr="00AF5D13" w:rsidR="003742BA" w:rsidRDefault="003742BA" w14:paraId="1049ED15" w14:textId="77777777">
            <w:pPr>
              <w:keepNext/>
              <w:spacing w:line="240" w:lineRule="auto"/>
              <w:ind w:firstLine="0"/>
            </w:pPr>
            <w:r w:rsidRPr="00AF5D13">
              <w:t>202</w:t>
            </w:r>
            <w:r>
              <w:t>4</w:t>
            </w:r>
            <w:r w:rsidRPr="00AF5D13">
              <w:t xml:space="preserve"> ESMA True</w:t>
            </w:r>
            <w:r w:rsidRPr="00AF5D13">
              <w:noBreakHyphen/>
              <w:t>Up</w:t>
            </w:r>
          </w:p>
        </w:tc>
        <w:tc>
          <w:tcPr>
            <w:tcW w:w="3330" w:type="dxa"/>
          </w:tcPr>
          <w:p w:rsidRPr="00AF5D13" w:rsidR="003742BA" w:rsidRDefault="003742BA" w14:paraId="7F19055C" w14:textId="271E7E47">
            <w:pPr>
              <w:keepNext/>
              <w:spacing w:line="240" w:lineRule="auto"/>
              <w:ind w:firstLine="0"/>
              <w:jc w:val="right"/>
            </w:pPr>
            <w:r w:rsidRPr="00AF5D13">
              <w:noBreakHyphen/>
              <w:t>$</w:t>
            </w:r>
            <w:r w:rsidR="000B4882">
              <w:t xml:space="preserve"> </w:t>
            </w:r>
            <w:r w:rsidR="00AD55DA">
              <w:t xml:space="preserve">       </w:t>
            </w:r>
            <w:r w:rsidR="001A5EB9">
              <w:t>0.</w:t>
            </w:r>
            <w:r>
              <w:t>295</w:t>
            </w:r>
          </w:p>
        </w:tc>
      </w:tr>
      <w:tr w:rsidRPr="00AF5D13" w:rsidR="003742BA" w14:paraId="5BBC5355" w14:textId="77777777">
        <w:trPr>
          <w:cantSplit/>
          <w:jc w:val="center"/>
        </w:trPr>
        <w:tc>
          <w:tcPr>
            <w:tcW w:w="3865" w:type="dxa"/>
          </w:tcPr>
          <w:p w:rsidRPr="00AF5D13" w:rsidR="003742BA" w:rsidRDefault="003742BA" w14:paraId="68FDE10C" w14:textId="77777777">
            <w:pPr>
              <w:spacing w:line="240" w:lineRule="auto"/>
              <w:ind w:firstLine="0"/>
              <w:rPr>
                <w:b/>
                <w:bCs/>
              </w:rPr>
            </w:pPr>
            <w:r w:rsidRPr="00AF5D13">
              <w:rPr>
                <w:b/>
                <w:bCs/>
              </w:rPr>
              <w:t>Total Generation Service</w:t>
            </w:r>
          </w:p>
        </w:tc>
        <w:tc>
          <w:tcPr>
            <w:tcW w:w="3330" w:type="dxa"/>
          </w:tcPr>
          <w:p w:rsidRPr="00AF5D13" w:rsidR="003742BA" w:rsidRDefault="003742BA" w14:paraId="6EAF722E" w14:textId="013C0190">
            <w:pPr>
              <w:spacing w:line="240" w:lineRule="auto"/>
              <w:ind w:firstLine="0"/>
              <w:jc w:val="right"/>
              <w:rPr>
                <w:b/>
                <w:bCs/>
              </w:rPr>
            </w:pPr>
            <w:r w:rsidRPr="00AF5D13">
              <w:rPr>
                <w:b/>
                <w:bCs/>
              </w:rPr>
              <w:t>$</w:t>
            </w:r>
            <w:r w:rsidR="000B4882">
              <w:rPr>
                <w:b/>
                <w:bCs/>
              </w:rPr>
              <w:t xml:space="preserve"> </w:t>
            </w:r>
            <w:r>
              <w:rPr>
                <w:b/>
                <w:bCs/>
              </w:rPr>
              <w:t>4</w:t>
            </w:r>
            <w:r w:rsidR="001A5EB9">
              <w:rPr>
                <w:b/>
                <w:bCs/>
              </w:rPr>
              <w:t>,</w:t>
            </w:r>
            <w:r>
              <w:rPr>
                <w:b/>
                <w:bCs/>
              </w:rPr>
              <w:t>66</w:t>
            </w:r>
            <w:r w:rsidR="00AD55DA">
              <w:rPr>
                <w:b/>
                <w:bCs/>
              </w:rPr>
              <w:t>2.635</w:t>
            </w:r>
            <w:r w:rsidRPr="00AF5D13">
              <w:rPr>
                <w:b/>
                <w:bCs/>
              </w:rPr>
              <w:t xml:space="preserve"> </w:t>
            </w:r>
          </w:p>
        </w:tc>
      </w:tr>
    </w:tbl>
    <w:p w:rsidRPr="00AF5D13" w:rsidR="00AF5D13" w:rsidP="00AF5D13" w:rsidRDefault="00AF5D13" w14:paraId="69497690" w14:textId="62D5D133">
      <w:pPr>
        <w:rPr>
          <w:sz w:val="16"/>
          <w:szCs w:val="16"/>
        </w:rPr>
      </w:pPr>
    </w:p>
    <w:p w:rsidRPr="00DF72D7" w:rsidR="00AF5D13" w:rsidP="00DF72D7" w:rsidRDefault="00AF5D13" w14:paraId="4256531F" w14:textId="77777777">
      <w:pPr>
        <w:pStyle w:val="Heading3"/>
      </w:pPr>
      <w:bookmarkStart w:name="_Toc151976217" w:id="123"/>
      <w:bookmarkStart w:name="_Toc183184310" w:id="124"/>
      <w:r w:rsidRPr="00DF72D7">
        <w:t>ERRA Balancing Account</w:t>
      </w:r>
      <w:bookmarkEnd w:id="123"/>
      <w:bookmarkEnd w:id="124"/>
    </w:p>
    <w:p w:rsidR="00A02011" w:rsidP="002E4A4C" w:rsidRDefault="00AF5D13" w14:paraId="7348F989" w14:textId="77777777">
      <w:r w:rsidRPr="00AF5D13">
        <w:t>SCE’s ERRA BA records the difference between SCE’s ERRA</w:t>
      </w:r>
      <w:r w:rsidRPr="00AF5D13">
        <w:noBreakHyphen/>
        <w:t xml:space="preserve">related revenue requirement and its F&amp;PP expenses for bundled service customers during the </w:t>
      </w:r>
      <w:r w:rsidRPr="00165C0E">
        <w:t>prior year.</w:t>
      </w:r>
      <w:r w:rsidRPr="00165C0E">
        <w:rPr>
          <w:vertAlign w:val="superscript"/>
        </w:rPr>
        <w:footnoteReference w:id="125"/>
      </w:r>
      <w:r w:rsidRPr="00165C0E">
        <w:t xml:space="preserve"> In its </w:t>
      </w:r>
      <w:r w:rsidRPr="00165C0E" w:rsidR="00380E18">
        <w:t>A</w:t>
      </w:r>
      <w:r w:rsidRPr="00165C0E" w:rsidR="008E66E4">
        <w:t>OU</w:t>
      </w:r>
      <w:r w:rsidRPr="00165C0E">
        <w:t>, SCE estimate</w:t>
      </w:r>
      <w:r w:rsidRPr="00165C0E" w:rsidR="00022524">
        <w:t>s</w:t>
      </w:r>
      <w:r w:rsidRPr="00165C0E">
        <w:t xml:space="preserve"> </w:t>
      </w:r>
      <w:r w:rsidRPr="00165C0E" w:rsidR="00501E00">
        <w:t xml:space="preserve">that the </w:t>
      </w:r>
      <w:r w:rsidRPr="00165C0E" w:rsidR="00122D3C">
        <w:t>2025</w:t>
      </w:r>
      <w:r w:rsidRPr="00165C0E" w:rsidR="008E66E4">
        <w:t xml:space="preserve"> ERRA</w:t>
      </w:r>
      <w:r w:rsidRPr="00165C0E" w:rsidR="00CF01DF">
        <w:t xml:space="preserve"> BA</w:t>
      </w:r>
      <w:r w:rsidRPr="00165C0E" w:rsidR="00122D3C">
        <w:t xml:space="preserve"> F&amp;PP costs</w:t>
      </w:r>
      <w:r w:rsidRPr="00165C0E" w:rsidR="00172177">
        <w:t xml:space="preserve"> will be $2,831 </w:t>
      </w:r>
      <w:r w:rsidRPr="00165C0E" w:rsidR="00A54C60">
        <w:t>million</w:t>
      </w:r>
      <w:r w:rsidR="00A87CEE">
        <w:t>,</w:t>
      </w:r>
      <w:r w:rsidRPr="00165C0E" w:rsidR="001A6DCD">
        <w:t xml:space="preserve"> resulting</w:t>
      </w:r>
      <w:r w:rsidR="002E4A4C">
        <w:t xml:space="preserve"> in</w:t>
      </w:r>
      <w:r w:rsidRPr="00165C0E" w:rsidR="001A6DCD">
        <w:t xml:space="preserve"> an ov</w:t>
      </w:r>
      <w:r w:rsidRPr="00165C0E" w:rsidR="000767DB">
        <w:t>ercollection of $1,628 million</w:t>
      </w:r>
      <w:r w:rsidR="00AA2063">
        <w:rPr>
          <w:rStyle w:val="FootnoteReference"/>
        </w:rPr>
        <w:footnoteReference w:id="126"/>
      </w:r>
      <w:r w:rsidRPr="00165C0E" w:rsidR="000767DB">
        <w:t xml:space="preserve"> </w:t>
      </w:r>
      <w:r w:rsidR="004D0063">
        <w:t>less than</w:t>
      </w:r>
      <w:r w:rsidRPr="00165C0E" w:rsidR="004D0063">
        <w:t xml:space="preserve"> </w:t>
      </w:r>
      <w:r w:rsidRPr="00165C0E" w:rsidR="000767DB">
        <w:t>current rates.</w:t>
      </w:r>
      <w:r w:rsidRPr="00165C0E" w:rsidR="00A54C60">
        <w:t xml:space="preserve"> </w:t>
      </w:r>
      <w:r w:rsidRPr="00165C0E" w:rsidR="000767DB">
        <w:t>It further estimate</w:t>
      </w:r>
      <w:r w:rsidRPr="00165C0E" w:rsidR="008E11A0">
        <w:t>s</w:t>
      </w:r>
      <w:r w:rsidRPr="00165C0E" w:rsidR="000767DB">
        <w:t xml:space="preserve"> that </w:t>
      </w:r>
      <w:r w:rsidRPr="00165C0E" w:rsidR="00A54C60">
        <w:t xml:space="preserve">the </w:t>
      </w:r>
      <w:r w:rsidRPr="00165C0E" w:rsidR="00E973B3">
        <w:t xml:space="preserve">2024 </w:t>
      </w:r>
      <w:r w:rsidRPr="00165C0E">
        <w:t>ERRA</w:t>
      </w:r>
      <w:r w:rsidR="007919BE">
        <w:t xml:space="preserve"> year-end balance</w:t>
      </w:r>
      <w:r w:rsidRPr="00165C0E">
        <w:t xml:space="preserve"> will be</w:t>
      </w:r>
      <w:r w:rsidRPr="00165C0E" w:rsidR="00FE228B">
        <w:t xml:space="preserve"> </w:t>
      </w:r>
      <w:r w:rsidR="00DA1853">
        <w:t xml:space="preserve">negative </w:t>
      </w:r>
      <w:r w:rsidRPr="00165C0E" w:rsidR="006B5733">
        <w:t>$</w:t>
      </w:r>
      <w:r w:rsidRPr="00165C0E" w:rsidR="00FE228B">
        <w:t>1</w:t>
      </w:r>
      <w:r w:rsidRPr="00165C0E" w:rsidR="006E381F">
        <w:t>0</w:t>
      </w:r>
      <w:r w:rsidRPr="00165C0E" w:rsidR="000767DB">
        <w:t>.152</w:t>
      </w:r>
      <w:r w:rsidRPr="00165C0E" w:rsidR="00FE228B">
        <w:t xml:space="preserve"> million</w:t>
      </w:r>
      <w:r w:rsidRPr="00165C0E" w:rsidR="000767DB">
        <w:t xml:space="preserve">, resulting in </w:t>
      </w:r>
      <w:r w:rsidRPr="00165C0E" w:rsidR="00EC27D8">
        <w:t xml:space="preserve">an </w:t>
      </w:r>
      <w:r w:rsidRPr="00165C0E" w:rsidR="00FA2CB2">
        <w:t>end of 2024</w:t>
      </w:r>
      <w:r w:rsidRPr="00165C0E" w:rsidR="00CF01DF">
        <w:t xml:space="preserve"> </w:t>
      </w:r>
      <w:r w:rsidRPr="00165C0E" w:rsidR="001A743D">
        <w:t>over</w:t>
      </w:r>
      <w:r w:rsidRPr="00165C0E">
        <w:t>collect</w:t>
      </w:r>
      <w:r w:rsidRPr="00165C0E" w:rsidR="00FE228B">
        <w:t>ion of</w:t>
      </w:r>
      <w:r w:rsidRPr="00165C0E">
        <w:t xml:space="preserve"> $</w:t>
      </w:r>
      <w:r w:rsidRPr="00165C0E" w:rsidR="000949BE">
        <w:t>187</w:t>
      </w:r>
      <w:r w:rsidRPr="00165C0E" w:rsidR="0030044D">
        <w:t>.104</w:t>
      </w:r>
      <w:r w:rsidR="00FB6C74">
        <w:t> </w:t>
      </w:r>
      <w:r w:rsidRPr="00165C0E">
        <w:t xml:space="preserve">million (including FF&amp;U) </w:t>
      </w:r>
      <w:r w:rsidR="00FA2CB2">
        <w:t>under</w:t>
      </w:r>
      <w:r w:rsidR="00EC27D8">
        <w:t xml:space="preserve"> current rates</w:t>
      </w:r>
      <w:r w:rsidRPr="00AF5D13">
        <w:t>.</w:t>
      </w:r>
      <w:r w:rsidRPr="00AF5D13">
        <w:rPr>
          <w:vertAlign w:val="superscript"/>
        </w:rPr>
        <w:footnoteReference w:id="127"/>
      </w:r>
      <w:r w:rsidRPr="00AF5D13">
        <w:t xml:space="preserve"> </w:t>
      </w:r>
      <w:r w:rsidR="00BA324A">
        <w:t>T</w:t>
      </w:r>
      <w:r w:rsidRPr="00AF5D13">
        <w:t>h</w:t>
      </w:r>
      <w:r w:rsidR="005811E4">
        <w:t xml:space="preserve">e </w:t>
      </w:r>
      <w:r w:rsidRPr="00AF5D13">
        <w:t>estimate</w:t>
      </w:r>
      <w:r w:rsidR="005811E4">
        <w:t xml:space="preserve"> provided </w:t>
      </w:r>
      <w:r w:rsidR="003B472D">
        <w:t xml:space="preserve">for the 2024 ERRA BA </w:t>
      </w:r>
      <w:r w:rsidR="005811E4">
        <w:t xml:space="preserve">in </w:t>
      </w:r>
      <w:r w:rsidRPr="007A4A90" w:rsidR="005811E4">
        <w:t xml:space="preserve">the </w:t>
      </w:r>
      <w:r w:rsidRPr="007A4A90" w:rsidR="00304E18">
        <w:t>AOU</w:t>
      </w:r>
      <w:r w:rsidRPr="007A4A90">
        <w:t xml:space="preserve"> </w:t>
      </w:r>
      <w:r w:rsidRPr="00AF5D13">
        <w:t xml:space="preserve">was developed by adding the amount </w:t>
      </w:r>
      <w:r w:rsidRPr="00AF5D13">
        <w:lastRenderedPageBreak/>
        <w:t xml:space="preserve">forecasted to be recorded in the ERRA BA </w:t>
      </w:r>
      <w:r w:rsidR="00304E18">
        <w:t>October</w:t>
      </w:r>
      <w:r w:rsidRPr="00AF5D13">
        <w:t>-December 202</w:t>
      </w:r>
      <w:r w:rsidR="00535D78">
        <w:t>4</w:t>
      </w:r>
      <w:r w:rsidRPr="00AF5D13">
        <w:t xml:space="preserve"> to the amount already recorded as of September 30, 202</w:t>
      </w:r>
      <w:r w:rsidR="00535D78">
        <w:t>4</w:t>
      </w:r>
      <w:r w:rsidRPr="00AF5D13">
        <w:t xml:space="preserve">, which included the RA and RPS </w:t>
      </w:r>
    </w:p>
    <w:p w:rsidR="002E4A4C" w:rsidP="00A02011" w:rsidRDefault="00AF5D13" w14:paraId="6CC2C74B" w14:textId="3601849B">
      <w:pPr>
        <w:ind w:firstLine="0"/>
      </w:pPr>
      <w:r w:rsidRPr="00AF5D13">
        <w:t>true-up amounts.</w:t>
      </w:r>
      <w:r w:rsidR="0054590F">
        <w:rPr>
          <w:rStyle w:val="FootnoteReference"/>
        </w:rPr>
        <w:footnoteReference w:id="128"/>
      </w:r>
      <w:r w:rsidRPr="00AF5D13">
        <w:t xml:space="preserve"> </w:t>
      </w:r>
      <w:r w:rsidRPr="002E4A4C" w:rsidR="002E4A4C">
        <w:t xml:space="preserve"> </w:t>
      </w:r>
    </w:p>
    <w:p w:rsidRPr="00AF5D13" w:rsidR="002E4A4C" w:rsidP="002E4A4C" w:rsidRDefault="002E4A4C" w14:paraId="5061C7D9" w14:textId="1D9B601C">
      <w:r w:rsidRPr="00AF5D13">
        <w:t xml:space="preserve">As discussed </w:t>
      </w:r>
      <w:r w:rsidRPr="00C82171">
        <w:t xml:space="preserve">in </w:t>
      </w:r>
      <w:r w:rsidRPr="00F906A1">
        <w:t>Section 4</w:t>
      </w:r>
      <w:r w:rsidRPr="00C82171">
        <w:t xml:space="preserve"> above</w:t>
      </w:r>
      <w:r w:rsidRPr="00AF5D13">
        <w:t>, SCE removed the increased revenues associated with the 202</w:t>
      </w:r>
      <w:r>
        <w:t>4</w:t>
      </w:r>
      <w:r w:rsidRPr="00AF5D13">
        <w:t xml:space="preserve"> ERRA Trigger revenue requirement when calculating its final ERRA BA balance </w:t>
      </w:r>
      <w:r>
        <w:t>in</w:t>
      </w:r>
      <w:r w:rsidRPr="00AF5D13">
        <w:t xml:space="preserve"> </w:t>
      </w:r>
      <w:r>
        <w:t xml:space="preserve">the </w:t>
      </w:r>
      <w:r w:rsidRPr="00F906A1">
        <w:t xml:space="preserve">AOU </w:t>
      </w:r>
      <w:r>
        <w:t>forecasts</w:t>
      </w:r>
      <w:r w:rsidRPr="00AF5D13">
        <w:t xml:space="preserve">. </w:t>
      </w:r>
    </w:p>
    <w:p w:rsidRPr="00AF5D13" w:rsidR="00AF5D13" w:rsidP="007F30DD" w:rsidRDefault="00AF5D13" w14:paraId="457C9A54" w14:textId="53FD0117">
      <w:r w:rsidRPr="00AF5D13">
        <w:t>SCE note</w:t>
      </w:r>
      <w:r w:rsidR="002E4A4C">
        <w:t>s</w:t>
      </w:r>
      <w:r w:rsidRPr="00AF5D13">
        <w:t xml:space="preserve"> that the </w:t>
      </w:r>
      <w:r w:rsidR="00071C16">
        <w:t>initial estimate</w:t>
      </w:r>
      <w:r w:rsidR="006149C3">
        <w:t>s</w:t>
      </w:r>
      <w:r w:rsidR="00071C16">
        <w:t xml:space="preserve"> of over</w:t>
      </w:r>
      <w:r w:rsidRPr="00AF5D13">
        <w:t xml:space="preserve">collection </w:t>
      </w:r>
      <w:r w:rsidR="006149C3">
        <w:t>are</w:t>
      </w:r>
      <w:r w:rsidRPr="00AF5D13">
        <w:t xml:space="preserve"> largely the</w:t>
      </w:r>
      <w:r w:rsidR="006A154B">
        <w:t xml:space="preserve"> result of </w:t>
      </w:r>
      <w:r w:rsidR="006149C3">
        <w:t>unanticipated</w:t>
      </w:r>
      <w:r w:rsidR="002C5C53">
        <w:t xml:space="preserve"> change</w:t>
      </w:r>
      <w:r w:rsidR="00E50889">
        <w:t xml:space="preserve">s to the </w:t>
      </w:r>
      <w:r w:rsidR="00567FC9">
        <w:t>MPB</w:t>
      </w:r>
      <w:r w:rsidR="00E50889">
        <w:t xml:space="preserve">s and </w:t>
      </w:r>
      <w:r w:rsidR="006A154B">
        <w:t>lower-than-forecast</w:t>
      </w:r>
      <w:r w:rsidR="007F30DD">
        <w:t xml:space="preserve"> power prices resulting in </w:t>
      </w:r>
      <w:r w:rsidR="00E154D8">
        <w:t>lower-than</w:t>
      </w:r>
      <w:r w:rsidR="007F30DD">
        <w:t>-forecast load procurement costs</w:t>
      </w:r>
      <w:r w:rsidR="0021482A">
        <w:t>.</w:t>
      </w:r>
      <w:r w:rsidRPr="00AF5D13">
        <w:t xml:space="preserve"> </w:t>
      </w:r>
    </w:p>
    <w:p w:rsidRPr="00DF72D7" w:rsidR="00AF5D13" w:rsidP="00DF72D7" w:rsidRDefault="00AF5D13" w14:paraId="168E13AE" w14:textId="77777777">
      <w:pPr>
        <w:pStyle w:val="Heading3"/>
      </w:pPr>
      <w:bookmarkStart w:name="_Toc151976218" w:id="125"/>
      <w:bookmarkStart w:name="_Toc183184311" w:id="126"/>
      <w:r w:rsidRPr="00DF72D7">
        <w:t>Portfolio Allocation Balancing Account</w:t>
      </w:r>
      <w:bookmarkEnd w:id="125"/>
      <w:bookmarkEnd w:id="126"/>
    </w:p>
    <w:p w:rsidR="006626A3" w:rsidP="00AF5D13" w:rsidRDefault="00AF5D13" w14:paraId="112CF40A" w14:textId="00E9F6FE">
      <w:r w:rsidRPr="00AF5D13">
        <w:t>D.18-10-019 modified the balancing accounts to be considered in ERRA forecast proceedings and directed utilities to create new balancing accounts to track above-market costs and revenues associated with their electric portfolios.</w:t>
      </w:r>
      <w:r w:rsidRPr="00AF5D13">
        <w:rPr>
          <w:vertAlign w:val="superscript"/>
        </w:rPr>
        <w:footnoteReference w:id="129"/>
      </w:r>
      <w:r w:rsidRPr="00AF5D13">
        <w:t xml:space="preserve"> The PABA record</w:t>
      </w:r>
      <w:r w:rsidR="00D051AA">
        <w:t>s</w:t>
      </w:r>
      <w:r w:rsidRPr="00AF5D13">
        <w:t xml:space="preserve"> the </w:t>
      </w:r>
      <w:r w:rsidR="00487AF2">
        <w:t xml:space="preserve">above market </w:t>
      </w:r>
      <w:r w:rsidRPr="00AF5D13">
        <w:t xml:space="preserve">costs of long term, fixed price contract costs and utility owned generation costs for bundled and departed load </w:t>
      </w:r>
      <w:r w:rsidRPr="006C0C3C">
        <w:t>customers (</w:t>
      </w:r>
      <w:r w:rsidRPr="00FA6ACD">
        <w:rPr>
          <w:i/>
          <w:iCs/>
        </w:rPr>
        <w:t>see</w:t>
      </w:r>
      <w:r w:rsidRPr="006C0C3C">
        <w:t xml:space="preserve"> Section 5 above for specific resource types).</w:t>
      </w:r>
      <w:r w:rsidRPr="00AF5D13">
        <w:t xml:space="preserve"> </w:t>
      </w:r>
    </w:p>
    <w:p w:rsidR="00053B18" w:rsidP="00AF5D13" w:rsidRDefault="009D4AE8" w14:paraId="7EED4B55" w14:textId="481DBA65">
      <w:r w:rsidRPr="00AF5D13">
        <w:t>SCE</w:t>
      </w:r>
      <w:r w:rsidR="00D63003">
        <w:t xml:space="preserve">’s </w:t>
      </w:r>
      <w:r w:rsidRPr="00F823F5" w:rsidR="00D63003">
        <w:t xml:space="preserve">AOU </w:t>
      </w:r>
      <w:r w:rsidRPr="00F823F5" w:rsidR="00571081">
        <w:t>forecast</w:t>
      </w:r>
      <w:r w:rsidR="00431E15">
        <w:t>s</w:t>
      </w:r>
      <w:r w:rsidRPr="00F823F5">
        <w:t xml:space="preserve"> </w:t>
      </w:r>
      <w:r w:rsidRPr="00F823F5" w:rsidR="00CE7858">
        <w:t xml:space="preserve">a </w:t>
      </w:r>
      <w:r w:rsidRPr="00F823F5">
        <w:t>2025 PABA revenue requirement of $1,248.024</w:t>
      </w:r>
      <w:r w:rsidR="006C6CAA">
        <w:t xml:space="preserve"> million</w:t>
      </w:r>
      <w:r w:rsidRPr="00F823F5">
        <w:t>, resulting in an undercollection of $1,013 million</w:t>
      </w:r>
      <w:r w:rsidRPr="00AF5D13">
        <w:t>,</w:t>
      </w:r>
      <w:r>
        <w:rPr>
          <w:rStyle w:val="FootnoteReference"/>
        </w:rPr>
        <w:footnoteReference w:id="130"/>
      </w:r>
      <w:r w:rsidRPr="00AF5D13">
        <w:t xml:space="preserve"> including FF&amp;U</w:t>
      </w:r>
      <w:r>
        <w:t>.</w:t>
      </w:r>
      <w:r w:rsidR="00E75C65">
        <w:t xml:space="preserve"> </w:t>
      </w:r>
    </w:p>
    <w:p w:rsidRPr="00E85EF6" w:rsidR="00B94A23" w:rsidP="00AF5D13" w:rsidRDefault="00AF5D13" w14:paraId="2CF4B3F4" w14:textId="66389CE0">
      <w:r w:rsidRPr="00AF5D13">
        <w:lastRenderedPageBreak/>
        <w:t xml:space="preserve">In its </w:t>
      </w:r>
      <w:r w:rsidR="003244E4">
        <w:t>AOU</w:t>
      </w:r>
      <w:r w:rsidRPr="00AF5D13">
        <w:t xml:space="preserve">, SCE </w:t>
      </w:r>
      <w:r w:rsidR="00F823F5">
        <w:t>f</w:t>
      </w:r>
      <w:r w:rsidRPr="00AF5D13" w:rsidR="00F823F5">
        <w:t>orecast</w:t>
      </w:r>
      <w:r w:rsidR="006C0C3C">
        <w:t>s</w:t>
      </w:r>
      <w:r w:rsidR="00807BB2">
        <w:t xml:space="preserve"> that</w:t>
      </w:r>
      <w:r w:rsidRPr="00AF5D13">
        <w:t xml:space="preserve"> the</w:t>
      </w:r>
      <w:r w:rsidR="00487D40">
        <w:t xml:space="preserve"> year-end</w:t>
      </w:r>
      <w:r w:rsidRPr="00AF5D13">
        <w:t xml:space="preserve"> balance in its </w:t>
      </w:r>
      <w:r w:rsidR="005B5050">
        <w:t xml:space="preserve">2024 </w:t>
      </w:r>
      <w:r w:rsidRPr="00AF5D13">
        <w:t xml:space="preserve">PABA will </w:t>
      </w:r>
      <w:r w:rsidR="00487D40">
        <w:t>be a</w:t>
      </w:r>
      <w:r w:rsidRPr="00E85EF6" w:rsidR="00861F4D">
        <w:t xml:space="preserve"> </w:t>
      </w:r>
      <w:r w:rsidRPr="00E85EF6" w:rsidR="006D47C9">
        <w:t>$</w:t>
      </w:r>
      <w:r w:rsidRPr="00E85EF6" w:rsidR="007F37A5">
        <w:t>587.214</w:t>
      </w:r>
      <w:r w:rsidRPr="00E85EF6" w:rsidR="006D47C9">
        <w:t xml:space="preserve"> million</w:t>
      </w:r>
      <w:r w:rsidRPr="00E85EF6">
        <w:t xml:space="preserve"> undercollection</w:t>
      </w:r>
      <w:r w:rsidR="0093039B">
        <w:t>,</w:t>
      </w:r>
      <w:r w:rsidRPr="00E85EF6">
        <w:t xml:space="preserve"> of $</w:t>
      </w:r>
      <w:r w:rsidRPr="00E85EF6" w:rsidR="007F37A5">
        <w:t>79</w:t>
      </w:r>
      <w:r w:rsidRPr="00E85EF6" w:rsidR="00414D03">
        <w:t>.</w:t>
      </w:r>
      <w:r w:rsidRPr="00E85EF6" w:rsidR="004D0C78">
        <w:t>628</w:t>
      </w:r>
      <w:r w:rsidRPr="00E85EF6">
        <w:t xml:space="preserve"> million</w:t>
      </w:r>
      <w:r w:rsidR="0093039B">
        <w:t xml:space="preserve"> more than current rates</w:t>
      </w:r>
      <w:r w:rsidRPr="00E85EF6">
        <w:t>,</w:t>
      </w:r>
      <w:r w:rsidRPr="00E85EF6" w:rsidR="00EE4104">
        <w:rPr>
          <w:rStyle w:val="FootnoteReference"/>
        </w:rPr>
        <w:footnoteReference w:id="131"/>
      </w:r>
      <w:r w:rsidRPr="00E85EF6">
        <w:t xml:space="preserve"> including FF&amp;U, as of December 31, 202</w:t>
      </w:r>
      <w:r w:rsidRPr="00E85EF6" w:rsidR="00446BFC">
        <w:t>4</w:t>
      </w:r>
      <w:r w:rsidRPr="00E85EF6">
        <w:t xml:space="preserve">. </w:t>
      </w:r>
    </w:p>
    <w:p w:rsidR="000D7D2D" w:rsidP="00AF5D13" w:rsidRDefault="00807BB2" w14:paraId="125E2B8E" w14:textId="214CF089">
      <w:r>
        <w:t>SCE states t</w:t>
      </w:r>
      <w:r w:rsidR="00371CD7">
        <w:t xml:space="preserve">his </w:t>
      </w:r>
      <w:r w:rsidR="00EE7564">
        <w:t xml:space="preserve">undercollection is largely </w:t>
      </w:r>
      <w:r w:rsidRPr="00E85EF6" w:rsidR="00EE7564">
        <w:t xml:space="preserve">due to </w:t>
      </w:r>
      <w:r w:rsidRPr="00E85EF6" w:rsidR="00493C43">
        <w:t xml:space="preserve">the changes in </w:t>
      </w:r>
      <w:r w:rsidRPr="00E85EF6" w:rsidR="00267001">
        <w:t>MPB</w:t>
      </w:r>
      <w:r w:rsidR="00117A57">
        <w:t>s</w:t>
      </w:r>
      <w:r w:rsidRPr="00E85EF6" w:rsidR="00267001">
        <w:t xml:space="preserve"> and </w:t>
      </w:r>
      <w:r w:rsidRPr="00E85EF6" w:rsidR="00EE7564">
        <w:t>SCE’s propos</w:t>
      </w:r>
      <w:r w:rsidRPr="00E85EF6" w:rsidR="006E2C8B">
        <w:t xml:space="preserve">al to </w:t>
      </w:r>
      <w:r w:rsidRPr="00E85EF6" w:rsidR="00E97D82">
        <w:t>use its October Al</w:t>
      </w:r>
      <w:r w:rsidR="00E97D82">
        <w:t>ternate Update</w:t>
      </w:r>
      <w:r w:rsidR="006E2C8B">
        <w:t xml:space="preserve"> methodology </w:t>
      </w:r>
      <w:r w:rsidR="00A223F0">
        <w:t>of applying the final 2024</w:t>
      </w:r>
      <w:r w:rsidR="005E7CC8">
        <w:t xml:space="preserve"> </w:t>
      </w:r>
      <w:r w:rsidR="00CB39C1">
        <w:t>RA and RPS MPB</w:t>
      </w:r>
      <w:r w:rsidR="00A946CF">
        <w:t>.</w:t>
      </w:r>
      <w:r w:rsidR="007D5648">
        <w:t xml:space="preserve"> Without this change in methodology</w:t>
      </w:r>
      <w:r w:rsidR="00DB36FB">
        <w:t xml:space="preserve">, </w:t>
      </w:r>
      <w:r w:rsidR="00BE3B62">
        <w:t xml:space="preserve">PABA would </w:t>
      </w:r>
      <w:r w:rsidR="000D7D2D">
        <w:t xml:space="preserve">have </w:t>
      </w:r>
      <w:r w:rsidR="00BE3B62">
        <w:t>be</w:t>
      </w:r>
      <w:r w:rsidR="000D7D2D">
        <w:t>en</w:t>
      </w:r>
      <w:r w:rsidR="00BE3B62">
        <w:t xml:space="preserve"> </w:t>
      </w:r>
      <w:r w:rsidR="000D7D2D">
        <w:t>forecasted to</w:t>
      </w:r>
      <w:r w:rsidR="004D0C78">
        <w:t xml:space="preserve"> end</w:t>
      </w:r>
      <w:r w:rsidR="000D7D2D">
        <w:t xml:space="preserve"> </w:t>
      </w:r>
      <w:r w:rsidR="00BE3B62">
        <w:t xml:space="preserve">2024 with </w:t>
      </w:r>
      <w:r w:rsidR="000D7D2D">
        <w:t>an overcollection of $877.513 million.</w:t>
      </w:r>
      <w:r w:rsidR="006743B1">
        <w:rPr>
          <w:rStyle w:val="FootnoteReference"/>
        </w:rPr>
        <w:footnoteReference w:id="132"/>
      </w:r>
    </w:p>
    <w:p w:rsidRPr="00720314" w:rsidR="00AF5D13" w:rsidP="00AF5D13" w:rsidRDefault="00DA578A" w14:paraId="74517B7B" w14:textId="34603561">
      <w:r>
        <w:t xml:space="preserve">Weighing the record, we find that </w:t>
      </w:r>
      <w:r w:rsidRPr="00720314" w:rsidR="00AF5D13">
        <w:t>SCE’s forecast 202</w:t>
      </w:r>
      <w:r w:rsidRPr="00720314" w:rsidR="00296881">
        <w:t>5</w:t>
      </w:r>
      <w:r w:rsidRPr="00720314" w:rsidR="00AF5D13">
        <w:t xml:space="preserve"> PABA </w:t>
      </w:r>
      <w:r w:rsidR="00275A35">
        <w:t xml:space="preserve">revenue requirement </w:t>
      </w:r>
      <w:r w:rsidRPr="00720314" w:rsidR="00AF5D13">
        <w:t>and 202</w:t>
      </w:r>
      <w:r w:rsidRPr="00720314" w:rsidR="00FB50AD">
        <w:t>4</w:t>
      </w:r>
      <w:r w:rsidRPr="00720314" w:rsidR="00AF5D13">
        <w:t xml:space="preserve"> PABA year</w:t>
      </w:r>
      <w:r w:rsidRPr="00720314" w:rsidR="00AF5D13">
        <w:noBreakHyphen/>
        <w:t>end true</w:t>
      </w:r>
      <w:r w:rsidRPr="00720314" w:rsidR="00AF5D13">
        <w:noBreakHyphen/>
        <w:t xml:space="preserve">up reasonable </w:t>
      </w:r>
      <w:r>
        <w:t>and approved</w:t>
      </w:r>
      <w:r w:rsidRPr="00720314" w:rsidR="00AF5D13">
        <w:t>.</w:t>
      </w:r>
    </w:p>
    <w:p w:rsidRPr="00F72A7E" w:rsidR="00F72A7E" w:rsidP="00F72A7E" w:rsidRDefault="00F72A7E" w14:paraId="41316D77" w14:textId="77777777">
      <w:pPr>
        <w:pStyle w:val="Heading3"/>
      </w:pPr>
      <w:bookmarkStart w:name="_Toc151976221" w:id="127"/>
      <w:bookmarkStart w:name="_Toc183184312" w:id="128"/>
      <w:bookmarkStart w:name="_Toc151976219" w:id="129"/>
      <w:r w:rsidRPr="00F72A7E">
        <w:t>Energy Settlement Memorandum Account and Litigation Costs Tracking Account</w:t>
      </w:r>
      <w:bookmarkEnd w:id="127"/>
      <w:bookmarkEnd w:id="128"/>
    </w:p>
    <w:p w:rsidRPr="00AF5D13" w:rsidR="00F72A7E" w:rsidP="00F72A7E" w:rsidRDefault="00F72A7E" w14:paraId="20413929" w14:textId="7B8A0A3F">
      <w:r w:rsidRPr="00AF5D13">
        <w:t>SCE continues to pursue refunds from generators that overcharged it and other California IOUs for electricity during the 2000-2001 California Energy Crisis. In its 202</w:t>
      </w:r>
      <w:r w:rsidR="00A00983">
        <w:t>5 AOU</w:t>
      </w:r>
      <w:r w:rsidRPr="00AF5D13">
        <w:t xml:space="preserve">, SCE estimated a balance of </w:t>
      </w:r>
      <w:r w:rsidR="006C0C3C">
        <w:t xml:space="preserve">negative </w:t>
      </w:r>
      <w:r w:rsidRPr="00AF5D13">
        <w:t>$</w:t>
      </w:r>
      <w:r w:rsidR="000E72A3">
        <w:t>0.295 million</w:t>
      </w:r>
      <w:r w:rsidRPr="00AF5D13">
        <w:t xml:space="preserve"> in its Energy Settlement Memorandum Account (ESMA), including FF&amp;U. </w:t>
      </w:r>
    </w:p>
    <w:p w:rsidRPr="00AF5D13" w:rsidR="00F72A7E" w:rsidP="00F72A7E" w:rsidRDefault="00F72A7E" w14:paraId="013AA5F3" w14:textId="73B3D8C9">
      <w:r w:rsidRPr="00AF5D13">
        <w:t>Pursuant to Resolution E-3894, SCE is also required to maintain a Litigation Costs Tracking Account (LCTA) within its ESMA to track litigation costs associated with the pursuit of a settlement related to the California Energy Crisis. SCE forecasted its LCTA will have a balance of $</w:t>
      </w:r>
      <w:r w:rsidR="00C450F0">
        <w:t>0</w:t>
      </w:r>
      <w:r w:rsidRPr="00AF5D13">
        <w:t xml:space="preserve"> as of December</w:t>
      </w:r>
      <w:r w:rsidR="00FA6ACD">
        <w:t> </w:t>
      </w:r>
      <w:r w:rsidRPr="00AF5D13">
        <w:t>31,</w:t>
      </w:r>
      <w:r w:rsidR="00FA6ACD">
        <w:t> </w:t>
      </w:r>
      <w:r w:rsidRPr="00AF5D13">
        <w:t>202</w:t>
      </w:r>
      <w:r w:rsidR="0070072F">
        <w:t>4</w:t>
      </w:r>
      <w:r w:rsidRPr="00AF5D13">
        <w:t xml:space="preserve">. </w:t>
      </w:r>
    </w:p>
    <w:p w:rsidR="001E0E86" w:rsidP="00F72A7E" w:rsidRDefault="00F72A7E" w14:paraId="497061CB" w14:textId="77777777">
      <w:r w:rsidRPr="00DA578A">
        <w:t xml:space="preserve">The combined balance of the ESMA and the LCTA </w:t>
      </w:r>
      <w:r w:rsidRPr="00DA578A" w:rsidR="00B36EC6">
        <w:t>sums</w:t>
      </w:r>
      <w:r w:rsidRPr="00DA578A">
        <w:t xml:space="preserve"> to</w:t>
      </w:r>
      <w:r w:rsidRPr="00AF5D13">
        <w:t xml:space="preserve"> an </w:t>
      </w:r>
      <w:r w:rsidR="00B100A7">
        <w:t>over</w:t>
      </w:r>
      <w:r w:rsidR="000E72A3">
        <w:t xml:space="preserve"> </w:t>
      </w:r>
      <w:r w:rsidRPr="00AF5D13">
        <w:t>collection of $</w:t>
      </w:r>
      <w:r w:rsidR="000E72A3">
        <w:t>295</w:t>
      </w:r>
      <w:r w:rsidRPr="00AF5D13">
        <w:t>,000, which will be returned to customers.</w:t>
      </w:r>
      <w:r w:rsidRPr="00AF5D13">
        <w:rPr>
          <w:vertAlign w:val="superscript"/>
        </w:rPr>
        <w:footnoteReference w:id="133"/>
      </w:r>
      <w:r w:rsidRPr="00AF5D13">
        <w:t xml:space="preserve"> </w:t>
      </w:r>
    </w:p>
    <w:p w:rsidRPr="00AF5D13" w:rsidR="00F72A7E" w:rsidP="00F72A7E" w:rsidRDefault="00F72A7E" w14:paraId="41FD1CC4" w14:textId="3329B275">
      <w:r w:rsidRPr="00AF5D13">
        <w:lastRenderedPageBreak/>
        <w:t>No party directly raised any comments or testimony regarding SCE’s forecast for its ESMA and LCTA in 202</w:t>
      </w:r>
      <w:r w:rsidR="00C60F11">
        <w:t>5</w:t>
      </w:r>
      <w:r w:rsidRPr="00AF5D13">
        <w:t>. We find this forecast of ESMA and LCTA balances</w:t>
      </w:r>
      <w:r w:rsidR="00DA578A">
        <w:t>, including SCE’s return of $295,000 to customers,</w:t>
      </w:r>
      <w:r w:rsidRPr="00AF5D13">
        <w:t xml:space="preserve"> to be reasonable </w:t>
      </w:r>
      <w:r w:rsidR="00DA578A">
        <w:t xml:space="preserve">and is </w:t>
      </w:r>
      <w:r w:rsidRPr="00AF5D13">
        <w:t>approve</w:t>
      </w:r>
      <w:r w:rsidR="00DA578A">
        <w:t xml:space="preserve">d. </w:t>
      </w:r>
    </w:p>
    <w:p w:rsidRPr="00954AA9" w:rsidR="00AF5D13" w:rsidP="00954AA9" w:rsidRDefault="00AF5D13" w14:paraId="090FEDDB" w14:textId="77777777">
      <w:pPr>
        <w:pStyle w:val="Heading3"/>
      </w:pPr>
      <w:bookmarkStart w:name="_Toc151976220" w:id="130"/>
      <w:bookmarkStart w:name="_Toc183184313" w:id="131"/>
      <w:bookmarkEnd w:id="129"/>
      <w:r w:rsidRPr="00954AA9">
        <w:t>Discussion</w:t>
      </w:r>
      <w:bookmarkEnd w:id="130"/>
      <w:bookmarkEnd w:id="131"/>
    </w:p>
    <w:p w:rsidRPr="00AF5D13" w:rsidR="00AF5D13" w:rsidP="00AF5D13" w:rsidRDefault="00AF5D13" w14:paraId="4324A753" w14:textId="73548E7F">
      <w:r w:rsidRPr="00AF5D13">
        <w:t xml:space="preserve">In </w:t>
      </w:r>
      <w:r w:rsidR="00941EE2">
        <w:t xml:space="preserve">its </w:t>
      </w:r>
      <w:r w:rsidR="00072CAC">
        <w:t>AOU</w:t>
      </w:r>
      <w:r w:rsidRPr="00AF5D13">
        <w:t xml:space="preserve"> testimony, SCE forecasted</w:t>
      </w:r>
      <w:r w:rsidR="00D17442">
        <w:t xml:space="preserve"> </w:t>
      </w:r>
      <w:r w:rsidR="00EE50DC">
        <w:t xml:space="preserve">a </w:t>
      </w:r>
      <w:r w:rsidR="00D17442">
        <w:t xml:space="preserve">total 2025 </w:t>
      </w:r>
      <w:r w:rsidR="004814A1">
        <w:t xml:space="preserve">ERRA Generation Service </w:t>
      </w:r>
      <w:r w:rsidR="00D17442">
        <w:t xml:space="preserve">revenue requirement of </w:t>
      </w:r>
      <w:r w:rsidR="004814A1">
        <w:t>$4,663 million,</w:t>
      </w:r>
      <w:r w:rsidR="006051A1">
        <w:t xml:space="preserve"> $</w:t>
      </w:r>
      <w:r w:rsidR="004C04C7">
        <w:t>725</w:t>
      </w:r>
      <w:r w:rsidR="006051A1">
        <w:t xml:space="preserve"> million</w:t>
      </w:r>
      <w:r w:rsidR="00AB2396">
        <w:t xml:space="preserve"> less than 2024</w:t>
      </w:r>
      <w:r w:rsidR="006051A1">
        <w:t>, which will be incorporated into rates in January</w:t>
      </w:r>
      <w:r w:rsidR="009E02FF">
        <w:t xml:space="preserve"> 2025.</w:t>
      </w:r>
      <w:r w:rsidRPr="00AF5D13">
        <w:t xml:space="preserve"> </w:t>
      </w:r>
    </w:p>
    <w:p w:rsidRPr="00AF5D13" w:rsidR="00AF5D13" w:rsidP="00AF5D13" w:rsidRDefault="00DA578A" w14:paraId="703400E7" w14:textId="447391CE">
      <w:r>
        <w:t xml:space="preserve">Weighing the record, </w:t>
      </w:r>
      <w:r w:rsidRPr="00AF5D13" w:rsidR="00AF5D13">
        <w:t>we find SCE’s forecast ERRA BA revenue requirement and 202</w:t>
      </w:r>
      <w:r w:rsidR="005D117F">
        <w:t>4</w:t>
      </w:r>
      <w:r w:rsidRPr="00AF5D13" w:rsidR="00AF5D13">
        <w:t> ERRA BA under/overcollection recovery proposal</w:t>
      </w:r>
      <w:r>
        <w:t xml:space="preserve"> to be</w:t>
      </w:r>
      <w:r w:rsidRPr="00AF5D13" w:rsidR="00AF5D13">
        <w:t xml:space="preserve"> reasonable. SCE is authorized to recover the </w:t>
      </w:r>
      <w:r w:rsidR="00DD18A7">
        <w:t xml:space="preserve">2025 </w:t>
      </w:r>
      <w:r w:rsidRPr="00AF5D13" w:rsidR="00AF5D13">
        <w:t>Generation Service revenue requirement</w:t>
      </w:r>
      <w:r w:rsidR="00DD18A7">
        <w:t xml:space="preserve"> as</w:t>
      </w:r>
      <w:r w:rsidRPr="00AF5D13" w:rsidR="00AF5D13">
        <w:t xml:space="preserve"> summarized in Table </w:t>
      </w:r>
      <w:r w:rsidR="005C36EC">
        <w:t>7-1</w:t>
      </w:r>
      <w:r w:rsidRPr="00AF5D13" w:rsidR="00AF5D13">
        <w:t xml:space="preserve">. </w:t>
      </w:r>
    </w:p>
    <w:p w:rsidRPr="009F53BA" w:rsidR="00AF5D13" w:rsidP="009F53BA" w:rsidRDefault="00AF5D13" w14:paraId="62D42A7B" w14:textId="55909E7D">
      <w:pPr>
        <w:pStyle w:val="Heading2"/>
      </w:pPr>
      <w:bookmarkStart w:name="_Toc151976222" w:id="132"/>
      <w:bookmarkStart w:name="_Toc183184314" w:id="133"/>
      <w:r w:rsidRPr="009F53BA">
        <w:t xml:space="preserve">Delivery Service </w:t>
      </w:r>
      <w:r w:rsidR="00FA6ACD">
        <w:br/>
      </w:r>
      <w:r w:rsidRPr="009F53BA">
        <w:t>Revenue Requirement</w:t>
      </w:r>
      <w:bookmarkEnd w:id="132"/>
      <w:bookmarkEnd w:id="133"/>
    </w:p>
    <w:p w:rsidRPr="00AF5D13" w:rsidR="00AF5D13" w:rsidP="00AF5D13" w:rsidRDefault="00AF5D13" w14:paraId="006E935E" w14:textId="4FDB53CB">
      <w:r w:rsidRPr="00AF5D13">
        <w:t>SCE’s delivery service revenue requirement is recovered from all bundled and departing load SCE customers through allocation mechanisms other than the Competition Transition Charge (CTC), PCIA, and the Wildfire Non</w:t>
      </w:r>
      <w:r w:rsidRPr="00AF5D13">
        <w:noBreakHyphen/>
        <w:t>Bypassable Charge. SCE forecast</w:t>
      </w:r>
      <w:r w:rsidR="006A3A07">
        <w:t>s</w:t>
      </w:r>
      <w:r w:rsidRPr="00AF5D13">
        <w:t xml:space="preserve"> a total delivery service revenue requirement of </w:t>
      </w:r>
      <w:r w:rsidR="006C0C3C">
        <w:t xml:space="preserve">negative </w:t>
      </w:r>
      <w:r w:rsidRPr="00AF5D13">
        <w:t>$</w:t>
      </w:r>
      <w:r w:rsidR="00422D0D">
        <w:t>25.306</w:t>
      </w:r>
      <w:r w:rsidRPr="00AF5D13">
        <w:t xml:space="preserve"> million </w:t>
      </w:r>
      <w:r w:rsidR="0076144F">
        <w:t>for</w:t>
      </w:r>
      <w:r w:rsidRPr="00AF5D13" w:rsidR="0076144F">
        <w:t xml:space="preserve"> </w:t>
      </w:r>
      <w:r w:rsidRPr="00AF5D13">
        <w:t>202</w:t>
      </w:r>
      <w:r w:rsidR="0076144F">
        <w:t>5</w:t>
      </w:r>
      <w:r w:rsidRPr="00AF5D13">
        <w:t>, which represent</w:t>
      </w:r>
      <w:r w:rsidR="006A3A07">
        <w:t>s</w:t>
      </w:r>
      <w:r w:rsidRPr="00AF5D13">
        <w:t xml:space="preserve"> (1) a consolidation of N</w:t>
      </w:r>
      <w:r w:rsidR="00632ABA">
        <w:t xml:space="preserve">ew </w:t>
      </w:r>
      <w:r w:rsidRPr="00AF5D13">
        <w:t>S</w:t>
      </w:r>
      <w:r w:rsidR="00632ABA">
        <w:t xml:space="preserve">ystem </w:t>
      </w:r>
      <w:r w:rsidRPr="00AF5D13">
        <w:t>G</w:t>
      </w:r>
      <w:r w:rsidR="00632ABA">
        <w:t>eneration (NSG)</w:t>
      </w:r>
      <w:r w:rsidRPr="00AF5D13">
        <w:t xml:space="preserve"> forecast costs, including </w:t>
      </w:r>
      <w:r w:rsidR="00DA578A">
        <w:t>Central Procurement Entity (</w:t>
      </w:r>
      <w:r w:rsidRPr="00AF5D13">
        <w:t>CPE</w:t>
      </w:r>
      <w:r w:rsidR="00DA578A">
        <w:t>)</w:t>
      </w:r>
      <w:r w:rsidRPr="00AF5D13">
        <w:t>-related costs and the estimated year-end 202</w:t>
      </w:r>
      <w:r w:rsidR="0044557B">
        <w:t>4</w:t>
      </w:r>
      <w:r w:rsidRPr="00AF5D13">
        <w:t xml:space="preserve"> NSGBA balance; (2) 202</w:t>
      </w:r>
      <w:r w:rsidR="0044557B">
        <w:t>5</w:t>
      </w:r>
      <w:r w:rsidRPr="00AF5D13">
        <w:t xml:space="preserve"> System Reliability MCAM-related forecast costs</w:t>
      </w:r>
      <w:r w:rsidR="0050287E">
        <w:t xml:space="preserve"> and the </w:t>
      </w:r>
      <w:r w:rsidR="00215642">
        <w:t>estimated</w:t>
      </w:r>
      <w:r w:rsidR="009B4169">
        <w:t xml:space="preserve"> </w:t>
      </w:r>
      <w:r w:rsidR="0050287E">
        <w:t>2024 MCMA</w:t>
      </w:r>
      <w:r w:rsidR="00602FDA">
        <w:t>BA balance</w:t>
      </w:r>
      <w:r w:rsidRPr="00AF5D13">
        <w:t>; (3) 202</w:t>
      </w:r>
      <w:r w:rsidR="00215642">
        <w:t>5</w:t>
      </w:r>
      <w:r w:rsidRPr="00AF5D13">
        <w:t xml:space="preserve"> Tree Mortality contract forecast costs</w:t>
      </w:r>
      <w:r w:rsidR="00BD78F3">
        <w:t xml:space="preserve"> and</w:t>
      </w:r>
      <w:r w:rsidR="00215642">
        <w:t xml:space="preserve"> the estimated 2024 TMNBCBA balance</w:t>
      </w:r>
      <w:r w:rsidRPr="00AF5D13">
        <w:t>; (4) 202</w:t>
      </w:r>
      <w:r w:rsidR="009B4B35">
        <w:t>5</w:t>
      </w:r>
      <w:r w:rsidRPr="00AF5D13">
        <w:t xml:space="preserve"> BioMAT contract forecast costs</w:t>
      </w:r>
      <w:r w:rsidR="009B4B35">
        <w:t xml:space="preserve"> and the estimated 2024 </w:t>
      </w:r>
      <w:r w:rsidR="00951742">
        <w:t>BMNBCBA balance</w:t>
      </w:r>
      <w:r w:rsidRPr="00AF5D13">
        <w:t>; (5) 202</w:t>
      </w:r>
      <w:r w:rsidR="005561AC">
        <w:t>5</w:t>
      </w:r>
      <w:r w:rsidRPr="00AF5D13">
        <w:t xml:space="preserve"> forecast for spent nuclear fuel storage revenue requirement; (6)</w:t>
      </w:r>
      <w:r w:rsidR="005561AC">
        <w:t xml:space="preserve"> 2025 </w:t>
      </w:r>
      <w:r w:rsidRPr="00AF5D13">
        <w:t xml:space="preserve">BRRBA-Distribution fuel and purchased power forecast costs; and </w:t>
      </w:r>
      <w:r w:rsidR="00335CA5">
        <w:t xml:space="preserve">the </w:t>
      </w:r>
      <w:r w:rsidRPr="00AF5D13">
        <w:t>(7) estimated 202</w:t>
      </w:r>
      <w:r w:rsidR="005561AC">
        <w:t>5</w:t>
      </w:r>
      <w:r w:rsidRPr="00AF5D13">
        <w:t xml:space="preserve"> GHG allowance revenues</w:t>
      </w:r>
      <w:r w:rsidR="00335CA5">
        <w:t xml:space="preserve"> to be returned to </w:t>
      </w:r>
      <w:r w:rsidR="00335CA5">
        <w:lastRenderedPageBreak/>
        <w:t>eligible customers</w:t>
      </w:r>
      <w:r w:rsidRPr="00AF5D13">
        <w:t>.</w:t>
      </w:r>
      <w:r w:rsidRPr="00AF5D13">
        <w:rPr>
          <w:vertAlign w:val="superscript"/>
        </w:rPr>
        <w:footnoteReference w:id="134"/>
      </w:r>
      <w:r w:rsidRPr="00003C2E">
        <w:rPr>
          <w:vertAlign w:val="superscript"/>
        </w:rPr>
        <w:t>,</w:t>
      </w:r>
      <w:r w:rsidRPr="00AF5D13">
        <w:rPr>
          <w:vertAlign w:val="superscript"/>
        </w:rPr>
        <w:footnoteReference w:id="135"/>
      </w:r>
      <w:r w:rsidR="00025B93">
        <w:t xml:space="preserve"> This revenue requirement </w:t>
      </w:r>
      <w:r w:rsidR="001E7E19">
        <w:t>reflects a</w:t>
      </w:r>
      <w:r w:rsidR="00FB5673">
        <w:t xml:space="preserve">n </w:t>
      </w:r>
      <w:r w:rsidR="00876CEE">
        <w:t xml:space="preserve">increase </w:t>
      </w:r>
      <w:r w:rsidR="00FB5673">
        <w:t xml:space="preserve">of </w:t>
      </w:r>
      <w:r w:rsidR="00003C2E">
        <w:t>$</w:t>
      </w:r>
      <w:r w:rsidR="00FB5673">
        <w:t>282.694</w:t>
      </w:r>
      <w:r w:rsidR="00A02011">
        <w:t> </w:t>
      </w:r>
      <w:r w:rsidR="00FB5673">
        <w:t xml:space="preserve">million </w:t>
      </w:r>
      <w:r w:rsidR="00876CEE">
        <w:t>over</w:t>
      </w:r>
      <w:r w:rsidR="00FB5673">
        <w:t xml:space="preserve"> current rates.</w:t>
      </w:r>
    </w:p>
    <w:p w:rsidRPr="00AF5D13" w:rsidR="00AF5D13" w:rsidP="00AF5D13" w:rsidRDefault="00AF5D13" w14:paraId="2D183918" w14:textId="0E56E310">
      <w:pPr>
        <w:keepNext/>
        <w:spacing w:after="120" w:line="240" w:lineRule="auto"/>
        <w:ind w:left="2160" w:right="792" w:hanging="1368"/>
        <w:jc w:val="center"/>
        <w:rPr>
          <w:bCs/>
        </w:rPr>
      </w:pPr>
      <w:bookmarkStart w:name="Table63" w:id="134"/>
      <w:r w:rsidRPr="00AF5D13">
        <w:rPr>
          <w:b/>
        </w:rPr>
        <w:t>Table</w:t>
      </w:r>
      <w:r w:rsidRPr="00AF5D13">
        <w:rPr>
          <w:b/>
          <w:bCs/>
        </w:rPr>
        <w:t> </w:t>
      </w:r>
      <w:r w:rsidR="00AE064E">
        <w:rPr>
          <w:b/>
        </w:rPr>
        <w:t>7-2</w:t>
      </w:r>
      <w:r w:rsidRPr="00AF5D13">
        <w:rPr>
          <w:b/>
        </w:rPr>
        <w:t>.</w:t>
      </w:r>
      <w:r w:rsidRPr="00AF5D13">
        <w:rPr>
          <w:bCs/>
        </w:rPr>
        <w:tab/>
        <w:t>Summary of SCE’s Proposed 202</w:t>
      </w:r>
      <w:r w:rsidR="0049788E">
        <w:rPr>
          <w:bCs/>
        </w:rPr>
        <w:t>5</w:t>
      </w:r>
      <w:r w:rsidRPr="00AF5D13">
        <w:rPr>
          <w:bCs/>
        </w:rPr>
        <w:t xml:space="preserve"> ERRA Forecast Delivery Service Revenue Requirement</w:t>
      </w:r>
      <w:bookmarkEnd w:id="134"/>
      <w:r w:rsidRPr="00AF5D13">
        <w:rPr>
          <w:bCs/>
          <w:vertAlign w:val="superscript"/>
        </w:rPr>
        <w:footnoteReference w:id="136"/>
      </w:r>
    </w:p>
    <w:tbl>
      <w:tblPr>
        <w:tblStyle w:val="TableGrid3"/>
        <w:tblW w:w="7465" w:type="dxa"/>
        <w:jc w:val="center"/>
        <w:tblLayout w:type="fixed"/>
        <w:tblCellMar>
          <w:top w:w="58" w:type="dxa"/>
          <w:bottom w:w="58" w:type="dxa"/>
        </w:tblCellMar>
        <w:tblLook w:val="04A0" w:firstRow="1" w:lastRow="0" w:firstColumn="1" w:lastColumn="0" w:noHBand="0" w:noVBand="1"/>
      </w:tblPr>
      <w:tblGrid>
        <w:gridCol w:w="4405"/>
        <w:gridCol w:w="3060"/>
      </w:tblGrid>
      <w:tr w:rsidRPr="00AF5D13" w:rsidR="00AF5D13" w14:paraId="3C9C18AF" w14:textId="77777777">
        <w:trPr>
          <w:cantSplit/>
          <w:tblHeader/>
          <w:jc w:val="center"/>
        </w:trPr>
        <w:tc>
          <w:tcPr>
            <w:tcW w:w="4405" w:type="dxa"/>
            <w:vAlign w:val="bottom"/>
          </w:tcPr>
          <w:p w:rsidRPr="00AF5D13" w:rsidR="00AF5D13" w:rsidP="00AF5D13" w:rsidRDefault="00AF5D13" w14:paraId="15530D30" w14:textId="77777777">
            <w:pPr>
              <w:spacing w:line="240" w:lineRule="auto"/>
              <w:ind w:firstLine="0"/>
              <w:rPr>
                <w:b/>
                <w:szCs w:val="26"/>
              </w:rPr>
            </w:pPr>
            <w:bookmarkStart w:name="_Hlk27637843" w:id="135"/>
            <w:r w:rsidRPr="00AF5D13">
              <w:rPr>
                <w:b/>
                <w:szCs w:val="26"/>
              </w:rPr>
              <w:t>Description</w:t>
            </w:r>
          </w:p>
        </w:tc>
        <w:tc>
          <w:tcPr>
            <w:tcW w:w="3060" w:type="dxa"/>
            <w:vAlign w:val="bottom"/>
          </w:tcPr>
          <w:p w:rsidRPr="00AF5D13" w:rsidR="00AF5D13" w:rsidP="00003C2E" w:rsidRDefault="00AF5D13" w14:paraId="2E2DA3A6" w14:textId="4C0E56EE">
            <w:pPr>
              <w:spacing w:line="240" w:lineRule="auto"/>
              <w:ind w:firstLine="0"/>
              <w:jc w:val="center"/>
              <w:rPr>
                <w:b/>
                <w:szCs w:val="26"/>
              </w:rPr>
            </w:pPr>
            <w:r w:rsidRPr="00AF5D13">
              <w:rPr>
                <w:b/>
                <w:szCs w:val="26"/>
              </w:rPr>
              <w:t>SCE Forecast</w:t>
            </w:r>
          </w:p>
          <w:p w:rsidRPr="00AF5D13" w:rsidR="00AF5D13" w:rsidP="00003C2E" w:rsidRDefault="00AF5D13" w14:paraId="27EBD1CA" w14:textId="7FDBE7A5">
            <w:pPr>
              <w:spacing w:line="240" w:lineRule="auto"/>
              <w:ind w:firstLine="0"/>
              <w:jc w:val="center"/>
              <w:rPr>
                <w:b/>
                <w:szCs w:val="26"/>
              </w:rPr>
            </w:pPr>
            <w:r w:rsidRPr="00AF5D13">
              <w:rPr>
                <w:b/>
                <w:szCs w:val="26"/>
              </w:rPr>
              <w:t>202</w:t>
            </w:r>
            <w:r w:rsidR="000B4882">
              <w:rPr>
                <w:b/>
                <w:szCs w:val="26"/>
              </w:rPr>
              <w:t>5</w:t>
            </w:r>
            <w:r w:rsidRPr="00AF5D13">
              <w:rPr>
                <w:b/>
                <w:szCs w:val="26"/>
              </w:rPr>
              <w:t xml:space="preserve"> Revenue</w:t>
            </w:r>
          </w:p>
          <w:p w:rsidR="000B4882" w:rsidP="00003C2E" w:rsidRDefault="00AF5D13" w14:paraId="43FC68C5" w14:textId="25497E92">
            <w:pPr>
              <w:spacing w:line="240" w:lineRule="auto"/>
              <w:ind w:firstLine="0"/>
              <w:jc w:val="center"/>
              <w:rPr>
                <w:b/>
                <w:szCs w:val="26"/>
              </w:rPr>
            </w:pPr>
            <w:r w:rsidRPr="00AF5D13">
              <w:rPr>
                <w:b/>
                <w:szCs w:val="26"/>
              </w:rPr>
              <w:t>Requirement</w:t>
            </w:r>
          </w:p>
          <w:p w:rsidRPr="00AF5D13" w:rsidR="00AF5D13" w:rsidP="00003C2E" w:rsidRDefault="00AF5D13" w14:paraId="1CDBF03D" w14:textId="1BB32E1A">
            <w:pPr>
              <w:spacing w:line="240" w:lineRule="auto"/>
              <w:ind w:firstLine="0"/>
              <w:jc w:val="center"/>
              <w:rPr>
                <w:b/>
                <w:szCs w:val="26"/>
              </w:rPr>
            </w:pPr>
            <w:r w:rsidRPr="00AF5D13">
              <w:rPr>
                <w:b/>
                <w:szCs w:val="26"/>
              </w:rPr>
              <w:t>(millions)</w:t>
            </w:r>
          </w:p>
        </w:tc>
      </w:tr>
      <w:tr w:rsidRPr="00AF5D13" w:rsidR="00AF5D13" w14:paraId="177D4147" w14:textId="77777777">
        <w:trPr>
          <w:cantSplit/>
          <w:jc w:val="center"/>
        </w:trPr>
        <w:tc>
          <w:tcPr>
            <w:tcW w:w="4405" w:type="dxa"/>
          </w:tcPr>
          <w:p w:rsidRPr="00AF5D13" w:rsidR="00AF5D13" w:rsidP="00AF5D13" w:rsidRDefault="00AF5D13" w14:paraId="4B6BBC77" w14:textId="77777777">
            <w:pPr>
              <w:spacing w:line="240" w:lineRule="auto"/>
              <w:ind w:firstLine="0"/>
              <w:rPr>
                <w:szCs w:val="26"/>
              </w:rPr>
            </w:pPr>
            <w:r w:rsidRPr="00AF5D13">
              <w:rPr>
                <w:szCs w:val="26"/>
              </w:rPr>
              <w:t>New System Generation</w:t>
            </w:r>
          </w:p>
          <w:p w:rsidRPr="00AF5D13" w:rsidR="00AF5D13" w:rsidP="00AF5D13" w:rsidRDefault="00AF5D13" w14:paraId="7F29FCF0" w14:textId="661DCD56">
            <w:pPr>
              <w:numPr>
                <w:ilvl w:val="0"/>
                <w:numId w:val="26"/>
              </w:numPr>
              <w:spacing w:line="240" w:lineRule="auto"/>
              <w:ind w:left="576" w:hanging="216"/>
              <w:rPr>
                <w:szCs w:val="26"/>
              </w:rPr>
            </w:pPr>
            <w:r w:rsidRPr="00AF5D13">
              <w:rPr>
                <w:szCs w:val="26"/>
              </w:rPr>
              <w:t>New System Generation F&amp;PP 202</w:t>
            </w:r>
            <w:r w:rsidR="001B093E">
              <w:rPr>
                <w:szCs w:val="26"/>
              </w:rPr>
              <w:t>5</w:t>
            </w:r>
            <w:r w:rsidRPr="00AF5D13">
              <w:rPr>
                <w:szCs w:val="26"/>
              </w:rPr>
              <w:t xml:space="preserve"> Forecast</w:t>
            </w:r>
            <w:r w:rsidRPr="00AF5D13">
              <w:rPr>
                <w:szCs w:val="26"/>
                <w:vertAlign w:val="superscript"/>
              </w:rPr>
              <w:footnoteReference w:id="137"/>
            </w:r>
            <w:r w:rsidRPr="00AF5D13">
              <w:rPr>
                <w:szCs w:val="26"/>
              </w:rPr>
              <w:t xml:space="preserve"> </w:t>
            </w:r>
          </w:p>
          <w:p w:rsidRPr="00AF5D13" w:rsidR="00AF5D13" w:rsidP="00AF5D13" w:rsidRDefault="00AF5D13" w14:paraId="08D98FFB" w14:textId="190D4331">
            <w:pPr>
              <w:numPr>
                <w:ilvl w:val="0"/>
                <w:numId w:val="26"/>
              </w:numPr>
              <w:spacing w:line="240" w:lineRule="auto"/>
              <w:ind w:left="576" w:hanging="216"/>
              <w:rPr>
                <w:szCs w:val="26"/>
              </w:rPr>
            </w:pPr>
            <w:r w:rsidRPr="00AF5D13">
              <w:rPr>
                <w:szCs w:val="26"/>
              </w:rPr>
              <w:t xml:space="preserve">Estimated YE NSGBA </w:t>
            </w:r>
            <w:r w:rsidRPr="00AF5D13" w:rsidR="001B093E">
              <w:rPr>
                <w:szCs w:val="26"/>
              </w:rPr>
              <w:t>202</w:t>
            </w:r>
            <w:r w:rsidR="001B093E">
              <w:rPr>
                <w:szCs w:val="26"/>
              </w:rPr>
              <w:t xml:space="preserve">4 </w:t>
            </w:r>
            <w:r w:rsidRPr="00AF5D13">
              <w:rPr>
                <w:szCs w:val="26"/>
              </w:rPr>
              <w:t>Balance</w:t>
            </w:r>
          </w:p>
          <w:p w:rsidRPr="00AF5D13" w:rsidR="00AF5D13" w:rsidP="00AF5D13" w:rsidRDefault="00AF5D13" w14:paraId="1D754F5A" w14:textId="2AEFF398">
            <w:pPr>
              <w:numPr>
                <w:ilvl w:val="0"/>
                <w:numId w:val="26"/>
              </w:numPr>
              <w:spacing w:line="240" w:lineRule="auto"/>
              <w:ind w:left="576" w:hanging="216"/>
              <w:rPr>
                <w:szCs w:val="26"/>
              </w:rPr>
            </w:pPr>
            <w:r w:rsidRPr="00AF5D13">
              <w:rPr>
                <w:szCs w:val="26"/>
              </w:rPr>
              <w:t xml:space="preserve">MCAM F&amp;PP </w:t>
            </w:r>
            <w:r w:rsidR="001B093E">
              <w:rPr>
                <w:szCs w:val="26"/>
              </w:rPr>
              <w:t xml:space="preserve">2025 </w:t>
            </w:r>
            <w:r w:rsidRPr="00AF5D13">
              <w:rPr>
                <w:szCs w:val="26"/>
              </w:rPr>
              <w:t>Forecast</w:t>
            </w:r>
          </w:p>
        </w:tc>
        <w:tc>
          <w:tcPr>
            <w:tcW w:w="3060" w:type="dxa"/>
          </w:tcPr>
          <w:p w:rsidRPr="00AF5D13" w:rsidR="00AF5D13" w:rsidP="00AF5D13" w:rsidRDefault="00AF5D13" w14:paraId="3871E7E4" w14:textId="77777777">
            <w:pPr>
              <w:spacing w:line="240" w:lineRule="auto"/>
              <w:ind w:firstLine="0"/>
              <w:jc w:val="right"/>
              <w:rPr>
                <w:szCs w:val="26"/>
              </w:rPr>
            </w:pPr>
          </w:p>
          <w:p w:rsidRPr="00AF5D13" w:rsidR="00AF5D13" w:rsidP="00AF5D13" w:rsidRDefault="00AF5D13" w14:paraId="04D9F883" w14:textId="0EAE351D">
            <w:pPr>
              <w:spacing w:line="240" w:lineRule="auto"/>
              <w:ind w:firstLine="0"/>
              <w:jc w:val="right"/>
              <w:rPr>
                <w:szCs w:val="26"/>
              </w:rPr>
            </w:pPr>
            <w:r w:rsidRPr="00AF5D13">
              <w:rPr>
                <w:szCs w:val="26"/>
              </w:rPr>
              <w:t>$</w:t>
            </w:r>
            <w:r w:rsidR="000B4882">
              <w:rPr>
                <w:szCs w:val="26"/>
              </w:rPr>
              <w:t xml:space="preserve"> </w:t>
            </w:r>
            <w:r w:rsidRPr="00AF5D13">
              <w:rPr>
                <w:szCs w:val="26"/>
              </w:rPr>
              <w:t>4</w:t>
            </w:r>
            <w:r w:rsidR="001B093E">
              <w:rPr>
                <w:szCs w:val="26"/>
              </w:rPr>
              <w:t>57.467</w:t>
            </w:r>
          </w:p>
          <w:p w:rsidRPr="00AF5D13" w:rsidR="00AF5D13" w:rsidP="00AF5D13" w:rsidRDefault="00AF5D13" w14:paraId="391F7589" w14:textId="77777777">
            <w:pPr>
              <w:spacing w:line="240" w:lineRule="auto"/>
              <w:ind w:firstLine="0"/>
              <w:rPr>
                <w:szCs w:val="26"/>
              </w:rPr>
            </w:pPr>
          </w:p>
          <w:p w:rsidRPr="00AF5D13" w:rsidR="00AF5D13" w:rsidP="00AF5D13" w:rsidRDefault="00AF5D13" w14:paraId="06ECC83D" w14:textId="4DBBB029">
            <w:pPr>
              <w:spacing w:line="240" w:lineRule="auto"/>
              <w:ind w:firstLine="0"/>
              <w:jc w:val="right"/>
              <w:rPr>
                <w:szCs w:val="26"/>
              </w:rPr>
            </w:pPr>
            <w:r w:rsidRPr="00AF5D13">
              <w:rPr>
                <w:szCs w:val="26"/>
              </w:rPr>
              <w:t>$</w:t>
            </w:r>
            <w:r w:rsidR="001B093E">
              <w:rPr>
                <w:szCs w:val="26"/>
              </w:rPr>
              <w:t xml:space="preserve"> 146.846</w:t>
            </w:r>
          </w:p>
          <w:p w:rsidRPr="00AF5D13" w:rsidR="00AF5D13" w:rsidP="00AF5D13" w:rsidRDefault="00AF5D13" w14:paraId="44CA79DE" w14:textId="77777777">
            <w:pPr>
              <w:spacing w:line="240" w:lineRule="auto"/>
              <w:ind w:firstLine="0"/>
              <w:jc w:val="right"/>
              <w:rPr>
                <w:szCs w:val="26"/>
              </w:rPr>
            </w:pPr>
          </w:p>
          <w:p w:rsidRPr="00AF5D13" w:rsidR="00AF5D13" w:rsidP="00AF5D13" w:rsidRDefault="00AF5D13" w14:paraId="26B20BD9" w14:textId="2E18BD7E">
            <w:pPr>
              <w:spacing w:line="240" w:lineRule="auto"/>
              <w:ind w:firstLine="0"/>
              <w:jc w:val="right"/>
              <w:rPr>
                <w:szCs w:val="26"/>
              </w:rPr>
            </w:pPr>
            <w:r w:rsidRPr="00AF5D13">
              <w:rPr>
                <w:szCs w:val="26"/>
              </w:rPr>
              <w:t>$</w:t>
            </w:r>
            <w:r w:rsidR="001B093E">
              <w:rPr>
                <w:szCs w:val="26"/>
              </w:rPr>
              <w:t xml:space="preserve">     </w:t>
            </w:r>
            <w:r w:rsidRPr="00AF5D13">
              <w:rPr>
                <w:szCs w:val="26"/>
              </w:rPr>
              <w:t>1.</w:t>
            </w:r>
            <w:r w:rsidR="001B093E">
              <w:rPr>
                <w:szCs w:val="26"/>
              </w:rPr>
              <w:t>558</w:t>
            </w:r>
          </w:p>
        </w:tc>
      </w:tr>
      <w:tr w:rsidRPr="00AF5D13" w:rsidR="00AF5D13" w14:paraId="1F97B31D" w14:textId="77777777">
        <w:trPr>
          <w:cantSplit/>
          <w:jc w:val="center"/>
        </w:trPr>
        <w:tc>
          <w:tcPr>
            <w:tcW w:w="4405" w:type="dxa"/>
          </w:tcPr>
          <w:p w:rsidRPr="00AF5D13" w:rsidR="00AF5D13" w:rsidP="00AF5D13" w:rsidRDefault="00AF5D13" w14:paraId="3B3DF22C" w14:textId="77777777">
            <w:pPr>
              <w:spacing w:line="240" w:lineRule="auto"/>
              <w:ind w:firstLine="0"/>
              <w:rPr>
                <w:szCs w:val="26"/>
              </w:rPr>
            </w:pPr>
            <w:r w:rsidRPr="00AF5D13">
              <w:rPr>
                <w:szCs w:val="26"/>
              </w:rPr>
              <w:t>Spent Nuclear Fuel Storage</w:t>
            </w:r>
          </w:p>
        </w:tc>
        <w:tc>
          <w:tcPr>
            <w:tcW w:w="3060" w:type="dxa"/>
          </w:tcPr>
          <w:p w:rsidRPr="00AF5D13" w:rsidR="00AF5D13" w:rsidP="00AF5D13" w:rsidRDefault="00AF5D13" w14:paraId="5280505C" w14:textId="01190F34">
            <w:pPr>
              <w:spacing w:line="240" w:lineRule="auto"/>
              <w:ind w:firstLine="0"/>
              <w:jc w:val="right"/>
              <w:rPr>
                <w:szCs w:val="26"/>
              </w:rPr>
            </w:pPr>
            <w:r w:rsidRPr="00AF5D13">
              <w:rPr>
                <w:szCs w:val="26"/>
              </w:rPr>
              <w:t>$</w:t>
            </w:r>
            <w:r w:rsidR="001B093E">
              <w:rPr>
                <w:szCs w:val="26"/>
              </w:rPr>
              <w:t xml:space="preserve">     5.157</w:t>
            </w:r>
          </w:p>
        </w:tc>
      </w:tr>
      <w:tr w:rsidRPr="00AF5D13" w:rsidR="00AF5D13" w14:paraId="0A443DF8" w14:textId="77777777">
        <w:trPr>
          <w:cantSplit/>
          <w:jc w:val="center"/>
        </w:trPr>
        <w:tc>
          <w:tcPr>
            <w:tcW w:w="4405" w:type="dxa"/>
          </w:tcPr>
          <w:p w:rsidRPr="00AF5D13" w:rsidR="00AF5D13" w:rsidP="00AF5D13" w:rsidRDefault="00AF5D13" w14:paraId="19BF2346" w14:textId="77777777">
            <w:pPr>
              <w:spacing w:line="240" w:lineRule="auto"/>
              <w:ind w:firstLine="0"/>
              <w:rPr>
                <w:szCs w:val="26"/>
              </w:rPr>
            </w:pPr>
            <w:r w:rsidRPr="00AF5D13">
              <w:rPr>
                <w:szCs w:val="26"/>
              </w:rPr>
              <w:t>Distribution Rate Component</w:t>
            </w:r>
          </w:p>
          <w:p w:rsidRPr="00AF5D13" w:rsidR="00AF5D13" w:rsidP="00AF5D13" w:rsidRDefault="00AF5D13" w14:paraId="54B8EFB2" w14:textId="77777777">
            <w:pPr>
              <w:numPr>
                <w:ilvl w:val="0"/>
                <w:numId w:val="26"/>
              </w:numPr>
              <w:spacing w:line="240" w:lineRule="auto"/>
              <w:ind w:left="576" w:hanging="216"/>
              <w:rPr>
                <w:szCs w:val="26"/>
              </w:rPr>
            </w:pPr>
            <w:r w:rsidRPr="00AF5D13">
              <w:rPr>
                <w:szCs w:val="26"/>
              </w:rPr>
              <w:t>Base Revenue Requirement BA</w:t>
            </w:r>
            <w:r w:rsidRPr="00AF5D13">
              <w:rPr>
                <w:szCs w:val="26"/>
              </w:rPr>
              <w:noBreakHyphen/>
              <w:t xml:space="preserve">Distribution F&amp;PP </w:t>
            </w:r>
          </w:p>
          <w:p w:rsidRPr="00AF5D13" w:rsidR="00AF5D13" w:rsidP="00AF5D13" w:rsidRDefault="00AF5D13" w14:paraId="55D07381" w14:textId="77777777">
            <w:pPr>
              <w:numPr>
                <w:ilvl w:val="0"/>
                <w:numId w:val="26"/>
              </w:numPr>
              <w:spacing w:line="240" w:lineRule="auto"/>
              <w:ind w:left="576" w:hanging="216"/>
              <w:rPr>
                <w:szCs w:val="26"/>
              </w:rPr>
            </w:pPr>
            <w:r w:rsidRPr="00AF5D13">
              <w:rPr>
                <w:szCs w:val="26"/>
              </w:rPr>
              <w:t xml:space="preserve">GHG Allowance Revenues </w:t>
            </w:r>
          </w:p>
        </w:tc>
        <w:tc>
          <w:tcPr>
            <w:tcW w:w="3060" w:type="dxa"/>
          </w:tcPr>
          <w:p w:rsidRPr="00AF5D13" w:rsidR="00AF5D13" w:rsidP="00AF5D13" w:rsidRDefault="00AF5D13" w14:paraId="38EBEEA9" w14:textId="77777777">
            <w:pPr>
              <w:spacing w:line="240" w:lineRule="auto"/>
              <w:ind w:firstLine="0"/>
              <w:jc w:val="right"/>
              <w:rPr>
                <w:szCs w:val="26"/>
              </w:rPr>
            </w:pPr>
          </w:p>
          <w:p w:rsidRPr="00AF5D13" w:rsidR="00AF5D13" w:rsidP="00AF5D13" w:rsidRDefault="00AF5D13" w14:paraId="4E2F9838" w14:textId="722C07C9">
            <w:pPr>
              <w:spacing w:line="240" w:lineRule="auto"/>
              <w:ind w:firstLine="0"/>
              <w:jc w:val="right"/>
              <w:rPr>
                <w:szCs w:val="26"/>
              </w:rPr>
            </w:pPr>
            <w:r w:rsidRPr="00AF5D13">
              <w:rPr>
                <w:szCs w:val="26"/>
              </w:rPr>
              <w:noBreakHyphen/>
              <w:t>$</w:t>
            </w:r>
            <w:r w:rsidR="00217C7C">
              <w:rPr>
                <w:szCs w:val="26"/>
              </w:rPr>
              <w:t xml:space="preserve">   19</w:t>
            </w:r>
            <w:r w:rsidRPr="00AF5D13">
              <w:rPr>
                <w:szCs w:val="26"/>
              </w:rPr>
              <w:t>.</w:t>
            </w:r>
            <w:r w:rsidR="00217C7C">
              <w:rPr>
                <w:szCs w:val="26"/>
              </w:rPr>
              <w:t>169</w:t>
            </w:r>
          </w:p>
          <w:p w:rsidRPr="00AF5D13" w:rsidR="00AF5D13" w:rsidP="00AF5D13" w:rsidRDefault="00AF5D13" w14:paraId="12EF797C" w14:textId="77777777">
            <w:pPr>
              <w:spacing w:line="240" w:lineRule="auto"/>
              <w:ind w:firstLine="0"/>
              <w:jc w:val="right"/>
              <w:rPr>
                <w:szCs w:val="26"/>
              </w:rPr>
            </w:pPr>
          </w:p>
          <w:p w:rsidRPr="00AF5D13" w:rsidR="00AF5D13" w:rsidP="00AF5D13" w:rsidRDefault="00AF5D13" w14:paraId="0814350F" w14:textId="383ECEB2">
            <w:pPr>
              <w:spacing w:line="240" w:lineRule="auto"/>
              <w:ind w:firstLine="0"/>
              <w:jc w:val="right"/>
              <w:rPr>
                <w:szCs w:val="26"/>
              </w:rPr>
            </w:pPr>
            <w:r w:rsidRPr="00AF5D13">
              <w:rPr>
                <w:szCs w:val="26"/>
              </w:rPr>
              <w:noBreakHyphen/>
              <w:t>$</w:t>
            </w:r>
            <w:r w:rsidR="00217C7C">
              <w:rPr>
                <w:szCs w:val="26"/>
              </w:rPr>
              <w:t xml:space="preserve"> 641.624</w:t>
            </w:r>
          </w:p>
        </w:tc>
      </w:tr>
      <w:tr w:rsidRPr="00AF5D13" w:rsidR="00AF5D13" w14:paraId="7B3C925F" w14:textId="77777777">
        <w:trPr>
          <w:cantSplit/>
          <w:jc w:val="center"/>
        </w:trPr>
        <w:tc>
          <w:tcPr>
            <w:tcW w:w="4405" w:type="dxa"/>
          </w:tcPr>
          <w:p w:rsidRPr="00AF5D13" w:rsidR="00AF5D13" w:rsidP="00AF5D13" w:rsidRDefault="00AF5D13" w14:paraId="770A0B70" w14:textId="77777777">
            <w:pPr>
              <w:spacing w:line="240" w:lineRule="auto"/>
              <w:ind w:firstLine="0"/>
              <w:rPr>
                <w:szCs w:val="26"/>
              </w:rPr>
            </w:pPr>
            <w:r w:rsidRPr="00AF5D13">
              <w:rPr>
                <w:szCs w:val="26"/>
              </w:rPr>
              <w:t xml:space="preserve">Public Purpose Programs Charge </w:t>
            </w:r>
          </w:p>
          <w:p w:rsidRPr="00AF5D13" w:rsidR="00AF5D13" w:rsidP="00AF5D13" w:rsidRDefault="00AF5D13" w14:paraId="5765B84E" w14:textId="77777777">
            <w:pPr>
              <w:numPr>
                <w:ilvl w:val="0"/>
                <w:numId w:val="26"/>
              </w:numPr>
              <w:spacing w:line="240" w:lineRule="auto"/>
              <w:ind w:left="576" w:hanging="216"/>
              <w:rPr>
                <w:szCs w:val="26"/>
              </w:rPr>
            </w:pPr>
            <w:r w:rsidRPr="00AF5D13">
              <w:rPr>
                <w:szCs w:val="26"/>
              </w:rPr>
              <w:t>Public Purpose Program F&amp;PP Charge 2024 Forecast</w:t>
            </w:r>
          </w:p>
          <w:p w:rsidRPr="00AF5D13" w:rsidR="00AF5D13" w:rsidP="00AF5D13" w:rsidRDefault="00AF5D13" w14:paraId="745C6279" w14:textId="77777777">
            <w:pPr>
              <w:numPr>
                <w:ilvl w:val="0"/>
                <w:numId w:val="26"/>
              </w:numPr>
              <w:spacing w:line="240" w:lineRule="auto"/>
              <w:ind w:left="576" w:hanging="216"/>
              <w:rPr>
                <w:szCs w:val="26"/>
              </w:rPr>
            </w:pPr>
            <w:r w:rsidRPr="00AF5D13">
              <w:rPr>
                <w:szCs w:val="26"/>
              </w:rPr>
              <w:t>Tree Mortality Non</w:t>
            </w:r>
            <w:r w:rsidRPr="00AF5D13">
              <w:rPr>
                <w:szCs w:val="26"/>
              </w:rPr>
              <w:noBreakHyphen/>
              <w:t>Bypassable Charge BA YE 2023 Balance</w:t>
            </w:r>
          </w:p>
          <w:p w:rsidRPr="00AF5D13" w:rsidR="00AF5D13" w:rsidP="00AF5D13" w:rsidRDefault="00AF5D13" w14:paraId="173AA981" w14:textId="77777777">
            <w:pPr>
              <w:numPr>
                <w:ilvl w:val="0"/>
                <w:numId w:val="26"/>
              </w:numPr>
              <w:spacing w:line="240" w:lineRule="auto"/>
              <w:ind w:left="576" w:hanging="216"/>
              <w:rPr>
                <w:szCs w:val="26"/>
              </w:rPr>
            </w:pPr>
            <w:r w:rsidRPr="00AF5D13">
              <w:rPr>
                <w:szCs w:val="26"/>
              </w:rPr>
              <w:t>BioMAT Non</w:t>
            </w:r>
            <w:r w:rsidRPr="00AF5D13">
              <w:rPr>
                <w:szCs w:val="26"/>
              </w:rPr>
              <w:noBreakHyphen/>
              <w:t>Bypassable Charge BA YE 2023 Balance</w:t>
            </w:r>
          </w:p>
        </w:tc>
        <w:tc>
          <w:tcPr>
            <w:tcW w:w="3060" w:type="dxa"/>
          </w:tcPr>
          <w:p w:rsidRPr="00AF5D13" w:rsidR="00AF5D13" w:rsidP="00AF5D13" w:rsidRDefault="00AF5D13" w14:paraId="408582EB" w14:textId="77777777">
            <w:pPr>
              <w:spacing w:line="240" w:lineRule="auto"/>
              <w:ind w:firstLine="0"/>
              <w:jc w:val="right"/>
              <w:rPr>
                <w:szCs w:val="26"/>
              </w:rPr>
            </w:pPr>
          </w:p>
          <w:p w:rsidRPr="00AF5D13" w:rsidR="00AF5D13" w:rsidP="00AF5D13" w:rsidRDefault="00AF5D13" w14:paraId="5CFC4F08" w14:textId="2EBCE533">
            <w:pPr>
              <w:spacing w:line="240" w:lineRule="auto"/>
              <w:ind w:firstLine="0"/>
              <w:jc w:val="right"/>
              <w:rPr>
                <w:szCs w:val="26"/>
              </w:rPr>
            </w:pPr>
            <w:r w:rsidRPr="00AF5D13">
              <w:rPr>
                <w:szCs w:val="26"/>
              </w:rPr>
              <w:t>$</w:t>
            </w:r>
            <w:r w:rsidR="00025B93">
              <w:rPr>
                <w:szCs w:val="26"/>
              </w:rPr>
              <w:t xml:space="preserve">     5.341</w:t>
            </w:r>
          </w:p>
          <w:p w:rsidRPr="00AF5D13" w:rsidR="00AF5D13" w:rsidP="00AF5D13" w:rsidRDefault="00AF5D13" w14:paraId="5670C1B1" w14:textId="77777777">
            <w:pPr>
              <w:spacing w:line="240" w:lineRule="auto"/>
              <w:ind w:firstLine="0"/>
              <w:jc w:val="right"/>
              <w:rPr>
                <w:szCs w:val="26"/>
              </w:rPr>
            </w:pPr>
          </w:p>
          <w:p w:rsidRPr="00AF5D13" w:rsidR="00AF5D13" w:rsidP="00AF5D13" w:rsidRDefault="00AF5D13" w14:paraId="3EC390B2" w14:textId="63CD0962">
            <w:pPr>
              <w:spacing w:line="240" w:lineRule="auto"/>
              <w:ind w:firstLine="0"/>
              <w:jc w:val="right"/>
              <w:rPr>
                <w:szCs w:val="26"/>
              </w:rPr>
            </w:pPr>
            <w:r w:rsidRPr="00AF5D13">
              <w:rPr>
                <w:szCs w:val="26"/>
              </w:rPr>
              <w:t>$</w:t>
            </w:r>
            <w:r w:rsidR="00025B93">
              <w:rPr>
                <w:szCs w:val="26"/>
              </w:rPr>
              <w:t xml:space="preserve">  </w:t>
            </w:r>
            <w:r w:rsidRPr="00AF5D13">
              <w:rPr>
                <w:szCs w:val="26"/>
              </w:rPr>
              <w:t>1</w:t>
            </w:r>
            <w:r w:rsidR="00025B93">
              <w:rPr>
                <w:szCs w:val="26"/>
              </w:rPr>
              <w:t>9.110</w:t>
            </w:r>
          </w:p>
          <w:p w:rsidRPr="00AF5D13" w:rsidR="00AF5D13" w:rsidP="00AF5D13" w:rsidRDefault="00AF5D13" w14:paraId="6F92DDFE" w14:textId="77777777">
            <w:pPr>
              <w:spacing w:line="240" w:lineRule="auto"/>
              <w:ind w:firstLine="0"/>
              <w:jc w:val="right"/>
              <w:rPr>
                <w:szCs w:val="26"/>
              </w:rPr>
            </w:pPr>
          </w:p>
          <w:p w:rsidRPr="00AF5D13" w:rsidR="00AF5D13" w:rsidP="00AF5D13" w:rsidRDefault="00AF5D13" w14:paraId="705B579A" w14:textId="61D5653D">
            <w:pPr>
              <w:spacing w:line="240" w:lineRule="auto"/>
              <w:ind w:firstLine="0"/>
              <w:jc w:val="right"/>
              <w:rPr>
                <w:szCs w:val="26"/>
              </w:rPr>
            </w:pPr>
            <w:r w:rsidRPr="00AF5D13">
              <w:rPr>
                <w:szCs w:val="26"/>
              </w:rPr>
              <w:noBreakHyphen/>
              <w:t>$</w:t>
            </w:r>
            <w:r w:rsidR="00025B93">
              <w:rPr>
                <w:szCs w:val="26"/>
              </w:rPr>
              <w:t xml:space="preserve">    2.842</w:t>
            </w:r>
          </w:p>
        </w:tc>
      </w:tr>
      <w:tr w:rsidRPr="00AF5D13" w:rsidR="00AF5D13" w14:paraId="4755533E" w14:textId="77777777">
        <w:trPr>
          <w:cantSplit/>
          <w:jc w:val="center"/>
        </w:trPr>
        <w:tc>
          <w:tcPr>
            <w:tcW w:w="4405" w:type="dxa"/>
          </w:tcPr>
          <w:p w:rsidRPr="00AF5D13" w:rsidR="00AF5D13" w:rsidP="00AF5D13" w:rsidRDefault="00AF5D13" w14:paraId="5DC84836" w14:textId="77777777">
            <w:pPr>
              <w:spacing w:line="240" w:lineRule="auto"/>
              <w:ind w:firstLine="0"/>
              <w:rPr>
                <w:b/>
                <w:szCs w:val="26"/>
              </w:rPr>
            </w:pPr>
            <w:r w:rsidRPr="00AF5D13">
              <w:rPr>
                <w:b/>
                <w:szCs w:val="26"/>
              </w:rPr>
              <w:t>Total Delivery Service</w:t>
            </w:r>
          </w:p>
        </w:tc>
        <w:tc>
          <w:tcPr>
            <w:tcW w:w="3060" w:type="dxa"/>
          </w:tcPr>
          <w:p w:rsidRPr="00AF5D13" w:rsidR="00AF5D13" w:rsidP="00AF5D13" w:rsidRDefault="00AF5D13" w14:paraId="678729A3" w14:textId="10993910">
            <w:pPr>
              <w:spacing w:line="240" w:lineRule="auto"/>
              <w:ind w:firstLine="0"/>
              <w:jc w:val="right"/>
              <w:rPr>
                <w:b/>
                <w:szCs w:val="26"/>
              </w:rPr>
            </w:pPr>
            <w:r w:rsidRPr="00AF5D13">
              <w:rPr>
                <w:b/>
                <w:szCs w:val="26"/>
              </w:rPr>
              <w:noBreakHyphen/>
              <w:t>$</w:t>
            </w:r>
            <w:r w:rsidR="00025B93">
              <w:rPr>
                <w:b/>
                <w:szCs w:val="26"/>
              </w:rPr>
              <w:t xml:space="preserve">  </w:t>
            </w:r>
            <w:r w:rsidRPr="00AF5D13">
              <w:rPr>
                <w:b/>
                <w:szCs w:val="26"/>
              </w:rPr>
              <w:t>2</w:t>
            </w:r>
            <w:r w:rsidR="00025B93">
              <w:rPr>
                <w:b/>
                <w:szCs w:val="26"/>
              </w:rPr>
              <w:t>5</w:t>
            </w:r>
            <w:r w:rsidRPr="00AF5D13">
              <w:rPr>
                <w:b/>
                <w:szCs w:val="26"/>
              </w:rPr>
              <w:t>.</w:t>
            </w:r>
            <w:r w:rsidR="00025B93">
              <w:rPr>
                <w:b/>
                <w:szCs w:val="26"/>
              </w:rPr>
              <w:t>306</w:t>
            </w:r>
          </w:p>
        </w:tc>
      </w:tr>
      <w:bookmarkEnd w:id="135"/>
    </w:tbl>
    <w:p w:rsidRPr="00AF5D13" w:rsidR="00AF5D13" w:rsidP="00AF5D13" w:rsidRDefault="00AF5D13" w14:paraId="2F67431F" w14:textId="77777777">
      <w:pPr>
        <w:ind w:firstLine="0"/>
        <w:rPr>
          <w:sz w:val="6"/>
          <w:szCs w:val="6"/>
        </w:rPr>
      </w:pPr>
    </w:p>
    <w:p w:rsidRPr="009F53BA" w:rsidR="00AF5D13" w:rsidP="009F53BA" w:rsidRDefault="00AF5D13" w14:paraId="2786CEAF" w14:textId="281D0AD6">
      <w:pPr>
        <w:pStyle w:val="Heading3"/>
      </w:pPr>
      <w:bookmarkStart w:name="_Toc151976223" w:id="136"/>
      <w:bookmarkStart w:name="_Toc183184315" w:id="137"/>
      <w:r w:rsidRPr="009F53BA">
        <w:lastRenderedPageBreak/>
        <w:t xml:space="preserve">New System Generation Net </w:t>
      </w:r>
      <w:r w:rsidR="00FA6ACD">
        <w:br/>
      </w:r>
      <w:r w:rsidRPr="009F53BA">
        <w:t>Capacity CAM-Related Costs</w:t>
      </w:r>
      <w:bookmarkEnd w:id="136"/>
      <w:bookmarkEnd w:id="137"/>
    </w:p>
    <w:p w:rsidRPr="00AF5D13" w:rsidR="00AF5D13" w:rsidP="00AF5D13" w:rsidRDefault="00AF5D13" w14:paraId="79B3E1EB" w14:textId="77777777">
      <w:r w:rsidRPr="00AF5D13">
        <w:t>D.06-07-029 established a process to allocate the benefits and costs of new generation capacity to all benefiting customers in an IOU’s service area for up to 10 years. Utilities were previously required to notify the Commission whether they intend to apply this CAM to new generation capacity contracts when they seek approval of each contract. In D.11-05-005, however, the Commission implemented a new process that authorizes IOUs to treat these new generation contracts as CAM-eligible for the duration of the underlying power purchase agreement, so long as the Commission finds that CAM is applicable to the contract.</w:t>
      </w:r>
      <w:r w:rsidRPr="00AF5D13">
        <w:rPr>
          <w:vertAlign w:val="superscript"/>
        </w:rPr>
        <w:footnoteReference w:id="138"/>
      </w:r>
      <w:r w:rsidRPr="00AF5D13">
        <w:t xml:space="preserve"> </w:t>
      </w:r>
    </w:p>
    <w:p w:rsidRPr="001E4FBE" w:rsidR="00AF5D13" w:rsidP="00AF5D13" w:rsidRDefault="00AF5D13" w14:paraId="5BFEB62F" w14:textId="2C30BA22">
      <w:r w:rsidRPr="00AF5D13">
        <w:t xml:space="preserve">Pursuant to D.20-06-022, SCE </w:t>
      </w:r>
      <w:r w:rsidR="00EF2629">
        <w:t>became</w:t>
      </w:r>
      <w:r w:rsidRPr="00AF5D13" w:rsidR="00EF2629">
        <w:t xml:space="preserve"> </w:t>
      </w:r>
      <w:r w:rsidRPr="00AF5D13">
        <w:t xml:space="preserve">the CPE responsible for procuring multi-year Local RA resources on behalf of all LSEs in its distribution </w:t>
      </w:r>
      <w:r w:rsidRPr="001E4FBE">
        <w:t>service area, beginning in 2023. In Exhibit SCE-02C, as updated in Exhibit SCE-07C, SCE described</w:t>
      </w:r>
      <w:r w:rsidRPr="00AF5D13">
        <w:t xml:space="preserve"> administrative costs and other costs associated with its role as CPE, such as system</w:t>
      </w:r>
      <w:r w:rsidRPr="00AF5D13">
        <w:noBreakHyphen/>
        <w:t>related costs, which are recorded in its Centralized Local Procurement Sub</w:t>
      </w:r>
      <w:r w:rsidRPr="00AF5D13">
        <w:noBreakHyphen/>
        <w:t xml:space="preserve">Account and </w:t>
      </w:r>
      <w:r w:rsidRPr="001E4FBE">
        <w:t>recovered under the CAM. SCE noted that the forecasted costs only relate to Grid Management Charges associated with the CPE’s participation in the RA market, since the contracts were only active for a short period prior to filing this application.</w:t>
      </w:r>
      <w:r w:rsidRPr="001E4FBE">
        <w:rPr>
          <w:vertAlign w:val="superscript"/>
        </w:rPr>
        <w:footnoteReference w:id="139"/>
      </w:r>
      <w:r w:rsidRPr="001E4FBE">
        <w:t xml:space="preserve"> </w:t>
      </w:r>
    </w:p>
    <w:p w:rsidRPr="00AF5D13" w:rsidR="00A6618D" w:rsidP="00B344A5" w:rsidRDefault="00574E0C" w14:paraId="5C0BCB1F" w14:textId="164FF992">
      <w:r w:rsidRPr="001E4FBE">
        <w:t>D.23-06-029 ad</w:t>
      </w:r>
      <w:r w:rsidRPr="001E4FBE" w:rsidR="004A5BA8">
        <w:t xml:space="preserve">opted </w:t>
      </w:r>
      <w:r w:rsidRPr="001E4FBE" w:rsidR="006124D5">
        <w:t>refinements to the RA program</w:t>
      </w:r>
      <w:r w:rsidR="002D65EC">
        <w:t xml:space="preserve">, including establishing </w:t>
      </w:r>
      <w:r w:rsidR="00F83D15">
        <w:t>a 1</w:t>
      </w:r>
      <w:r w:rsidR="000B5DFC">
        <w:t>7 percent Planning Reserve Margin for 2024 and 2025</w:t>
      </w:r>
      <w:r w:rsidR="00C15F9D">
        <w:t>.</w:t>
      </w:r>
      <w:r w:rsidR="00C15F9D">
        <w:rPr>
          <w:rStyle w:val="FootnoteReference"/>
        </w:rPr>
        <w:footnoteReference w:id="140"/>
      </w:r>
    </w:p>
    <w:p w:rsidRPr="00BD2D55" w:rsidR="00AF5D13" w:rsidP="009F53BA" w:rsidRDefault="00AF5D13" w14:paraId="55A00622" w14:textId="6B1CED7E">
      <w:pPr>
        <w:pStyle w:val="Heading3"/>
      </w:pPr>
      <w:bookmarkStart w:name="_Toc151976224" w:id="138"/>
      <w:bookmarkStart w:name="_Toc183184316" w:id="139"/>
      <w:r w:rsidRPr="00BD2D55">
        <w:lastRenderedPageBreak/>
        <w:t xml:space="preserve">New System Generation </w:t>
      </w:r>
      <w:r w:rsidR="00FA6ACD">
        <w:br/>
      </w:r>
      <w:r w:rsidRPr="00BD2D55">
        <w:t>Balancing Account</w:t>
      </w:r>
      <w:bookmarkEnd w:id="138"/>
      <w:r w:rsidRPr="00BD2D55">
        <w:t xml:space="preserve"> </w:t>
      </w:r>
      <w:r w:rsidR="001C1CD5">
        <w:t>(NSGBA)</w:t>
      </w:r>
      <w:bookmarkEnd w:id="139"/>
    </w:p>
    <w:p w:rsidR="00A02011" w:rsidP="00AF5D13" w:rsidRDefault="00AF5D13" w14:paraId="732161D3" w14:textId="77777777">
      <w:r w:rsidRPr="00AF5D13">
        <w:t xml:space="preserve">The NSGBA was established on January 16, 2009, pursuant to OP 2 of D.07-09-004. It is intended to record the costs and benefits of power purchase agreements associated with new generation resources, including SCE’s </w:t>
      </w:r>
    </w:p>
    <w:p w:rsidRPr="00AF5D13" w:rsidR="00AF5D13" w:rsidP="00A02011" w:rsidRDefault="00AF5D13" w14:paraId="7718371E" w14:textId="2C2A7042">
      <w:pPr>
        <w:ind w:firstLine="0"/>
      </w:pPr>
      <w:r w:rsidRPr="00DA578A">
        <w:t>CPE</w:t>
      </w:r>
      <w:r w:rsidRPr="00AF5D13">
        <w:t xml:space="preserve">-related procurement. </w:t>
      </w:r>
      <w:r w:rsidR="00F52CB1">
        <w:t xml:space="preserve">The NSGBA also </w:t>
      </w:r>
      <w:r w:rsidR="000C1AAB">
        <w:t>accounts for the costs o</w:t>
      </w:r>
      <w:r w:rsidR="00BE2B26">
        <w:t>f</w:t>
      </w:r>
      <w:r w:rsidR="00690B6F">
        <w:t xml:space="preserve"> compliance obligations due to another LSE’s</w:t>
      </w:r>
      <w:r w:rsidR="006469BE">
        <w:t xml:space="preserve"> ce</w:t>
      </w:r>
      <w:r w:rsidR="003F112B">
        <w:t>s</w:t>
      </w:r>
      <w:r w:rsidR="006469BE">
        <w:t>s</w:t>
      </w:r>
      <w:r w:rsidR="003F112B">
        <w:t>ation</w:t>
      </w:r>
      <w:r w:rsidR="006469BE">
        <w:t xml:space="preserve"> of retail service</w:t>
      </w:r>
      <w:r w:rsidR="003F112B">
        <w:t xml:space="preserve"> due to bankruptcy or any other reason.</w:t>
      </w:r>
      <w:r w:rsidR="00520BDB">
        <w:t xml:space="preserve"> </w:t>
      </w:r>
      <w:r w:rsidRPr="00AF5D13">
        <w:t>SCE</w:t>
      </w:r>
      <w:r w:rsidR="00571081">
        <w:t>’s AOU</w:t>
      </w:r>
      <w:r w:rsidR="001B540C">
        <w:t xml:space="preserve"> fore</w:t>
      </w:r>
      <w:r w:rsidR="0055289C">
        <w:t xml:space="preserve">casts </w:t>
      </w:r>
      <w:r w:rsidR="00E9711C">
        <w:t>a</w:t>
      </w:r>
      <w:r w:rsidR="00571081">
        <w:t xml:space="preserve"> </w:t>
      </w:r>
      <w:r w:rsidR="00BA0660">
        <w:t xml:space="preserve">2025 NSGBA </w:t>
      </w:r>
      <w:r w:rsidR="00571081">
        <w:t>revenue</w:t>
      </w:r>
      <w:r w:rsidR="00BA0660">
        <w:t xml:space="preserve"> requirement of $457.467 million,</w:t>
      </w:r>
      <w:r w:rsidR="00BE2C86">
        <w:t xml:space="preserve"> which would result in an </w:t>
      </w:r>
      <w:r w:rsidR="00886465">
        <w:t xml:space="preserve">increase </w:t>
      </w:r>
      <w:r w:rsidR="001B10CB">
        <w:t>of $54.471 million a</w:t>
      </w:r>
      <w:r w:rsidR="00886465">
        <w:t>bove</w:t>
      </w:r>
      <w:r w:rsidR="001B10CB">
        <w:t xml:space="preserve"> current rates.</w:t>
      </w:r>
      <w:r w:rsidR="00BA0660">
        <w:t xml:space="preserve"> </w:t>
      </w:r>
      <w:r w:rsidR="0018491C">
        <w:t xml:space="preserve">It further estimates that the 2024 </w:t>
      </w:r>
      <w:r w:rsidR="006D7E07">
        <w:t xml:space="preserve">NSGBA will end this year overcollected by </w:t>
      </w:r>
      <w:r w:rsidR="004029BC">
        <w:t>$</w:t>
      </w:r>
      <w:r w:rsidR="00D63BF2">
        <w:t>75.594</w:t>
      </w:r>
      <w:r w:rsidR="004029BC">
        <w:t xml:space="preserve"> million,</w:t>
      </w:r>
      <w:r w:rsidR="00571081">
        <w:t xml:space="preserve"> </w:t>
      </w:r>
      <w:r w:rsidRPr="00AF5D13" w:rsidR="004029BC">
        <w:t>including FF&amp;U.</w:t>
      </w:r>
    </w:p>
    <w:p w:rsidRPr="00622F1D" w:rsidR="00AF5D13" w:rsidP="00622F1D" w:rsidRDefault="00AF5D13" w14:paraId="770761E5" w14:textId="080A1B63">
      <w:pPr>
        <w:pStyle w:val="Heading3"/>
      </w:pPr>
      <w:bookmarkStart w:name="_Toc151976225" w:id="140"/>
      <w:bookmarkStart w:name="_Toc183184317" w:id="141"/>
      <w:r w:rsidRPr="00622F1D">
        <w:t xml:space="preserve">System Reliability Modified Cost </w:t>
      </w:r>
      <w:r w:rsidR="00FA6ACD">
        <w:br/>
      </w:r>
      <w:r w:rsidRPr="00622F1D">
        <w:t>Allocation Mechanism-Related Costs</w:t>
      </w:r>
      <w:bookmarkEnd w:id="140"/>
      <w:bookmarkEnd w:id="141"/>
    </w:p>
    <w:p w:rsidRPr="00AF5D13" w:rsidR="00AF5D13" w:rsidP="00AF5D13" w:rsidRDefault="00AF5D13" w14:paraId="714392E3" w14:textId="00FBBE87">
      <w:r w:rsidRPr="00AF5D13">
        <w:t xml:space="preserve">As discussed in </w:t>
      </w:r>
      <w:r w:rsidRPr="00601A27">
        <w:t>Section 5.1.</w:t>
      </w:r>
      <w:r w:rsidRPr="00601A27" w:rsidR="005B32CF">
        <w:t>9.1</w:t>
      </w:r>
      <w:r w:rsidRPr="00AF5D13">
        <w:t xml:space="preserve"> above, D.19-11-016 established specific requirements for IOUs to procure system-level RA capacity by August 2023.</w:t>
      </w:r>
    </w:p>
    <w:p w:rsidR="00AF5D13" w:rsidP="00AF5D13" w:rsidRDefault="00AF5D13" w14:paraId="486702AE" w14:textId="77777777">
      <w:r w:rsidRPr="00AF5D13">
        <w:t>Separately, D.22-05-015 authorized the use of non-bypassable customer charges to recover Modified Cost Allocation Mechanism (MCAM) costs from customers of LSEs that opt-out or do not comply with the RA adequacy requirements. Resolution E-5240 authorized SCE to complete transfers of its System Reliability Procurement Memorandum Account (SRPMA) balance and costs associated with D.22-05-016 are now recorded in its PABA, MCAMBA, and NSGBA, as of January 2023.</w:t>
      </w:r>
    </w:p>
    <w:p w:rsidRPr="00AF5D13" w:rsidR="001A4E94" w:rsidP="00AF5D13" w:rsidRDefault="001A4E94" w14:paraId="67FF12E7" w14:textId="5952C437">
      <w:r>
        <w:t xml:space="preserve">Finally, </w:t>
      </w:r>
      <w:r w:rsidR="004010FD">
        <w:t>D.23-12-014 granted a petition for modification of D.22-05-015</w:t>
      </w:r>
      <w:r w:rsidR="004520DD">
        <w:t>. This PFM allow</w:t>
      </w:r>
      <w:r w:rsidR="00E310B6">
        <w:t>s</w:t>
      </w:r>
      <w:r w:rsidR="004520DD">
        <w:t xml:space="preserve"> non-utility load serving entities </w:t>
      </w:r>
      <w:r w:rsidR="00456C06">
        <w:t xml:space="preserve">to purchase additional RA </w:t>
      </w:r>
      <w:r w:rsidR="00456C06">
        <w:lastRenderedPageBreak/>
        <w:t xml:space="preserve">capacity </w:t>
      </w:r>
      <w:r w:rsidR="003C794B">
        <w:t>at the final 2023 RA year-ahead forecast</w:t>
      </w:r>
      <w:r w:rsidR="009C1348">
        <w:t xml:space="preserve"> price; any resulting sales revenue is recorded to the 2019 subaccount of the PABA.</w:t>
      </w:r>
      <w:r w:rsidR="009C1348">
        <w:rPr>
          <w:rStyle w:val="FootnoteReference"/>
        </w:rPr>
        <w:footnoteReference w:id="141"/>
      </w:r>
    </w:p>
    <w:p w:rsidR="00AF5D13" w:rsidP="00AF5D13" w:rsidRDefault="00853254" w14:paraId="32DE9C90" w14:textId="73C60A91">
      <w:r w:rsidRPr="00AF5D13">
        <w:t>SCE</w:t>
      </w:r>
      <w:r>
        <w:t>’s AOU forecasts a 2025 MCAM F&amp;PP revenue requirement of $1.558</w:t>
      </w:r>
      <w:r w:rsidR="00FA6ACD">
        <w:t> </w:t>
      </w:r>
      <w:r>
        <w:t>million, which would result in an undercollection of $</w:t>
      </w:r>
      <w:r w:rsidR="00336506">
        <w:t>0</w:t>
      </w:r>
      <w:r>
        <w:t>.</w:t>
      </w:r>
      <w:r w:rsidR="00336506">
        <w:t>2</w:t>
      </w:r>
      <w:r>
        <w:t>4</w:t>
      </w:r>
      <w:r w:rsidR="00336506">
        <w:t>6</w:t>
      </w:r>
      <w:r>
        <w:t xml:space="preserve"> million at current rates. It further estimates that the 2024 </w:t>
      </w:r>
      <w:r w:rsidRPr="00DA578A" w:rsidR="00336506">
        <w:t>MCAMBA</w:t>
      </w:r>
      <w:r>
        <w:t xml:space="preserve"> will end this year </w:t>
      </w:r>
      <w:r w:rsidR="00D106A4">
        <w:t>under</w:t>
      </w:r>
      <w:r>
        <w:t>collected by $</w:t>
      </w:r>
      <w:r w:rsidR="00D106A4">
        <w:t>1.799</w:t>
      </w:r>
      <w:r>
        <w:t xml:space="preserve"> million</w:t>
      </w:r>
      <w:r w:rsidR="00D106A4">
        <w:t>.</w:t>
      </w:r>
    </w:p>
    <w:p w:rsidRPr="00AF5D13" w:rsidR="008C16FA" w:rsidP="00AF5D13" w:rsidRDefault="008C16FA" w14:paraId="523C2142" w14:textId="6B25BD60">
      <w:r w:rsidRPr="00DD66F5">
        <w:t xml:space="preserve">After reviewing the </w:t>
      </w:r>
      <w:r>
        <w:t>Opening Testimony, Rebuttal T</w:t>
      </w:r>
      <w:r w:rsidRPr="00DD66F5">
        <w:t xml:space="preserve">estimony, workpapers, AOU, comments, Opening Brief, and Reply Brief documents, we </w:t>
      </w:r>
      <w:r>
        <w:t xml:space="preserve">find SCE’s forecasted 2025 </w:t>
      </w:r>
      <w:r w:rsidR="001042E3">
        <w:t>MCAMBA costs</w:t>
      </w:r>
      <w:r>
        <w:t xml:space="preserve"> to be reasonable therefore approve them as proposed.</w:t>
      </w:r>
    </w:p>
    <w:p w:rsidRPr="00DF72D7" w:rsidR="00AF5D13" w:rsidP="00DF72D7" w:rsidRDefault="00AF5D13" w14:paraId="3D2B6663" w14:textId="77777777">
      <w:pPr>
        <w:pStyle w:val="Heading3"/>
      </w:pPr>
      <w:bookmarkStart w:name="_Toc151976226" w:id="142"/>
      <w:bookmarkStart w:name="_Toc183184318" w:id="143"/>
      <w:r w:rsidRPr="00DF72D7">
        <w:t>Tree Mortality Contract Costs</w:t>
      </w:r>
      <w:bookmarkEnd w:id="142"/>
      <w:bookmarkEnd w:id="143"/>
    </w:p>
    <w:p w:rsidR="00D128A8" w:rsidP="003B5B84" w:rsidRDefault="00AF5D13" w14:paraId="047A1ACB" w14:textId="758812C8">
      <w:pPr>
        <w:pStyle w:val="Standard"/>
      </w:pPr>
      <w:r w:rsidRPr="00AF5D13">
        <w:t xml:space="preserve">SCE’s tree mortality non-bypassable charge was applied to all procurement that has occurred pursuant to Resolution E-4770 and E-4805. As discussed </w:t>
      </w:r>
      <w:r w:rsidRPr="00601A27">
        <w:t>in Section 5.</w:t>
      </w:r>
      <w:r w:rsidRPr="00601A27" w:rsidR="00601A27">
        <w:t>1.10</w:t>
      </w:r>
      <w:r w:rsidRPr="00601A27">
        <w:t xml:space="preserve"> above</w:t>
      </w:r>
      <w:r w:rsidRPr="00AF5D13">
        <w:t xml:space="preserve">, </w:t>
      </w:r>
      <w:r w:rsidRPr="00AF5D13" w:rsidR="00435899">
        <w:t>SCE</w:t>
      </w:r>
      <w:r w:rsidR="00435899">
        <w:t xml:space="preserve">’s AOU forecasts a 2025 </w:t>
      </w:r>
      <w:r w:rsidR="00FA5C90">
        <w:t>TMNBCBA</w:t>
      </w:r>
      <w:r w:rsidR="00435899">
        <w:t xml:space="preserve"> F&amp;PP revenue requirement of $1</w:t>
      </w:r>
      <w:r w:rsidR="00A61E14">
        <w:t>9</w:t>
      </w:r>
      <w:r w:rsidR="00435899">
        <w:t>.</w:t>
      </w:r>
      <w:r w:rsidR="00A61E14">
        <w:t>110</w:t>
      </w:r>
      <w:r w:rsidR="00435899">
        <w:t xml:space="preserve"> million. </w:t>
      </w:r>
      <w:r w:rsidRPr="00AF5D13" w:rsidR="00837499">
        <w:t>SCE’s forecasted BioRAM audit costs, which are also recorded in the TMNBCBA, are forecasted to total $18,000 in 202</w:t>
      </w:r>
      <w:r w:rsidR="0043781B">
        <w:t>5</w:t>
      </w:r>
      <w:r w:rsidRPr="00AF5D13" w:rsidR="00837499">
        <w:t>.</w:t>
      </w:r>
      <w:r w:rsidR="00837499">
        <w:rPr>
          <w:rStyle w:val="FootnoteReference"/>
        </w:rPr>
        <w:footnoteReference w:id="142"/>
      </w:r>
      <w:r w:rsidR="00837499">
        <w:t xml:space="preserve"> </w:t>
      </w:r>
      <w:r w:rsidRPr="00AF5D13" w:rsidR="00837499">
        <w:t xml:space="preserve"> </w:t>
      </w:r>
      <w:r w:rsidR="00435899">
        <w:t xml:space="preserve">It further estimates that the 2024 </w:t>
      </w:r>
      <w:r w:rsidR="007643ED">
        <w:t>TMNBCBA</w:t>
      </w:r>
      <w:r w:rsidR="00435899">
        <w:t xml:space="preserve"> will end this year undercollected by $</w:t>
      </w:r>
      <w:r w:rsidR="00CA06D2">
        <w:t>2.978</w:t>
      </w:r>
      <w:r w:rsidR="00435899">
        <w:t xml:space="preserve"> million.</w:t>
      </w:r>
      <w:r w:rsidR="00CA06D2">
        <w:rPr>
          <w:rStyle w:val="FootnoteReference"/>
        </w:rPr>
        <w:footnoteReference w:id="143"/>
      </w:r>
      <w:r w:rsidR="00CA06D2">
        <w:t xml:space="preserve"> </w:t>
      </w:r>
    </w:p>
    <w:p w:rsidR="00BB7F4E" w:rsidP="00BB7F4E" w:rsidRDefault="00BB7F4E" w14:paraId="49A8E12C" w14:textId="4B7C3C23">
      <w:r w:rsidRPr="00AF5D13">
        <w:t xml:space="preserve">No party directly raised any comments or testimony regarding SCE’s </w:t>
      </w:r>
      <w:r>
        <w:t xml:space="preserve">2025 </w:t>
      </w:r>
      <w:r w:rsidRPr="00AF5D13">
        <w:t xml:space="preserve">forecast for its </w:t>
      </w:r>
      <w:r w:rsidR="00F001F2">
        <w:t>T</w:t>
      </w:r>
      <w:r>
        <w:t>MNBCBA</w:t>
      </w:r>
      <w:r w:rsidRPr="00AF5D13">
        <w:t xml:space="preserve"> and </w:t>
      </w:r>
      <w:r>
        <w:t xml:space="preserve">true up of 2024 </w:t>
      </w:r>
      <w:r w:rsidR="00F001F2">
        <w:t>T</w:t>
      </w:r>
      <w:r>
        <w:t>MNBCBA</w:t>
      </w:r>
      <w:r w:rsidRPr="00AF5D13">
        <w:t xml:space="preserve"> </w:t>
      </w:r>
      <w:r>
        <w:t>balances</w:t>
      </w:r>
      <w:r w:rsidRPr="00AF5D13">
        <w:t xml:space="preserve">. We find this forecast of </w:t>
      </w:r>
      <w:r w:rsidR="00F001F2">
        <w:t>T</w:t>
      </w:r>
      <w:r>
        <w:t>MNBCBA</w:t>
      </w:r>
      <w:r w:rsidRPr="00AF5D13">
        <w:t xml:space="preserve"> </w:t>
      </w:r>
      <w:r>
        <w:t>b</w:t>
      </w:r>
      <w:r w:rsidRPr="00AF5D13">
        <w:t>alances to be reasonable and in compliance with applicable rules</w:t>
      </w:r>
      <w:r>
        <w:t>, orders, and Commission decisions.</w:t>
      </w:r>
    </w:p>
    <w:p w:rsidR="00222975" w:rsidP="003B5B84" w:rsidRDefault="008E2F5D" w14:paraId="1DA647BF" w14:textId="77777777">
      <w:pPr>
        <w:pStyle w:val="Heading3"/>
      </w:pPr>
      <w:bookmarkStart w:name="_Toc183184319" w:id="144"/>
      <w:r>
        <w:lastRenderedPageBreak/>
        <w:t>BioMAT</w:t>
      </w:r>
      <w:r w:rsidR="00222975">
        <w:t xml:space="preserve"> Contract Costs</w:t>
      </w:r>
      <w:bookmarkEnd w:id="144"/>
    </w:p>
    <w:p w:rsidR="00510F10" w:rsidP="00510F10" w:rsidRDefault="00EC0A91" w14:paraId="1D2318D9" w14:textId="77777777">
      <w:r>
        <w:t>S</w:t>
      </w:r>
      <w:r w:rsidR="00CA7A4B">
        <w:t xml:space="preserve">enate </w:t>
      </w:r>
      <w:r>
        <w:t>B</w:t>
      </w:r>
      <w:r w:rsidR="00CA7A4B">
        <w:t>ill</w:t>
      </w:r>
      <w:r>
        <w:t xml:space="preserve"> 1122 (Rubio</w:t>
      </w:r>
      <w:r w:rsidR="000426D5">
        <w:t>), Stat. 2012, Ch.612</w:t>
      </w:r>
      <w:r>
        <w:t>, created a bioenergy feed-in tariff to procure renewable resources from small-scale bioenergy projects</w:t>
      </w:r>
      <w:r w:rsidR="00C07D95">
        <w:t xml:space="preserve">, the </w:t>
      </w:r>
      <w:r>
        <w:t>Bioenergy Market</w:t>
      </w:r>
      <w:r w:rsidR="00510F10">
        <w:t xml:space="preserve"> </w:t>
      </w:r>
      <w:r>
        <w:t>Adjusting Tariff (BioMAT).</w:t>
      </w:r>
      <w:r w:rsidR="00D348CC">
        <w:t xml:space="preserve"> In accordance with OP 3 of </w:t>
      </w:r>
    </w:p>
    <w:p w:rsidR="00FF59F0" w:rsidP="00510F10" w:rsidRDefault="00D348CC" w14:paraId="0DBF9882" w14:textId="533CD120">
      <w:pPr>
        <w:ind w:firstLine="0"/>
      </w:pPr>
      <w:r>
        <w:t>D.20-08-043, on October 1, 2020, SCE submitted Advice</w:t>
      </w:r>
      <w:r w:rsidR="009C1BD4">
        <w:t xml:space="preserve"> Letter</w:t>
      </w:r>
      <w:r>
        <w:t xml:space="preserve"> 4306-E to establish the BioMAT Non-Bypassable Charge Balancing Account (BMNBCBA)</w:t>
      </w:r>
      <w:r w:rsidR="004C5859">
        <w:t xml:space="preserve"> </w:t>
      </w:r>
      <w:r>
        <w:t>to record the</w:t>
      </w:r>
      <w:r w:rsidR="004C5859">
        <w:t>se net costs.</w:t>
      </w:r>
      <w:r w:rsidRPr="00AF5D13" w:rsidR="00EC0A91">
        <w:t xml:space="preserve"> </w:t>
      </w:r>
      <w:r w:rsidRPr="00343890" w:rsidR="00343890">
        <w:t>D.23-11-084 set rules to enable CCAs to participate in the BioMAT program</w:t>
      </w:r>
      <w:r w:rsidR="00343890">
        <w:t>.</w:t>
      </w:r>
      <w:r w:rsidRPr="00343890" w:rsidR="00343890">
        <w:t xml:space="preserve"> </w:t>
      </w:r>
    </w:p>
    <w:p w:rsidR="00AF5D13" w:rsidP="003B5B84" w:rsidRDefault="00FF59F0" w14:paraId="4503CA77" w14:textId="46A00BA1">
      <w:pPr>
        <w:pStyle w:val="Standard"/>
      </w:pPr>
      <w:r w:rsidRPr="00AF5D13">
        <w:t>SCE</w:t>
      </w:r>
      <w:r>
        <w:t xml:space="preserve">’s AOU forecasts a 2025 </w:t>
      </w:r>
      <w:r w:rsidR="0070303E">
        <w:t>BMNBCBA</w:t>
      </w:r>
      <w:r>
        <w:t xml:space="preserve"> revenue requirement of $</w:t>
      </w:r>
      <w:r w:rsidR="00805408">
        <w:t>5</w:t>
      </w:r>
      <w:r>
        <w:t>.</w:t>
      </w:r>
      <w:r w:rsidR="00805408">
        <w:t>642</w:t>
      </w:r>
      <w:r w:rsidR="00FA6ACD">
        <w:t> </w:t>
      </w:r>
      <w:r>
        <w:t>million.</w:t>
      </w:r>
      <w:r w:rsidR="003D0AB9">
        <w:rPr>
          <w:rStyle w:val="FootnoteReference"/>
        </w:rPr>
        <w:footnoteReference w:id="144"/>
      </w:r>
      <w:r>
        <w:t xml:space="preserve"> </w:t>
      </w:r>
      <w:r w:rsidR="00DA6AEE">
        <w:t xml:space="preserve">The CCA </w:t>
      </w:r>
      <w:r w:rsidR="005D3B56">
        <w:t>portion of 2025 BMNBCBA costs is $0.</w:t>
      </w:r>
      <w:r w:rsidR="00ED1B29">
        <w:t xml:space="preserve"> </w:t>
      </w:r>
      <w:r>
        <w:t xml:space="preserve">It further estimates that the 2024 </w:t>
      </w:r>
      <w:r w:rsidRPr="00F35C41" w:rsidR="00F35C41">
        <w:t xml:space="preserve">BMNBCBA </w:t>
      </w:r>
      <w:r>
        <w:t xml:space="preserve">will end this year </w:t>
      </w:r>
      <w:r w:rsidR="00614F28">
        <w:t>over</w:t>
      </w:r>
      <w:r>
        <w:t>collected by $2.</w:t>
      </w:r>
      <w:r w:rsidR="00614F28">
        <w:t>842</w:t>
      </w:r>
      <w:r w:rsidR="00510F10">
        <w:t> </w:t>
      </w:r>
      <w:r>
        <w:t>million.</w:t>
      </w:r>
      <w:r>
        <w:rPr>
          <w:rStyle w:val="FootnoteReference"/>
        </w:rPr>
        <w:footnoteReference w:id="145"/>
      </w:r>
      <w:r>
        <w:t xml:space="preserve"> </w:t>
      </w:r>
    </w:p>
    <w:p w:rsidRPr="00AF5D13" w:rsidR="00E1187E" w:rsidP="0074112C" w:rsidRDefault="00E1187E" w14:paraId="07CF3146" w14:textId="5D8FBD65">
      <w:r w:rsidRPr="00AF5D13">
        <w:t xml:space="preserve">No party </w:t>
      </w:r>
      <w:r w:rsidR="008E2765">
        <w:t>submitted</w:t>
      </w:r>
      <w:r w:rsidRPr="00AF5D13">
        <w:t xml:space="preserve"> any comments or testimony regarding SCE’s </w:t>
      </w:r>
      <w:r w:rsidR="00A97ACA">
        <w:t xml:space="preserve">2025 </w:t>
      </w:r>
      <w:r w:rsidRPr="00AF5D13">
        <w:t xml:space="preserve">forecast for its </w:t>
      </w:r>
      <w:r w:rsidR="00A97ACA">
        <w:t>BMNBCBA</w:t>
      </w:r>
      <w:r w:rsidRPr="00AF5D13" w:rsidR="00A97ACA">
        <w:t xml:space="preserve"> </w:t>
      </w:r>
      <w:r w:rsidRPr="00AF5D13">
        <w:t xml:space="preserve">and </w:t>
      </w:r>
      <w:r w:rsidR="00A97ACA">
        <w:t xml:space="preserve">true </w:t>
      </w:r>
      <w:r w:rsidR="00580B81">
        <w:t>up of 2024 BMNBCBA</w:t>
      </w:r>
      <w:r w:rsidRPr="00AF5D13" w:rsidR="00580B81">
        <w:t xml:space="preserve"> </w:t>
      </w:r>
      <w:r w:rsidR="00580B81">
        <w:t>balances</w:t>
      </w:r>
      <w:r w:rsidRPr="00AF5D13">
        <w:t xml:space="preserve">. We find this forecast of </w:t>
      </w:r>
      <w:r w:rsidR="00580B81">
        <w:t>BMNBCBA</w:t>
      </w:r>
      <w:r w:rsidRPr="00AF5D13" w:rsidR="00580B81">
        <w:t xml:space="preserve"> </w:t>
      </w:r>
      <w:r w:rsidR="00580B81">
        <w:t>b</w:t>
      </w:r>
      <w:r w:rsidRPr="00AF5D13">
        <w:t>alances to be reasonable and in compliance with applicable rules</w:t>
      </w:r>
      <w:r w:rsidR="00580B81">
        <w:t>, orders, and Commission decisions.</w:t>
      </w:r>
    </w:p>
    <w:p w:rsidRPr="007507FE" w:rsidR="00AF5D13" w:rsidP="007507FE" w:rsidRDefault="00AF5D13" w14:paraId="3D7B23A7" w14:textId="7939C0E6">
      <w:pPr>
        <w:pStyle w:val="Heading3"/>
      </w:pPr>
      <w:bookmarkStart w:name="_Toc151976227" w:id="145"/>
      <w:bookmarkStart w:name="_Toc183184320" w:id="146"/>
      <w:r w:rsidRPr="007507FE">
        <w:t xml:space="preserve">Central Procurement </w:t>
      </w:r>
      <w:r w:rsidR="00FA6ACD">
        <w:br/>
      </w:r>
      <w:r w:rsidRPr="007507FE">
        <w:t>Entity Related Costs</w:t>
      </w:r>
      <w:bookmarkEnd w:id="145"/>
      <w:bookmarkEnd w:id="146"/>
    </w:p>
    <w:p w:rsidR="00253507" w:rsidP="00510F10" w:rsidRDefault="00AF5D13" w14:paraId="77C707A7" w14:textId="4704164A">
      <w:r w:rsidRPr="00AF5D13">
        <w:t xml:space="preserve">D.20-06-002 identifies SCE as the CPE for its distribution service area and directs SCE to procure multi-year local RA contracts on behalf of all LSEs in its distribution service area beginning in 2023. </w:t>
      </w:r>
      <w:r w:rsidR="00510F10">
        <w:t xml:space="preserve"> </w:t>
      </w:r>
      <w:r w:rsidR="00BF4FA9">
        <w:t>D.22-03-</w:t>
      </w:r>
      <w:r w:rsidR="00812D01">
        <w:t xml:space="preserve">034 requires </w:t>
      </w:r>
      <w:r w:rsidR="000436A4">
        <w:t>that CPE procurement costs be forecast and implemented through rates in the ERRA proceeding</w:t>
      </w:r>
      <w:r w:rsidR="007A2824">
        <w:t xml:space="preserve"> and documented in a </w:t>
      </w:r>
      <w:r w:rsidR="006B763A">
        <w:t xml:space="preserve">separate confidential chapter of ERRA forecast </w:t>
      </w:r>
      <w:r w:rsidR="006B763A">
        <w:lastRenderedPageBreak/>
        <w:t>testimony.</w:t>
      </w:r>
      <w:r w:rsidR="00505AA1">
        <w:rPr>
          <w:rStyle w:val="FootnoteReference"/>
        </w:rPr>
        <w:footnoteReference w:id="146"/>
      </w:r>
      <w:r w:rsidR="006B763A">
        <w:t xml:space="preserve"> </w:t>
      </w:r>
      <w:r w:rsidR="00BF7E0B">
        <w:t>D.23-06-029</w:t>
      </w:r>
      <w:r w:rsidR="00686FDF">
        <w:t xml:space="preserve"> adopted </w:t>
      </w:r>
      <w:r w:rsidR="007F28D9">
        <w:t>additional reporting that allows LSEs to manage RA procurement</w:t>
      </w:r>
      <w:r w:rsidR="00EE06E9">
        <w:t xml:space="preserve"> </w:t>
      </w:r>
      <w:r w:rsidR="00253507">
        <w:t>and assess the need for potential CAISO backstop.</w:t>
      </w:r>
      <w:r w:rsidR="00D23863">
        <w:rPr>
          <w:rStyle w:val="FootnoteReference"/>
        </w:rPr>
        <w:footnoteReference w:id="147"/>
      </w:r>
    </w:p>
    <w:p w:rsidR="00790624" w:rsidP="00AF5D13" w:rsidRDefault="00AF5D13" w14:paraId="4681FC62" w14:textId="15C3A239">
      <w:r w:rsidRPr="00AF5D13">
        <w:t>As already noted, the CAM is the cost recovery mechanism for CPE procurement of local RA. SCE has a Centralized Local Procurement Balancing sub-account within its NSGBA BA to facilitate the cost recovery process.</w:t>
      </w:r>
      <w:r w:rsidRPr="00AF5D13">
        <w:rPr>
          <w:vertAlign w:val="superscript"/>
        </w:rPr>
        <w:footnoteReference w:id="148"/>
      </w:r>
      <w:r w:rsidRPr="00AF5D13">
        <w:t xml:space="preserve"> SCE has several CPE-related </w:t>
      </w:r>
      <w:r w:rsidR="00EC1E5B">
        <w:t xml:space="preserve">purchased and self-show </w:t>
      </w:r>
      <w:r w:rsidRPr="00AF5D13">
        <w:t>procurement agreements entered into through separate CPE Local RA request for offers, spanning 202</w:t>
      </w:r>
      <w:r w:rsidR="00E849AE">
        <w:t>4</w:t>
      </w:r>
      <w:r w:rsidRPr="00AF5D13">
        <w:t xml:space="preserve"> through 202</w:t>
      </w:r>
      <w:r w:rsidR="00E849AE">
        <w:t>7</w:t>
      </w:r>
      <w:r w:rsidRPr="00AF5D13">
        <w:t>, each of which include CAISO costs under its scheduling coordinator identification number, SCE8.</w:t>
      </w:r>
      <w:r w:rsidRPr="00AF5D13">
        <w:rPr>
          <w:vertAlign w:val="superscript"/>
        </w:rPr>
        <w:footnoteReference w:id="149"/>
      </w:r>
      <w:r w:rsidRPr="00AF5D13">
        <w:t xml:space="preserve"> </w:t>
      </w:r>
    </w:p>
    <w:p w:rsidRPr="00AF5D13" w:rsidR="00AF5D13" w:rsidP="00AF5D13" w:rsidRDefault="00B521B3" w14:paraId="38139124" w14:textId="7EFBD6B1">
      <w:r>
        <w:t>SCE</w:t>
      </w:r>
      <w:r w:rsidR="00D045A3">
        <w:t>-CPE notes that it</w:t>
      </w:r>
      <w:r w:rsidR="00131BE4">
        <w:t>s Big Creek</w:t>
      </w:r>
      <w:r w:rsidR="005621F3">
        <w:t xml:space="preserve"> </w:t>
      </w:r>
      <w:r w:rsidR="00131BE4">
        <w:t xml:space="preserve">Ventura </w:t>
      </w:r>
      <w:r w:rsidR="005621F3">
        <w:t>local area</w:t>
      </w:r>
      <w:r w:rsidR="00D045A3">
        <w:t xml:space="preserve"> will be short in May</w:t>
      </w:r>
      <w:r w:rsidR="00FA6ACD">
        <w:t> </w:t>
      </w:r>
      <w:r w:rsidR="00D045A3">
        <w:t>2025</w:t>
      </w:r>
      <w:r w:rsidR="00A61B65">
        <w:t xml:space="preserve"> and other shoulder months in 2026</w:t>
      </w:r>
      <w:r w:rsidR="007B0C18">
        <w:t xml:space="preserve"> and 2027. It states that it was reasonable to decline high priced offers that would have </w:t>
      </w:r>
      <w:r w:rsidR="00EB045F">
        <w:t xml:space="preserve">helped fill the May 2025 short position given their price and lack of material impact on </w:t>
      </w:r>
      <w:r w:rsidR="008E29DA">
        <w:t xml:space="preserve">the May 2025 short position. SCE-CPE further states that </w:t>
      </w:r>
      <w:r w:rsidR="00020DAB">
        <w:t>it is confident of meeting future shortfalls in subsequent RFOs.</w:t>
      </w:r>
      <w:r w:rsidR="00790624">
        <w:rPr>
          <w:rStyle w:val="FootnoteReference"/>
        </w:rPr>
        <w:footnoteReference w:id="150"/>
      </w:r>
    </w:p>
    <w:p w:rsidR="00AF5D13" w:rsidP="00AF5D13" w:rsidRDefault="00AF5D13" w14:paraId="61B3D2E4" w14:textId="7F5CCDAF">
      <w:r w:rsidRPr="00AF5D13">
        <w:t xml:space="preserve">Pursuant to D.22-03-034, SCE also forecasted $250,000 for 2024 administrative costs for utilizing independent evaluators to review its solicitation documentation for future CPE-related contracts, which was based on its most </w:t>
      </w:r>
      <w:r w:rsidRPr="00AF5D13">
        <w:lastRenderedPageBreak/>
        <w:t>recent CPE solicitation evaluator costs.</w:t>
      </w:r>
      <w:r w:rsidRPr="00AF5D13">
        <w:rPr>
          <w:vertAlign w:val="superscript"/>
        </w:rPr>
        <w:footnoteReference w:id="151"/>
      </w:r>
      <w:r w:rsidR="006A5DBF">
        <w:t xml:space="preserve"> It</w:t>
      </w:r>
      <w:r w:rsidR="00B94F64">
        <w:t xml:space="preserve"> further forecasts confidential </w:t>
      </w:r>
      <w:r w:rsidR="00057C50">
        <w:t>procurement net costs and FF&amp;U.</w:t>
      </w:r>
      <w:r w:rsidR="000E1D77">
        <w:rPr>
          <w:rStyle w:val="FootnoteReference"/>
        </w:rPr>
        <w:footnoteReference w:id="152"/>
      </w:r>
    </w:p>
    <w:p w:rsidRPr="00AF5D13" w:rsidR="00057C50" w:rsidP="00AF5D13" w:rsidRDefault="00057C50" w14:paraId="6CE54EE8" w14:textId="1CB3B7C9">
      <w:r>
        <w:t>No parties opposed SCE’s CPE proposed revenue requirement</w:t>
      </w:r>
      <w:r w:rsidR="000E1D77">
        <w:t>.</w:t>
      </w:r>
      <w:r w:rsidRPr="00F44A55" w:rsidR="00F44A55">
        <w:t xml:space="preserve"> </w:t>
      </w:r>
      <w:r w:rsidR="00DA578A">
        <w:t>Weighing the record,</w:t>
      </w:r>
      <w:r w:rsidRPr="00DD66F5" w:rsidR="00F44A55">
        <w:t xml:space="preserve"> we </w:t>
      </w:r>
      <w:r w:rsidR="00F44A55">
        <w:t xml:space="preserve">find SCE’s forecasted 2025 </w:t>
      </w:r>
      <w:r w:rsidR="00565556">
        <w:t>CPE costs</w:t>
      </w:r>
      <w:r w:rsidR="00F44A55">
        <w:t xml:space="preserve"> to be reasonable </w:t>
      </w:r>
      <w:r w:rsidR="00DA578A">
        <w:t xml:space="preserve">and are </w:t>
      </w:r>
      <w:r w:rsidR="00F44A55">
        <w:t>therefore approve as proposed.</w:t>
      </w:r>
    </w:p>
    <w:p w:rsidRPr="007507FE" w:rsidR="00AF5D13" w:rsidP="007507FE" w:rsidRDefault="00AF5D13" w14:paraId="4AAE533D" w14:textId="63A4FAA9">
      <w:pPr>
        <w:pStyle w:val="Heading3"/>
      </w:pPr>
      <w:bookmarkStart w:name="_Toc151976228" w:id="147"/>
      <w:bookmarkStart w:name="_Toc183184321" w:id="148"/>
      <w:r w:rsidRPr="007507FE">
        <w:t>Discussion</w:t>
      </w:r>
      <w:bookmarkEnd w:id="147"/>
      <w:r w:rsidRPr="007507FE" w:rsidR="00E51C11">
        <w:t xml:space="preserve"> of New System Generation Revenue Requirement</w:t>
      </w:r>
      <w:bookmarkEnd w:id="148"/>
    </w:p>
    <w:p w:rsidRPr="00AF5D13" w:rsidR="00AF5D13" w:rsidP="00AF5D13" w:rsidRDefault="00AF5D13" w14:paraId="1CBC1FE8" w14:textId="5C954B19">
      <w:r w:rsidRPr="00AF5D13">
        <w:t xml:space="preserve">No parties opposed SCE’s proposed revenue requirement for New System Generation and System Reliability contracts, including those discussed in its CPE forecasted costs. </w:t>
      </w:r>
    </w:p>
    <w:p w:rsidR="003B5B84" w:rsidP="003B5B84" w:rsidRDefault="00DA578A" w14:paraId="65C768D6" w14:textId="3410A3E9">
      <w:pPr>
        <w:pStyle w:val="Standard"/>
      </w:pPr>
      <w:r>
        <w:t>Weighing the record</w:t>
      </w:r>
      <w:r w:rsidRPr="00AF5D13" w:rsidR="00AF5D13">
        <w:t xml:space="preserve">, we find SCE’s total requested </w:t>
      </w:r>
      <w:r w:rsidR="00DC6027">
        <w:t>d</w:t>
      </w:r>
      <w:r w:rsidR="00FB7958">
        <w:t xml:space="preserve">elivery </w:t>
      </w:r>
      <w:r w:rsidR="00DC6027">
        <w:t>s</w:t>
      </w:r>
      <w:r w:rsidR="00FB7958">
        <w:t xml:space="preserve">ervice </w:t>
      </w:r>
      <w:r w:rsidRPr="00AF5D13" w:rsidR="00AF5D13">
        <w:t>revenue requirement for New System Generation and System Reliability contracts, along with SCE’s request to true</w:t>
      </w:r>
      <w:r w:rsidRPr="00AF5D13" w:rsidR="00AF5D13">
        <w:noBreakHyphen/>
        <w:t>up the NSGBA,</w:t>
      </w:r>
      <w:r>
        <w:t xml:space="preserve"> to be</w:t>
      </w:r>
      <w:r w:rsidRPr="00AF5D13" w:rsidR="00AF5D13">
        <w:t xml:space="preserve"> reasonable</w:t>
      </w:r>
      <w:r w:rsidR="00322080">
        <w:t xml:space="preserve"> and</w:t>
      </w:r>
      <w:r w:rsidRPr="00AF5D13" w:rsidR="00AF5D13">
        <w:t xml:space="preserve"> </w:t>
      </w:r>
      <w:r>
        <w:t xml:space="preserve">are therefore </w:t>
      </w:r>
      <w:r w:rsidRPr="00AF5D13" w:rsidR="00AF5D13">
        <w:t>authorized.</w:t>
      </w:r>
    </w:p>
    <w:p w:rsidRPr="00AF5D13" w:rsidR="00AF5D13" w:rsidP="003B5B84" w:rsidRDefault="00AF5D13" w14:paraId="1D2A7950" w14:textId="283DE2C9">
      <w:pPr>
        <w:pStyle w:val="Heading2"/>
      </w:pPr>
      <w:r w:rsidRPr="00AF5D13">
        <w:t xml:space="preserve"> </w:t>
      </w:r>
      <w:bookmarkStart w:name="_Toc151976229" w:id="149"/>
      <w:bookmarkStart w:name="_Toc183184322" w:id="150"/>
      <w:r w:rsidRPr="00AF5D13">
        <w:t>Cost Responsibility Surcharges</w:t>
      </w:r>
      <w:bookmarkEnd w:id="149"/>
      <w:bookmarkEnd w:id="150"/>
    </w:p>
    <w:p w:rsidR="00FF4CC5" w:rsidP="00D1470E" w:rsidRDefault="00AF5D13" w14:paraId="1BC55DBA" w14:textId="54028259">
      <w:r w:rsidRPr="00AF5D13">
        <w:t>The Cost Responsibility Surcharge (CRS) Indifference Amount is the difference between the total portfolio cost and the forecast value of the portfolio; it includes the CTC and the Power Charge Indifference Adjustment (PCIA) charges.</w:t>
      </w:r>
      <w:r w:rsidRPr="00AF5D13">
        <w:rPr>
          <w:vertAlign w:val="superscript"/>
        </w:rPr>
        <w:footnoteReference w:id="153"/>
      </w:r>
      <w:r w:rsidRPr="00AF5D13">
        <w:t xml:space="preserve"> </w:t>
      </w:r>
    </w:p>
    <w:p w:rsidRPr="003A15B0" w:rsidR="003A15B0" w:rsidP="003A15B0" w:rsidRDefault="003A15B0" w14:paraId="57EB77C0" w14:textId="53291016">
      <w:r w:rsidRPr="003A15B0">
        <w:t>The CTC rate is used to recover the above</w:t>
      </w:r>
      <w:r>
        <w:t xml:space="preserve"> </w:t>
      </w:r>
      <w:r w:rsidRPr="003A15B0">
        <w:t>market costs of pre-restructuring resources such as eligible QFs and is the same for all vintages. The</w:t>
      </w:r>
    </w:p>
    <w:p w:rsidR="0085556B" w:rsidP="0085556B" w:rsidRDefault="003A15B0" w14:paraId="404ACCE6" w14:textId="5D36DABB">
      <w:pPr>
        <w:ind w:firstLine="0"/>
      </w:pPr>
      <w:r w:rsidRPr="003A15B0">
        <w:lastRenderedPageBreak/>
        <w:t xml:space="preserve">PCIA rates are used to recover the above-market costs of all non-CTC-eligible resources </w:t>
      </w:r>
      <w:r w:rsidR="00A8003B">
        <w:t xml:space="preserve">which </w:t>
      </w:r>
      <w:r w:rsidRPr="003A15B0">
        <w:t xml:space="preserve">vary by vintage based on the generation resources included in that vintage. </w:t>
      </w:r>
    </w:p>
    <w:p w:rsidR="00AA095C" w:rsidP="003B5B84" w:rsidRDefault="00D1470E" w14:paraId="70B65BF7" w14:textId="6A3AECB1">
      <w:pPr>
        <w:pStyle w:val="Standard"/>
      </w:pPr>
      <w:r>
        <w:t xml:space="preserve">In D.08-09-012, the Commission adopted the practice of vintaging the utility’s generation portfolio to ensure that </w:t>
      </w:r>
      <w:r w:rsidR="00DA578A">
        <w:t>d</w:t>
      </w:r>
      <w:r>
        <w:t>epart</w:t>
      </w:r>
      <w:r w:rsidR="00DA578A">
        <w:t>ed</w:t>
      </w:r>
      <w:r>
        <w:t xml:space="preserve"> </w:t>
      </w:r>
      <w:r w:rsidR="00DA578A">
        <w:t>l</w:t>
      </w:r>
      <w:r>
        <w:t xml:space="preserve">oad customers are held responsible only for generation procured prior to the date of their departure from bundled service. Accordingly, SCE calculated </w:t>
      </w:r>
      <w:r w:rsidR="00DA578A">
        <w:t>i</w:t>
      </w:r>
      <w:r>
        <w:t xml:space="preserve">ndifference </w:t>
      </w:r>
      <w:r w:rsidR="00DA578A">
        <w:t>a</w:t>
      </w:r>
      <w:r>
        <w:t>mounts for each “vintage year” based on the generation resources that were committed in each calendar year.</w:t>
      </w:r>
      <w:r w:rsidR="00896F8E">
        <w:t xml:space="preserve"> </w:t>
      </w:r>
    </w:p>
    <w:p w:rsidR="008926D7" w:rsidP="00D1470E" w:rsidRDefault="00AA095C" w14:paraId="659879DA" w14:textId="7054E60E">
      <w:r>
        <w:t xml:space="preserve">In </w:t>
      </w:r>
      <w:r w:rsidR="00431E5D">
        <w:t>D.18-10-019, the commission articulated the</w:t>
      </w:r>
      <w:r w:rsidR="00CD359A">
        <w:t xml:space="preserve"> following</w:t>
      </w:r>
      <w:r w:rsidR="00431E5D">
        <w:t xml:space="preserve"> overall goals</w:t>
      </w:r>
      <w:r w:rsidR="00CD359A">
        <w:t xml:space="preserve"> of the PCIA</w:t>
      </w:r>
      <w:r w:rsidR="00431E5D">
        <w:t>:</w:t>
      </w:r>
      <w:r w:rsidR="00CD359A">
        <w:rPr>
          <w:rStyle w:val="FootnoteReference"/>
        </w:rPr>
        <w:footnoteReference w:id="154"/>
      </w:r>
    </w:p>
    <w:p w:rsidR="008926D7" w:rsidP="00FA6ACD" w:rsidRDefault="008926D7" w14:paraId="7374007E" w14:textId="4A33F75B">
      <w:pPr>
        <w:spacing w:after="120" w:line="240" w:lineRule="auto"/>
        <w:ind w:left="720" w:right="1440" w:firstLine="0"/>
      </w:pPr>
      <w:r>
        <w:t>The Commission shall ensure that bundled retail customers of an</w:t>
      </w:r>
      <w:r w:rsidR="00C650D6">
        <w:t xml:space="preserve"> </w:t>
      </w:r>
      <w:r>
        <w:t>electrical corporation shall not experience any cost increases as a</w:t>
      </w:r>
      <w:r w:rsidR="00C650D6">
        <w:t xml:space="preserve"> </w:t>
      </w:r>
      <w:r>
        <w:t>result of either (1) retail customers of an electrical corporation electing to receive service from other providers or (2) the implementation of a community choice aggregator program.</w:t>
      </w:r>
    </w:p>
    <w:p w:rsidR="008926D7" w:rsidP="00FA6ACD" w:rsidRDefault="008926D7" w14:paraId="1EDBCF46" w14:textId="579D180A">
      <w:pPr>
        <w:spacing w:after="120" w:line="240" w:lineRule="auto"/>
        <w:ind w:left="720" w:right="1440" w:firstLine="0"/>
      </w:pPr>
      <w:r>
        <w:t>The Commission shall also ensure that departing load does not</w:t>
      </w:r>
      <w:r w:rsidR="00C650D6">
        <w:t xml:space="preserve"> </w:t>
      </w:r>
      <w:r>
        <w:t>experience any cost increases as a result of an allocation of costs that</w:t>
      </w:r>
      <w:r w:rsidR="00C650D6">
        <w:t xml:space="preserve"> </w:t>
      </w:r>
      <w:r>
        <w:t>were not incurred on behalf of the departing load</w:t>
      </w:r>
      <w:r w:rsidR="00FA6ACD">
        <w:t>.</w:t>
      </w:r>
    </w:p>
    <w:p w:rsidR="001F082B" w:rsidP="00C01FFE" w:rsidRDefault="00B25F70" w14:paraId="55FBE748" w14:textId="1A3C9D60">
      <w:r>
        <w:t xml:space="preserve">SCE noted that </w:t>
      </w:r>
      <w:r w:rsidR="00284F5B">
        <w:t xml:space="preserve">both its and the Santa Catalina Island </w:t>
      </w:r>
      <w:r w:rsidR="00FA6ACD">
        <w:t>g</w:t>
      </w:r>
      <w:r w:rsidR="00284F5B">
        <w:t xml:space="preserve">eneral </w:t>
      </w:r>
      <w:r w:rsidR="00FA6ACD">
        <w:t>r</w:t>
      </w:r>
      <w:r w:rsidR="00284F5B">
        <w:t xml:space="preserve">ate </w:t>
      </w:r>
      <w:r w:rsidR="00FA6ACD">
        <w:t>c</w:t>
      </w:r>
      <w:r w:rsidR="00284F5B">
        <w:t>ase (GRC)</w:t>
      </w:r>
      <w:r w:rsidR="00B37005">
        <w:t xml:space="preserve"> may have an impact on the final 2025 CRS rates proposed. </w:t>
      </w:r>
      <w:r w:rsidR="005A06D1">
        <w:t xml:space="preserve">One component of SCE’s 2025 </w:t>
      </w:r>
      <w:r w:rsidR="007F5FD7">
        <w:t xml:space="preserve">GRC Phase I </w:t>
      </w:r>
      <w:r w:rsidR="00DA578A">
        <w:t>A.</w:t>
      </w:r>
      <w:r w:rsidR="00972132">
        <w:t>23-05-010</w:t>
      </w:r>
      <w:r w:rsidR="00972132">
        <w:rPr>
          <w:rStyle w:val="FootnoteReference"/>
        </w:rPr>
        <w:footnoteReference w:id="155"/>
      </w:r>
      <w:r w:rsidR="007F5FD7">
        <w:t xml:space="preserve"> is the </w:t>
      </w:r>
      <w:r w:rsidRPr="00FF3FEC" w:rsidR="00FF3FEC">
        <w:t>Authorized Generation Base Revenue Requirement</w:t>
      </w:r>
      <w:r w:rsidR="007F5FD7">
        <w:t xml:space="preserve">, </w:t>
      </w:r>
      <w:r w:rsidR="007F5339">
        <w:t>which is recovered from customers via the PABA on a vintaged basis.</w:t>
      </w:r>
      <w:r w:rsidR="00284F5B">
        <w:t xml:space="preserve"> </w:t>
      </w:r>
      <w:r w:rsidR="00E621F4">
        <w:t xml:space="preserve">Within the </w:t>
      </w:r>
      <w:r w:rsidRPr="00440396" w:rsidR="00440396">
        <w:t>Application for Authority to Increase Rates for its Catalina Gas Utility (A.23-12-011)</w:t>
      </w:r>
      <w:r w:rsidR="00440396">
        <w:t xml:space="preserve">, </w:t>
      </w:r>
      <w:r w:rsidR="0093638A">
        <w:t>SCE proposed a rate increase</w:t>
      </w:r>
      <w:r w:rsidR="00440396">
        <w:t xml:space="preserve"> and </w:t>
      </w:r>
      <w:r w:rsidR="00440396">
        <w:lastRenderedPageBreak/>
        <w:t xml:space="preserve">to </w:t>
      </w:r>
      <w:r w:rsidR="008564C9">
        <w:t>recover costs associated with the production of electricity.</w:t>
      </w:r>
      <w:r w:rsidR="0093638A">
        <w:t xml:space="preserve"> </w:t>
      </w:r>
      <w:r w:rsidRPr="00C01FFE" w:rsidR="00C01FFE">
        <w:t>The approval or denial</w:t>
      </w:r>
      <w:r w:rsidR="00C01FFE">
        <w:rPr>
          <w:rStyle w:val="FootnoteReference"/>
        </w:rPr>
        <w:footnoteReference w:id="156"/>
      </w:r>
      <w:r w:rsidRPr="00C01FFE" w:rsidR="00C01FFE">
        <w:t xml:space="preserve"> of SCE’s proposal will</w:t>
      </w:r>
      <w:r w:rsidR="00C01FFE">
        <w:t xml:space="preserve"> </w:t>
      </w:r>
      <w:r w:rsidRPr="00C01FFE" w:rsidR="00C01FFE">
        <w:t>impact the 2025 CRS.</w:t>
      </w:r>
      <w:r w:rsidR="00817692">
        <w:rPr>
          <w:rStyle w:val="FootnoteReference"/>
        </w:rPr>
        <w:footnoteReference w:id="157"/>
      </w:r>
      <w:r w:rsidR="00FA7AF9">
        <w:t xml:space="preserve"> </w:t>
      </w:r>
    </w:p>
    <w:p w:rsidRPr="007507FE" w:rsidR="00FA7AF9" w:rsidP="007507FE" w:rsidRDefault="00FA7AF9" w14:paraId="3A3CA443" w14:textId="10BF3561">
      <w:pPr>
        <w:pStyle w:val="Heading3"/>
      </w:pPr>
      <w:bookmarkStart w:name="_Toc183184323" w:id="151"/>
      <w:r w:rsidRPr="007507FE">
        <w:t>C</w:t>
      </w:r>
      <w:r w:rsidR="00072D54">
        <w:t>ompetiti</w:t>
      </w:r>
      <w:r w:rsidR="00E057DC">
        <w:t>on</w:t>
      </w:r>
      <w:r w:rsidRPr="007507FE">
        <w:t xml:space="preserve"> Transition </w:t>
      </w:r>
      <w:r w:rsidR="00FA6ACD">
        <w:br/>
      </w:r>
      <w:r w:rsidR="001D2414">
        <w:t>Charge</w:t>
      </w:r>
      <w:bookmarkEnd w:id="151"/>
    </w:p>
    <w:p w:rsidR="00DD11BE" w:rsidP="00FA7AF9" w:rsidRDefault="00FA7AF9" w14:paraId="462EB19C" w14:textId="03B7343D">
      <w:r w:rsidRPr="00AF5D13">
        <w:t>The C</w:t>
      </w:r>
      <w:r w:rsidR="009553F8">
        <w:t>ompetiti</w:t>
      </w:r>
      <w:r w:rsidR="00E057DC">
        <w:t>on</w:t>
      </w:r>
      <w:r w:rsidRPr="00AF5D13">
        <w:t xml:space="preserve"> Transition </w:t>
      </w:r>
      <w:r w:rsidR="001D2414">
        <w:t>Charge</w:t>
      </w:r>
      <w:r w:rsidRPr="00AF5D13" w:rsidR="001D2414">
        <w:t xml:space="preserve"> </w:t>
      </w:r>
      <w:r w:rsidRPr="00AF5D13">
        <w:t>(CTC) recovers all above-market costs associated with contracts previously necessary to serve departing customers, regardless of their date of departure from investor-owned utility generation service. For 202</w:t>
      </w:r>
      <w:r w:rsidR="002D3BBF">
        <w:t>5</w:t>
      </w:r>
      <w:r w:rsidRPr="00AF5D13">
        <w:t>, SCE’s</w:t>
      </w:r>
      <w:r w:rsidR="00BE1854">
        <w:t xml:space="preserve"> AOU</w:t>
      </w:r>
      <w:r w:rsidRPr="00AF5D13">
        <w:t xml:space="preserve"> October Update and its associated errata forecasted the following average CTC costs: </w:t>
      </w:r>
      <w:bookmarkStart w:name="_Hlk182399683" w:id="152"/>
      <w:r w:rsidRPr="00AF5D13">
        <w:t>(1) </w:t>
      </w:r>
      <w:r w:rsidR="00D15D72">
        <w:t>-</w:t>
      </w:r>
      <w:r w:rsidRPr="00AF5D13">
        <w:t>$0.000</w:t>
      </w:r>
      <w:r w:rsidR="00D15D72">
        <w:t>61</w:t>
      </w:r>
      <w:r w:rsidRPr="00AF5D13">
        <w:t>/kWh for Domestic (D); (2)</w:t>
      </w:r>
      <w:r w:rsidRPr="00DD11BE" w:rsidR="00DD11BE">
        <w:t xml:space="preserve"> </w:t>
      </w:r>
      <w:r w:rsidR="00DD11BE">
        <w:t>-</w:t>
      </w:r>
      <w:r w:rsidRPr="00AF5D13" w:rsidR="00DD11BE">
        <w:t>$0.000</w:t>
      </w:r>
      <w:r w:rsidR="00DD11BE">
        <w:t>56</w:t>
      </w:r>
      <w:r w:rsidRPr="00AF5D13" w:rsidR="00DD11BE">
        <w:t>/kWh for Street Lighting customers</w:t>
      </w:r>
      <w:r w:rsidR="00DD11BE">
        <w:t xml:space="preserve">; </w:t>
      </w:r>
      <w:r w:rsidR="00ED6BBC">
        <w:t xml:space="preserve"> (3) </w:t>
      </w:r>
      <w:r w:rsidR="00694382">
        <w:t xml:space="preserve">-$0.00046 for </w:t>
      </w:r>
      <w:r w:rsidRPr="00AF5D13" w:rsidR="00694382">
        <w:t>TC</w:t>
      </w:r>
      <w:r w:rsidRPr="00AF5D13" w:rsidR="00694382">
        <w:noBreakHyphen/>
        <w:t>1</w:t>
      </w:r>
      <w:r w:rsidR="00694382">
        <w:t>,</w:t>
      </w:r>
      <w:r w:rsidRPr="00694382" w:rsidR="00694382">
        <w:t xml:space="preserve"> </w:t>
      </w:r>
      <w:r w:rsidRPr="00AF5D13" w:rsidR="00694382">
        <w:t>TOU</w:t>
      </w:r>
      <w:r w:rsidRPr="00AF5D13" w:rsidR="00694382">
        <w:noBreakHyphen/>
        <w:t>GS</w:t>
      </w:r>
      <w:r w:rsidRPr="00AF5D13" w:rsidR="00694382">
        <w:noBreakHyphen/>
        <w:t>2</w:t>
      </w:r>
      <w:r w:rsidRPr="00353245" w:rsidR="00353245">
        <w:t xml:space="preserve"> </w:t>
      </w:r>
      <w:r w:rsidRPr="00AF5D13" w:rsidR="00353245">
        <w:t>and Standby</w:t>
      </w:r>
      <w:r w:rsidRPr="00AF5D13" w:rsidR="00353245">
        <w:noBreakHyphen/>
        <w:t>Sec;</w:t>
      </w:r>
      <w:r w:rsidR="00353245">
        <w:t xml:space="preserve"> (4)</w:t>
      </w:r>
      <w:r w:rsidR="00F77CB7">
        <w:t xml:space="preserve"> </w:t>
      </w:r>
      <w:r w:rsidR="00444042">
        <w:t xml:space="preserve">-$0.00045 for </w:t>
      </w:r>
      <w:r w:rsidRPr="00AF5D13" w:rsidR="00444042">
        <w:t>TOU</w:t>
      </w:r>
      <w:r w:rsidRPr="00AF5D13" w:rsidR="00444042">
        <w:noBreakHyphen/>
        <w:t>PA</w:t>
      </w:r>
      <w:r w:rsidRPr="00AF5D13" w:rsidR="00444042">
        <w:noBreakHyphen/>
        <w:t>2</w:t>
      </w:r>
      <w:r w:rsidR="00DD11BE">
        <w:t xml:space="preserve">; (5) </w:t>
      </w:r>
      <w:r w:rsidR="00353245">
        <w:t xml:space="preserve">-$0.00044 for </w:t>
      </w:r>
      <w:r w:rsidRPr="00AF5D13" w:rsidR="00353245">
        <w:t>TOU</w:t>
      </w:r>
      <w:r w:rsidRPr="00AF5D13" w:rsidR="00353245">
        <w:noBreakHyphen/>
        <w:t>GS</w:t>
      </w:r>
      <w:r w:rsidRPr="00AF5D13" w:rsidR="00353245">
        <w:noBreakHyphen/>
      </w:r>
      <w:r w:rsidR="00353245">
        <w:t>3</w:t>
      </w:r>
      <w:r w:rsidRPr="00A638FA" w:rsidR="00A638FA">
        <w:t xml:space="preserve"> </w:t>
      </w:r>
      <w:r w:rsidR="00A638FA">
        <w:t xml:space="preserve">and </w:t>
      </w:r>
      <w:r w:rsidRPr="00AF5D13" w:rsidR="00A638FA">
        <w:t>TOU</w:t>
      </w:r>
      <w:r w:rsidRPr="00AF5D13" w:rsidR="00A638FA">
        <w:noBreakHyphen/>
        <w:t>PA</w:t>
      </w:r>
      <w:r w:rsidRPr="00AF5D13" w:rsidR="00A638FA">
        <w:noBreakHyphen/>
        <w:t>3</w:t>
      </w:r>
      <w:r w:rsidR="00A638FA">
        <w:t>;</w:t>
      </w:r>
      <w:r w:rsidR="00F77CB7">
        <w:t xml:space="preserve"> (6) </w:t>
      </w:r>
      <w:r w:rsidR="00DD11BE">
        <w:t xml:space="preserve">-$0.00043 for </w:t>
      </w:r>
      <w:r w:rsidRPr="00AF5D13" w:rsidR="00DD11BE">
        <w:t>TOU</w:t>
      </w:r>
      <w:r w:rsidRPr="00AF5D13" w:rsidR="00DD11BE">
        <w:noBreakHyphen/>
        <w:t>GS</w:t>
      </w:r>
      <w:r w:rsidRPr="00AF5D13" w:rsidR="00DD11BE">
        <w:noBreakHyphen/>
        <w:t>1</w:t>
      </w:r>
      <w:r w:rsidR="00DD11BE">
        <w:t>,</w:t>
      </w:r>
      <w:r w:rsidRPr="00CB09B4" w:rsidR="00DD11BE">
        <w:t xml:space="preserve"> </w:t>
      </w:r>
      <w:r w:rsidRPr="00AF5D13" w:rsidR="00DD11BE">
        <w:t>TOU</w:t>
      </w:r>
      <w:r w:rsidRPr="00AF5D13" w:rsidR="00DD11BE">
        <w:noBreakHyphen/>
        <w:t>8</w:t>
      </w:r>
      <w:r w:rsidRPr="00AF5D13" w:rsidR="00DD11BE">
        <w:noBreakHyphen/>
        <w:t>Sec</w:t>
      </w:r>
      <w:r w:rsidR="00106720">
        <w:t xml:space="preserve">, and </w:t>
      </w:r>
      <w:r w:rsidRPr="00AF5D13" w:rsidR="00106720">
        <w:t>Standby</w:t>
      </w:r>
      <w:r w:rsidRPr="00AF5D13" w:rsidR="00106720">
        <w:noBreakHyphen/>
        <w:t>Pri</w:t>
      </w:r>
      <w:r w:rsidR="00F77CB7">
        <w:t>; (7)</w:t>
      </w:r>
      <w:r w:rsidR="00956296">
        <w:t xml:space="preserve"> </w:t>
      </w:r>
      <w:r w:rsidR="003E7AB7">
        <w:t xml:space="preserve">-$0.00042 for </w:t>
      </w:r>
      <w:r w:rsidRPr="00AF5D13" w:rsidR="00995203">
        <w:t>TOU</w:t>
      </w:r>
      <w:r w:rsidRPr="00AF5D13" w:rsidR="00995203">
        <w:noBreakHyphen/>
        <w:t>8</w:t>
      </w:r>
      <w:r w:rsidRPr="00AF5D13" w:rsidR="00995203">
        <w:noBreakHyphen/>
        <w:t>Pri</w:t>
      </w:r>
      <w:r w:rsidR="0027300C">
        <w:t>; (8) -$0.00040</w:t>
      </w:r>
      <w:r w:rsidR="00106720">
        <w:t xml:space="preserve"> for</w:t>
      </w:r>
      <w:r w:rsidRPr="0027300C" w:rsidR="0027300C">
        <w:t xml:space="preserve"> </w:t>
      </w:r>
      <w:r w:rsidRPr="00AF5D13" w:rsidR="0027300C">
        <w:t>TOU</w:t>
      </w:r>
      <w:r w:rsidRPr="00AF5D13" w:rsidR="0027300C">
        <w:noBreakHyphen/>
        <w:t>8</w:t>
      </w:r>
      <w:r w:rsidRPr="00AF5D13" w:rsidR="0027300C">
        <w:noBreakHyphen/>
        <w:t>Sub</w:t>
      </w:r>
      <w:r w:rsidRPr="00106720" w:rsidR="00106720">
        <w:t xml:space="preserve"> </w:t>
      </w:r>
      <w:r w:rsidR="00106720">
        <w:t xml:space="preserve">and </w:t>
      </w:r>
      <w:r w:rsidRPr="00AF5D13" w:rsidR="00106720">
        <w:t>Standby</w:t>
      </w:r>
      <w:r w:rsidRPr="00AF5D13" w:rsidR="00106720">
        <w:noBreakHyphen/>
        <w:t>Sub</w:t>
      </w:r>
      <w:r w:rsidR="00DD11BE">
        <w:t>.</w:t>
      </w:r>
      <w:r w:rsidRPr="00106720" w:rsidR="00106720">
        <w:t xml:space="preserve"> </w:t>
      </w:r>
      <w:r w:rsidRPr="00AF5D13" w:rsidR="00106720">
        <w:t>customers of all vintages</w:t>
      </w:r>
      <w:bookmarkEnd w:id="152"/>
      <w:r w:rsidRPr="00AF5D13" w:rsidR="00106720">
        <w:t>.</w:t>
      </w:r>
      <w:r w:rsidRPr="00AF5D13" w:rsidR="00106720">
        <w:rPr>
          <w:vertAlign w:val="superscript"/>
        </w:rPr>
        <w:footnoteReference w:id="158"/>
      </w:r>
    </w:p>
    <w:p w:rsidR="00D704DA" w:rsidP="00FA7AF9" w:rsidRDefault="00D704DA" w14:paraId="1F42E12D" w14:textId="3B204F83">
      <w:r w:rsidRPr="005935C9">
        <w:t xml:space="preserve">No parties addressed SCE’s </w:t>
      </w:r>
      <w:r w:rsidR="000907A8">
        <w:t>CTC</w:t>
      </w:r>
      <w:r w:rsidRPr="005935C9">
        <w:t>-related cost forecasts for 2025</w:t>
      </w:r>
      <w:r>
        <w:t xml:space="preserve">. </w:t>
      </w:r>
      <w:r w:rsidR="00DA578A">
        <w:t xml:space="preserve">Weighing the record, </w:t>
      </w:r>
      <w:r>
        <w:t xml:space="preserve">we find SCE’s proposed </w:t>
      </w:r>
      <w:r w:rsidR="000907A8">
        <w:t>CTC costs</w:t>
      </w:r>
      <w:r>
        <w:t xml:space="preserve"> to be reasonable</w:t>
      </w:r>
      <w:r w:rsidR="006721E3">
        <w:t xml:space="preserve"> and therefore approve as proposed</w:t>
      </w:r>
      <w:r>
        <w:t>.</w:t>
      </w:r>
    </w:p>
    <w:p w:rsidR="00911D7F" w:rsidP="00FA7AF9" w:rsidRDefault="00DA578A" w14:paraId="182A13A7" w14:textId="036F3CB9">
      <w:r>
        <w:t>Weighing the record</w:t>
      </w:r>
      <w:r w:rsidRPr="00DD66F5" w:rsidR="00911D7F">
        <w:t xml:space="preserve">, we </w:t>
      </w:r>
      <w:r w:rsidR="00911D7F">
        <w:t xml:space="preserve">find SCE’s forecasted 2025 electric sales and electric load to be reasonable </w:t>
      </w:r>
      <w:r>
        <w:t xml:space="preserve">and </w:t>
      </w:r>
      <w:r w:rsidR="00911D7F">
        <w:t>therefore approve</w:t>
      </w:r>
      <w:r>
        <w:t>d</w:t>
      </w:r>
      <w:r w:rsidR="00911D7F">
        <w:t xml:space="preserve"> as proposed.</w:t>
      </w:r>
    </w:p>
    <w:p w:rsidRPr="007507FE" w:rsidR="002B6B59" w:rsidP="007507FE" w:rsidRDefault="002B6B59" w14:paraId="15111B5C" w14:textId="28141530">
      <w:pPr>
        <w:pStyle w:val="Heading3"/>
      </w:pPr>
      <w:bookmarkStart w:name="_Toc183184324" w:id="153"/>
      <w:r w:rsidRPr="007507FE">
        <w:t>PCIA</w:t>
      </w:r>
      <w:r w:rsidRPr="007507FE" w:rsidR="009A20E7">
        <w:t xml:space="preserve"> Revenue Requirement</w:t>
      </w:r>
      <w:bookmarkEnd w:id="153"/>
    </w:p>
    <w:p w:rsidR="002B6B59" w:rsidP="002B6B59" w:rsidRDefault="002B6B59" w14:paraId="4C5367D8" w14:textId="1784EBD2">
      <w:r w:rsidRPr="00AF5D13">
        <w:t>The PCIA recovers the above</w:t>
      </w:r>
      <w:r w:rsidRPr="00AF5D13">
        <w:noBreakHyphen/>
        <w:t>market costs of all non</w:t>
      </w:r>
      <w:r w:rsidRPr="00AF5D13">
        <w:noBreakHyphen/>
        <w:t xml:space="preserve">CTC eligible resources and varies by the generation resources in that vintage. PCIA costs are determined by the date of a customer’s departure from bundled customer </w:t>
      </w:r>
      <w:r w:rsidRPr="00AF5D13">
        <w:lastRenderedPageBreak/>
        <w:t>service. Customers who depart in the first half of each year are assigned to the prior year’s “vintage” and customers who depart in the second half of each year are assigned to the current year’s “vintage.”</w:t>
      </w:r>
      <w:r w:rsidRPr="00AF5D13">
        <w:rPr>
          <w:vertAlign w:val="superscript"/>
        </w:rPr>
        <w:footnoteReference w:id="159"/>
      </w:r>
      <w:r w:rsidRPr="00AF5D13">
        <w:t xml:space="preserve"> SCE calculated its indifference amount for its 202</w:t>
      </w:r>
      <w:r>
        <w:t>5</w:t>
      </w:r>
      <w:r w:rsidRPr="00AF5D13">
        <w:t xml:space="preserve"> PCIA by first estimating the above- and below-market costs of its portfolio, and then accounting for true-ups and adjustments in its portfolio balancing accounts.</w:t>
      </w:r>
      <w:r w:rsidRPr="0054429B" w:rsidR="0054429B">
        <w:rPr>
          <w:vertAlign w:val="superscript"/>
        </w:rPr>
        <w:t xml:space="preserve"> </w:t>
      </w:r>
      <w:r w:rsidRPr="00AF5D13" w:rsidR="0054429B">
        <w:rPr>
          <w:vertAlign w:val="superscript"/>
        </w:rPr>
        <w:footnoteReference w:id="160"/>
      </w:r>
      <w:r w:rsidRPr="00AF5D13">
        <w:t xml:space="preserve"> SCE forecasted that its generation portfolio is below market for 202</w:t>
      </w:r>
      <w:r>
        <w:t>5</w:t>
      </w:r>
      <w:r w:rsidRPr="00AF5D13">
        <w:t xml:space="preserve">, resulting in an indifference amount of </w:t>
      </w:r>
      <w:r w:rsidR="006721E3">
        <w:t xml:space="preserve">negative </w:t>
      </w:r>
      <w:r w:rsidRPr="00AF5D13">
        <w:t>$</w:t>
      </w:r>
      <w:r>
        <w:t>1,928</w:t>
      </w:r>
      <w:r w:rsidRPr="00AF5D13">
        <w:t xml:space="preserve"> million which w</w:t>
      </w:r>
      <w:r>
        <w:t>ill</w:t>
      </w:r>
      <w:r w:rsidRPr="00AF5D13">
        <w:t xml:space="preserve"> result in a PCIA credit on most departed load customers’ bills.</w:t>
      </w:r>
      <w:r w:rsidR="0054429B">
        <w:rPr>
          <w:rStyle w:val="FootnoteReference"/>
        </w:rPr>
        <w:footnoteReference w:id="161"/>
      </w:r>
    </w:p>
    <w:p w:rsidR="008125C0" w:rsidP="00BF1171" w:rsidRDefault="00DA578A" w14:paraId="4D21A17F" w14:textId="5DFE3223">
      <w:pPr>
        <w:pStyle w:val="Standard"/>
      </w:pPr>
      <w:r>
        <w:t>Weighing the record</w:t>
      </w:r>
      <w:r w:rsidRPr="007C4F12" w:rsidR="008125C0">
        <w:t xml:space="preserve">, we find SCE’s </w:t>
      </w:r>
      <w:r w:rsidR="00BF1171">
        <w:t>calculation of the indifference amount</w:t>
      </w:r>
      <w:r w:rsidR="008125C0">
        <w:t xml:space="preserve"> to be reasonable</w:t>
      </w:r>
      <w:r>
        <w:t xml:space="preserve"> and</w:t>
      </w:r>
      <w:r w:rsidR="008125C0">
        <w:t xml:space="preserve"> </w:t>
      </w:r>
      <w:r>
        <w:t>are</w:t>
      </w:r>
      <w:r w:rsidRPr="007C4F12">
        <w:t xml:space="preserve"> </w:t>
      </w:r>
      <w:r w:rsidRPr="007C4F12" w:rsidR="008125C0">
        <w:t>therefore approve</w:t>
      </w:r>
      <w:r>
        <w:t>d</w:t>
      </w:r>
      <w:r w:rsidRPr="007C4F12" w:rsidR="008125C0">
        <w:t xml:space="preserve"> as proposed.</w:t>
      </w:r>
    </w:p>
    <w:p w:rsidR="00FA6ACD" w:rsidP="003D3DD9" w:rsidRDefault="003D3DD9" w14:paraId="1FF6B826" w14:textId="77777777">
      <w:r>
        <w:t xml:space="preserve">In addition to the indifference amount, </w:t>
      </w:r>
      <w:r w:rsidRPr="00AF5D13">
        <w:t>SCE’s total 202</w:t>
      </w:r>
      <w:r>
        <w:t>4</w:t>
      </w:r>
      <w:r w:rsidRPr="00AF5D13">
        <w:t xml:space="preserve"> PCIA revenue requirement forecast account</w:t>
      </w:r>
      <w:r>
        <w:t>s</w:t>
      </w:r>
      <w:r w:rsidRPr="00AF5D13">
        <w:t xml:space="preserve"> for applicable balancing account true</w:t>
      </w:r>
      <w:r w:rsidRPr="00AF5D13">
        <w:noBreakHyphen/>
        <w:t>ups and other adjustments, including: (1) annual true</w:t>
      </w:r>
      <w:r w:rsidRPr="00AF5D13">
        <w:noBreakHyphen/>
        <w:t>ups in the ERRA BA and PABA; (2) </w:t>
      </w:r>
      <w:r w:rsidRPr="002E4123">
        <w:t>the removal of one-third of the PABA-eligible portion of the historical costs related to System Reliability procurement originally recorded in the SRPMA to effectuate the 36-month amortization recovery period adopted in Resolution</w:t>
      </w:r>
    </w:p>
    <w:p w:rsidRPr="00AF5D13" w:rsidR="003D3DD9" w:rsidP="00FA6ACD" w:rsidRDefault="003D3DD9" w14:paraId="18A28FB9" w14:textId="0B10D637">
      <w:pPr>
        <w:ind w:firstLine="0"/>
      </w:pPr>
      <w:r w:rsidRPr="002E4123">
        <w:t>E-5240; (</w:t>
      </w:r>
      <w:r>
        <w:t>3</w:t>
      </w:r>
      <w:r w:rsidRPr="002E4123">
        <w:t>) and the UOS Separator project.</w:t>
      </w:r>
      <w:r w:rsidRPr="002E4123" w:rsidDel="00CD5579">
        <w:t xml:space="preserve"> </w:t>
      </w:r>
    </w:p>
    <w:p w:rsidRPr="00AF5D13" w:rsidR="002B6B59" w:rsidP="002B6B59" w:rsidRDefault="002B6B59" w14:paraId="06F4398B" w14:textId="0749A110">
      <w:r w:rsidRPr="00AF5D13">
        <w:t>For 202</w:t>
      </w:r>
      <w:r>
        <w:t>5</w:t>
      </w:r>
      <w:r w:rsidRPr="00AF5D13">
        <w:t xml:space="preserve">, SCE calculated a total PCIA revenue requirement of </w:t>
      </w:r>
      <w:r w:rsidRPr="00CC3BDA" w:rsidR="00CC3BDA">
        <w:noBreakHyphen/>
      </w:r>
      <w:r w:rsidRPr="00AF5D13">
        <w:t>$</w:t>
      </w:r>
      <w:r>
        <w:t>1,343</w:t>
      </w:r>
      <w:r w:rsidR="00FA6ACD">
        <w:t> </w:t>
      </w:r>
      <w:r w:rsidRPr="00AF5D13">
        <w:t>million. The 202</w:t>
      </w:r>
      <w:r>
        <w:t>5</w:t>
      </w:r>
      <w:r w:rsidRPr="00AF5D13">
        <w:t xml:space="preserve"> PCIA revenue requirement is illustrated in Table 6.4 </w:t>
      </w:r>
      <w:r w:rsidRPr="00AF5D13">
        <w:lastRenderedPageBreak/>
        <w:t>and a list of SCE’s forecasted system average PCIA rates by vintage year is provided in Table 6-5.</w:t>
      </w:r>
      <w:r w:rsidRPr="00AF5D13">
        <w:rPr>
          <w:vertAlign w:val="superscript"/>
        </w:rPr>
        <w:footnoteReference w:id="162"/>
      </w:r>
    </w:p>
    <w:p w:rsidRPr="00AF5D13" w:rsidR="002B6B59" w:rsidP="002B6B59" w:rsidRDefault="002B6B59" w14:paraId="62503B19" w14:textId="31A6C9D7">
      <w:pPr>
        <w:keepNext/>
        <w:spacing w:after="120" w:line="240" w:lineRule="auto"/>
        <w:ind w:left="1368" w:hanging="1008"/>
        <w:jc w:val="center"/>
        <w:rPr>
          <w:b/>
          <w:bCs/>
        </w:rPr>
      </w:pPr>
      <w:r w:rsidRPr="00AF5D13">
        <w:rPr>
          <w:b/>
          <w:bCs/>
        </w:rPr>
        <w:t>Table </w:t>
      </w:r>
      <w:r w:rsidR="008E21B8">
        <w:rPr>
          <w:b/>
          <w:bCs/>
        </w:rPr>
        <w:t>7</w:t>
      </w:r>
      <w:r w:rsidRPr="00AF5D13">
        <w:rPr>
          <w:b/>
          <w:bCs/>
        </w:rPr>
        <w:noBreakHyphen/>
      </w:r>
      <w:r w:rsidR="008E21B8">
        <w:rPr>
          <w:b/>
          <w:bCs/>
        </w:rPr>
        <w:t>3</w:t>
      </w:r>
      <w:r w:rsidRPr="00AF5D13">
        <w:rPr>
          <w:b/>
          <w:bCs/>
        </w:rPr>
        <w:t>.</w:t>
      </w:r>
      <w:r w:rsidRPr="00AF5D13">
        <w:t xml:space="preserve"> </w:t>
      </w:r>
      <w:r w:rsidRPr="00AF5D13">
        <w:rPr>
          <w:bCs/>
        </w:rPr>
        <w:t>Summary of SCE’s 2024 ERRA Forecast Portfolio Costs, Portfolio Market Value, Balancing Account True</w:t>
      </w:r>
      <w:r w:rsidRPr="00AF5D13">
        <w:rPr>
          <w:bCs/>
        </w:rPr>
        <w:noBreakHyphen/>
        <w:t>Ups, and Total PCIA Revenue Requirement</w:t>
      </w:r>
      <w:r w:rsidRPr="00AF5D13">
        <w:rPr>
          <w:bCs/>
          <w:vertAlign w:val="superscript"/>
        </w:rPr>
        <w:footnoteReference w:id="163"/>
      </w:r>
    </w:p>
    <w:tbl>
      <w:tblPr>
        <w:tblStyle w:val="TableGrid"/>
        <w:tblW w:w="9360" w:type="dxa"/>
        <w:jc w:val="center"/>
        <w:tblLayout w:type="fixed"/>
        <w:tblCellMar>
          <w:top w:w="58" w:type="dxa"/>
          <w:bottom w:w="58" w:type="dxa"/>
        </w:tblCellMar>
        <w:tblLook w:val="04A0" w:firstRow="1" w:lastRow="0" w:firstColumn="1" w:lastColumn="0" w:noHBand="0" w:noVBand="1"/>
      </w:tblPr>
      <w:tblGrid>
        <w:gridCol w:w="6835"/>
        <w:gridCol w:w="2525"/>
      </w:tblGrid>
      <w:tr w:rsidRPr="00AF5D13" w:rsidR="002B6B59" w14:paraId="0C281F66" w14:textId="77777777">
        <w:trPr>
          <w:cantSplit/>
          <w:tblHeader/>
          <w:jc w:val="center"/>
        </w:trPr>
        <w:tc>
          <w:tcPr>
            <w:tcW w:w="6835" w:type="dxa"/>
            <w:vAlign w:val="center"/>
          </w:tcPr>
          <w:p w:rsidRPr="00AF5D13" w:rsidR="002B6B59" w:rsidRDefault="002B6B59" w14:paraId="3AF8115D" w14:textId="77777777">
            <w:pPr>
              <w:keepNext/>
              <w:spacing w:line="240" w:lineRule="auto"/>
              <w:ind w:firstLine="0"/>
              <w:jc w:val="center"/>
              <w:rPr>
                <w:b/>
                <w:bCs/>
              </w:rPr>
            </w:pPr>
            <w:r w:rsidRPr="00AF5D13">
              <w:rPr>
                <w:b/>
                <w:bCs/>
                <w:szCs w:val="26"/>
              </w:rPr>
              <w:t>PCIA Revenue Requirement</w:t>
            </w:r>
          </w:p>
        </w:tc>
        <w:tc>
          <w:tcPr>
            <w:tcW w:w="2525" w:type="dxa"/>
            <w:vAlign w:val="center"/>
          </w:tcPr>
          <w:p w:rsidRPr="00AF5D13" w:rsidR="002B6B59" w:rsidRDefault="002B6B59" w14:paraId="59BEEA1C" w14:textId="77777777">
            <w:pPr>
              <w:keepNext/>
              <w:spacing w:line="240" w:lineRule="auto"/>
              <w:ind w:firstLine="0"/>
              <w:jc w:val="center"/>
              <w:rPr>
                <w:b/>
                <w:bCs/>
              </w:rPr>
            </w:pPr>
            <w:r w:rsidRPr="00AF5D13">
              <w:rPr>
                <w:b/>
                <w:bCs/>
                <w:szCs w:val="26"/>
              </w:rPr>
              <w:t>Amount (millions)</w:t>
            </w:r>
          </w:p>
        </w:tc>
      </w:tr>
      <w:tr w:rsidRPr="00AF5D13" w:rsidR="002B6B59" w14:paraId="0B8988C7" w14:textId="77777777">
        <w:trPr>
          <w:cantSplit/>
          <w:jc w:val="center"/>
        </w:trPr>
        <w:tc>
          <w:tcPr>
            <w:tcW w:w="6835" w:type="dxa"/>
            <w:tcBorders>
              <w:bottom w:val="single" w:color="auto" w:sz="4" w:space="0"/>
            </w:tcBorders>
            <w:vAlign w:val="center"/>
          </w:tcPr>
          <w:p w:rsidRPr="00AF5D13" w:rsidR="002B6B59" w:rsidRDefault="002B6B59" w14:paraId="7A493CC1" w14:textId="77777777">
            <w:pPr>
              <w:keepNext/>
              <w:spacing w:line="240" w:lineRule="auto"/>
              <w:ind w:firstLine="0"/>
            </w:pPr>
            <w:r w:rsidRPr="00AF5D13">
              <w:rPr>
                <w:szCs w:val="26"/>
              </w:rPr>
              <w:t>Portfolio Cost</w:t>
            </w:r>
          </w:p>
        </w:tc>
        <w:tc>
          <w:tcPr>
            <w:tcW w:w="2525" w:type="dxa"/>
            <w:tcBorders>
              <w:bottom w:val="single" w:color="auto" w:sz="4" w:space="0"/>
            </w:tcBorders>
          </w:tcPr>
          <w:p w:rsidRPr="00AF5D13" w:rsidR="002B6B59" w:rsidRDefault="002B6B59" w14:paraId="66ACBADC" w14:textId="0ADEFF9F">
            <w:pPr>
              <w:keepNext/>
              <w:spacing w:line="240" w:lineRule="auto"/>
              <w:ind w:firstLine="0"/>
              <w:jc w:val="right"/>
            </w:pPr>
            <w:r w:rsidRPr="00AF5D13">
              <w:rPr>
                <w:szCs w:val="26"/>
              </w:rPr>
              <w:t>$4,1</w:t>
            </w:r>
            <w:r w:rsidR="005C2010">
              <w:rPr>
                <w:szCs w:val="26"/>
              </w:rPr>
              <w:t>3</w:t>
            </w:r>
            <w:r w:rsidR="004B0549">
              <w:rPr>
                <w:szCs w:val="26"/>
              </w:rPr>
              <w:t>0</w:t>
            </w:r>
            <w:r w:rsidRPr="00AF5D13">
              <w:rPr>
                <w:szCs w:val="26"/>
              </w:rPr>
              <w:t>.</w:t>
            </w:r>
            <w:r w:rsidR="007B0FA7">
              <w:rPr>
                <w:szCs w:val="26"/>
              </w:rPr>
              <w:t>373</w:t>
            </w:r>
          </w:p>
        </w:tc>
      </w:tr>
      <w:tr w:rsidRPr="00AF5D13" w:rsidR="002B6B59" w14:paraId="20C84A94" w14:textId="77777777">
        <w:trPr>
          <w:cantSplit/>
          <w:jc w:val="center"/>
        </w:trPr>
        <w:tc>
          <w:tcPr>
            <w:tcW w:w="6835" w:type="dxa"/>
            <w:tcBorders>
              <w:bottom w:val="nil"/>
              <w:right w:val="single" w:color="auto" w:sz="4" w:space="0"/>
            </w:tcBorders>
            <w:vAlign w:val="center"/>
          </w:tcPr>
          <w:p w:rsidRPr="00AF5D13" w:rsidR="002B6B59" w:rsidRDefault="002B6B59" w14:paraId="365101A0" w14:textId="77777777">
            <w:pPr>
              <w:keepNext/>
              <w:spacing w:line="240" w:lineRule="auto"/>
              <w:ind w:firstLine="0"/>
            </w:pPr>
            <w:r w:rsidRPr="00AF5D13">
              <w:rPr>
                <w:szCs w:val="26"/>
              </w:rPr>
              <w:t>Market Value</w:t>
            </w:r>
          </w:p>
        </w:tc>
        <w:tc>
          <w:tcPr>
            <w:tcW w:w="2525" w:type="dxa"/>
            <w:tcBorders>
              <w:left w:val="single" w:color="auto" w:sz="4" w:space="0"/>
              <w:bottom w:val="nil"/>
            </w:tcBorders>
          </w:tcPr>
          <w:p w:rsidRPr="00AF5D13" w:rsidR="002B6B59" w:rsidRDefault="002B6B59" w14:paraId="5CB82DF7" w14:textId="655D1FDF">
            <w:pPr>
              <w:keepNext/>
              <w:spacing w:line="240" w:lineRule="auto"/>
              <w:ind w:firstLine="0"/>
              <w:jc w:val="right"/>
            </w:pPr>
            <w:r w:rsidRPr="00AF5D13">
              <w:rPr>
                <w:szCs w:val="26"/>
              </w:rPr>
              <w:t>-$</w:t>
            </w:r>
            <w:r w:rsidR="004B0549">
              <w:rPr>
                <w:szCs w:val="26"/>
              </w:rPr>
              <w:t>6,058.423</w:t>
            </w:r>
          </w:p>
        </w:tc>
      </w:tr>
      <w:tr w:rsidRPr="00AF5D13" w:rsidR="002B6B59" w14:paraId="27A60298" w14:textId="77777777">
        <w:trPr>
          <w:cantSplit/>
          <w:jc w:val="center"/>
        </w:trPr>
        <w:tc>
          <w:tcPr>
            <w:tcW w:w="6835" w:type="dxa"/>
            <w:tcBorders>
              <w:top w:val="nil"/>
              <w:bottom w:val="nil"/>
              <w:right w:val="single" w:color="auto" w:sz="4" w:space="0"/>
            </w:tcBorders>
            <w:vAlign w:val="center"/>
          </w:tcPr>
          <w:p w:rsidRPr="00AF5D13" w:rsidR="002B6B59" w:rsidP="002B6B59" w:rsidRDefault="002B6B59" w14:paraId="3EE1CE2E" w14:textId="77777777">
            <w:pPr>
              <w:keepNext/>
              <w:numPr>
                <w:ilvl w:val="0"/>
                <w:numId w:val="27"/>
              </w:numPr>
              <w:spacing w:line="240" w:lineRule="auto"/>
              <w:ind w:left="576" w:hanging="216"/>
            </w:pPr>
            <w:r w:rsidRPr="00AF5D13">
              <w:rPr>
                <w:szCs w:val="26"/>
              </w:rPr>
              <w:t>Energy Value</w:t>
            </w:r>
          </w:p>
        </w:tc>
        <w:tc>
          <w:tcPr>
            <w:tcW w:w="2525" w:type="dxa"/>
            <w:tcBorders>
              <w:top w:val="nil"/>
              <w:left w:val="single" w:color="auto" w:sz="4" w:space="0"/>
              <w:bottom w:val="nil"/>
            </w:tcBorders>
          </w:tcPr>
          <w:p w:rsidRPr="00AF5D13" w:rsidR="002B6B59" w:rsidRDefault="002B6B59" w14:paraId="77AFA050" w14:textId="0FFD3441">
            <w:pPr>
              <w:keepNext/>
              <w:spacing w:line="240" w:lineRule="auto"/>
              <w:ind w:firstLine="0"/>
              <w:jc w:val="right"/>
            </w:pPr>
            <w:r w:rsidRPr="00AF5D13">
              <w:rPr>
                <w:szCs w:val="26"/>
              </w:rPr>
              <w:t>-$</w:t>
            </w:r>
            <w:r w:rsidR="009E1174">
              <w:rPr>
                <w:szCs w:val="26"/>
              </w:rPr>
              <w:t>1,546.403</w:t>
            </w:r>
          </w:p>
        </w:tc>
      </w:tr>
      <w:tr w:rsidRPr="00AF5D13" w:rsidR="002B6B59" w14:paraId="0A7BCFA3" w14:textId="77777777">
        <w:trPr>
          <w:cantSplit/>
          <w:jc w:val="center"/>
        </w:trPr>
        <w:tc>
          <w:tcPr>
            <w:tcW w:w="6835" w:type="dxa"/>
            <w:tcBorders>
              <w:top w:val="nil"/>
              <w:bottom w:val="nil"/>
              <w:right w:val="single" w:color="auto" w:sz="4" w:space="0"/>
            </w:tcBorders>
            <w:vAlign w:val="center"/>
          </w:tcPr>
          <w:p w:rsidRPr="00AF5D13" w:rsidR="002B6B59" w:rsidP="002B6B59" w:rsidRDefault="002B6B59" w14:paraId="26BE397E" w14:textId="77777777">
            <w:pPr>
              <w:keepNext/>
              <w:numPr>
                <w:ilvl w:val="0"/>
                <w:numId w:val="27"/>
              </w:numPr>
              <w:spacing w:line="240" w:lineRule="auto"/>
              <w:ind w:left="576" w:hanging="216"/>
            </w:pPr>
            <w:r w:rsidRPr="00AF5D13">
              <w:rPr>
                <w:szCs w:val="26"/>
              </w:rPr>
              <w:t>RPS Value</w:t>
            </w:r>
          </w:p>
        </w:tc>
        <w:tc>
          <w:tcPr>
            <w:tcW w:w="2525" w:type="dxa"/>
            <w:tcBorders>
              <w:top w:val="nil"/>
              <w:left w:val="single" w:color="auto" w:sz="4" w:space="0"/>
              <w:bottom w:val="nil"/>
            </w:tcBorders>
          </w:tcPr>
          <w:p w:rsidRPr="00AF5D13" w:rsidR="002B6B59" w:rsidRDefault="002B6B59" w14:paraId="6AB05A0F" w14:textId="685EAD48">
            <w:pPr>
              <w:keepNext/>
              <w:spacing w:line="240" w:lineRule="auto"/>
              <w:ind w:firstLine="0"/>
              <w:jc w:val="right"/>
            </w:pPr>
            <w:r w:rsidRPr="00AF5D13">
              <w:rPr>
                <w:szCs w:val="26"/>
              </w:rPr>
              <w:t>-$</w:t>
            </w:r>
            <w:r w:rsidR="009E1174">
              <w:rPr>
                <w:szCs w:val="26"/>
              </w:rPr>
              <w:t>2,049.023</w:t>
            </w:r>
          </w:p>
        </w:tc>
      </w:tr>
      <w:tr w:rsidRPr="00AF5D13" w:rsidR="002B6B59" w14:paraId="06B22FCF" w14:textId="77777777">
        <w:trPr>
          <w:cantSplit/>
          <w:jc w:val="center"/>
        </w:trPr>
        <w:tc>
          <w:tcPr>
            <w:tcW w:w="6835" w:type="dxa"/>
            <w:tcBorders>
              <w:top w:val="nil"/>
              <w:right w:val="single" w:color="auto" w:sz="4" w:space="0"/>
            </w:tcBorders>
            <w:vAlign w:val="center"/>
          </w:tcPr>
          <w:p w:rsidRPr="00AF5D13" w:rsidR="002B6B59" w:rsidP="002B6B59" w:rsidRDefault="002B6B59" w14:paraId="4AD9600E" w14:textId="77777777">
            <w:pPr>
              <w:numPr>
                <w:ilvl w:val="0"/>
                <w:numId w:val="27"/>
              </w:numPr>
              <w:spacing w:line="240" w:lineRule="auto"/>
              <w:ind w:left="576" w:hanging="216"/>
            </w:pPr>
            <w:r w:rsidRPr="00AF5D13">
              <w:rPr>
                <w:szCs w:val="26"/>
              </w:rPr>
              <w:t>RA Value</w:t>
            </w:r>
          </w:p>
        </w:tc>
        <w:tc>
          <w:tcPr>
            <w:tcW w:w="2525" w:type="dxa"/>
            <w:tcBorders>
              <w:top w:val="nil"/>
              <w:left w:val="single" w:color="auto" w:sz="4" w:space="0"/>
            </w:tcBorders>
          </w:tcPr>
          <w:p w:rsidRPr="00AF5D13" w:rsidR="002B6B59" w:rsidRDefault="002B6B59" w14:paraId="1046C9A3" w14:textId="5D482E1D">
            <w:pPr>
              <w:spacing w:line="240" w:lineRule="auto"/>
              <w:ind w:firstLine="0"/>
              <w:jc w:val="right"/>
            </w:pPr>
            <w:r w:rsidRPr="00AF5D13">
              <w:rPr>
                <w:szCs w:val="26"/>
              </w:rPr>
              <w:t>-$</w:t>
            </w:r>
            <w:r w:rsidR="009E1174">
              <w:rPr>
                <w:szCs w:val="26"/>
              </w:rPr>
              <w:t>2,462.997</w:t>
            </w:r>
          </w:p>
        </w:tc>
      </w:tr>
      <w:tr w:rsidRPr="00AF5D13" w:rsidR="002B6B59" w14:paraId="3F3B8B6E" w14:textId="77777777">
        <w:trPr>
          <w:cantSplit/>
          <w:jc w:val="center"/>
        </w:trPr>
        <w:tc>
          <w:tcPr>
            <w:tcW w:w="6835" w:type="dxa"/>
            <w:tcBorders>
              <w:bottom w:val="single" w:color="auto" w:sz="4" w:space="0"/>
            </w:tcBorders>
            <w:vAlign w:val="center"/>
          </w:tcPr>
          <w:p w:rsidRPr="00AF5D13" w:rsidR="002B6B59" w:rsidRDefault="002B6B59" w14:paraId="7CE0D783" w14:textId="77777777">
            <w:pPr>
              <w:spacing w:line="240" w:lineRule="auto"/>
              <w:ind w:firstLine="0"/>
              <w:rPr>
                <w:rFonts w:eastAsia="Calibri" w:cs="Arial"/>
              </w:rPr>
            </w:pPr>
            <w:r w:rsidRPr="00AF5D13">
              <w:rPr>
                <w:szCs w:val="26"/>
              </w:rPr>
              <w:t>One</w:t>
            </w:r>
            <w:r w:rsidRPr="00AF5D13">
              <w:rPr>
                <w:szCs w:val="26"/>
              </w:rPr>
              <w:noBreakHyphen/>
              <w:t>Time Adjustments</w:t>
            </w:r>
          </w:p>
        </w:tc>
        <w:tc>
          <w:tcPr>
            <w:tcW w:w="2525" w:type="dxa"/>
            <w:tcBorders>
              <w:bottom w:val="single" w:color="auto" w:sz="4" w:space="0"/>
            </w:tcBorders>
          </w:tcPr>
          <w:p w:rsidRPr="00AF5D13" w:rsidR="002B6B59" w:rsidRDefault="002B6B59" w14:paraId="58B8A916" w14:textId="28012E23">
            <w:pPr>
              <w:spacing w:line="240" w:lineRule="auto"/>
              <w:jc w:val="right"/>
              <w:rPr>
                <w:rFonts w:eastAsia="Calibri" w:cs="Arial"/>
              </w:rPr>
            </w:pPr>
            <w:r w:rsidRPr="00AF5D13">
              <w:rPr>
                <w:szCs w:val="26"/>
              </w:rPr>
              <w:noBreakHyphen/>
              <w:t>$</w:t>
            </w:r>
            <w:r w:rsidR="0042116E">
              <w:rPr>
                <w:szCs w:val="26"/>
              </w:rPr>
              <w:t xml:space="preserve">   </w:t>
            </w:r>
            <w:r w:rsidR="007B0FA7">
              <w:rPr>
                <w:szCs w:val="26"/>
              </w:rPr>
              <w:t xml:space="preserve">   0.</w:t>
            </w:r>
            <w:r w:rsidR="000166F7">
              <w:rPr>
                <w:szCs w:val="26"/>
              </w:rPr>
              <w:t>295.</w:t>
            </w:r>
          </w:p>
        </w:tc>
      </w:tr>
      <w:tr w:rsidRPr="00AF5D13" w:rsidR="002B6B59" w:rsidTr="000C29DE" w14:paraId="1ABEDB63" w14:textId="77777777">
        <w:trPr>
          <w:cantSplit/>
          <w:jc w:val="center"/>
        </w:trPr>
        <w:tc>
          <w:tcPr>
            <w:tcW w:w="6835" w:type="dxa"/>
            <w:tcBorders>
              <w:bottom w:val="single" w:color="auto" w:sz="4" w:space="0"/>
            </w:tcBorders>
            <w:vAlign w:val="center"/>
          </w:tcPr>
          <w:p w:rsidRPr="000C29DE" w:rsidR="002B6B59" w:rsidRDefault="002B6B59" w14:paraId="6A60DE04" w14:textId="77777777">
            <w:pPr>
              <w:spacing w:line="240" w:lineRule="auto"/>
              <w:ind w:firstLine="0"/>
              <w:rPr>
                <w:b/>
                <w:bCs/>
              </w:rPr>
            </w:pPr>
            <w:r w:rsidRPr="000C29DE">
              <w:rPr>
                <w:b/>
                <w:bCs/>
                <w:szCs w:val="26"/>
              </w:rPr>
              <w:t>Total 2024 Indifference Amount</w:t>
            </w:r>
          </w:p>
        </w:tc>
        <w:tc>
          <w:tcPr>
            <w:tcW w:w="2525" w:type="dxa"/>
            <w:tcBorders>
              <w:bottom w:val="single" w:color="auto" w:sz="4" w:space="0"/>
            </w:tcBorders>
          </w:tcPr>
          <w:p w:rsidRPr="000C29DE" w:rsidR="002B6B59" w:rsidRDefault="002B6B59" w14:paraId="21321E3D" w14:textId="4DC172ED">
            <w:pPr>
              <w:spacing w:line="240" w:lineRule="auto"/>
              <w:ind w:firstLine="0"/>
              <w:jc w:val="right"/>
              <w:rPr>
                <w:b/>
                <w:bCs/>
              </w:rPr>
            </w:pPr>
            <w:r w:rsidRPr="000C29DE">
              <w:rPr>
                <w:b/>
                <w:bCs/>
                <w:szCs w:val="26"/>
              </w:rPr>
              <w:noBreakHyphen/>
              <w:t>$</w:t>
            </w:r>
            <w:r w:rsidRPr="000C29DE" w:rsidR="000166F7">
              <w:rPr>
                <w:b/>
                <w:bCs/>
                <w:szCs w:val="26"/>
              </w:rPr>
              <w:t>1,928.345</w:t>
            </w:r>
          </w:p>
        </w:tc>
      </w:tr>
      <w:tr w:rsidRPr="00AF5D13" w:rsidR="000166F7" w:rsidTr="000C29DE" w14:paraId="6EBFA848" w14:textId="77777777">
        <w:trPr>
          <w:cantSplit/>
          <w:jc w:val="center"/>
        </w:trPr>
        <w:tc>
          <w:tcPr>
            <w:tcW w:w="9360" w:type="dxa"/>
            <w:gridSpan w:val="2"/>
            <w:tcBorders>
              <w:bottom w:val="single" w:color="auto" w:sz="4" w:space="0"/>
            </w:tcBorders>
            <w:vAlign w:val="center"/>
          </w:tcPr>
          <w:p w:rsidRPr="00AF5D13" w:rsidR="000166F7" w:rsidP="000C29DE" w:rsidRDefault="000166F7" w14:paraId="5667FF72" w14:textId="7BB89FD5">
            <w:pPr>
              <w:keepNext/>
              <w:spacing w:line="240" w:lineRule="auto"/>
              <w:ind w:firstLine="0"/>
            </w:pPr>
            <w:r w:rsidRPr="00AF5D13">
              <w:rPr>
                <w:szCs w:val="26"/>
              </w:rPr>
              <w:t>Balancing</w:t>
            </w:r>
            <w:r w:rsidR="00D86F6A">
              <w:rPr>
                <w:szCs w:val="26"/>
              </w:rPr>
              <w:t xml:space="preserve"> and Memorandum</w:t>
            </w:r>
            <w:r w:rsidRPr="00AF5D13">
              <w:rPr>
                <w:szCs w:val="26"/>
              </w:rPr>
              <w:t xml:space="preserve"> Account True</w:t>
            </w:r>
            <w:r w:rsidRPr="00AF5D13">
              <w:rPr>
                <w:szCs w:val="26"/>
              </w:rPr>
              <w:noBreakHyphen/>
              <w:t>Ups</w:t>
            </w:r>
          </w:p>
        </w:tc>
      </w:tr>
      <w:tr w:rsidRPr="00AF5D13" w:rsidR="002B6B59" w:rsidTr="000C29DE" w14:paraId="0B64FA7D" w14:textId="77777777">
        <w:trPr>
          <w:cantSplit/>
          <w:jc w:val="center"/>
        </w:trPr>
        <w:tc>
          <w:tcPr>
            <w:tcW w:w="6835" w:type="dxa"/>
            <w:tcBorders>
              <w:top w:val="single" w:color="auto" w:sz="4" w:space="0"/>
              <w:bottom w:val="nil"/>
              <w:right w:val="single" w:color="auto" w:sz="4" w:space="0"/>
            </w:tcBorders>
            <w:vAlign w:val="center"/>
          </w:tcPr>
          <w:p w:rsidRPr="00AF5D13" w:rsidR="002B6B59" w:rsidP="002B6B59" w:rsidRDefault="002B6B59" w14:paraId="49A7B343" w14:textId="1AE768F1">
            <w:pPr>
              <w:keepNext/>
              <w:numPr>
                <w:ilvl w:val="0"/>
                <w:numId w:val="27"/>
              </w:numPr>
              <w:spacing w:line="240" w:lineRule="auto"/>
              <w:ind w:left="576" w:hanging="216"/>
            </w:pPr>
            <w:r w:rsidRPr="00AF5D13">
              <w:rPr>
                <w:szCs w:val="26"/>
              </w:rPr>
              <w:t>202</w:t>
            </w:r>
            <w:r w:rsidR="00C4662F">
              <w:rPr>
                <w:szCs w:val="26"/>
              </w:rPr>
              <w:t>4</w:t>
            </w:r>
            <w:r w:rsidRPr="00AF5D13">
              <w:rPr>
                <w:szCs w:val="26"/>
              </w:rPr>
              <w:t xml:space="preserve"> YE PABA Balance</w:t>
            </w:r>
          </w:p>
        </w:tc>
        <w:tc>
          <w:tcPr>
            <w:tcW w:w="2525" w:type="dxa"/>
            <w:tcBorders>
              <w:top w:val="single" w:color="auto" w:sz="4" w:space="0"/>
              <w:left w:val="single" w:color="auto" w:sz="4" w:space="0"/>
              <w:bottom w:val="nil"/>
            </w:tcBorders>
          </w:tcPr>
          <w:p w:rsidRPr="00AF5D13" w:rsidR="002B6B59" w:rsidRDefault="002B6B59" w14:paraId="4194FAC4" w14:textId="75202983">
            <w:pPr>
              <w:keepNext/>
              <w:spacing w:line="240" w:lineRule="auto"/>
              <w:ind w:firstLine="0"/>
              <w:jc w:val="right"/>
            </w:pPr>
            <w:r w:rsidRPr="00AF5D13">
              <w:rPr>
                <w:szCs w:val="26"/>
              </w:rPr>
              <w:t>$</w:t>
            </w:r>
            <w:r w:rsidR="0042116E">
              <w:rPr>
                <w:szCs w:val="26"/>
              </w:rPr>
              <w:t xml:space="preserve">   </w:t>
            </w:r>
            <w:r w:rsidR="00AF352B">
              <w:rPr>
                <w:szCs w:val="26"/>
              </w:rPr>
              <w:t>587.926</w:t>
            </w:r>
          </w:p>
        </w:tc>
      </w:tr>
      <w:tr w:rsidRPr="00AF5D13" w:rsidR="002B6B59" w14:paraId="44F6CE01" w14:textId="77777777">
        <w:trPr>
          <w:cantSplit/>
          <w:jc w:val="center"/>
        </w:trPr>
        <w:tc>
          <w:tcPr>
            <w:tcW w:w="6835" w:type="dxa"/>
            <w:tcBorders>
              <w:top w:val="nil"/>
              <w:bottom w:val="nil"/>
              <w:right w:val="single" w:color="auto" w:sz="4" w:space="0"/>
            </w:tcBorders>
            <w:vAlign w:val="center"/>
          </w:tcPr>
          <w:p w:rsidRPr="00AF5D13" w:rsidR="002B6B59" w:rsidP="003E616C" w:rsidRDefault="003E616C" w14:paraId="3BEA3340" w14:textId="4239F99C">
            <w:pPr>
              <w:keepNext/>
              <w:numPr>
                <w:ilvl w:val="0"/>
                <w:numId w:val="27"/>
              </w:numPr>
              <w:spacing w:line="240" w:lineRule="auto"/>
              <w:ind w:left="576" w:hanging="216"/>
            </w:pPr>
            <w:r w:rsidRPr="00AF5D13">
              <w:rPr>
                <w:szCs w:val="26"/>
              </w:rPr>
              <w:t>202</w:t>
            </w:r>
            <w:r>
              <w:rPr>
                <w:szCs w:val="26"/>
              </w:rPr>
              <w:t>4</w:t>
            </w:r>
            <w:r w:rsidRPr="00AF5D13">
              <w:rPr>
                <w:szCs w:val="26"/>
              </w:rPr>
              <w:t xml:space="preserve"> YE ERRA Balance</w:t>
            </w:r>
          </w:p>
        </w:tc>
        <w:tc>
          <w:tcPr>
            <w:tcW w:w="2525" w:type="dxa"/>
            <w:tcBorders>
              <w:top w:val="nil"/>
              <w:left w:val="single" w:color="auto" w:sz="4" w:space="0"/>
              <w:bottom w:val="nil"/>
            </w:tcBorders>
          </w:tcPr>
          <w:p w:rsidRPr="00AF5D13" w:rsidR="002B6B59" w:rsidP="003E616C" w:rsidRDefault="002B6B59" w14:paraId="22BCEDAD" w14:textId="1D9BD3CB">
            <w:pPr>
              <w:keepNext/>
              <w:spacing w:line="240" w:lineRule="auto"/>
              <w:ind w:firstLine="0"/>
              <w:jc w:val="right"/>
            </w:pPr>
            <w:r w:rsidRPr="00AF5D13">
              <w:rPr>
                <w:szCs w:val="26"/>
              </w:rPr>
              <w:noBreakHyphen/>
            </w:r>
            <w:r w:rsidRPr="00AF5D13" w:rsidR="003E616C">
              <w:rPr>
                <w:szCs w:val="26"/>
              </w:rPr>
              <w:t>$</w:t>
            </w:r>
            <w:r w:rsidR="003E616C">
              <w:rPr>
                <w:szCs w:val="26"/>
              </w:rPr>
              <w:t xml:space="preserve">     10.040</w:t>
            </w:r>
          </w:p>
        </w:tc>
      </w:tr>
      <w:tr w:rsidRPr="00AF5D13" w:rsidR="003E616C" w14:paraId="5FDF9633" w14:textId="77777777">
        <w:trPr>
          <w:cantSplit/>
          <w:jc w:val="center"/>
        </w:trPr>
        <w:tc>
          <w:tcPr>
            <w:tcW w:w="6835" w:type="dxa"/>
            <w:tcBorders>
              <w:top w:val="nil"/>
              <w:bottom w:val="nil"/>
              <w:right w:val="single" w:color="auto" w:sz="4" w:space="0"/>
            </w:tcBorders>
            <w:vAlign w:val="center"/>
          </w:tcPr>
          <w:p w:rsidRPr="00AF5D13" w:rsidR="003E616C" w:rsidP="002B6B59" w:rsidRDefault="003E616C" w14:paraId="1B3D7EBD" w14:textId="3AB69F97">
            <w:pPr>
              <w:keepNext/>
              <w:numPr>
                <w:ilvl w:val="0"/>
                <w:numId w:val="27"/>
              </w:numPr>
              <w:spacing w:line="240" w:lineRule="auto"/>
              <w:ind w:left="576" w:hanging="216"/>
              <w:rPr>
                <w:szCs w:val="26"/>
              </w:rPr>
            </w:pPr>
            <w:r>
              <w:t>SRPMA Historical Costs Amortization</w:t>
            </w:r>
          </w:p>
        </w:tc>
        <w:tc>
          <w:tcPr>
            <w:tcW w:w="2525" w:type="dxa"/>
            <w:tcBorders>
              <w:top w:val="nil"/>
              <w:left w:val="single" w:color="auto" w:sz="4" w:space="0"/>
              <w:bottom w:val="nil"/>
            </w:tcBorders>
          </w:tcPr>
          <w:p w:rsidRPr="00AF5D13" w:rsidR="003E616C" w:rsidRDefault="003E616C" w14:paraId="2133EB88" w14:textId="38AE50A4">
            <w:pPr>
              <w:keepNext/>
              <w:spacing w:line="240" w:lineRule="auto"/>
              <w:ind w:firstLine="0"/>
              <w:jc w:val="right"/>
              <w:rPr>
                <w:szCs w:val="26"/>
              </w:rPr>
            </w:pPr>
            <w:r>
              <w:rPr>
                <w:szCs w:val="26"/>
              </w:rPr>
              <w:t>-</w:t>
            </w:r>
            <w:r w:rsidRPr="00AF5D13">
              <w:rPr>
                <w:szCs w:val="26"/>
              </w:rPr>
              <w:t>$</w:t>
            </w:r>
            <w:r>
              <w:rPr>
                <w:szCs w:val="26"/>
              </w:rPr>
              <w:t xml:space="preserve">       7.208</w:t>
            </w:r>
          </w:p>
        </w:tc>
      </w:tr>
      <w:tr w:rsidRPr="00AF5D13" w:rsidR="002B6B59" w14:paraId="06CA2CD0" w14:textId="77777777">
        <w:trPr>
          <w:cantSplit/>
          <w:jc w:val="center"/>
        </w:trPr>
        <w:tc>
          <w:tcPr>
            <w:tcW w:w="6835" w:type="dxa"/>
            <w:tcBorders>
              <w:top w:val="nil"/>
              <w:bottom w:val="nil"/>
              <w:right w:val="single" w:color="auto" w:sz="4" w:space="0"/>
            </w:tcBorders>
            <w:vAlign w:val="center"/>
          </w:tcPr>
          <w:p w:rsidRPr="00AF5D13" w:rsidR="002B6B59" w:rsidP="002B6B59" w:rsidRDefault="002B6B59" w14:paraId="7D889D05" w14:textId="77777777">
            <w:pPr>
              <w:keepNext/>
              <w:numPr>
                <w:ilvl w:val="0"/>
                <w:numId w:val="27"/>
              </w:numPr>
              <w:spacing w:line="240" w:lineRule="auto"/>
              <w:ind w:left="576" w:hanging="216"/>
            </w:pPr>
            <w:r w:rsidRPr="00AF5D13">
              <w:rPr>
                <w:szCs w:val="26"/>
              </w:rPr>
              <w:t>Emergency Reliability Utility-Owned Storage (UOS) Separator</w:t>
            </w:r>
          </w:p>
        </w:tc>
        <w:tc>
          <w:tcPr>
            <w:tcW w:w="2525" w:type="dxa"/>
            <w:tcBorders>
              <w:top w:val="nil"/>
              <w:left w:val="single" w:color="auto" w:sz="4" w:space="0"/>
              <w:bottom w:val="nil"/>
            </w:tcBorders>
          </w:tcPr>
          <w:p w:rsidRPr="00AF5D13" w:rsidR="002B6B59" w:rsidRDefault="002B6B59" w14:paraId="7CFCBC21" w14:textId="622E7DE3">
            <w:pPr>
              <w:keepNext/>
              <w:spacing w:line="240" w:lineRule="auto"/>
              <w:ind w:firstLine="0"/>
              <w:jc w:val="right"/>
            </w:pPr>
            <w:r w:rsidRPr="00AF5D13">
              <w:rPr>
                <w:szCs w:val="26"/>
              </w:rPr>
              <w:t>$</w:t>
            </w:r>
            <w:r w:rsidR="0042116E">
              <w:rPr>
                <w:szCs w:val="26"/>
              </w:rPr>
              <w:t xml:space="preserve">     </w:t>
            </w:r>
            <w:r w:rsidRPr="00AF5D13">
              <w:rPr>
                <w:szCs w:val="26"/>
              </w:rPr>
              <w:t>17.</w:t>
            </w:r>
            <w:r w:rsidR="002A12C5">
              <w:rPr>
                <w:szCs w:val="26"/>
              </w:rPr>
              <w:t>396</w:t>
            </w:r>
          </w:p>
        </w:tc>
      </w:tr>
      <w:tr w:rsidRPr="00AF5D13" w:rsidR="002B6B59" w14:paraId="41280A1B" w14:textId="77777777">
        <w:trPr>
          <w:cantSplit/>
          <w:jc w:val="center"/>
        </w:trPr>
        <w:tc>
          <w:tcPr>
            <w:tcW w:w="6835" w:type="dxa"/>
            <w:vAlign w:val="center"/>
          </w:tcPr>
          <w:p w:rsidRPr="000C29DE" w:rsidR="002B6B59" w:rsidRDefault="002B6B59" w14:paraId="029FEE4D" w14:textId="77777777">
            <w:pPr>
              <w:spacing w:line="240" w:lineRule="auto"/>
              <w:ind w:firstLine="0"/>
              <w:rPr>
                <w:b/>
                <w:bCs/>
              </w:rPr>
            </w:pPr>
            <w:r w:rsidRPr="000C29DE">
              <w:rPr>
                <w:b/>
                <w:bCs/>
                <w:szCs w:val="26"/>
              </w:rPr>
              <w:t>2024 PCIA Revenue Requirement</w:t>
            </w:r>
          </w:p>
        </w:tc>
        <w:tc>
          <w:tcPr>
            <w:tcW w:w="2525" w:type="dxa"/>
          </w:tcPr>
          <w:p w:rsidRPr="000C29DE" w:rsidR="002B6B59" w:rsidRDefault="002B6B59" w14:paraId="4C85B971" w14:textId="6DD49377">
            <w:pPr>
              <w:spacing w:line="240" w:lineRule="auto"/>
              <w:ind w:firstLine="0"/>
              <w:jc w:val="right"/>
              <w:rPr>
                <w:b/>
                <w:bCs/>
              </w:rPr>
            </w:pPr>
            <w:r w:rsidRPr="000C29DE">
              <w:rPr>
                <w:b/>
                <w:bCs/>
                <w:szCs w:val="26"/>
              </w:rPr>
              <w:t>-$</w:t>
            </w:r>
            <w:r w:rsidRPr="000C29DE" w:rsidR="002A12C5">
              <w:rPr>
                <w:b/>
                <w:bCs/>
                <w:szCs w:val="26"/>
              </w:rPr>
              <w:t>1,340.270</w:t>
            </w:r>
          </w:p>
        </w:tc>
      </w:tr>
      <w:tr w:rsidRPr="00AF5D13" w:rsidR="002B6B59" w14:paraId="248EA13C" w14:textId="77777777">
        <w:trPr>
          <w:cantSplit/>
          <w:jc w:val="center"/>
        </w:trPr>
        <w:tc>
          <w:tcPr>
            <w:tcW w:w="6835" w:type="dxa"/>
            <w:vAlign w:val="center"/>
          </w:tcPr>
          <w:p w:rsidRPr="000C29DE" w:rsidR="002B6B59" w:rsidRDefault="002B6B59" w14:paraId="3818876C" w14:textId="77777777">
            <w:pPr>
              <w:spacing w:line="240" w:lineRule="auto"/>
              <w:ind w:firstLine="0"/>
              <w:rPr>
                <w:rFonts w:cs="Calibri"/>
                <w:b/>
                <w:bCs/>
                <w:szCs w:val="26"/>
              </w:rPr>
            </w:pPr>
            <w:r w:rsidRPr="000C29DE">
              <w:rPr>
                <w:rFonts w:cs="Calibri"/>
                <w:b/>
                <w:bCs/>
                <w:szCs w:val="26"/>
              </w:rPr>
              <w:t xml:space="preserve">2024 PCIA Revenue Requirement </w:t>
            </w:r>
          </w:p>
          <w:p w:rsidRPr="000C29DE" w:rsidR="002B6B59" w:rsidRDefault="002B6B59" w14:paraId="20101D5E" w14:textId="6F878F2B">
            <w:pPr>
              <w:spacing w:line="240" w:lineRule="auto"/>
              <w:ind w:firstLine="0"/>
              <w:rPr>
                <w:b/>
                <w:bCs/>
              </w:rPr>
            </w:pPr>
            <w:r w:rsidRPr="000C29DE">
              <w:rPr>
                <w:b/>
                <w:bCs/>
                <w:szCs w:val="26"/>
              </w:rPr>
              <w:t>with Uncollect</w:t>
            </w:r>
            <w:r w:rsidR="00F145E9">
              <w:rPr>
                <w:b/>
                <w:bCs/>
                <w:szCs w:val="26"/>
              </w:rPr>
              <w:t>i</w:t>
            </w:r>
            <w:r w:rsidRPr="000C29DE">
              <w:rPr>
                <w:b/>
                <w:bCs/>
                <w:szCs w:val="26"/>
              </w:rPr>
              <w:t>bles Factor</w:t>
            </w:r>
          </w:p>
        </w:tc>
        <w:tc>
          <w:tcPr>
            <w:tcW w:w="2525" w:type="dxa"/>
          </w:tcPr>
          <w:p w:rsidRPr="000C29DE" w:rsidR="002B6B59" w:rsidRDefault="002B6B59" w14:paraId="25435E8A" w14:textId="0CA2AAB2">
            <w:pPr>
              <w:spacing w:line="240" w:lineRule="auto"/>
              <w:ind w:firstLine="0"/>
              <w:jc w:val="right"/>
              <w:rPr>
                <w:b/>
                <w:bCs/>
              </w:rPr>
            </w:pPr>
            <w:r w:rsidRPr="000C29DE">
              <w:rPr>
                <w:b/>
                <w:bCs/>
                <w:szCs w:val="26"/>
              </w:rPr>
              <w:t>-$</w:t>
            </w:r>
            <w:r w:rsidRPr="000C29DE" w:rsidR="00AE275B">
              <w:rPr>
                <w:b/>
                <w:bCs/>
                <w:szCs w:val="26"/>
              </w:rPr>
              <w:t>1,342.687</w:t>
            </w:r>
          </w:p>
        </w:tc>
      </w:tr>
    </w:tbl>
    <w:p w:rsidRPr="00FA6ACD" w:rsidR="00FA7AF9" w:rsidP="00C01FFE" w:rsidRDefault="00FA7AF9" w14:paraId="37BE1152" w14:textId="77777777">
      <w:pPr>
        <w:rPr>
          <w:sz w:val="12"/>
          <w:szCs w:val="12"/>
        </w:rPr>
      </w:pPr>
    </w:p>
    <w:p w:rsidR="006821D2" w:rsidP="000C29DE" w:rsidRDefault="006821D2" w14:paraId="7CE27A2D" w14:textId="76351457">
      <w:pPr>
        <w:pStyle w:val="Heading4"/>
      </w:pPr>
      <w:bookmarkStart w:name="_Toc183184325" w:id="154"/>
      <w:r>
        <w:t>Updated RA S</w:t>
      </w:r>
      <w:r w:rsidR="00464656">
        <w:t>lice of Day</w:t>
      </w:r>
      <w:r>
        <w:t xml:space="preserve"> </w:t>
      </w:r>
      <w:r w:rsidR="00EC4F7B">
        <w:t>Portfolio</w:t>
      </w:r>
      <w:bookmarkEnd w:id="154"/>
    </w:p>
    <w:p w:rsidR="00EC4F7B" w:rsidP="00EC4F7B" w:rsidRDefault="00F515AA" w14:paraId="6732A325" w14:textId="3C7BF3E4">
      <w:pPr>
        <w:pStyle w:val="Standard"/>
      </w:pPr>
      <w:r>
        <w:t xml:space="preserve">D.23-04-010 affirmed that </w:t>
      </w:r>
      <w:r w:rsidR="004C11CF">
        <w:t xml:space="preserve">the Commission intended to move forward with </w:t>
      </w:r>
      <w:r w:rsidR="00DA578A">
        <w:t>SOD</w:t>
      </w:r>
      <w:r w:rsidR="004C11CF">
        <w:t xml:space="preserve"> implementation in 2025. </w:t>
      </w:r>
      <w:r w:rsidR="0035099E">
        <w:t>D.24-06-004 confirmed</w:t>
      </w:r>
      <w:r w:rsidR="00F03368">
        <w:t xml:space="preserve"> the SOD framework will </w:t>
      </w:r>
      <w:r w:rsidR="00F03368">
        <w:lastRenderedPageBreak/>
        <w:t>start in 2025.</w:t>
      </w:r>
      <w:r w:rsidR="003349F6">
        <w:t xml:space="preserve"> </w:t>
      </w:r>
      <w:r w:rsidR="0066065B">
        <w:t xml:space="preserve">This framework transitions RA from a </w:t>
      </w:r>
      <w:r w:rsidR="00D35583">
        <w:t xml:space="preserve">compliance </w:t>
      </w:r>
      <w:r w:rsidR="0066065B">
        <w:t xml:space="preserve">requirement </w:t>
      </w:r>
      <w:r w:rsidR="00D35583">
        <w:t xml:space="preserve">based on </w:t>
      </w:r>
      <w:r w:rsidR="0066065B">
        <w:t xml:space="preserve">the worst hour in the year to </w:t>
      </w:r>
      <w:r w:rsidR="00D35583">
        <w:t>one based on every hour of the “worst day”</w:t>
      </w:r>
      <w:r w:rsidR="00D36382">
        <w:t xml:space="preserve"> for each month.</w:t>
      </w:r>
      <w:r w:rsidR="00986752">
        <w:t xml:space="preserve"> Additionally, this framework requires charging </w:t>
      </w:r>
      <w:r w:rsidR="00796C85">
        <w:t>sufficiency for storage resources.</w:t>
      </w:r>
    </w:p>
    <w:p w:rsidR="007735E4" w:rsidP="007C4F12" w:rsidRDefault="00796C85" w14:paraId="57503502" w14:textId="75969462">
      <w:pPr>
        <w:pStyle w:val="Standard"/>
      </w:pPr>
      <w:r>
        <w:t>SCE created its</w:t>
      </w:r>
      <w:r w:rsidR="00525E67">
        <w:t xml:space="preserve"> hourly</w:t>
      </w:r>
      <w:r>
        <w:t xml:space="preserve"> position under the SOD framework </w:t>
      </w:r>
      <w:r w:rsidR="0055748C">
        <w:t>utili</w:t>
      </w:r>
      <w:r w:rsidR="00525E67">
        <w:t>zing the ED’s showing tool and the Co</w:t>
      </w:r>
      <w:r w:rsidR="00BC2C61">
        <w:t>mmission’s master resource database.</w:t>
      </w:r>
      <w:r w:rsidR="00DE1B80">
        <w:t xml:space="preserve"> </w:t>
      </w:r>
      <w:r w:rsidR="00AB0451">
        <w:t xml:space="preserve">This hourly position is fulfilled by </w:t>
      </w:r>
      <w:r w:rsidR="00575A0A">
        <w:t xml:space="preserve">generation resources forecast to be used to serve bundled customers in 2025. </w:t>
      </w:r>
    </w:p>
    <w:p w:rsidRPr="00D62484" w:rsidR="00FB5E92" w:rsidP="000C29DE" w:rsidRDefault="00FB5E92" w14:paraId="33ABC12F" w14:textId="5BB3BEE0">
      <w:pPr>
        <w:pStyle w:val="Heading4"/>
      </w:pPr>
      <w:bookmarkStart w:name="_Toc183184326" w:id="155"/>
      <w:r w:rsidRPr="00D62484">
        <w:t>Updated Total Portfolio Costs</w:t>
      </w:r>
      <w:bookmarkEnd w:id="155"/>
    </w:p>
    <w:p w:rsidR="00796C85" w:rsidP="008F4F67" w:rsidRDefault="0003295F" w14:paraId="02679E16" w14:textId="19F9D81D">
      <w:pPr>
        <w:pStyle w:val="Standard"/>
      </w:pPr>
      <w:r>
        <w:t xml:space="preserve">Portfolio </w:t>
      </w:r>
      <w:r w:rsidR="003F73B6">
        <w:t>Costs for each vintage</w:t>
      </w:r>
      <w:r w:rsidR="00657BFD">
        <w:t xml:space="preserve"> </w:t>
      </w:r>
      <w:r w:rsidR="00B565DB">
        <w:t xml:space="preserve">are </w:t>
      </w:r>
      <w:r w:rsidR="00841A99">
        <w:t xml:space="preserve">determined by </w:t>
      </w:r>
      <w:r w:rsidR="0066614A">
        <w:t>their resources</w:t>
      </w:r>
      <w:r w:rsidR="00CE75DC">
        <w:t>’</w:t>
      </w:r>
      <w:r w:rsidR="0066614A">
        <w:t xml:space="preserve"> </w:t>
      </w:r>
      <w:r w:rsidR="00841A99">
        <w:t>forecast fixed and variable costs</w:t>
      </w:r>
      <w:r w:rsidR="00575A0A">
        <w:t>.</w:t>
      </w:r>
      <w:r w:rsidR="008F4F67">
        <w:t xml:space="preserve"> </w:t>
      </w:r>
      <w:r w:rsidRPr="008F4F67" w:rsidR="008F4F67">
        <w:t>The Total Portfolio costs do not include any costs associated with CAM, TMNBCBA, BMNBCBA, MCAMBA, and LCR-eligible resources, ISO-load related costs, or Residual Net Position spot market (</w:t>
      </w:r>
      <w:r w:rsidRPr="008F4F67" w:rsidR="008F4F67">
        <w:rPr>
          <w:i/>
          <w:iCs/>
        </w:rPr>
        <w:t>i.e.</w:t>
      </w:r>
      <w:r w:rsidRPr="008F4F67" w:rsidR="008F4F67">
        <w:t>, “short-term”) purchases</w:t>
      </w:r>
      <w:r w:rsidR="008F4F67">
        <w:t>.</w:t>
      </w:r>
      <w:r w:rsidR="008F4F67">
        <w:rPr>
          <w:rStyle w:val="FootnoteReference"/>
        </w:rPr>
        <w:footnoteReference w:id="164"/>
      </w:r>
      <w:r w:rsidR="007D3CFB">
        <w:t xml:space="preserve"> </w:t>
      </w:r>
      <w:r w:rsidR="00124B9B">
        <w:t xml:space="preserve">The AOU to </w:t>
      </w:r>
      <w:r w:rsidR="00A27998">
        <w:t xml:space="preserve">SCE’s </w:t>
      </w:r>
      <w:r w:rsidR="0097219B">
        <w:t>forecast</w:t>
      </w:r>
      <w:r w:rsidR="00A27998">
        <w:t xml:space="preserve"> for</w:t>
      </w:r>
      <w:r w:rsidR="007D3CFB">
        <w:t xml:space="preserve"> total portfolio cost</w:t>
      </w:r>
      <w:r w:rsidR="006E2F62">
        <w:t xml:space="preserve"> </w:t>
      </w:r>
      <w:r w:rsidR="006F1EA5">
        <w:t>is</w:t>
      </w:r>
      <w:r w:rsidR="000170A3">
        <w:t xml:space="preserve"> </w:t>
      </w:r>
      <w:r w:rsidR="00A27998">
        <w:t>$4</w:t>
      </w:r>
      <w:r w:rsidR="0097219B">
        <w:t>,</w:t>
      </w:r>
      <w:r w:rsidR="002440F8">
        <w:t>130</w:t>
      </w:r>
      <w:r w:rsidR="0097219B">
        <w:t xml:space="preserve"> million, a 4% reduction from its </w:t>
      </w:r>
      <w:r w:rsidR="009D5FA3">
        <w:t>May Forecast.</w:t>
      </w:r>
      <w:r w:rsidR="009D5FA3">
        <w:rPr>
          <w:rStyle w:val="FootnoteReference"/>
        </w:rPr>
        <w:footnoteReference w:id="165"/>
      </w:r>
    </w:p>
    <w:p w:rsidRPr="00D62484" w:rsidR="00FB5E92" w:rsidP="000C29DE" w:rsidRDefault="00FB5E92" w14:paraId="3381740F" w14:textId="2C2C8039">
      <w:pPr>
        <w:pStyle w:val="Heading4"/>
      </w:pPr>
      <w:bookmarkStart w:name="_Toc183184327" w:id="156"/>
      <w:r w:rsidRPr="00D62484">
        <w:t xml:space="preserve">Updated Total Portfolio </w:t>
      </w:r>
      <w:r w:rsidR="00FA6ACD">
        <w:br/>
      </w:r>
      <w:r w:rsidRPr="00D62484">
        <w:t>Market Value</w:t>
      </w:r>
      <w:r w:rsidRPr="00D62484" w:rsidR="00A72A8B">
        <w:t xml:space="preserve"> Forecast</w:t>
      </w:r>
      <w:bookmarkEnd w:id="156"/>
    </w:p>
    <w:p w:rsidR="00F550EA" w:rsidP="003B57DE" w:rsidRDefault="00721005" w14:paraId="39A95960" w14:textId="044A60F3">
      <w:pPr>
        <w:pStyle w:val="Standard"/>
      </w:pPr>
      <w:r w:rsidRPr="00721005">
        <w:t>The total portfolio market value</w:t>
      </w:r>
      <w:r w:rsidR="00A72A8B">
        <w:t xml:space="preserve"> forecast</w:t>
      </w:r>
      <w:r w:rsidRPr="00721005">
        <w:t xml:space="preserve"> of PABA-eligible resources is calculated using </w:t>
      </w:r>
      <w:r w:rsidR="00AE55C2">
        <w:t xml:space="preserve">the </w:t>
      </w:r>
      <w:r w:rsidR="000B2DBB">
        <w:t>three</w:t>
      </w:r>
      <w:r w:rsidR="00AE55C2">
        <w:t xml:space="preserve"> </w:t>
      </w:r>
      <w:r w:rsidR="00EE4A1A">
        <w:t>f</w:t>
      </w:r>
      <w:r w:rsidRPr="00721005">
        <w:t>orecast MPBs in accordance with D.18-10-019 and D.19-10-001.</w:t>
      </w:r>
      <w:r w:rsidRPr="0076746C" w:rsidR="0076746C">
        <w:t xml:space="preserve"> </w:t>
      </w:r>
      <w:r w:rsidR="0076746C">
        <w:t>Increases in MPB values have the effect of decreasing the CTC and vintaged rates.</w:t>
      </w:r>
      <w:r w:rsidR="0076746C">
        <w:rPr>
          <w:rStyle w:val="FootnoteReference"/>
        </w:rPr>
        <w:footnoteReference w:id="166"/>
      </w:r>
    </w:p>
    <w:p w:rsidR="006E6566" w:rsidP="003B57DE" w:rsidRDefault="009B32B0" w14:paraId="7C432BD8" w14:textId="251343B3">
      <w:pPr>
        <w:pStyle w:val="Standard"/>
      </w:pPr>
      <w:r>
        <w:t xml:space="preserve">The first forecast MPB is the Energy Index and reflects the estimated </w:t>
      </w:r>
      <w:r w:rsidR="0047715F">
        <w:t xml:space="preserve">dollar </w:t>
      </w:r>
      <w:r>
        <w:t xml:space="preserve">value of each </w:t>
      </w:r>
      <w:r w:rsidR="0047715F">
        <w:t xml:space="preserve">megawatt hour (MWh) </w:t>
      </w:r>
      <w:r w:rsidR="003576B0">
        <w:t>in SCE’s PABA-eligible portfolio</w:t>
      </w:r>
      <w:r w:rsidR="00EE4A1A">
        <w:t>.</w:t>
      </w:r>
      <w:r w:rsidR="00062790">
        <w:t xml:space="preserve"> The </w:t>
      </w:r>
      <w:r w:rsidR="005166B0">
        <w:lastRenderedPageBreak/>
        <w:t>second</w:t>
      </w:r>
      <w:r w:rsidR="00062790">
        <w:t xml:space="preserve"> forecast MPB is </w:t>
      </w:r>
      <w:r w:rsidR="003673DC">
        <w:t xml:space="preserve">the </w:t>
      </w:r>
      <w:r w:rsidR="009D4143">
        <w:t xml:space="preserve">RA </w:t>
      </w:r>
      <w:r w:rsidR="00117A57">
        <w:t>MPB</w:t>
      </w:r>
      <w:r w:rsidR="009D4143">
        <w:t xml:space="preserve"> and reflects the estimated dollar value of each unit of </w:t>
      </w:r>
      <w:r w:rsidR="008C2E74">
        <w:t xml:space="preserve">forecast retained and forecast sold </w:t>
      </w:r>
      <w:r w:rsidR="009F7C5D">
        <w:t>cap</w:t>
      </w:r>
      <w:r w:rsidR="002A73E9">
        <w:t>acity</w:t>
      </w:r>
      <w:r w:rsidR="00ED3DBD">
        <w:t xml:space="preserve"> in SCE’s PABA portfolio that can be used to satisfy RA obligations</w:t>
      </w:r>
      <w:r w:rsidR="009602E4">
        <w:t xml:space="preserve">, given in units of kilowatt-month. Each </w:t>
      </w:r>
      <w:r w:rsidR="00577E66">
        <w:t xml:space="preserve">unit of capacity is allocated to one of the three subcomponents of </w:t>
      </w:r>
      <w:r w:rsidR="002762EE">
        <w:t xml:space="preserve">the MPB, the </w:t>
      </w:r>
      <w:r w:rsidR="00A73F3D">
        <w:t>s</w:t>
      </w:r>
      <w:r w:rsidR="002762EE">
        <w:t xml:space="preserve">ystem RA </w:t>
      </w:r>
      <w:r w:rsidR="00C10364">
        <w:t>MPB</w:t>
      </w:r>
      <w:r w:rsidR="00A73F3D">
        <w:t xml:space="preserve">, the local RA </w:t>
      </w:r>
      <w:r w:rsidR="00C10364">
        <w:t>MPB</w:t>
      </w:r>
      <w:r w:rsidR="00A73F3D">
        <w:t xml:space="preserve">, </w:t>
      </w:r>
      <w:r w:rsidR="005E093F">
        <w:t xml:space="preserve">or </w:t>
      </w:r>
      <w:r w:rsidR="00A73F3D">
        <w:t xml:space="preserve">the flexible RA </w:t>
      </w:r>
      <w:r w:rsidR="00C10364">
        <w:t>MPB</w:t>
      </w:r>
      <w:r w:rsidR="00A73F3D">
        <w:t>.</w:t>
      </w:r>
      <w:r w:rsidR="00394CA6">
        <w:rPr>
          <w:rStyle w:val="FootnoteReference"/>
        </w:rPr>
        <w:footnoteReference w:id="167"/>
      </w:r>
      <w:r w:rsidR="00550135">
        <w:t xml:space="preserve"> </w:t>
      </w:r>
      <w:r w:rsidR="00B42CEC">
        <w:t xml:space="preserve"> </w:t>
      </w:r>
      <w:r w:rsidR="005166B0">
        <w:t xml:space="preserve">The third forecast MPB is the RPS </w:t>
      </w:r>
      <w:r w:rsidR="00C10364">
        <w:t xml:space="preserve">MPB </w:t>
      </w:r>
      <w:r w:rsidR="005166B0">
        <w:t xml:space="preserve">and </w:t>
      </w:r>
      <w:r w:rsidRPr="003B57DE" w:rsidR="005166B0">
        <w:t xml:space="preserve">reflects the estimated incremental </w:t>
      </w:r>
      <w:r w:rsidR="005166B0">
        <w:t xml:space="preserve">dollar </w:t>
      </w:r>
      <w:r w:rsidRPr="003B57DE" w:rsidR="005166B0">
        <w:t>value of each unit of Forecast Retained and Forecast Sold</w:t>
      </w:r>
      <w:r w:rsidR="005166B0">
        <w:t xml:space="preserve"> </w:t>
      </w:r>
      <w:r w:rsidRPr="003B57DE" w:rsidR="005166B0">
        <w:t>RPS-eligible</w:t>
      </w:r>
      <w:r w:rsidR="005166B0">
        <w:t xml:space="preserve"> MWh</w:t>
      </w:r>
      <w:r w:rsidR="00531442">
        <w:t>.</w:t>
      </w:r>
      <w:r w:rsidR="005166B0">
        <w:t xml:space="preserve"> </w:t>
      </w:r>
    </w:p>
    <w:p w:rsidR="005F69CD" w:rsidP="003B57DE" w:rsidRDefault="005F69CD" w14:paraId="4BF33887" w14:textId="03029BA2">
      <w:pPr>
        <w:pStyle w:val="Standard"/>
      </w:pPr>
      <w:r>
        <w:t xml:space="preserve">Each of these </w:t>
      </w:r>
      <w:r w:rsidR="00386305">
        <w:t xml:space="preserve">MPBs </w:t>
      </w:r>
      <w:r>
        <w:t xml:space="preserve">and their subcomponents </w:t>
      </w:r>
      <w:r w:rsidR="00026FB2">
        <w:t>underwent significant changes between the forecast values included in the May testimony</w:t>
      </w:r>
      <w:r w:rsidR="00E51A5A">
        <w:t xml:space="preserve"> and the early October issuance </w:t>
      </w:r>
      <w:r w:rsidR="00693479">
        <w:t xml:space="preserve">of updated values by ED. These </w:t>
      </w:r>
      <w:r w:rsidR="001361AE">
        <w:t xml:space="preserve">MPB </w:t>
      </w:r>
      <w:r w:rsidR="0005377E">
        <w:t xml:space="preserve">changes are summarized in Table </w:t>
      </w:r>
      <w:r w:rsidR="0078528F">
        <w:t xml:space="preserve">IX-44 of the October Updates, reproduced as </w:t>
      </w:r>
      <w:r w:rsidR="00712957">
        <w:t>Table 7-</w:t>
      </w:r>
      <w:r w:rsidR="008E21B8">
        <w:t>4</w:t>
      </w:r>
      <w:r w:rsidR="00712957">
        <w:t xml:space="preserve"> below:</w:t>
      </w:r>
    </w:p>
    <w:p w:rsidR="00CD1FB8" w:rsidP="00CD1FB8" w:rsidRDefault="00CD1FB8" w14:paraId="10CEC52C" w14:textId="19C6E543">
      <w:pPr>
        <w:pStyle w:val="Standard"/>
        <w:jc w:val="center"/>
      </w:pPr>
      <w:r w:rsidRPr="00AF5D13">
        <w:rPr>
          <w:b/>
          <w:bCs/>
        </w:rPr>
        <w:t>Table </w:t>
      </w:r>
      <w:r>
        <w:rPr>
          <w:b/>
          <w:bCs/>
        </w:rPr>
        <w:t>7</w:t>
      </w:r>
      <w:r w:rsidRPr="00AF5D13">
        <w:rPr>
          <w:b/>
          <w:bCs/>
        </w:rPr>
        <w:noBreakHyphen/>
      </w:r>
      <w:r w:rsidR="0055732C">
        <w:rPr>
          <w:b/>
          <w:bCs/>
        </w:rPr>
        <w:t>4</w:t>
      </w:r>
      <w:r w:rsidRPr="00AF5D13">
        <w:rPr>
          <w:b/>
          <w:bCs/>
        </w:rPr>
        <w:t>.</w:t>
      </w:r>
      <w:r w:rsidRPr="00AF5D13">
        <w:t xml:space="preserve"> </w:t>
      </w:r>
      <w:r>
        <w:t>Comparison of Forecast PCIA Market Price Benchmarks</w:t>
      </w:r>
    </w:p>
    <w:tbl>
      <w:tblPr>
        <w:tblStyle w:val="TableGrid"/>
        <w:tblW w:w="10525" w:type="dxa"/>
        <w:jc w:val="center"/>
        <w:tblLayout w:type="fixed"/>
        <w:tblLook w:val="04A0" w:firstRow="1" w:lastRow="0" w:firstColumn="1" w:lastColumn="0" w:noHBand="0" w:noVBand="1"/>
      </w:tblPr>
      <w:tblGrid>
        <w:gridCol w:w="1615"/>
        <w:gridCol w:w="1800"/>
        <w:gridCol w:w="1980"/>
        <w:gridCol w:w="1980"/>
        <w:gridCol w:w="1890"/>
        <w:gridCol w:w="1260"/>
      </w:tblGrid>
      <w:tr w:rsidRPr="00454D1A" w:rsidR="00FF30B4" w:rsidTr="00591C39" w14:paraId="1C217428" w14:textId="77777777">
        <w:trPr>
          <w:jc w:val="center"/>
        </w:trPr>
        <w:tc>
          <w:tcPr>
            <w:tcW w:w="1615" w:type="dxa"/>
          </w:tcPr>
          <w:p w:rsidRPr="00A833C4" w:rsidR="00D32B17" w:rsidRDefault="00D32B17" w14:paraId="702FF4AA" w14:textId="3051BB9B">
            <w:pPr>
              <w:pStyle w:val="Standard"/>
              <w:keepNext/>
              <w:spacing w:line="240" w:lineRule="auto"/>
              <w:ind w:firstLine="0"/>
              <w:jc w:val="center"/>
              <w:rPr>
                <w:b/>
                <w:bCs/>
                <w:szCs w:val="26"/>
              </w:rPr>
            </w:pPr>
            <w:r w:rsidRPr="00A833C4">
              <w:rPr>
                <w:b/>
                <w:bCs/>
                <w:szCs w:val="26"/>
              </w:rPr>
              <w:t>Market Price Benchmark (MPB)</w:t>
            </w:r>
          </w:p>
        </w:tc>
        <w:tc>
          <w:tcPr>
            <w:tcW w:w="1800" w:type="dxa"/>
          </w:tcPr>
          <w:p w:rsidRPr="00A833C4" w:rsidR="00D32B17" w:rsidRDefault="00D32B17" w14:paraId="70714999" w14:textId="7EF113F5">
            <w:pPr>
              <w:pStyle w:val="Standard"/>
              <w:keepNext/>
              <w:spacing w:line="240" w:lineRule="auto"/>
              <w:ind w:firstLine="0"/>
              <w:jc w:val="center"/>
              <w:rPr>
                <w:b/>
                <w:bCs/>
                <w:szCs w:val="26"/>
              </w:rPr>
            </w:pPr>
            <w:r w:rsidRPr="00A833C4">
              <w:rPr>
                <w:b/>
                <w:bCs/>
                <w:szCs w:val="26"/>
              </w:rPr>
              <w:t>2024 ERRA Forecast June Submittal</w:t>
            </w:r>
          </w:p>
        </w:tc>
        <w:tc>
          <w:tcPr>
            <w:tcW w:w="1980" w:type="dxa"/>
          </w:tcPr>
          <w:p w:rsidRPr="00A833C4" w:rsidR="00D32B17" w:rsidRDefault="00D32B17" w14:paraId="678D7ECB" w14:textId="5B06C58C">
            <w:pPr>
              <w:pStyle w:val="Standard"/>
              <w:keepNext/>
              <w:spacing w:line="240" w:lineRule="auto"/>
              <w:ind w:firstLine="0"/>
              <w:jc w:val="center"/>
              <w:rPr>
                <w:b/>
                <w:bCs/>
                <w:szCs w:val="26"/>
              </w:rPr>
            </w:pPr>
            <w:r w:rsidRPr="00A833C4">
              <w:rPr>
                <w:b/>
                <w:bCs/>
                <w:szCs w:val="26"/>
              </w:rPr>
              <w:t>2024 ERRA Forecast October Submittal</w:t>
            </w:r>
          </w:p>
        </w:tc>
        <w:tc>
          <w:tcPr>
            <w:tcW w:w="1980" w:type="dxa"/>
          </w:tcPr>
          <w:p w:rsidRPr="00A833C4" w:rsidR="00D32B17" w:rsidRDefault="00D32B17" w14:paraId="2DACFA5A" w14:textId="05F455FF">
            <w:pPr>
              <w:pStyle w:val="Standard"/>
              <w:keepNext/>
              <w:spacing w:line="240" w:lineRule="auto"/>
              <w:ind w:firstLine="0"/>
              <w:jc w:val="center"/>
              <w:rPr>
                <w:b/>
                <w:bCs/>
                <w:szCs w:val="26"/>
              </w:rPr>
            </w:pPr>
            <w:r w:rsidRPr="00A833C4">
              <w:rPr>
                <w:b/>
                <w:bCs/>
                <w:szCs w:val="26"/>
              </w:rPr>
              <w:t>2025 ERRA Forecast May Submittal</w:t>
            </w:r>
          </w:p>
        </w:tc>
        <w:tc>
          <w:tcPr>
            <w:tcW w:w="1890" w:type="dxa"/>
          </w:tcPr>
          <w:p w:rsidRPr="00A833C4" w:rsidR="00D32B17" w:rsidRDefault="00D32B17" w14:paraId="73FB5FE3" w14:textId="4D217D8E">
            <w:pPr>
              <w:pStyle w:val="Standard"/>
              <w:keepNext/>
              <w:spacing w:line="240" w:lineRule="auto"/>
              <w:ind w:firstLine="0"/>
              <w:jc w:val="center"/>
              <w:rPr>
                <w:b/>
                <w:bCs/>
                <w:szCs w:val="26"/>
              </w:rPr>
            </w:pPr>
            <w:r w:rsidRPr="00A833C4">
              <w:rPr>
                <w:b/>
                <w:bCs/>
                <w:szCs w:val="26"/>
              </w:rPr>
              <w:t>2025 Forecast October Submittal</w:t>
            </w:r>
            <w:r w:rsidR="006410D5">
              <w:rPr>
                <w:b/>
                <w:bCs/>
                <w:szCs w:val="26"/>
              </w:rPr>
              <w:t>*</w:t>
            </w:r>
          </w:p>
        </w:tc>
        <w:tc>
          <w:tcPr>
            <w:tcW w:w="1260" w:type="dxa"/>
          </w:tcPr>
          <w:p w:rsidRPr="00A833C4" w:rsidR="00D32B17" w:rsidRDefault="00F50195" w14:paraId="64F86E67" w14:textId="3C5BC895">
            <w:pPr>
              <w:pStyle w:val="Standard"/>
              <w:keepNext/>
              <w:spacing w:line="240" w:lineRule="auto"/>
              <w:ind w:firstLine="0"/>
              <w:jc w:val="center"/>
              <w:rPr>
                <w:b/>
                <w:bCs/>
                <w:szCs w:val="26"/>
              </w:rPr>
            </w:pPr>
            <w:r w:rsidRPr="00A833C4">
              <w:rPr>
                <w:b/>
                <w:bCs/>
                <w:szCs w:val="26"/>
              </w:rPr>
              <w:t xml:space="preserve">Percent Change between May and October </w:t>
            </w:r>
          </w:p>
        </w:tc>
      </w:tr>
      <w:tr w:rsidRPr="00454D1A" w:rsidR="00FF30B4" w:rsidTr="00591C39" w14:paraId="3C2D827E" w14:textId="77777777">
        <w:trPr>
          <w:jc w:val="center"/>
        </w:trPr>
        <w:tc>
          <w:tcPr>
            <w:tcW w:w="1615" w:type="dxa"/>
          </w:tcPr>
          <w:p w:rsidRPr="00454D1A" w:rsidR="00D32B17" w:rsidP="009151F3" w:rsidRDefault="00723A93" w14:paraId="33A1CD6E" w14:textId="03FD0965">
            <w:pPr>
              <w:pStyle w:val="Standard"/>
              <w:keepNext/>
              <w:spacing w:line="240" w:lineRule="auto"/>
              <w:ind w:left="-28" w:firstLine="0"/>
              <w:rPr>
                <w:szCs w:val="26"/>
              </w:rPr>
            </w:pPr>
            <w:r>
              <w:rPr>
                <w:szCs w:val="26"/>
              </w:rPr>
              <w:t>Energy Index</w:t>
            </w:r>
            <w:r w:rsidR="008B365D">
              <w:rPr>
                <w:szCs w:val="26"/>
              </w:rPr>
              <w:t>**</w:t>
            </w:r>
          </w:p>
        </w:tc>
        <w:tc>
          <w:tcPr>
            <w:tcW w:w="1800" w:type="dxa"/>
          </w:tcPr>
          <w:p w:rsidRPr="00143DE1" w:rsidR="00D32B17" w:rsidRDefault="006C6DF2" w14:paraId="20F574C5" w14:textId="381EEF5C">
            <w:pPr>
              <w:pStyle w:val="Standard"/>
              <w:keepNext/>
              <w:spacing w:line="240" w:lineRule="auto"/>
              <w:ind w:firstLine="0"/>
              <w:jc w:val="right"/>
            </w:pPr>
            <w:r>
              <w:t>$</w:t>
            </w:r>
            <w:r w:rsidR="00143DE1">
              <w:t>71.87</w:t>
            </w:r>
            <w:r w:rsidR="006410D5">
              <w:t>/MWh</w:t>
            </w:r>
          </w:p>
        </w:tc>
        <w:tc>
          <w:tcPr>
            <w:tcW w:w="1980" w:type="dxa"/>
          </w:tcPr>
          <w:p w:rsidRPr="00143DE1" w:rsidR="00D32B17" w:rsidRDefault="006C6DF2" w14:paraId="0B869234" w14:textId="7246B710">
            <w:pPr>
              <w:pStyle w:val="Standard"/>
              <w:keepNext/>
              <w:spacing w:line="240" w:lineRule="auto"/>
              <w:ind w:firstLine="0"/>
              <w:jc w:val="right"/>
            </w:pPr>
            <w:r>
              <w:t>$</w:t>
            </w:r>
            <w:r w:rsidR="00143DE1">
              <w:t>61.50</w:t>
            </w:r>
            <w:r w:rsidR="00FF30B4">
              <w:t>/MWh</w:t>
            </w:r>
          </w:p>
        </w:tc>
        <w:tc>
          <w:tcPr>
            <w:tcW w:w="1980" w:type="dxa"/>
          </w:tcPr>
          <w:p w:rsidRPr="00143DE1" w:rsidR="00D32B17" w:rsidRDefault="006C6DF2" w14:paraId="1934A4D5" w14:textId="1C16F2EF">
            <w:pPr>
              <w:pStyle w:val="Standard"/>
              <w:keepNext/>
              <w:spacing w:line="240" w:lineRule="auto"/>
              <w:ind w:firstLine="0"/>
              <w:jc w:val="right"/>
            </w:pPr>
            <w:r>
              <w:t>$</w:t>
            </w:r>
            <w:r w:rsidR="00143DE1">
              <w:t>55.98</w:t>
            </w:r>
            <w:r w:rsidR="00FF30B4">
              <w:t>/MWh</w:t>
            </w:r>
          </w:p>
        </w:tc>
        <w:tc>
          <w:tcPr>
            <w:tcW w:w="1890" w:type="dxa"/>
          </w:tcPr>
          <w:p w:rsidRPr="00143DE1" w:rsidR="00D32B17" w:rsidRDefault="006C6DF2" w14:paraId="0D44468C" w14:textId="79F0B86A">
            <w:pPr>
              <w:pStyle w:val="Standard"/>
              <w:keepNext/>
              <w:spacing w:line="240" w:lineRule="auto"/>
              <w:ind w:firstLine="0"/>
              <w:jc w:val="right"/>
            </w:pPr>
            <w:r>
              <w:t>$</w:t>
            </w:r>
            <w:r w:rsidR="009E73C0">
              <w:t>41.67</w:t>
            </w:r>
            <w:r w:rsidR="00FF30B4">
              <w:t>/MWh</w:t>
            </w:r>
          </w:p>
        </w:tc>
        <w:tc>
          <w:tcPr>
            <w:tcW w:w="1260" w:type="dxa"/>
          </w:tcPr>
          <w:p w:rsidRPr="00143DE1" w:rsidR="00D32B17" w:rsidRDefault="009E73C0" w14:paraId="2D7C1843" w14:textId="2A4AA75B">
            <w:pPr>
              <w:pStyle w:val="Standard"/>
              <w:keepNext/>
              <w:spacing w:line="240" w:lineRule="auto"/>
              <w:ind w:firstLine="0"/>
              <w:jc w:val="right"/>
            </w:pPr>
            <w:r>
              <w:t>-26%</w:t>
            </w:r>
          </w:p>
        </w:tc>
      </w:tr>
      <w:tr w:rsidRPr="00454D1A" w:rsidR="00FF30B4" w:rsidTr="00591C39" w14:paraId="081C896D" w14:textId="77777777">
        <w:trPr>
          <w:jc w:val="center"/>
        </w:trPr>
        <w:tc>
          <w:tcPr>
            <w:tcW w:w="1615" w:type="dxa"/>
          </w:tcPr>
          <w:p w:rsidRPr="00454D1A" w:rsidR="00D32B17" w:rsidP="009151F3" w:rsidRDefault="00723A93" w14:paraId="7B4286BB" w14:textId="47D41A63">
            <w:pPr>
              <w:pStyle w:val="Standard"/>
              <w:keepNext/>
              <w:spacing w:line="240" w:lineRule="auto"/>
              <w:ind w:left="-28" w:firstLine="0"/>
              <w:rPr>
                <w:szCs w:val="26"/>
              </w:rPr>
            </w:pPr>
            <w:r>
              <w:rPr>
                <w:szCs w:val="26"/>
              </w:rPr>
              <w:t xml:space="preserve">RPS </w:t>
            </w:r>
            <w:r w:rsidR="00386305">
              <w:rPr>
                <w:szCs w:val="26"/>
              </w:rPr>
              <w:t>MPB</w:t>
            </w:r>
          </w:p>
        </w:tc>
        <w:tc>
          <w:tcPr>
            <w:tcW w:w="1800" w:type="dxa"/>
          </w:tcPr>
          <w:p w:rsidRPr="00143DE1" w:rsidR="00D32B17" w:rsidRDefault="006C6DF2" w14:paraId="0C36F059" w14:textId="7AC6CCEA">
            <w:pPr>
              <w:pStyle w:val="Standard"/>
              <w:keepNext/>
              <w:spacing w:line="240" w:lineRule="auto"/>
              <w:ind w:firstLine="0"/>
              <w:jc w:val="right"/>
            </w:pPr>
            <w:r>
              <w:t>$</w:t>
            </w:r>
            <w:r w:rsidR="000737A5">
              <w:t>12.63</w:t>
            </w:r>
            <w:r w:rsidR="00FF30B4">
              <w:t>/MWh</w:t>
            </w:r>
          </w:p>
        </w:tc>
        <w:tc>
          <w:tcPr>
            <w:tcW w:w="1980" w:type="dxa"/>
          </w:tcPr>
          <w:p w:rsidRPr="00143DE1" w:rsidR="00D32B17" w:rsidRDefault="006C6DF2" w14:paraId="3EB92271" w14:textId="62A7C66B">
            <w:pPr>
              <w:pStyle w:val="Standard"/>
              <w:keepNext/>
              <w:spacing w:line="240" w:lineRule="auto"/>
              <w:ind w:firstLine="0"/>
              <w:jc w:val="right"/>
            </w:pPr>
            <w:r>
              <w:t>$</w:t>
            </w:r>
            <w:r w:rsidR="000737A5">
              <w:t>31.73</w:t>
            </w:r>
            <w:r w:rsidR="00FF30B4">
              <w:t>/MWh</w:t>
            </w:r>
          </w:p>
        </w:tc>
        <w:tc>
          <w:tcPr>
            <w:tcW w:w="1980" w:type="dxa"/>
          </w:tcPr>
          <w:p w:rsidRPr="00143DE1" w:rsidR="00D32B17" w:rsidRDefault="006C6DF2" w14:paraId="2C3FB734" w14:textId="307470C0">
            <w:pPr>
              <w:pStyle w:val="Standard"/>
              <w:keepNext/>
              <w:spacing w:line="240" w:lineRule="auto"/>
              <w:ind w:firstLine="0"/>
              <w:jc w:val="right"/>
            </w:pPr>
            <w:r>
              <w:t>$</w:t>
            </w:r>
            <w:r w:rsidR="000737A5">
              <w:t>31.73</w:t>
            </w:r>
            <w:r w:rsidR="00FF30B4">
              <w:t>/MWh</w:t>
            </w:r>
          </w:p>
        </w:tc>
        <w:tc>
          <w:tcPr>
            <w:tcW w:w="1890" w:type="dxa"/>
          </w:tcPr>
          <w:p w:rsidRPr="00143DE1" w:rsidR="00D32B17" w:rsidRDefault="006C6DF2" w14:paraId="075E4584" w14:textId="6632EC06">
            <w:pPr>
              <w:pStyle w:val="Standard"/>
              <w:keepNext/>
              <w:spacing w:line="240" w:lineRule="auto"/>
              <w:ind w:firstLine="0"/>
              <w:jc w:val="right"/>
            </w:pPr>
            <w:r>
              <w:t>$71.24</w:t>
            </w:r>
            <w:r w:rsidR="00FF30B4">
              <w:t>/MWh</w:t>
            </w:r>
          </w:p>
        </w:tc>
        <w:tc>
          <w:tcPr>
            <w:tcW w:w="1260" w:type="dxa"/>
          </w:tcPr>
          <w:p w:rsidRPr="00143DE1" w:rsidR="00D32B17" w:rsidRDefault="006C6DF2" w14:paraId="7ECB10BC" w14:textId="78848D6B">
            <w:pPr>
              <w:pStyle w:val="Standard"/>
              <w:keepNext/>
              <w:spacing w:line="240" w:lineRule="auto"/>
              <w:ind w:firstLine="0"/>
              <w:jc w:val="right"/>
            </w:pPr>
            <w:r>
              <w:t>125%</w:t>
            </w:r>
          </w:p>
        </w:tc>
      </w:tr>
      <w:tr w:rsidRPr="00454D1A" w:rsidR="00BC7F88" w:rsidTr="00591C39" w14:paraId="3884957E" w14:textId="6DA63E42">
        <w:trPr>
          <w:jc w:val="center"/>
        </w:trPr>
        <w:tc>
          <w:tcPr>
            <w:tcW w:w="1615" w:type="dxa"/>
          </w:tcPr>
          <w:p w:rsidRPr="00454D1A" w:rsidR="00BC7F88" w:rsidP="009151F3" w:rsidRDefault="00BC7F88" w14:paraId="7EE45D0B" w14:textId="035BD9CE">
            <w:pPr>
              <w:pStyle w:val="Standard"/>
              <w:keepNext/>
              <w:spacing w:line="240" w:lineRule="auto"/>
              <w:ind w:left="-28" w:firstLine="0"/>
              <w:rPr>
                <w:szCs w:val="26"/>
              </w:rPr>
            </w:pPr>
            <w:r>
              <w:rPr>
                <w:szCs w:val="26"/>
              </w:rPr>
              <w:t xml:space="preserve">RA </w:t>
            </w:r>
            <w:r w:rsidR="00386305">
              <w:rPr>
                <w:szCs w:val="26"/>
              </w:rPr>
              <w:t>MPBs</w:t>
            </w:r>
          </w:p>
        </w:tc>
        <w:tc>
          <w:tcPr>
            <w:tcW w:w="8910" w:type="dxa"/>
            <w:gridSpan w:val="5"/>
          </w:tcPr>
          <w:p w:rsidRPr="00143DE1" w:rsidR="00BC7F88" w:rsidP="00103376" w:rsidRDefault="00BC7F88" w14:paraId="1DAF6D7A" w14:textId="0F2F4C45">
            <w:pPr>
              <w:pStyle w:val="Standard"/>
              <w:keepNext/>
              <w:spacing w:line="240" w:lineRule="auto"/>
              <w:ind w:firstLine="0"/>
              <w:jc w:val="center"/>
            </w:pPr>
            <w:r>
              <w:t>(intentionally left blank)</w:t>
            </w:r>
          </w:p>
        </w:tc>
      </w:tr>
      <w:tr w:rsidRPr="00454D1A" w:rsidR="00FF30B4" w:rsidTr="00591C39" w14:paraId="17727CCB" w14:textId="77777777">
        <w:trPr>
          <w:jc w:val="center"/>
        </w:trPr>
        <w:tc>
          <w:tcPr>
            <w:tcW w:w="1615" w:type="dxa"/>
          </w:tcPr>
          <w:p w:rsidRPr="00454D1A" w:rsidR="00D32B17" w:rsidP="009151F3" w:rsidRDefault="00143DE1" w14:paraId="1AA7E888" w14:textId="13133540">
            <w:pPr>
              <w:pStyle w:val="Standard"/>
              <w:keepNext/>
              <w:spacing w:line="240" w:lineRule="auto"/>
              <w:ind w:left="-28" w:firstLine="0"/>
              <w:rPr>
                <w:szCs w:val="26"/>
              </w:rPr>
            </w:pPr>
            <w:r>
              <w:rPr>
                <w:szCs w:val="26"/>
              </w:rPr>
              <w:t xml:space="preserve">   System</w:t>
            </w:r>
          </w:p>
        </w:tc>
        <w:tc>
          <w:tcPr>
            <w:tcW w:w="1800" w:type="dxa"/>
          </w:tcPr>
          <w:p w:rsidRPr="00143DE1" w:rsidR="00D32B17" w:rsidRDefault="006C6DF2" w14:paraId="58B8F03A" w14:textId="5B3EF7C9">
            <w:pPr>
              <w:pStyle w:val="Standard"/>
              <w:keepNext/>
              <w:spacing w:line="240" w:lineRule="auto"/>
              <w:ind w:firstLine="0"/>
              <w:jc w:val="right"/>
            </w:pPr>
            <w:r>
              <w:t>$88.68</w:t>
            </w:r>
            <w:r w:rsidR="00FF30B4">
              <w:t>/kW-yr</w:t>
            </w:r>
          </w:p>
        </w:tc>
        <w:tc>
          <w:tcPr>
            <w:tcW w:w="1980" w:type="dxa"/>
          </w:tcPr>
          <w:p w:rsidRPr="00143DE1" w:rsidR="00D32B17" w:rsidRDefault="006C6DF2" w14:paraId="5663414F" w14:textId="649D74E3">
            <w:pPr>
              <w:pStyle w:val="Standard"/>
              <w:keepNext/>
              <w:spacing w:line="240" w:lineRule="auto"/>
              <w:ind w:firstLine="0"/>
              <w:jc w:val="right"/>
            </w:pPr>
            <w:r>
              <w:t>$182.76</w:t>
            </w:r>
            <w:r w:rsidR="002B7505">
              <w:t>/kW-yr</w:t>
            </w:r>
          </w:p>
        </w:tc>
        <w:tc>
          <w:tcPr>
            <w:tcW w:w="1980" w:type="dxa"/>
          </w:tcPr>
          <w:p w:rsidRPr="00143DE1" w:rsidR="00D32B17" w:rsidRDefault="00023A66" w14:paraId="40A04B99" w14:textId="5053B11B">
            <w:pPr>
              <w:pStyle w:val="Standard"/>
              <w:keepNext/>
              <w:spacing w:line="240" w:lineRule="auto"/>
              <w:ind w:firstLine="0"/>
              <w:jc w:val="right"/>
            </w:pPr>
            <w:r>
              <w:t>1</w:t>
            </w:r>
            <w:r w:rsidR="006C6DF2">
              <w:t>82.76</w:t>
            </w:r>
            <w:r w:rsidR="002B7505">
              <w:t>/kW-yr</w:t>
            </w:r>
          </w:p>
        </w:tc>
        <w:tc>
          <w:tcPr>
            <w:tcW w:w="1890" w:type="dxa"/>
          </w:tcPr>
          <w:p w:rsidRPr="00143DE1" w:rsidR="00D32B17" w:rsidRDefault="006C6DF2" w14:paraId="0C9EE77F" w14:textId="73F0AECC">
            <w:pPr>
              <w:pStyle w:val="Standard"/>
              <w:keepNext/>
              <w:spacing w:line="240" w:lineRule="auto"/>
              <w:ind w:firstLine="0"/>
              <w:jc w:val="right"/>
            </w:pPr>
            <w:r>
              <w:t>510.48</w:t>
            </w:r>
            <w:r w:rsidR="002B7505">
              <w:t>/kW-yr</w:t>
            </w:r>
          </w:p>
        </w:tc>
        <w:tc>
          <w:tcPr>
            <w:tcW w:w="1260" w:type="dxa"/>
          </w:tcPr>
          <w:p w:rsidRPr="00143DE1" w:rsidR="00D32B17" w:rsidRDefault="006C6DF2" w14:paraId="43F9946F" w14:textId="1E2DFD47">
            <w:pPr>
              <w:pStyle w:val="Standard"/>
              <w:keepNext/>
              <w:spacing w:line="240" w:lineRule="auto"/>
              <w:ind w:firstLine="0"/>
              <w:jc w:val="right"/>
            </w:pPr>
            <w:r>
              <w:t>179</w:t>
            </w:r>
            <w:r w:rsidR="00F45A52">
              <w:t>%</w:t>
            </w:r>
          </w:p>
        </w:tc>
      </w:tr>
      <w:tr w:rsidRPr="00454D1A" w:rsidR="00FF30B4" w:rsidTr="00591C39" w14:paraId="642A0ABD" w14:textId="77777777">
        <w:trPr>
          <w:jc w:val="center"/>
        </w:trPr>
        <w:tc>
          <w:tcPr>
            <w:tcW w:w="1615" w:type="dxa"/>
          </w:tcPr>
          <w:p w:rsidRPr="00454D1A" w:rsidR="00D32B17" w:rsidP="009151F3" w:rsidRDefault="00143DE1" w14:paraId="37A245CA" w14:textId="78644975">
            <w:pPr>
              <w:pStyle w:val="Standard"/>
              <w:keepNext/>
              <w:spacing w:line="240" w:lineRule="auto"/>
              <w:ind w:left="-28" w:firstLine="0"/>
              <w:rPr>
                <w:szCs w:val="26"/>
              </w:rPr>
            </w:pPr>
            <w:r>
              <w:rPr>
                <w:szCs w:val="26"/>
              </w:rPr>
              <w:t xml:space="preserve">   Local</w:t>
            </w:r>
          </w:p>
        </w:tc>
        <w:tc>
          <w:tcPr>
            <w:tcW w:w="1800" w:type="dxa"/>
          </w:tcPr>
          <w:p w:rsidRPr="00143DE1" w:rsidR="00D32B17" w:rsidRDefault="006C6DF2" w14:paraId="7A784745" w14:textId="38F5218E">
            <w:pPr>
              <w:pStyle w:val="Standard"/>
              <w:keepNext/>
              <w:spacing w:line="240" w:lineRule="auto"/>
              <w:ind w:firstLine="0"/>
              <w:jc w:val="right"/>
            </w:pPr>
            <w:r>
              <w:t>80.88</w:t>
            </w:r>
          </w:p>
        </w:tc>
        <w:tc>
          <w:tcPr>
            <w:tcW w:w="1980" w:type="dxa"/>
          </w:tcPr>
          <w:p w:rsidRPr="00143DE1" w:rsidR="00D32B17" w:rsidRDefault="006C6DF2" w14:paraId="7E148915" w14:textId="241C3F9C">
            <w:pPr>
              <w:pStyle w:val="Standard"/>
              <w:keepNext/>
              <w:spacing w:line="240" w:lineRule="auto"/>
              <w:ind w:firstLine="0"/>
              <w:jc w:val="right"/>
            </w:pPr>
            <w:r>
              <w:t>105.72</w:t>
            </w:r>
          </w:p>
        </w:tc>
        <w:tc>
          <w:tcPr>
            <w:tcW w:w="1980" w:type="dxa"/>
          </w:tcPr>
          <w:p w:rsidRPr="00143DE1" w:rsidR="00D32B17" w:rsidRDefault="00EB6F1D" w14:paraId="36A5BA1E" w14:textId="78649469">
            <w:pPr>
              <w:pStyle w:val="Standard"/>
              <w:keepNext/>
              <w:spacing w:line="240" w:lineRule="auto"/>
              <w:ind w:firstLine="0"/>
              <w:jc w:val="right"/>
            </w:pPr>
            <w:r>
              <w:t>105.72</w:t>
            </w:r>
          </w:p>
        </w:tc>
        <w:tc>
          <w:tcPr>
            <w:tcW w:w="1890" w:type="dxa"/>
          </w:tcPr>
          <w:p w:rsidRPr="00143DE1" w:rsidR="00D32B17" w:rsidRDefault="00EB6F1D" w14:paraId="17435281" w14:textId="3037AFFC">
            <w:pPr>
              <w:pStyle w:val="Standard"/>
              <w:keepNext/>
              <w:spacing w:line="240" w:lineRule="auto"/>
              <w:ind w:firstLine="0"/>
              <w:jc w:val="right"/>
            </w:pPr>
            <w:r>
              <w:t>133.20</w:t>
            </w:r>
          </w:p>
        </w:tc>
        <w:tc>
          <w:tcPr>
            <w:tcW w:w="1260" w:type="dxa"/>
          </w:tcPr>
          <w:p w:rsidRPr="00143DE1" w:rsidR="00D32B17" w:rsidRDefault="00F45A52" w14:paraId="22C50D32" w14:textId="00B48F0E">
            <w:pPr>
              <w:pStyle w:val="Standard"/>
              <w:keepNext/>
              <w:spacing w:line="240" w:lineRule="auto"/>
              <w:ind w:firstLine="0"/>
              <w:jc w:val="right"/>
            </w:pPr>
            <w:r>
              <w:t>26%</w:t>
            </w:r>
          </w:p>
        </w:tc>
      </w:tr>
      <w:tr w:rsidRPr="00454D1A" w:rsidR="00FF30B4" w:rsidTr="00591C39" w14:paraId="3B2BF70D" w14:textId="77777777">
        <w:trPr>
          <w:jc w:val="center"/>
        </w:trPr>
        <w:tc>
          <w:tcPr>
            <w:tcW w:w="1615" w:type="dxa"/>
          </w:tcPr>
          <w:p w:rsidRPr="00143DE1" w:rsidR="00D32B17" w:rsidP="009151F3" w:rsidRDefault="00143DE1" w14:paraId="5F490322" w14:textId="49E573A5">
            <w:pPr>
              <w:pStyle w:val="Standard"/>
              <w:keepNext/>
              <w:spacing w:line="240" w:lineRule="auto"/>
              <w:ind w:left="-28" w:firstLine="0"/>
              <w:rPr>
                <w:szCs w:val="26"/>
              </w:rPr>
            </w:pPr>
            <w:r w:rsidRPr="00143DE1">
              <w:rPr>
                <w:szCs w:val="26"/>
              </w:rPr>
              <w:t xml:space="preserve">   Flexible</w:t>
            </w:r>
          </w:p>
        </w:tc>
        <w:tc>
          <w:tcPr>
            <w:tcW w:w="1800" w:type="dxa"/>
          </w:tcPr>
          <w:p w:rsidRPr="00143DE1" w:rsidR="00D32B17" w:rsidRDefault="00F45A52" w14:paraId="0F0A2152" w14:textId="0B1FA7CF">
            <w:pPr>
              <w:pStyle w:val="Standard"/>
              <w:keepNext/>
              <w:spacing w:line="240" w:lineRule="auto"/>
              <w:ind w:firstLine="0"/>
              <w:jc w:val="right"/>
            </w:pPr>
            <w:r>
              <w:t>85.80</w:t>
            </w:r>
          </w:p>
        </w:tc>
        <w:tc>
          <w:tcPr>
            <w:tcW w:w="1980" w:type="dxa"/>
          </w:tcPr>
          <w:p w:rsidRPr="00143DE1" w:rsidR="00D32B17" w:rsidRDefault="00F45A52" w14:paraId="12AD04D5" w14:textId="4864888C">
            <w:pPr>
              <w:pStyle w:val="Standard"/>
              <w:keepNext/>
              <w:spacing w:line="240" w:lineRule="auto"/>
              <w:ind w:firstLine="0"/>
              <w:jc w:val="right"/>
            </w:pPr>
            <w:r>
              <w:t>109.44</w:t>
            </w:r>
          </w:p>
        </w:tc>
        <w:tc>
          <w:tcPr>
            <w:tcW w:w="1980" w:type="dxa"/>
          </w:tcPr>
          <w:p w:rsidRPr="00143DE1" w:rsidR="00D32B17" w:rsidRDefault="00F45A52" w14:paraId="129F2225" w14:textId="1FD96C52">
            <w:pPr>
              <w:pStyle w:val="Standard"/>
              <w:keepNext/>
              <w:spacing w:line="240" w:lineRule="auto"/>
              <w:ind w:firstLine="0"/>
              <w:jc w:val="right"/>
            </w:pPr>
            <w:r>
              <w:t>109.44</w:t>
            </w:r>
          </w:p>
        </w:tc>
        <w:tc>
          <w:tcPr>
            <w:tcW w:w="1890" w:type="dxa"/>
          </w:tcPr>
          <w:p w:rsidRPr="00143DE1" w:rsidR="00D32B17" w:rsidRDefault="00F45A52" w14:paraId="7DED92D8" w14:textId="19E9A6AA">
            <w:pPr>
              <w:pStyle w:val="Standard"/>
              <w:keepNext/>
              <w:spacing w:line="240" w:lineRule="auto"/>
              <w:ind w:firstLine="0"/>
              <w:jc w:val="right"/>
            </w:pPr>
            <w:r>
              <w:t>169.22</w:t>
            </w:r>
          </w:p>
        </w:tc>
        <w:tc>
          <w:tcPr>
            <w:tcW w:w="1260" w:type="dxa"/>
          </w:tcPr>
          <w:p w:rsidRPr="00143DE1" w:rsidR="00D32B17" w:rsidRDefault="00F45A52" w14:paraId="1D1460C5" w14:textId="60EFB65D">
            <w:pPr>
              <w:pStyle w:val="Standard"/>
              <w:keepNext/>
              <w:spacing w:line="240" w:lineRule="auto"/>
              <w:ind w:firstLine="0"/>
              <w:jc w:val="right"/>
            </w:pPr>
            <w:r>
              <w:t>55%</w:t>
            </w:r>
          </w:p>
        </w:tc>
      </w:tr>
      <w:tr w:rsidRPr="00454D1A" w:rsidR="005020FB" w14:paraId="0B4354A5" w14:textId="77777777">
        <w:trPr>
          <w:jc w:val="center"/>
        </w:trPr>
        <w:tc>
          <w:tcPr>
            <w:tcW w:w="10525" w:type="dxa"/>
            <w:gridSpan w:val="6"/>
          </w:tcPr>
          <w:p w:rsidR="00913888" w:rsidP="005020FB" w:rsidRDefault="005020FB" w14:paraId="7731B480" w14:textId="77777777">
            <w:pPr>
              <w:pStyle w:val="Standard"/>
              <w:keepNext/>
              <w:spacing w:line="240" w:lineRule="auto"/>
              <w:ind w:firstLine="0"/>
            </w:pPr>
            <w:r>
              <w:t xml:space="preserve">* </w:t>
            </w:r>
            <w:r w:rsidR="00B73B78">
              <w:t xml:space="preserve"> </w:t>
            </w:r>
            <w:r>
              <w:t>These figures refle</w:t>
            </w:r>
            <w:r w:rsidR="00EC1A54">
              <w:t xml:space="preserve">ct the October 4 addendum but do not consider the November </w:t>
            </w:r>
            <w:r w:rsidR="006410D5">
              <w:t>5 revision</w:t>
            </w:r>
          </w:p>
          <w:p w:rsidR="008B365D" w:rsidP="005020FB" w:rsidRDefault="008B365D" w14:paraId="461E161E" w14:textId="277CBB7F">
            <w:pPr>
              <w:pStyle w:val="Standard"/>
              <w:keepNext/>
              <w:spacing w:line="240" w:lineRule="auto"/>
              <w:ind w:firstLine="0"/>
            </w:pPr>
            <w:r>
              <w:t>**</w:t>
            </w:r>
            <w:r w:rsidR="00B73B78">
              <w:t xml:space="preserve"> This value is the </w:t>
            </w:r>
            <w:r w:rsidR="00121109">
              <w:t>weighted Energy Index computed pursuant to D.</w:t>
            </w:r>
            <w:r w:rsidR="00844C8A">
              <w:t>23-06-006</w:t>
            </w:r>
            <w:r w:rsidR="00E40E3D">
              <w:t>.</w:t>
            </w:r>
          </w:p>
        </w:tc>
      </w:tr>
    </w:tbl>
    <w:p w:rsidRPr="00510F10" w:rsidR="002F0590" w:rsidP="003B57DE" w:rsidRDefault="002F0590" w14:paraId="28D0E728" w14:textId="77777777">
      <w:pPr>
        <w:pStyle w:val="Standard"/>
        <w:rPr>
          <w:sz w:val="12"/>
          <w:szCs w:val="12"/>
        </w:rPr>
      </w:pPr>
    </w:p>
    <w:p w:rsidR="003D3DD9" w:rsidP="003D3DD9" w:rsidRDefault="003D3DD9" w14:paraId="139C6731" w14:textId="3E3E8CCE">
      <w:pPr>
        <w:pStyle w:val="Standard"/>
      </w:pPr>
      <w:r w:rsidRPr="003D3DD9">
        <w:lastRenderedPageBreak/>
        <w:t xml:space="preserve"> </w:t>
      </w:r>
      <w:r>
        <w:t>SCE’s AOU forecast of the total market value of the PABA-eligible portfolio increased to $6,058 million, which is a 41% increase relative to the May Forecast. SCE states that this increase is primarily the result of the updated 2025 forecast MPBs.</w:t>
      </w:r>
      <w:r>
        <w:rPr>
          <w:rStyle w:val="FootnoteReference"/>
        </w:rPr>
        <w:footnoteReference w:id="168"/>
      </w:r>
      <w:r>
        <w:t xml:space="preserve"> </w:t>
      </w:r>
    </w:p>
    <w:p w:rsidR="00712957" w:rsidP="003D3DD9" w:rsidRDefault="003D3DD9" w14:paraId="7B8D0B0B" w14:textId="2CBB85E8">
      <w:pPr>
        <w:pStyle w:val="Standard"/>
      </w:pPr>
      <w:r>
        <w:t>This increase was mitigated both by the reduction in Energy Index MPBs and the assignment of RA capacity to all three RA MPBs. The PABA total market value would have been further increased by 13.43% if the Energy Index MPB had remained at its May forecast level.</w:t>
      </w:r>
      <w:r>
        <w:rPr>
          <w:rStyle w:val="FootnoteReference"/>
        </w:rPr>
        <w:footnoteReference w:id="169"/>
      </w:r>
      <w:r>
        <w:t xml:space="preserve"> The PABA total market value would have been further increased by 13.48% if SCE had continued assigning all of its RA to the </w:t>
      </w:r>
      <w:r w:rsidR="00DA578A">
        <w:t>s</w:t>
      </w:r>
      <w:r>
        <w:t>ystem subcategory.</w:t>
      </w:r>
      <w:r>
        <w:rPr>
          <w:rStyle w:val="FootnoteReference"/>
        </w:rPr>
        <w:footnoteReference w:id="170"/>
      </w:r>
    </w:p>
    <w:p w:rsidR="003A1727" w:rsidP="000C29DE" w:rsidRDefault="003A1727" w14:paraId="3E6C1632" w14:textId="68594992">
      <w:pPr>
        <w:pStyle w:val="Heading4"/>
      </w:pPr>
      <w:bookmarkStart w:name="_Toc183184328" w:id="157"/>
      <w:r>
        <w:t>Updated Energy Value</w:t>
      </w:r>
      <w:bookmarkEnd w:id="157"/>
    </w:p>
    <w:p w:rsidR="00A02454" w:rsidP="00A02454" w:rsidRDefault="00A02454" w14:paraId="038200DD" w14:textId="5BF76F0C">
      <w:pPr>
        <w:pStyle w:val="Standard"/>
      </w:pPr>
      <w:r>
        <w:t xml:space="preserve">D.23-06-006 adopted an updated methodology for the first forecast MPB, the Energy Index. This updated methodology applies a time weighting to account for the differing energy prices during on-peak and off-peak periods, portfolio weighting to represent the actual value that the PCIA portfolio receives in the CAISO market, and removes data for any resources that are 300 MW or larger. For its 2025 analysis, SCE utilized historical data from </w:t>
      </w:r>
      <w:r w:rsidRPr="009E3C82">
        <w:t>its PCIA-eligible portfolio for the years 2021-2023.</w:t>
      </w:r>
      <w:r>
        <w:rPr>
          <w:rStyle w:val="FootnoteReference"/>
        </w:rPr>
        <w:footnoteReference w:id="171"/>
      </w:r>
    </w:p>
    <w:p w:rsidR="002879A7" w:rsidP="000C29DE" w:rsidRDefault="002879A7" w14:paraId="40BBC6DE" w14:textId="77777777">
      <w:pPr>
        <w:pStyle w:val="Heading4"/>
      </w:pPr>
      <w:bookmarkStart w:name="_Toc183184329" w:id="158"/>
      <w:r>
        <w:t>Updated RA Value(s)</w:t>
      </w:r>
      <w:bookmarkEnd w:id="158"/>
    </w:p>
    <w:p w:rsidR="007C4F12" w:rsidRDefault="00863C8A" w14:paraId="346A5F87" w14:textId="20BB10E5">
      <w:pPr>
        <w:pStyle w:val="Standard"/>
      </w:pPr>
      <w:r>
        <w:t xml:space="preserve">The </w:t>
      </w:r>
      <w:r w:rsidR="00686453">
        <w:t>effect of</w:t>
      </w:r>
      <w:r w:rsidR="00BD5516">
        <w:t xml:space="preserve"> th</w:t>
      </w:r>
      <w:r w:rsidR="005F4F8C">
        <w:t>e assignment of capacity to all three RA MPB</w:t>
      </w:r>
      <w:r w:rsidR="00386305">
        <w:t>s</w:t>
      </w:r>
      <w:r w:rsidR="005F4F8C">
        <w:t xml:space="preserve"> </w:t>
      </w:r>
      <w:r w:rsidR="00BD5516">
        <w:t>is a reduction in the market value o</w:t>
      </w:r>
      <w:r w:rsidR="005A78B5">
        <w:t xml:space="preserve">f RA </w:t>
      </w:r>
      <w:r w:rsidR="00F239E8">
        <w:t>c</w:t>
      </w:r>
      <w:r w:rsidR="005A78B5">
        <w:t>apacity</w:t>
      </w:r>
      <w:r w:rsidR="00CF0D31">
        <w:t xml:space="preserve">. This </w:t>
      </w:r>
      <w:r w:rsidR="00545681">
        <w:t>substitution of less valuable local</w:t>
      </w:r>
      <w:r w:rsidR="005324C6">
        <w:t xml:space="preserve"> and </w:t>
      </w:r>
      <w:r w:rsidR="005324C6">
        <w:lastRenderedPageBreak/>
        <w:t>flexible</w:t>
      </w:r>
      <w:r w:rsidR="00545681">
        <w:t xml:space="preserve"> RA capacity for </w:t>
      </w:r>
      <w:r w:rsidR="005324C6">
        <w:t xml:space="preserve">more valuable system RA </w:t>
      </w:r>
      <w:r w:rsidR="009F2BAC">
        <w:t>has a direct</w:t>
      </w:r>
      <w:r w:rsidR="00381662">
        <w:t xml:space="preserve"> impact on portfolio </w:t>
      </w:r>
      <w:r w:rsidR="007A490A">
        <w:t>valu</w:t>
      </w:r>
      <w:r w:rsidR="00F239E8">
        <w:t>e</w:t>
      </w:r>
      <w:r w:rsidR="00381662">
        <w:t xml:space="preserve">. </w:t>
      </w:r>
    </w:p>
    <w:p w:rsidR="00967608" w:rsidRDefault="00DA578A" w14:paraId="35D6360D" w14:textId="253B8ADA">
      <w:pPr>
        <w:pStyle w:val="Standard"/>
      </w:pPr>
      <w:r>
        <w:t>Weighing the record</w:t>
      </w:r>
      <w:r w:rsidRPr="007C4F12" w:rsidR="007C4F12">
        <w:t xml:space="preserve">, we find SCE’s </w:t>
      </w:r>
      <w:r w:rsidR="00837A2D">
        <w:t>treatment of R</w:t>
      </w:r>
      <w:r w:rsidR="00A025C3">
        <w:t>A resources and associated costs in the PCIA to be reasonable and</w:t>
      </w:r>
      <w:r w:rsidRPr="007C4F12" w:rsidR="007C4F12">
        <w:t xml:space="preserve"> therefore approve them as proposed</w:t>
      </w:r>
      <w:r w:rsidR="00CA14BC">
        <w:t xml:space="preserve"> in SCE’s AOU</w:t>
      </w:r>
      <w:r w:rsidRPr="007C4F12" w:rsidR="007C4F12">
        <w:t>.</w:t>
      </w:r>
    </w:p>
    <w:p w:rsidR="002879A7" w:rsidP="002879A7" w:rsidRDefault="002879A7" w14:paraId="2327A618" w14:textId="55BECB03">
      <w:pPr>
        <w:pStyle w:val="Heading4"/>
      </w:pPr>
      <w:bookmarkStart w:name="_Toc183184330" w:id="159"/>
      <w:r>
        <w:t>Updated RPS Value</w:t>
      </w:r>
      <w:bookmarkEnd w:id="159"/>
    </w:p>
    <w:p w:rsidR="000E7A23" w:rsidP="00E32631" w:rsidRDefault="004F712B" w14:paraId="1F48729D" w14:textId="3A83F16A">
      <w:pPr>
        <w:pStyle w:val="Standard"/>
      </w:pPr>
      <w:r>
        <w:t>The RPS Value is the estimated dollar value that is attributed to the renewable energy component of SCE’s PABA-eligible portfolio in a given year</w:t>
      </w:r>
      <w:r w:rsidR="00E9112A">
        <w:t>.</w:t>
      </w:r>
      <w:r w:rsidR="00E63DA5">
        <w:t xml:space="preserve"> </w:t>
      </w:r>
      <w:r w:rsidRPr="00E32631" w:rsidR="00E32631">
        <w:t xml:space="preserve">SCE’s forecast of the RPS </w:t>
      </w:r>
      <w:r w:rsidR="00DA578A">
        <w:t>v</w:t>
      </w:r>
      <w:r w:rsidRPr="00E32631" w:rsidR="00E32631">
        <w:t xml:space="preserve">alue increased compared to SCE’s </w:t>
      </w:r>
      <w:r w:rsidR="00DA578A">
        <w:t>M</w:t>
      </w:r>
      <w:r w:rsidRPr="00E32631" w:rsidR="00E32631">
        <w:t xml:space="preserve">ay </w:t>
      </w:r>
      <w:r w:rsidR="00DA578A">
        <w:t>t</w:t>
      </w:r>
      <w:r w:rsidRPr="00E32631" w:rsidR="00E32631">
        <w:t>estimony, primarily as a result of the 125 percent</w:t>
      </w:r>
      <w:r w:rsidR="00E32631">
        <w:t xml:space="preserve"> increase in the updated 2025 forecast RPS </w:t>
      </w:r>
      <w:r w:rsidR="00386305">
        <w:t>MPB</w:t>
      </w:r>
      <w:r w:rsidR="00E32631">
        <w:t>.</w:t>
      </w:r>
      <w:r w:rsidR="00D00B4E">
        <w:rPr>
          <w:rStyle w:val="FootnoteReference"/>
        </w:rPr>
        <w:footnoteReference w:id="172"/>
      </w:r>
      <w:r w:rsidR="00844EBD">
        <w:t xml:space="preserve"> </w:t>
      </w:r>
    </w:p>
    <w:p w:rsidR="002879A7" w:rsidP="00E32631" w:rsidRDefault="00844EBD" w14:paraId="3CD3AD6B" w14:textId="4A154D96">
      <w:pPr>
        <w:pStyle w:val="Standard"/>
      </w:pPr>
      <w:r>
        <w:t xml:space="preserve">SCE’s </w:t>
      </w:r>
      <w:r w:rsidR="00735050">
        <w:t>RPS volumes</w:t>
      </w:r>
      <w:r w:rsidR="002410B1">
        <w:t xml:space="preserve"> are the result of previously held RECs</w:t>
      </w:r>
      <w:r w:rsidR="00A30980">
        <w:t>, added to by PABA eligible generation and</w:t>
      </w:r>
      <w:r w:rsidR="00735050">
        <w:t xml:space="preserve"> decreased </w:t>
      </w:r>
      <w:r w:rsidR="00A30980">
        <w:t xml:space="preserve">by </w:t>
      </w:r>
      <w:r w:rsidR="00BC4492">
        <w:t>RECs surrendered to achieve SCE’s compliance obligation</w:t>
      </w:r>
      <w:r w:rsidR="00C23D3C">
        <w:t xml:space="preserve"> or sold via market offer or voluntary allocation</w:t>
      </w:r>
      <w:r w:rsidR="00E43AB7">
        <w:t xml:space="preserve"> (VA)</w:t>
      </w:r>
      <w:r w:rsidR="00C23D3C">
        <w:t xml:space="preserve">. SCE </w:t>
      </w:r>
      <w:r w:rsidR="006D4464">
        <w:t>is not holding a</w:t>
      </w:r>
      <w:r w:rsidR="007C22E9">
        <w:t xml:space="preserve"> </w:t>
      </w:r>
      <w:r w:rsidR="006D4464">
        <w:t>V</w:t>
      </w:r>
      <w:r w:rsidR="003A7681">
        <w:t xml:space="preserve">oluntary </w:t>
      </w:r>
      <w:r w:rsidR="006D4464">
        <w:t>A</w:t>
      </w:r>
      <w:r w:rsidR="003A7681">
        <w:t xml:space="preserve">llocation or </w:t>
      </w:r>
      <w:r w:rsidR="006D4464">
        <w:t>M</w:t>
      </w:r>
      <w:r w:rsidR="003A7681">
        <w:t xml:space="preserve">arket </w:t>
      </w:r>
      <w:r w:rsidR="006D4464">
        <w:t>O</w:t>
      </w:r>
      <w:r w:rsidR="003A7681">
        <w:t>ffer</w:t>
      </w:r>
      <w:r w:rsidR="006D4464">
        <w:t xml:space="preserve"> process for 2025 </w:t>
      </w:r>
      <w:r w:rsidR="00EF49DF">
        <w:t xml:space="preserve">but will </w:t>
      </w:r>
      <w:r w:rsidR="00CD5DC2">
        <w:t>continue to allocate long term VA RECs from contracts signed in 2024.</w:t>
      </w:r>
      <w:r w:rsidR="00CD5DC2">
        <w:rPr>
          <w:rStyle w:val="FootnoteReference"/>
        </w:rPr>
        <w:footnoteReference w:id="173"/>
      </w:r>
    </w:p>
    <w:p w:rsidR="00361F5A" w:rsidP="00E32631" w:rsidRDefault="00C81F0B" w14:paraId="4814D2B1" w14:textId="1429C03D">
      <w:pPr>
        <w:pStyle w:val="Standard"/>
      </w:pPr>
      <w:r>
        <w:t xml:space="preserve">SCE notes that the </w:t>
      </w:r>
      <w:r w:rsidR="00F91A4A">
        <w:t>question of how to value banked RECs used to meet RPS</w:t>
      </w:r>
      <w:r w:rsidR="00865D55">
        <w:t xml:space="preserve"> compliance requirements has been a persistent issue</w:t>
      </w:r>
      <w:r w:rsidR="00943C59">
        <w:t>, and that issue has</w:t>
      </w:r>
      <w:r w:rsidR="00DC3C79">
        <w:t xml:space="preserve"> now</w:t>
      </w:r>
      <w:r w:rsidR="00943C59">
        <w:t xml:space="preserve"> been </w:t>
      </w:r>
      <w:r w:rsidR="001805A1">
        <w:t xml:space="preserve">addressed </w:t>
      </w:r>
      <w:r w:rsidR="00943C59">
        <w:t>by D.</w:t>
      </w:r>
      <w:r w:rsidR="00DC3C79">
        <w:t>24-08-00</w:t>
      </w:r>
      <w:r w:rsidR="00E44D94">
        <w:t>4</w:t>
      </w:r>
      <w:r w:rsidR="00DC3C79">
        <w:t>.</w:t>
      </w:r>
      <w:r w:rsidR="00141A28">
        <w:rPr>
          <w:rStyle w:val="FootnoteReference"/>
        </w:rPr>
        <w:footnoteReference w:id="174"/>
      </w:r>
      <w:r w:rsidR="00DC3C79">
        <w:t xml:space="preserve"> </w:t>
      </w:r>
    </w:p>
    <w:p w:rsidR="00DC2C98" w:rsidP="00DC2C98" w:rsidRDefault="00C00E97" w14:paraId="0CCFCDFB" w14:textId="1D065834">
      <w:r>
        <w:t>S</w:t>
      </w:r>
      <w:r w:rsidR="00AA0837">
        <w:t>CE notes that s</w:t>
      </w:r>
      <w:r>
        <w:t xml:space="preserve">tarting in June 2023, </w:t>
      </w:r>
      <w:r w:rsidR="000B0D14">
        <w:t>it</w:t>
      </w:r>
      <w:r>
        <w:t xml:space="preserve"> experienced REC creation issues in </w:t>
      </w:r>
      <w:r w:rsidR="001E614D">
        <w:t xml:space="preserve">the </w:t>
      </w:r>
      <w:r w:rsidRPr="001E614D" w:rsidR="001E614D">
        <w:t>Western Renewable Energy Generation Information System</w:t>
      </w:r>
      <w:r>
        <w:t>, affecting approximately 45 percent of its REC volume.</w:t>
      </w:r>
      <w:r w:rsidR="001F5CEC">
        <w:t xml:space="preserve"> </w:t>
      </w:r>
      <w:r w:rsidR="008F733F">
        <w:t>SCE has identified the required adjustments for invoices and REC transfers in 2023</w:t>
      </w:r>
      <w:r w:rsidR="00E82E78">
        <w:t xml:space="preserve"> and does not expect there to </w:t>
      </w:r>
      <w:r w:rsidR="00E82E78">
        <w:lastRenderedPageBreak/>
        <w:t>be additional changes for 2023. Not all the billing data for 2024, however, has been finalized</w:t>
      </w:r>
      <w:r w:rsidR="00AA0837">
        <w:t>, and</w:t>
      </w:r>
      <w:r w:rsidR="000B0D14">
        <w:t xml:space="preserve"> SCE warns that</w:t>
      </w:r>
      <w:r w:rsidR="00AA0837">
        <w:t xml:space="preserve"> there may still be some adjustments to these numbers.</w:t>
      </w:r>
      <w:r w:rsidR="000B0D14">
        <w:rPr>
          <w:rStyle w:val="FootnoteReference"/>
        </w:rPr>
        <w:footnoteReference w:id="175"/>
      </w:r>
      <w:r w:rsidRPr="00DC2C98" w:rsidR="00DC2C98">
        <w:t xml:space="preserve"> </w:t>
      </w:r>
    </w:p>
    <w:p w:rsidR="00C7554C" w:rsidP="00B762A1" w:rsidRDefault="00DA578A" w14:paraId="208B0FBA" w14:textId="3C3DABA5">
      <w:pPr>
        <w:pStyle w:val="Standard"/>
      </w:pPr>
      <w:r>
        <w:t>Weighing the record</w:t>
      </w:r>
      <w:r w:rsidRPr="007C4F12" w:rsidR="00C7554C">
        <w:t xml:space="preserve">, we find SCE’s </w:t>
      </w:r>
      <w:r w:rsidR="00C7554C">
        <w:t>treatment of RPS resources to be reasonable and</w:t>
      </w:r>
      <w:r w:rsidRPr="007C4F12" w:rsidR="00C7554C">
        <w:t xml:space="preserve"> therefore approve them as proposed</w:t>
      </w:r>
      <w:r w:rsidR="002027C0">
        <w:t xml:space="preserve"> </w:t>
      </w:r>
      <w:r w:rsidR="00B55DD8">
        <w:t>for</w:t>
      </w:r>
      <w:r w:rsidR="002027C0">
        <w:t xml:space="preserve"> this proceeding</w:t>
      </w:r>
      <w:r w:rsidRPr="007C4F12" w:rsidR="00C7554C">
        <w:t>.</w:t>
      </w:r>
    </w:p>
    <w:p w:rsidR="000E7A23" w:rsidP="000C29DE" w:rsidRDefault="0002289E" w14:paraId="0974D9CE" w14:textId="7B91B383">
      <w:pPr>
        <w:pStyle w:val="Heading4"/>
      </w:pPr>
      <w:bookmarkStart w:name="_Toc183184331" w:id="160"/>
      <w:r>
        <w:t>2024 Y</w:t>
      </w:r>
      <w:r w:rsidR="00141F17">
        <w:t xml:space="preserve">ear </w:t>
      </w:r>
      <w:r>
        <w:t>E</w:t>
      </w:r>
      <w:r w:rsidR="00141F17">
        <w:t>nd</w:t>
      </w:r>
      <w:r>
        <w:t xml:space="preserve"> PABA Balance</w:t>
      </w:r>
      <w:bookmarkEnd w:id="160"/>
    </w:p>
    <w:p w:rsidR="003B6A36" w:rsidP="00690EEC" w:rsidRDefault="003B6A36" w14:paraId="673C8A8F" w14:textId="5A269744">
      <w:pPr>
        <w:pStyle w:val="Standard"/>
      </w:pPr>
      <w:r>
        <w:t>SCE’s PABA, which has subaccounts for each vintage portfolio, is used to record the</w:t>
      </w:r>
      <w:r w:rsidRPr="003B6A36">
        <w:rPr>
          <w:rFonts w:ascii="TimesNewRomanPSMT" w:hAnsi="TimesNewRomanPSMT" w:cs="TimesNewRomanPSMT"/>
          <w:sz w:val="24"/>
          <w:szCs w:val="24"/>
        </w:rPr>
        <w:t xml:space="preserve"> </w:t>
      </w:r>
      <w:r w:rsidR="00D32F64">
        <w:t xml:space="preserve">actual costs, market revenues, </w:t>
      </w:r>
      <w:r w:rsidR="00DA578A">
        <w:t>a</w:t>
      </w:r>
      <w:r w:rsidR="00D32F64">
        <w:t xml:space="preserve">ctual </w:t>
      </w:r>
      <w:r w:rsidR="00DA578A">
        <w:t>r</w:t>
      </w:r>
      <w:r w:rsidR="00D32F64">
        <w:t xml:space="preserve">etained RA and RPS </w:t>
      </w:r>
      <w:r w:rsidR="00DA578A">
        <w:t>v</w:t>
      </w:r>
      <w:r w:rsidR="00D32F64">
        <w:t>alues</w:t>
      </w:r>
      <w:r w:rsidRPr="003B6A36">
        <w:t>, and billed customer revenues associated with the CTC</w:t>
      </w:r>
      <w:r w:rsidR="00DA578A">
        <w:t xml:space="preserve"> </w:t>
      </w:r>
      <w:r w:rsidRPr="003B6A36">
        <w:t>and PCIA</w:t>
      </w:r>
      <w:r w:rsidR="00D32F64">
        <w:t>-</w:t>
      </w:r>
      <w:r w:rsidRPr="003B6A36">
        <w:t>eligible resources. The 2024 year-end PABA balance thus reflects the difference between the actual 2024 above-market costs of SCE’s CTC-and PCIA-eligible portfolio and the amount collected from customers’ CTC, PCIA and generation rates in 2024. Pursuant to D.18-10-019 and D.19-10-001, these year-end balances are then either recovered from or returned to customers in 2025 rates</w:t>
      </w:r>
      <w:r w:rsidR="00D32F64">
        <w:t xml:space="preserve">. </w:t>
      </w:r>
      <w:r w:rsidR="00980113">
        <w:t>SCE’s current estimate of the 2024 year-end balance result</w:t>
      </w:r>
      <w:r w:rsidR="00F80CB4">
        <w:t>s</w:t>
      </w:r>
      <w:r w:rsidR="00980113">
        <w:t xml:space="preserve"> in a return to custome</w:t>
      </w:r>
      <w:r w:rsidR="003E616C">
        <w:t>r</w:t>
      </w:r>
      <w:r w:rsidR="00980113">
        <w:t>s of</w:t>
      </w:r>
      <w:r w:rsidR="003E616C">
        <w:t xml:space="preserve"> $587.926 million.</w:t>
      </w:r>
      <w:r w:rsidR="00761AA7">
        <w:rPr>
          <w:rStyle w:val="FootnoteReference"/>
        </w:rPr>
        <w:footnoteReference w:id="176"/>
      </w:r>
    </w:p>
    <w:p w:rsidR="001D0E08" w:rsidP="00DA578A" w:rsidRDefault="00DA578A" w14:paraId="65563375" w14:textId="4DBE15FA">
      <w:pPr>
        <w:pStyle w:val="Standard"/>
      </w:pPr>
      <w:r>
        <w:t>Weighing the record</w:t>
      </w:r>
      <w:r w:rsidRPr="007C4F12" w:rsidR="001D0E08">
        <w:t xml:space="preserve">, we find SCE’s </w:t>
      </w:r>
      <w:r w:rsidR="00DA659A">
        <w:t xml:space="preserve">calculation of the year-end PABA </w:t>
      </w:r>
      <w:r w:rsidR="001D0E08">
        <w:t>to be reasonable and</w:t>
      </w:r>
      <w:r w:rsidRPr="007C4F12" w:rsidR="001D0E08">
        <w:t xml:space="preserve"> therefore approve </w:t>
      </w:r>
      <w:r w:rsidR="00DA659A">
        <w:t xml:space="preserve">it </w:t>
      </w:r>
      <w:r w:rsidRPr="007C4F12" w:rsidR="001D0E08">
        <w:t>as proposed.</w:t>
      </w:r>
    </w:p>
    <w:p w:rsidR="00D32F64" w:rsidP="000C29DE" w:rsidRDefault="00DA578A" w14:paraId="220C8FEB" w14:textId="39E9E156">
      <w:pPr>
        <w:pStyle w:val="Heading4"/>
      </w:pPr>
      <w:bookmarkStart w:name="_Toc183184332" w:id="161"/>
      <w:r>
        <w:t xml:space="preserve">System Reliability Procurement Memorandum Account </w:t>
      </w:r>
      <w:r w:rsidR="00D32F64">
        <w:t>Historical Costs</w:t>
      </w:r>
      <w:bookmarkEnd w:id="161"/>
    </w:p>
    <w:p w:rsidR="0002289E" w:rsidP="00D32F64" w:rsidRDefault="00AB297E" w14:paraId="21A413AF" w14:textId="7771A6C9">
      <w:pPr>
        <w:pStyle w:val="Standard"/>
      </w:pPr>
      <w:r>
        <w:t xml:space="preserve">The System Reliability Procurement Memorandum </w:t>
      </w:r>
      <w:r w:rsidR="00EB15CD">
        <w:t>A</w:t>
      </w:r>
      <w:r>
        <w:t xml:space="preserve">ccount </w:t>
      </w:r>
      <w:r w:rsidR="00247CC8">
        <w:t>track</w:t>
      </w:r>
      <w:r w:rsidR="00381583">
        <w:t>s</w:t>
      </w:r>
      <w:r w:rsidR="00247CC8">
        <w:t xml:space="preserve"> the costs of procuring capacity for </w:t>
      </w:r>
      <w:r w:rsidR="00A02A16">
        <w:t>Opt-Out and deficient LSEs</w:t>
      </w:r>
      <w:r w:rsidR="00F563C4">
        <w:t xml:space="preserve"> that</w:t>
      </w:r>
      <w:r w:rsidR="00381583">
        <w:t xml:space="preserve"> have</w:t>
      </w:r>
      <w:r w:rsidR="00F563C4">
        <w:t xml:space="preserve"> required backstop procurement, as directed in D.19-11-016 and D.21-06-035. These incurred costs </w:t>
      </w:r>
      <w:r w:rsidR="00846486">
        <w:t>are being amortized over the 2024-2026 time</w:t>
      </w:r>
      <w:r w:rsidR="00BD794E">
        <w:t>-</w:t>
      </w:r>
      <w:r w:rsidR="00846486">
        <w:t>frame</w:t>
      </w:r>
      <w:r w:rsidR="005812BE">
        <w:t xml:space="preserve"> in compliance </w:t>
      </w:r>
      <w:r w:rsidR="005812BE">
        <w:lastRenderedPageBreak/>
        <w:t>with D.22-05-015.</w:t>
      </w:r>
      <w:r w:rsidR="00BE49D2">
        <w:t xml:space="preserve">  SCE’s </w:t>
      </w:r>
      <w:r w:rsidR="0040533D">
        <w:t xml:space="preserve">Alternate </w:t>
      </w:r>
      <w:r w:rsidR="00BE49D2">
        <w:t xml:space="preserve">October </w:t>
      </w:r>
      <w:r w:rsidR="0040533D">
        <w:t xml:space="preserve">Update </w:t>
      </w:r>
      <w:r w:rsidR="00F53293">
        <w:t xml:space="preserve">includes </w:t>
      </w:r>
      <w:r w:rsidR="008E579C">
        <w:t>$7.208 million</w:t>
      </w:r>
      <w:r w:rsidR="00F53293">
        <w:t xml:space="preserve"> </w:t>
      </w:r>
      <w:r w:rsidR="00392599">
        <w:t>in</w:t>
      </w:r>
      <w:r w:rsidR="00F53293">
        <w:t xml:space="preserve"> these costs.</w:t>
      </w:r>
    </w:p>
    <w:p w:rsidR="0002289E" w:rsidP="00690EEC" w:rsidRDefault="0002289E" w14:paraId="30A5CDD7" w14:textId="423FC8D3">
      <w:pPr>
        <w:pStyle w:val="Heading4"/>
      </w:pPr>
      <w:bookmarkStart w:name="_Toc183184333" w:id="162"/>
      <w:r>
        <w:t>Utility Owned Storage</w:t>
      </w:r>
      <w:r w:rsidR="00141F17">
        <w:t xml:space="preserve"> – </w:t>
      </w:r>
      <w:r w:rsidR="00FA6ACD">
        <w:br/>
      </w:r>
      <w:r w:rsidR="00141F17">
        <w:t>Separator Facility</w:t>
      </w:r>
      <w:bookmarkEnd w:id="162"/>
    </w:p>
    <w:p w:rsidR="00291D22" w:rsidP="00966229" w:rsidRDefault="00A6143C" w14:paraId="48F836DD" w14:textId="77777777">
      <w:pPr>
        <w:pStyle w:val="Standard"/>
      </w:pPr>
      <w:bookmarkStart w:name="_Hlk149819481" w:id="163"/>
      <w:r>
        <w:t>SCE’s UOS Separator facility began countin</w:t>
      </w:r>
      <w:r w:rsidR="00044203">
        <w:t>g towards MTR procurement, effective August</w:t>
      </w:r>
      <w:r w:rsidR="00823147">
        <w:t xml:space="preserve"> 1, 2023. As per Resolution E-</w:t>
      </w:r>
      <w:r w:rsidR="004D4027">
        <w:t xml:space="preserve">5259, Separator’s costs and benefits </w:t>
      </w:r>
      <w:r w:rsidR="00102BC3">
        <w:t>will be recovered via the 2021 subaccount of the PABA in 2025.</w:t>
      </w:r>
    </w:p>
    <w:p w:rsidRPr="00DF72D7" w:rsidR="00291D22" w:rsidP="00291D22" w:rsidRDefault="00291D22" w14:paraId="504FA618" w14:textId="053606F7">
      <w:pPr>
        <w:pStyle w:val="Heading2"/>
      </w:pPr>
      <w:r w:rsidRPr="00291D22">
        <w:t xml:space="preserve"> </w:t>
      </w:r>
      <w:bookmarkStart w:name="_Toc183184334" w:id="164"/>
      <w:r w:rsidRPr="00DF72D7">
        <w:t xml:space="preserve">Resource Adequacy </w:t>
      </w:r>
      <w:r>
        <w:t>Position</w:t>
      </w:r>
      <w:r w:rsidR="004A1A07">
        <w:t xml:space="preserve"> and</w:t>
      </w:r>
      <w:r>
        <w:t xml:space="preserve"> </w:t>
      </w:r>
      <w:r w:rsidR="00FA6ACD">
        <w:br/>
      </w:r>
      <w:r>
        <w:t xml:space="preserve">Assignment to </w:t>
      </w:r>
      <w:r w:rsidR="002E2BC8">
        <w:t xml:space="preserve">MPB </w:t>
      </w:r>
      <w:r w:rsidR="004A1A07">
        <w:t>S</w:t>
      </w:r>
      <w:r w:rsidR="002E2BC8">
        <w:t>u</w:t>
      </w:r>
      <w:r w:rsidR="004A1A07">
        <w:t>bc</w:t>
      </w:r>
      <w:r>
        <w:t>ategories</w:t>
      </w:r>
      <w:bookmarkEnd w:id="164"/>
      <w:r w:rsidR="00C70E06">
        <w:t xml:space="preserve"> </w:t>
      </w:r>
    </w:p>
    <w:p w:rsidR="004962A0" w:rsidP="005717B6" w:rsidRDefault="00291D22" w14:paraId="270E8C2C" w14:textId="29710801">
      <w:pPr>
        <w:pStyle w:val="Standard"/>
        <w:rPr>
          <w:rStyle w:val="StandardChar"/>
        </w:rPr>
      </w:pPr>
      <w:r>
        <w:rPr>
          <w:rStyle w:val="StandardChar"/>
        </w:rPr>
        <w:t xml:space="preserve">The </w:t>
      </w:r>
      <w:r w:rsidR="00392599">
        <w:rPr>
          <w:rStyle w:val="StandardChar"/>
        </w:rPr>
        <w:t xml:space="preserve">contested </w:t>
      </w:r>
      <w:r>
        <w:rPr>
          <w:rStyle w:val="StandardChar"/>
        </w:rPr>
        <w:t>issues in this proceeding involve how SCE addresses its RA obligations.</w:t>
      </w:r>
      <w:r>
        <w:rPr>
          <w:rStyle w:val="FootnoteReference"/>
        </w:rPr>
        <w:footnoteReference w:id="177"/>
      </w:r>
      <w:r>
        <w:rPr>
          <w:rStyle w:val="StandardChar"/>
        </w:rPr>
        <w:t xml:space="preserve"> Each of these issues involve SCE’s implementation of methodologies for which the Commission</w:t>
      </w:r>
      <w:r w:rsidR="00BA22E7">
        <w:rPr>
          <w:rStyle w:val="StandardChar"/>
        </w:rPr>
        <w:t>’</w:t>
      </w:r>
      <w:r w:rsidR="00F7364A">
        <w:rPr>
          <w:rStyle w:val="StandardChar"/>
        </w:rPr>
        <w:t xml:space="preserve">s guidance is </w:t>
      </w:r>
      <w:r>
        <w:rPr>
          <w:rStyle w:val="StandardChar"/>
        </w:rPr>
        <w:t xml:space="preserve">not explicit. </w:t>
      </w:r>
    </w:p>
    <w:p w:rsidR="00A252B2" w:rsidP="005717B6" w:rsidRDefault="00393C68" w14:paraId="31B729B7" w14:textId="6DF4B6B5">
      <w:pPr>
        <w:pStyle w:val="Standard"/>
        <w:rPr>
          <w:rStyle w:val="StandardChar"/>
        </w:rPr>
      </w:pPr>
      <w:r>
        <w:rPr>
          <w:rStyle w:val="StandardChar"/>
        </w:rPr>
        <w:t xml:space="preserve">The </w:t>
      </w:r>
      <w:r w:rsidR="00F823E7">
        <w:rPr>
          <w:rStyle w:val="StandardChar"/>
        </w:rPr>
        <w:t>Commission has</w:t>
      </w:r>
      <w:r w:rsidR="009F73B8">
        <w:rPr>
          <w:rStyle w:val="StandardChar"/>
        </w:rPr>
        <w:t xml:space="preserve"> repeatedly </w:t>
      </w:r>
      <w:r w:rsidR="005F364D">
        <w:rPr>
          <w:rStyle w:val="StandardChar"/>
        </w:rPr>
        <w:t>found that</w:t>
      </w:r>
      <w:r w:rsidR="009F73B8">
        <w:rPr>
          <w:rStyle w:val="StandardChar"/>
        </w:rPr>
        <w:t xml:space="preserve"> </w:t>
      </w:r>
      <w:r w:rsidR="00D8023F">
        <w:rPr>
          <w:rStyle w:val="StandardChar"/>
        </w:rPr>
        <w:t xml:space="preserve">policy and rule </w:t>
      </w:r>
      <w:r w:rsidR="00D0689A">
        <w:rPr>
          <w:rStyle w:val="StandardChar"/>
        </w:rPr>
        <w:t xml:space="preserve">changes </w:t>
      </w:r>
      <w:r w:rsidR="005F364D">
        <w:rPr>
          <w:rStyle w:val="StandardChar"/>
        </w:rPr>
        <w:t>are beyond the scope</w:t>
      </w:r>
      <w:r w:rsidR="00830129">
        <w:rPr>
          <w:rStyle w:val="StandardChar"/>
        </w:rPr>
        <w:t xml:space="preserve"> of the ERRA</w:t>
      </w:r>
      <w:r w:rsidR="00DA578A">
        <w:rPr>
          <w:rStyle w:val="StandardChar"/>
        </w:rPr>
        <w:t xml:space="preserve"> forecast proceedings</w:t>
      </w:r>
      <w:r w:rsidR="005F364D">
        <w:rPr>
          <w:rStyle w:val="StandardChar"/>
        </w:rPr>
        <w:t>.</w:t>
      </w:r>
      <w:r w:rsidR="001D0F92">
        <w:rPr>
          <w:rStyle w:val="FootnoteReference"/>
        </w:rPr>
        <w:footnoteReference w:id="178"/>
      </w:r>
      <w:r w:rsidR="000A5006">
        <w:rPr>
          <w:rStyle w:val="StandardChar"/>
        </w:rPr>
        <w:t xml:space="preserve"> Th</w:t>
      </w:r>
      <w:r w:rsidR="001B3C32">
        <w:rPr>
          <w:rStyle w:val="StandardChar"/>
        </w:rPr>
        <w:t>e October 8</w:t>
      </w:r>
      <w:r w:rsidR="00A11713">
        <w:rPr>
          <w:rStyle w:val="StandardChar"/>
        </w:rPr>
        <w:t>, 2024</w:t>
      </w:r>
      <w:r w:rsidR="001B3C32">
        <w:rPr>
          <w:rStyle w:val="StandardChar"/>
        </w:rPr>
        <w:t xml:space="preserve"> assigned ALJ ruling </w:t>
      </w:r>
      <w:r w:rsidR="00AE7C56">
        <w:rPr>
          <w:rStyle w:val="StandardChar"/>
        </w:rPr>
        <w:t>clarifies that issues such as whether the MPB methodology should be changed are out</w:t>
      </w:r>
      <w:r w:rsidR="008028CE">
        <w:rPr>
          <w:rStyle w:val="StandardChar"/>
        </w:rPr>
        <w:t>side the scope of this proceeding.</w:t>
      </w:r>
      <w:r w:rsidR="008028CE">
        <w:rPr>
          <w:rStyle w:val="FootnoteReference"/>
        </w:rPr>
        <w:footnoteReference w:id="179"/>
      </w:r>
      <w:r w:rsidR="003146EC">
        <w:rPr>
          <w:rStyle w:val="StandardChar"/>
        </w:rPr>
        <w:t xml:space="preserve"> AReM and DACC </w:t>
      </w:r>
      <w:r w:rsidR="00082450">
        <w:rPr>
          <w:rStyle w:val="StandardChar"/>
        </w:rPr>
        <w:t>note that ERRA proceedings are not the appropriate vehicle for major policy changes.</w:t>
      </w:r>
      <w:r w:rsidR="00C01A72">
        <w:rPr>
          <w:rStyle w:val="FootnoteReference"/>
        </w:rPr>
        <w:footnoteReference w:id="180"/>
      </w:r>
      <w:r w:rsidR="00F77F1A">
        <w:rPr>
          <w:rStyle w:val="StandardChar"/>
        </w:rPr>
        <w:t xml:space="preserve"> </w:t>
      </w:r>
      <w:r w:rsidR="006B52B3">
        <w:rPr>
          <w:rStyle w:val="StandardChar"/>
        </w:rPr>
        <w:t>CalCCA</w:t>
      </w:r>
      <w:r w:rsidR="006C7C2A">
        <w:rPr>
          <w:rStyle w:val="StandardChar"/>
        </w:rPr>
        <w:t xml:space="preserve"> notes that the Commission generally does not allow policymaking in ERRA Forecast </w:t>
      </w:r>
      <w:r w:rsidR="00256F53">
        <w:rPr>
          <w:rStyle w:val="StandardChar"/>
        </w:rPr>
        <w:t>c</w:t>
      </w:r>
      <w:r w:rsidR="006C7C2A">
        <w:rPr>
          <w:rStyle w:val="StandardChar"/>
        </w:rPr>
        <w:t>ases</w:t>
      </w:r>
      <w:r w:rsidR="00BA3F3C">
        <w:rPr>
          <w:rStyle w:val="StandardChar"/>
        </w:rPr>
        <w:t>.</w:t>
      </w:r>
      <w:r w:rsidR="006B52B3">
        <w:rPr>
          <w:rStyle w:val="FootnoteReference"/>
        </w:rPr>
        <w:footnoteReference w:id="181"/>
      </w:r>
      <w:r w:rsidR="0084548F">
        <w:rPr>
          <w:rStyle w:val="StandardChar"/>
        </w:rPr>
        <w:t xml:space="preserve"> </w:t>
      </w:r>
    </w:p>
    <w:p w:rsidRPr="00726E3E" w:rsidR="00291D22" w:rsidP="00291D22" w:rsidRDefault="002D7751" w14:paraId="756ACB70" w14:textId="49689A6A">
      <w:pPr>
        <w:pStyle w:val="Heading3"/>
        <w:rPr>
          <w:rStyle w:val="StandardChar"/>
          <w:rFonts w:ascii="Arial" w:hAnsi="Arial"/>
        </w:rPr>
      </w:pPr>
      <w:bookmarkStart w:name="_Toc183184335" w:id="165"/>
      <w:r>
        <w:rPr>
          <w:rStyle w:val="StandardChar"/>
          <w:rFonts w:ascii="Arial" w:hAnsi="Arial"/>
        </w:rPr>
        <w:t xml:space="preserve">Interim </w:t>
      </w:r>
      <w:r w:rsidRPr="00726E3E" w:rsidR="00291D22">
        <w:rPr>
          <w:rStyle w:val="StandardChar"/>
          <w:rFonts w:ascii="Arial" w:hAnsi="Arial"/>
        </w:rPr>
        <w:t>Slice of Day Methodology</w:t>
      </w:r>
      <w:bookmarkEnd w:id="165"/>
    </w:p>
    <w:p w:rsidR="00291D22" w:rsidP="00291D22" w:rsidRDefault="00291D22" w14:paraId="1D0B8439" w14:textId="31E05B11">
      <w:pPr>
        <w:pStyle w:val="Standard"/>
        <w:rPr>
          <w:rStyle w:val="StandardChar"/>
        </w:rPr>
      </w:pPr>
      <w:r>
        <w:rPr>
          <w:rStyle w:val="StandardChar"/>
        </w:rPr>
        <w:t xml:space="preserve">SCE proposes a methodology for forecasting its 2025 RA position based on the slice of day framework that takes effect in 2025. </w:t>
      </w:r>
    </w:p>
    <w:p w:rsidR="00EA5755" w:rsidP="00291D22" w:rsidRDefault="00291D22" w14:paraId="526B6EDE" w14:textId="77777777">
      <w:pPr>
        <w:pStyle w:val="Standard"/>
        <w:rPr>
          <w:rStyle w:val="StandardChar"/>
        </w:rPr>
      </w:pPr>
      <w:r>
        <w:rPr>
          <w:rStyle w:val="StandardChar"/>
        </w:rPr>
        <w:lastRenderedPageBreak/>
        <w:t>CalCCA objects to this methodology, asserting that it does not adequately (1) comply with the authorized PCIA methodology, (2) comprehensively address assignment of RA quantity and price, or (3) provide a price that is granular enough to reflect the specific value of resources under the SOD framework.</w:t>
      </w:r>
      <w:r>
        <w:rPr>
          <w:rStyle w:val="FootnoteReference"/>
        </w:rPr>
        <w:footnoteReference w:id="182"/>
      </w:r>
      <w:r>
        <w:rPr>
          <w:rStyle w:val="StandardChar"/>
        </w:rPr>
        <w:t xml:space="preserve"> SCE characterizes its SOD framework as a reasonable interim approach to account for a known compliance </w:t>
      </w:r>
      <w:r w:rsidR="00C908B2">
        <w:rPr>
          <w:rStyle w:val="StandardChar"/>
        </w:rPr>
        <w:t>obligation</w:t>
      </w:r>
      <w:r w:rsidR="00C908B2">
        <w:rPr>
          <w:rStyle w:val="FootnoteReference"/>
        </w:rPr>
        <w:footnoteReference w:id="183"/>
      </w:r>
      <w:r w:rsidR="00C908B2">
        <w:rPr>
          <w:rStyle w:val="StandardChar"/>
        </w:rPr>
        <w:t xml:space="preserve"> </w:t>
      </w:r>
      <w:r>
        <w:rPr>
          <w:rStyle w:val="StandardChar"/>
        </w:rPr>
        <w:t>and clarifies that (1) it is not proposing that this framework be a precedential methodology and (2) the framework may be refined in future years.</w:t>
      </w:r>
      <w:r>
        <w:rPr>
          <w:rStyle w:val="FootnoteReference"/>
        </w:rPr>
        <w:footnoteReference w:id="184"/>
      </w:r>
      <w:r>
        <w:rPr>
          <w:rStyle w:val="StandardChar"/>
        </w:rPr>
        <w:t xml:space="preserve">  </w:t>
      </w:r>
      <w:r w:rsidR="00BE46A5">
        <w:rPr>
          <w:rStyle w:val="StandardChar"/>
        </w:rPr>
        <w:t xml:space="preserve">SCE asserts that this methodology is </w:t>
      </w:r>
      <w:r w:rsidR="0096730B">
        <w:rPr>
          <w:rStyle w:val="StandardChar"/>
        </w:rPr>
        <w:t xml:space="preserve">being employed to align the RA quantity calculation to account for </w:t>
      </w:r>
    </w:p>
    <w:p w:rsidR="00291D22" w:rsidP="00EA5755" w:rsidRDefault="0096730B" w14:paraId="5DDC2DFC" w14:textId="0FB5F457">
      <w:pPr>
        <w:pStyle w:val="Standard"/>
        <w:ind w:firstLine="0"/>
        <w:rPr>
          <w:rStyle w:val="StandardChar"/>
        </w:rPr>
      </w:pPr>
      <w:r>
        <w:rPr>
          <w:rStyle w:val="StandardChar"/>
        </w:rPr>
        <w:t xml:space="preserve">CPUC-adopted changes in how RA resources are counted </w:t>
      </w:r>
      <w:r w:rsidR="00485CD1">
        <w:rPr>
          <w:rStyle w:val="StandardChar"/>
        </w:rPr>
        <w:t>for compliance purposes.</w:t>
      </w:r>
      <w:r w:rsidR="00485CD1">
        <w:rPr>
          <w:rStyle w:val="FootnoteReference"/>
        </w:rPr>
        <w:footnoteReference w:id="185"/>
      </w:r>
    </w:p>
    <w:p w:rsidR="00291D22" w:rsidP="00291D22" w:rsidRDefault="00291D22" w14:paraId="62DD0DFD" w14:textId="736CA07A">
      <w:pPr>
        <w:pStyle w:val="Standard"/>
        <w:rPr>
          <w:rStyle w:val="StandardChar"/>
        </w:rPr>
      </w:pPr>
      <w:r>
        <w:rPr>
          <w:rStyle w:val="StandardChar"/>
        </w:rPr>
        <w:t>Both SCE and CalCCA acknowledge that both (1) the effect that the SOD framework has on the valuation of storage and hybrid resources and (2) the methodology for characterizing these resources within the SOD are not settled issues and will likely evolve over time.</w:t>
      </w:r>
      <w:r w:rsidR="00873419">
        <w:rPr>
          <w:rStyle w:val="FootnoteReference"/>
        </w:rPr>
        <w:footnoteReference w:id="186"/>
      </w:r>
    </w:p>
    <w:p w:rsidR="00291D22" w:rsidP="00041A09" w:rsidRDefault="00291D22" w14:paraId="2B7B1368" w14:textId="29F1C9EF">
      <w:pPr>
        <w:pStyle w:val="Standard"/>
        <w:rPr>
          <w:rStyle w:val="StandardChar"/>
        </w:rPr>
      </w:pPr>
      <w:r>
        <w:rPr>
          <w:rStyle w:val="StandardChar"/>
        </w:rPr>
        <w:t>Both SCE and CalCCA recognize that there is no current methodology to obtain an hourly structured price curve and that implementing such a curve would require action by th</w:t>
      </w:r>
      <w:r w:rsidRPr="00003DD0">
        <w:rPr>
          <w:rStyle w:val="StandardChar"/>
        </w:rPr>
        <w:t>e Commission that cannot reasonably occur prior to the setting</w:t>
      </w:r>
      <w:r>
        <w:rPr>
          <w:rStyle w:val="StandardChar"/>
        </w:rPr>
        <w:t xml:space="preserve"> </w:t>
      </w:r>
      <w:r w:rsidRPr="00003DD0">
        <w:rPr>
          <w:rStyle w:val="StandardChar"/>
        </w:rPr>
        <w:t>of 2025 forecast rates.</w:t>
      </w:r>
      <w:r>
        <w:rPr>
          <w:rStyle w:val="FootnoteReference"/>
        </w:rPr>
        <w:footnoteReference w:id="187"/>
      </w:r>
      <w:r w:rsidR="00693660">
        <w:rPr>
          <w:rStyle w:val="StandardChar"/>
        </w:rPr>
        <w:t xml:space="preserve"> </w:t>
      </w:r>
      <w:r w:rsidR="001E6AF8">
        <w:rPr>
          <w:rStyle w:val="StandardChar"/>
        </w:rPr>
        <w:t xml:space="preserve">CalCCA </w:t>
      </w:r>
      <w:r w:rsidR="00B7781F">
        <w:rPr>
          <w:rStyle w:val="StandardChar"/>
        </w:rPr>
        <w:t xml:space="preserve">asserts that the impact of SOD on the value of the IOUs’ capacity portfolios deserves the Commission’s full </w:t>
      </w:r>
      <w:r w:rsidR="00B7781F">
        <w:rPr>
          <w:rStyle w:val="StandardChar"/>
        </w:rPr>
        <w:lastRenderedPageBreak/>
        <w:t>consideration.</w:t>
      </w:r>
      <w:r w:rsidR="00B7781F">
        <w:rPr>
          <w:rStyle w:val="FootnoteReference"/>
        </w:rPr>
        <w:footnoteReference w:id="188"/>
      </w:r>
      <w:r w:rsidR="00B7781F">
        <w:rPr>
          <w:rStyle w:val="StandardChar"/>
        </w:rPr>
        <w:t xml:space="preserve"> </w:t>
      </w:r>
      <w:r w:rsidR="000C0D16">
        <w:rPr>
          <w:rStyle w:val="StandardChar"/>
        </w:rPr>
        <w:t>CalCCA</w:t>
      </w:r>
      <w:r w:rsidR="00305564">
        <w:rPr>
          <w:rStyle w:val="StandardChar"/>
        </w:rPr>
        <w:t xml:space="preserve"> observes that </w:t>
      </w:r>
      <w:r w:rsidR="00DA578A">
        <w:rPr>
          <w:rStyle w:val="StandardChar"/>
        </w:rPr>
        <w:t xml:space="preserve">the Commission’s </w:t>
      </w:r>
      <w:r w:rsidRPr="005A6B78" w:rsidR="00305564">
        <w:t>Energy Division will likely need to gather more transactional data than it</w:t>
      </w:r>
      <w:r w:rsidR="00305564">
        <w:t xml:space="preserve"> </w:t>
      </w:r>
      <w:r w:rsidRPr="005A6B78" w:rsidR="00305564">
        <w:t>currently does to understand and quantify the impact of SOD in the market, including whether RA prices vary based on the underlying resource technologies</w:t>
      </w:r>
      <w:r w:rsidR="00305564">
        <w:t>.</w:t>
      </w:r>
      <w:r w:rsidR="00305564">
        <w:rPr>
          <w:rStyle w:val="FootnoteReference"/>
        </w:rPr>
        <w:footnoteReference w:id="189"/>
      </w:r>
      <w:r w:rsidR="00375003">
        <w:t xml:space="preserve"> </w:t>
      </w:r>
      <w:r w:rsidR="00693660">
        <w:rPr>
          <w:rStyle w:val="StandardChar"/>
        </w:rPr>
        <w:t xml:space="preserve">CalCCA </w:t>
      </w:r>
      <w:r w:rsidR="00DA578A">
        <w:rPr>
          <w:rStyle w:val="StandardChar"/>
        </w:rPr>
        <w:t>argues</w:t>
      </w:r>
      <w:r w:rsidR="00760609">
        <w:rPr>
          <w:rStyle w:val="StandardChar"/>
        </w:rPr>
        <w:t xml:space="preserve"> that </w:t>
      </w:r>
      <w:r w:rsidR="00453C1B">
        <w:rPr>
          <w:rStyle w:val="StandardChar"/>
        </w:rPr>
        <w:t>the Commission should further consider these issues in separate ratemaking.</w:t>
      </w:r>
      <w:r w:rsidR="00453C1B">
        <w:rPr>
          <w:rStyle w:val="FootnoteReference"/>
        </w:rPr>
        <w:footnoteReference w:id="190"/>
      </w:r>
    </w:p>
    <w:p w:rsidRPr="00FA6ACD" w:rsidR="00291D22" w:rsidP="00291D22" w:rsidRDefault="00291D22" w14:paraId="2BA44BC2" w14:textId="09FE1A28">
      <w:pPr>
        <w:pStyle w:val="Heading3"/>
        <w:rPr>
          <w:rStyle w:val="StandardChar"/>
          <w:rFonts w:ascii="Arial" w:hAnsi="Arial" w:cs="Arial"/>
        </w:rPr>
      </w:pPr>
      <w:bookmarkStart w:name="_Toc183184336" w:id="166"/>
      <w:r w:rsidRPr="00FA6ACD">
        <w:rPr>
          <w:rStyle w:val="StandardChar"/>
          <w:rFonts w:ascii="Arial" w:hAnsi="Arial" w:cs="Arial"/>
        </w:rPr>
        <w:t xml:space="preserve">Assignment of Capacity to Local, </w:t>
      </w:r>
      <w:r w:rsidR="00FA6ACD">
        <w:rPr>
          <w:rStyle w:val="StandardChar"/>
          <w:rFonts w:ascii="Arial" w:hAnsi="Arial" w:cs="Arial"/>
        </w:rPr>
        <w:br/>
      </w:r>
      <w:r w:rsidRPr="00FA6ACD">
        <w:rPr>
          <w:rStyle w:val="StandardChar"/>
          <w:rFonts w:ascii="Arial" w:hAnsi="Arial" w:cs="Arial"/>
        </w:rPr>
        <w:t>System, and Flexible RA MPBs</w:t>
      </w:r>
      <w:bookmarkEnd w:id="166"/>
    </w:p>
    <w:p w:rsidR="00291D22" w:rsidP="00291D22" w:rsidRDefault="00291D22" w14:paraId="58FB162F" w14:textId="7EAAC043">
      <w:pPr>
        <w:pStyle w:val="Standard"/>
      </w:pPr>
      <w:r>
        <w:t>SCE’s AOU and ROU forecasts differ only in that the AOU assigns RA capacity to each of the three subcategories</w:t>
      </w:r>
      <w:r w:rsidR="007D5998">
        <w:t xml:space="preserve"> according to </w:t>
      </w:r>
      <w:r w:rsidR="00E05C9F">
        <w:t>the D.18-10-019 MPB methodology</w:t>
      </w:r>
      <w:r>
        <w:t xml:space="preserve"> while the ROU attributes RA capacity</w:t>
      </w:r>
      <w:r w:rsidR="00FA46F8">
        <w:t xml:space="preserve"> between </w:t>
      </w:r>
      <w:r>
        <w:t>the system</w:t>
      </w:r>
      <w:r w:rsidR="00FA46F8">
        <w:t xml:space="preserve"> and flex subcategories in alignment with their </w:t>
      </w:r>
      <w:r w:rsidR="001F3143">
        <w:t>calculated Month-Ahead</w:t>
      </w:r>
      <w:r>
        <w:t xml:space="preserve"> RA</w:t>
      </w:r>
      <w:r w:rsidR="001F3143">
        <w:t xml:space="preserve"> position</w:t>
      </w:r>
      <w:r>
        <w:t>.</w:t>
      </w:r>
      <w:r>
        <w:rPr>
          <w:rStyle w:val="FootnoteReference"/>
        </w:rPr>
        <w:footnoteReference w:id="191"/>
      </w:r>
    </w:p>
    <w:p w:rsidR="00291D22" w:rsidP="00291D22" w:rsidRDefault="00291D22" w14:paraId="338EF892" w14:textId="32F078D9">
      <w:pPr>
        <w:pStyle w:val="Standard"/>
      </w:pPr>
      <w:r>
        <w:t>CalCCA objects to SCE’s proposal to reassign RA to the local categor</w:t>
      </w:r>
      <w:r w:rsidR="00474186">
        <w:t>y</w:t>
      </w:r>
      <w:r>
        <w:t xml:space="preserve"> in late October, noting that it had ample opportunity to do so earlier in the process.</w:t>
      </w:r>
      <w:r w:rsidR="005B58FD">
        <w:rPr>
          <w:rStyle w:val="FootnoteReference"/>
        </w:rPr>
        <w:footnoteReference w:id="192"/>
      </w:r>
      <w:r>
        <w:t xml:space="preserve"> They further object to SCE’s rationale for doing so, </w:t>
      </w:r>
      <w:r w:rsidR="00775A6F">
        <w:t xml:space="preserve">asserting that this proposal </w:t>
      </w:r>
      <w:r w:rsidR="0069313B">
        <w:t>ceases to value SCE’s PCIA portfolio according to how SCE’s customer</w:t>
      </w:r>
      <w:r w:rsidR="00B046A7">
        <w:t>s</w:t>
      </w:r>
      <w:r w:rsidR="0069313B">
        <w:t xml:space="preserve"> actually benefit from it</w:t>
      </w:r>
      <w:r w:rsidR="0069313B">
        <w:rPr>
          <w:rStyle w:val="FootnoteReference"/>
        </w:rPr>
        <w:footnoteReference w:id="193"/>
      </w:r>
      <w:r w:rsidR="00B046A7">
        <w:t xml:space="preserve"> and that the</w:t>
      </w:r>
      <w:r w:rsidR="0046719D">
        <w:t xml:space="preserve"> </w:t>
      </w:r>
      <w:r w:rsidR="00D14B86">
        <w:t>1.1% increase</w:t>
      </w:r>
      <w:r w:rsidR="004C536A">
        <w:t xml:space="preserve"> relative to current</w:t>
      </w:r>
      <w:r w:rsidR="00D14B86">
        <w:t xml:space="preserve"> bundled rates</w:t>
      </w:r>
      <w:r w:rsidR="00561EF3">
        <w:t xml:space="preserve"> </w:t>
      </w:r>
      <w:r w:rsidR="004C536A">
        <w:t xml:space="preserve">does not </w:t>
      </w:r>
      <w:r w:rsidR="00285F2E">
        <w:t>constitute rate volatility</w:t>
      </w:r>
      <w:r w:rsidR="00F20A3E">
        <w:t>.</w:t>
      </w:r>
      <w:r w:rsidR="00285F2E">
        <w:rPr>
          <w:rStyle w:val="FootnoteReference"/>
        </w:rPr>
        <w:footnoteReference w:id="194"/>
      </w:r>
    </w:p>
    <w:p w:rsidR="00291D22" w:rsidP="00291D22" w:rsidRDefault="00291D22" w14:paraId="0EE2B74F" w14:textId="5F2452B1">
      <w:pPr>
        <w:pStyle w:val="Standard"/>
      </w:pPr>
      <w:r>
        <w:lastRenderedPageBreak/>
        <w:t>SCE notes that</w:t>
      </w:r>
      <w:r w:rsidR="00F95DA8">
        <w:t xml:space="preserve"> it</w:t>
      </w:r>
      <w:r>
        <w:t xml:space="preserve"> made this change in methodology in prior ERRA forecast proceedings and assert that this proceeding allows it the discretion to revert to its prior methodology.</w:t>
      </w:r>
      <w:r w:rsidR="00261354">
        <w:rPr>
          <w:rStyle w:val="FootnoteReference"/>
        </w:rPr>
        <w:footnoteReference w:id="195"/>
      </w:r>
      <w:r>
        <w:t xml:space="preserve"> </w:t>
      </w:r>
    </w:p>
    <w:p w:rsidR="00291D22" w:rsidP="00FE71F5" w:rsidRDefault="00291D22" w14:paraId="731AD760" w14:textId="619CFD3C">
      <w:pPr>
        <w:pStyle w:val="Standard"/>
      </w:pPr>
      <w:r>
        <w:t>The D.18-10-019 language cited clearly establishes the process for assigning RA capacity to RA subcategories. The</w:t>
      </w:r>
      <w:r w:rsidR="00FE557A">
        <w:t xml:space="preserve"> decision</w:t>
      </w:r>
      <w:r>
        <w:t xml:space="preserve"> language preceding this assignment process clearly articulates that it is adopting parties’ proposals for estimating and refining the RA </w:t>
      </w:r>
      <w:r w:rsidR="00386305">
        <w:t>MPB</w:t>
      </w:r>
      <w:r>
        <w:t>.</w:t>
      </w:r>
      <w:r w:rsidR="00FE557A">
        <w:rPr>
          <w:rStyle w:val="FootnoteReference"/>
        </w:rPr>
        <w:footnoteReference w:id="196"/>
      </w:r>
      <w:r>
        <w:t xml:space="preserve"> </w:t>
      </w:r>
      <w:r w:rsidR="00450FE6">
        <w:t xml:space="preserve">As </w:t>
      </w:r>
      <w:r w:rsidR="00481EB8">
        <w:t>the decision</w:t>
      </w:r>
      <w:r>
        <w:t xml:space="preserve"> language is silent on both the rationale behind the order of assignment to RA subcategories within this process and on the assignment of RA capacity to these </w:t>
      </w:r>
      <w:r w:rsidR="00386305">
        <w:t xml:space="preserve">MPBs </w:t>
      </w:r>
      <w:r>
        <w:t>for the purpose of valuation</w:t>
      </w:r>
      <w:r w:rsidR="00481EB8">
        <w:t xml:space="preserve">, </w:t>
      </w:r>
      <w:r w:rsidR="00303E65">
        <w:t>D.18-10-019</w:t>
      </w:r>
      <w:r w:rsidR="00820575">
        <w:t xml:space="preserve"> </w:t>
      </w:r>
      <w:r w:rsidR="00B71A9F">
        <w:t>does not provide guidance on these questions.</w:t>
      </w:r>
      <w:r w:rsidR="00591A56">
        <w:t xml:space="preserve"> </w:t>
      </w:r>
      <w:r w:rsidR="00673FD0">
        <w:t>T</w:t>
      </w:r>
      <w:r w:rsidR="00591A56">
        <w:t xml:space="preserve">here </w:t>
      </w:r>
      <w:r w:rsidR="00D04FAE">
        <w:t xml:space="preserve">is </w:t>
      </w:r>
      <w:r w:rsidR="00673FD0">
        <w:t xml:space="preserve">currently </w:t>
      </w:r>
      <w:r w:rsidR="00481EB8">
        <w:t>no</w:t>
      </w:r>
      <w:r w:rsidR="00B604BF">
        <w:t xml:space="preserve"> policy or rule </w:t>
      </w:r>
      <w:r w:rsidR="00820575">
        <w:t>governing th</w:t>
      </w:r>
      <w:r w:rsidR="009D0D77">
        <w:t>e methodology for</w:t>
      </w:r>
      <w:r w:rsidR="00D04FAE">
        <w:t xml:space="preserve"> assign</w:t>
      </w:r>
      <w:r w:rsidR="009D0D77">
        <w:t xml:space="preserve">ing capacity to </w:t>
      </w:r>
      <w:r w:rsidR="004F64EE">
        <w:t>RA subcategories for the purpose of valuation.</w:t>
      </w:r>
      <w:r w:rsidR="00BC4F89">
        <w:t xml:space="preserve"> Establishing </w:t>
      </w:r>
      <w:r w:rsidR="00E17310">
        <w:t>such a policy or rule is outside the scope of this proceeding.</w:t>
      </w:r>
    </w:p>
    <w:p w:rsidRPr="001B5C4D" w:rsidR="00D06D7C" w:rsidP="001B5C4D" w:rsidRDefault="00D06D7C" w14:paraId="6FF1C8A8" w14:textId="081305A0">
      <w:pPr>
        <w:pStyle w:val="Heading3"/>
        <w:rPr>
          <w:rStyle w:val="StandardChar"/>
          <w:rFonts w:ascii="Arial" w:hAnsi="Arial"/>
        </w:rPr>
      </w:pPr>
      <w:bookmarkStart w:name="_Toc183184337" w:id="167"/>
      <w:r w:rsidRPr="001B5C4D">
        <w:rPr>
          <w:rStyle w:val="StandardChar"/>
          <w:rFonts w:ascii="Arial" w:hAnsi="Arial"/>
        </w:rPr>
        <w:t xml:space="preserve">Ensuring that the Full Volume </w:t>
      </w:r>
      <w:r w:rsidR="00EA5755">
        <w:rPr>
          <w:rStyle w:val="StandardChar"/>
          <w:rFonts w:ascii="Arial" w:hAnsi="Arial"/>
        </w:rPr>
        <w:br/>
      </w:r>
      <w:r w:rsidRPr="001B5C4D">
        <w:rPr>
          <w:rStyle w:val="StandardChar"/>
          <w:rFonts w:ascii="Arial" w:hAnsi="Arial"/>
        </w:rPr>
        <w:t>of Excess RA is Sold</w:t>
      </w:r>
      <w:bookmarkEnd w:id="167"/>
    </w:p>
    <w:p w:rsidR="00D06D7C" w:rsidP="00AD1F3D" w:rsidRDefault="003D00B5" w14:paraId="2AB4D14B" w14:textId="28404A69">
      <w:pPr>
        <w:pStyle w:val="Standard"/>
        <w:rPr>
          <w:rStyle w:val="StandardChar"/>
        </w:rPr>
      </w:pPr>
      <w:r w:rsidRPr="00A00701">
        <w:t xml:space="preserve">CalCCA </w:t>
      </w:r>
      <w:r w:rsidRPr="00A00701" w:rsidR="00AF6058">
        <w:t xml:space="preserve">raises </w:t>
      </w:r>
      <w:r w:rsidRPr="00A00701" w:rsidR="00A3278E">
        <w:t>the issue of ensuring th</w:t>
      </w:r>
      <w:r w:rsidRPr="00A00701" w:rsidR="000A4902">
        <w:t xml:space="preserve">at the volume of excess RA </w:t>
      </w:r>
      <w:r w:rsidR="00C010CF">
        <w:t>is</w:t>
      </w:r>
      <w:r w:rsidRPr="00A00701" w:rsidR="000A4902">
        <w:t xml:space="preserve"> </w:t>
      </w:r>
      <w:r w:rsidRPr="00A00701" w:rsidR="00493505">
        <w:t xml:space="preserve">properly </w:t>
      </w:r>
      <w:r w:rsidRPr="00A00701" w:rsidR="007067E9">
        <w:t>forecast</w:t>
      </w:r>
      <w:r w:rsidRPr="00A00701" w:rsidR="000A4902">
        <w:t xml:space="preserve"> and </w:t>
      </w:r>
      <w:r w:rsidRPr="00A00701" w:rsidR="00F64CD5">
        <w:t>sold when possible.</w:t>
      </w:r>
      <w:r w:rsidRPr="00A00701" w:rsidR="00493505">
        <w:rPr>
          <w:rStyle w:val="FootnoteReference"/>
        </w:rPr>
        <w:footnoteReference w:id="197"/>
      </w:r>
      <w:r w:rsidRPr="00A00701" w:rsidR="005B1BF4">
        <w:t xml:space="preserve"> </w:t>
      </w:r>
      <w:r w:rsidRPr="00A00701" w:rsidR="007067E9">
        <w:t xml:space="preserve">SCE </w:t>
      </w:r>
      <w:r w:rsidRPr="00A00701" w:rsidR="004D0683">
        <w:t>ma</w:t>
      </w:r>
      <w:r w:rsidR="00424919">
        <w:t>k</w:t>
      </w:r>
      <w:r w:rsidRPr="00A00701" w:rsidR="004D0683">
        <w:t>e</w:t>
      </w:r>
      <w:r w:rsidRPr="00A00701" w:rsidR="00B7300D">
        <w:t>s</w:t>
      </w:r>
      <w:r w:rsidRPr="00A00701" w:rsidR="004D0683">
        <w:t xml:space="preserve"> corrections </w:t>
      </w:r>
      <w:r w:rsidRPr="00A00701" w:rsidR="00063ADE">
        <w:t xml:space="preserve">and adopts some </w:t>
      </w:r>
      <w:r w:rsidRPr="00A00701" w:rsidR="00D904C7">
        <w:t>CalCCA proposals</w:t>
      </w:r>
      <w:r w:rsidR="00BF376A">
        <w:t>.</w:t>
      </w:r>
      <w:r w:rsidRPr="00A00701" w:rsidR="00D904C7">
        <w:rPr>
          <w:rStyle w:val="FootnoteReference"/>
        </w:rPr>
        <w:footnoteReference w:id="198"/>
      </w:r>
      <w:r w:rsidRPr="00A00701" w:rsidR="00600D45">
        <w:t xml:space="preserve"> SCE further notes that their </w:t>
      </w:r>
      <w:r w:rsidRPr="00A00701" w:rsidR="00091C59">
        <w:t xml:space="preserve">methodology for forecasting </w:t>
      </w:r>
      <w:r w:rsidRPr="00A00701" w:rsidR="001059CC">
        <w:t>sold</w:t>
      </w:r>
      <w:r w:rsidRPr="00A00701" w:rsidR="00091C59">
        <w:t xml:space="preserve"> RA is the same as</w:t>
      </w:r>
      <w:r w:rsidRPr="00A00701" w:rsidR="001059CC">
        <w:t xml:space="preserve"> it has used in </w:t>
      </w:r>
      <w:r w:rsidRPr="00A00701" w:rsidR="009041E4">
        <w:t xml:space="preserve">at least the past four ERRA </w:t>
      </w:r>
      <w:r w:rsidRPr="00A00701" w:rsidR="009041E4">
        <w:lastRenderedPageBreak/>
        <w:t>forecast proceedings</w:t>
      </w:r>
      <w:r w:rsidRPr="00A00701" w:rsidR="009041E4">
        <w:rPr>
          <w:rStyle w:val="FootnoteReference"/>
        </w:rPr>
        <w:footnoteReference w:id="199"/>
      </w:r>
      <w:r w:rsidRPr="00A00701" w:rsidR="00DA7E94">
        <w:t xml:space="preserve"> and </w:t>
      </w:r>
      <w:r w:rsidRPr="00A00701" w:rsidR="00A00701">
        <w:t>provides</w:t>
      </w:r>
      <w:r w:rsidRPr="00A00701" w:rsidR="00DA7E94">
        <w:t xml:space="preserve"> a detailed reply to CalCCA’s arguments.</w:t>
      </w:r>
      <w:r w:rsidRPr="00A00701" w:rsidR="00DA7E94">
        <w:rPr>
          <w:rStyle w:val="FootnoteReference"/>
        </w:rPr>
        <w:footnoteReference w:id="200"/>
      </w:r>
      <w:r w:rsidRPr="00A00701" w:rsidR="000463E0">
        <w:t xml:space="preserve"> </w:t>
      </w:r>
      <w:r w:rsidR="00D82183">
        <w:t>Ultimately</w:t>
      </w:r>
      <w:r w:rsidRPr="00A00701" w:rsidR="00795B53">
        <w:t>, b</w:t>
      </w:r>
      <w:r w:rsidRPr="00A00701" w:rsidR="000463E0">
        <w:t xml:space="preserve">oth SCE and CalCCA </w:t>
      </w:r>
      <w:r w:rsidRPr="00A00701" w:rsidR="00795B53">
        <w:t>omit this</w:t>
      </w:r>
      <w:r w:rsidRPr="00A00701" w:rsidR="00182FDB">
        <w:t xml:space="preserve"> from their list of contested</w:t>
      </w:r>
      <w:r w:rsidRPr="00A00701" w:rsidR="00795B53">
        <w:t xml:space="preserve"> issues</w:t>
      </w:r>
      <w:r w:rsidR="005A6D9E">
        <w:t>.</w:t>
      </w:r>
      <w:r w:rsidRPr="00A00701" w:rsidR="000B6DAB">
        <w:rPr>
          <w:rStyle w:val="FootnoteReference"/>
        </w:rPr>
        <w:footnoteReference w:id="201"/>
      </w:r>
      <w:r w:rsidRPr="00A00701" w:rsidR="00795B53">
        <w:t xml:space="preserve"> </w:t>
      </w:r>
    </w:p>
    <w:p w:rsidRPr="00FA6ACD" w:rsidR="00291D22" w:rsidP="00291D22" w:rsidRDefault="00291D22" w14:paraId="67C56799" w14:textId="127E5840">
      <w:pPr>
        <w:pStyle w:val="Heading3"/>
        <w:rPr>
          <w:rStyle w:val="StandardChar"/>
          <w:rFonts w:ascii="Arial" w:hAnsi="Arial" w:cs="Arial"/>
        </w:rPr>
      </w:pPr>
      <w:bookmarkStart w:name="_Toc183184338" w:id="168"/>
      <w:r w:rsidRPr="00FA6ACD">
        <w:rPr>
          <w:rStyle w:val="StandardChar"/>
          <w:rFonts w:ascii="Arial" w:hAnsi="Arial" w:cs="Arial"/>
        </w:rPr>
        <w:t xml:space="preserve">Need to revise the current </w:t>
      </w:r>
      <w:r w:rsidR="00FA6ACD">
        <w:rPr>
          <w:rStyle w:val="StandardChar"/>
          <w:rFonts w:ascii="Arial" w:hAnsi="Arial" w:cs="Arial"/>
        </w:rPr>
        <w:br/>
      </w:r>
      <w:r w:rsidRPr="00FA6ACD">
        <w:rPr>
          <w:rStyle w:val="StandardChar"/>
          <w:rFonts w:ascii="Arial" w:hAnsi="Arial" w:cs="Arial"/>
        </w:rPr>
        <w:t>MPB</w:t>
      </w:r>
      <w:r w:rsidR="00D34DAC">
        <w:rPr>
          <w:rStyle w:val="StandardChar"/>
          <w:rFonts w:ascii="Arial" w:hAnsi="Arial" w:cs="Arial"/>
        </w:rPr>
        <w:t xml:space="preserve"> </w:t>
      </w:r>
      <w:r w:rsidRPr="00FA6ACD">
        <w:rPr>
          <w:rStyle w:val="StandardChar"/>
          <w:rFonts w:ascii="Arial" w:hAnsi="Arial" w:cs="Arial"/>
        </w:rPr>
        <w:t>methodology</w:t>
      </w:r>
      <w:bookmarkEnd w:id="168"/>
    </w:p>
    <w:p w:rsidR="00CE3469" w:rsidP="00CE3469" w:rsidRDefault="00291D22" w14:paraId="37B8D6F1" w14:textId="46247FBD">
      <w:pPr>
        <w:pStyle w:val="Standard"/>
      </w:pPr>
      <w:r>
        <w:t xml:space="preserve">The creation of </w:t>
      </w:r>
      <w:r w:rsidR="00DA578A">
        <w:t>the CPE</w:t>
      </w:r>
      <w:r>
        <w:t xml:space="preserve"> for the purpose of Local RA has </w:t>
      </w:r>
      <w:r w:rsidR="00C26C6A">
        <w:t xml:space="preserve">affected </w:t>
      </w:r>
      <w:r>
        <w:t>the RA markets that D.18-10-019 and D.19-10-001 worked to quantify. The implementation of SOD may further change these markets.</w:t>
      </w:r>
      <w:r w:rsidR="00BC0E17">
        <w:t xml:space="preserve"> </w:t>
      </w:r>
    </w:p>
    <w:p w:rsidRPr="00EA0E8D" w:rsidR="00CE3469" w:rsidP="00CE3469" w:rsidRDefault="00DA578A" w14:paraId="6EA3CBD0" w14:textId="20C0976A">
      <w:pPr>
        <w:pStyle w:val="Standard"/>
        <w:rPr>
          <w:rStyle w:val="StandardChar"/>
        </w:rPr>
      </w:pPr>
      <w:r>
        <w:rPr>
          <w:rStyle w:val="StandardChar"/>
        </w:rPr>
        <w:t xml:space="preserve">The Commission’s </w:t>
      </w:r>
      <w:r w:rsidRPr="00EA0E8D" w:rsidR="00CE3469">
        <w:rPr>
          <w:rStyle w:val="StandardChar"/>
        </w:rPr>
        <w:t xml:space="preserve">Energy Division notes a reduction in transaction volume used to compute the year ahead RA MPB of approximately 80% between 2024 and 2025. Energy Division further notes the presence of affiliate and swap transactions, which may not be arm’s length transactions, within this already low transaction volume. Finally, </w:t>
      </w:r>
      <w:r w:rsidRPr="00EA0E8D" w:rsidR="005273A1">
        <w:rPr>
          <w:rStyle w:val="StandardChar"/>
        </w:rPr>
        <w:t xml:space="preserve">Energy Division staff notes that the nearly threefold </w:t>
      </w:r>
      <w:r w:rsidRPr="00EA0E8D" w:rsidR="00C464E0">
        <w:rPr>
          <w:rStyle w:val="StandardChar"/>
        </w:rPr>
        <w:t>increase in the System RA MPB as being driven by the summer versus winter differential.</w:t>
      </w:r>
      <w:r w:rsidRPr="00EA0E8D" w:rsidR="00C464E0">
        <w:rPr>
          <w:rStyle w:val="FootnoteReference"/>
        </w:rPr>
        <w:footnoteReference w:id="202"/>
      </w:r>
    </w:p>
    <w:p w:rsidR="00762A73" w:rsidP="00291D22" w:rsidRDefault="00291D22" w14:paraId="2DB25812" w14:textId="24B23EF3">
      <w:pPr>
        <w:pStyle w:val="Standard"/>
      </w:pPr>
      <w:r>
        <w:t xml:space="preserve">CalCCA notes that </w:t>
      </w:r>
      <w:r w:rsidR="00C26C6A">
        <w:t xml:space="preserve">the </w:t>
      </w:r>
      <w:r>
        <w:t>PABA balance has been both a major contributor to the PCIA revenue and has</w:t>
      </w:r>
      <w:r w:rsidR="00D9328A">
        <w:t xml:space="preserve"> also</w:t>
      </w:r>
      <w:r>
        <w:t xml:space="preserve"> been unpredictable, citing the variation in Brown Market Power</w:t>
      </w:r>
      <w:r>
        <w:rPr>
          <w:rStyle w:val="FootnoteReference"/>
        </w:rPr>
        <w:footnoteReference w:id="203"/>
      </w:r>
      <w:r>
        <w:t xml:space="preserve"> values as the main contributor.</w:t>
      </w:r>
      <w:r>
        <w:rPr>
          <w:rStyle w:val="FootnoteReference"/>
        </w:rPr>
        <w:footnoteReference w:id="204"/>
      </w:r>
      <w:r>
        <w:t xml:space="preserve"> </w:t>
      </w:r>
    </w:p>
    <w:p w:rsidR="00D6463A" w:rsidP="005E05AF" w:rsidRDefault="005046EF" w14:paraId="1B1CF240" w14:textId="076BAF12">
      <w:pPr>
        <w:pStyle w:val="Standard"/>
      </w:pPr>
      <w:r>
        <w:t xml:space="preserve">SCE </w:t>
      </w:r>
      <w:r w:rsidR="002C4AE6">
        <w:t>notes that the 2024 Final and 2025 Forecast RA MPBs are irregular and abnormally high.</w:t>
      </w:r>
      <w:r w:rsidR="00CB388C">
        <w:rPr>
          <w:rStyle w:val="FootnoteReference"/>
        </w:rPr>
        <w:footnoteReference w:id="205"/>
      </w:r>
      <w:r w:rsidR="002C4AE6">
        <w:t xml:space="preserve"> </w:t>
      </w:r>
      <w:r w:rsidR="00846A84">
        <w:t>In reference to the changes created by MPB</w:t>
      </w:r>
      <w:r w:rsidR="00386305">
        <w:t>s</w:t>
      </w:r>
      <w:r w:rsidR="00846A84">
        <w:t xml:space="preserve">, SCE observes </w:t>
      </w:r>
      <w:r w:rsidR="00846A84">
        <w:lastRenderedPageBreak/>
        <w:t>that this extreme level of volatility benefits no party or ratepayers and suggests reforms are needed to the PCIA ratemaking framework.</w:t>
      </w:r>
      <w:r w:rsidR="00846A84">
        <w:rPr>
          <w:rStyle w:val="FootnoteReference"/>
        </w:rPr>
        <w:footnoteReference w:id="206"/>
      </w:r>
      <w:r w:rsidR="00846A84">
        <w:t xml:space="preserve"> </w:t>
      </w:r>
      <w:r w:rsidR="005E05AF">
        <w:t>SCE strongly supports a future rulema</w:t>
      </w:r>
      <w:r w:rsidR="002C65C9">
        <w:t>k</w:t>
      </w:r>
      <w:r w:rsidR="005E05AF">
        <w:t xml:space="preserve">ing to </w:t>
      </w:r>
      <w:r w:rsidRPr="005E05AF" w:rsidR="005E05AF">
        <w:t>evaluate the</w:t>
      </w:r>
      <w:r w:rsidR="002C65C9">
        <w:t xml:space="preserve"> </w:t>
      </w:r>
      <w:r w:rsidRPr="005E05AF" w:rsidR="005E05AF">
        <w:t>current methodology for calculating the RA and RPS MPBs, among other outstanding PCIA</w:t>
      </w:r>
      <w:r w:rsidR="002C65C9">
        <w:t xml:space="preserve"> </w:t>
      </w:r>
      <w:r w:rsidRPr="005E05AF" w:rsidR="005E05AF">
        <w:t>ratemaking issues that require resolution</w:t>
      </w:r>
      <w:r w:rsidR="002C65C9">
        <w:t xml:space="preserve">, </w:t>
      </w:r>
      <w:r w:rsidR="00210B38">
        <w:t>and urges the Commission to open the proceeding no later than Q1 2025.</w:t>
      </w:r>
      <w:r w:rsidR="00210B38">
        <w:rPr>
          <w:rStyle w:val="FootnoteReference"/>
        </w:rPr>
        <w:footnoteReference w:id="207"/>
      </w:r>
      <w:r w:rsidR="00D74FC9">
        <w:t xml:space="preserve"> </w:t>
      </w:r>
    </w:p>
    <w:p w:rsidR="000D046C" w:rsidP="005E05AF" w:rsidRDefault="000D046C" w14:paraId="7E0AD343" w14:textId="45AD1889">
      <w:pPr>
        <w:pStyle w:val="Standard"/>
      </w:pPr>
      <w:r>
        <w:t>CalCCA</w:t>
      </w:r>
      <w:r w:rsidR="00665932">
        <w:t xml:space="preserve"> states that the Commission should defer consideration of SCE’s proposed modifications to the PCIA RA methodology </w:t>
      </w:r>
      <w:r w:rsidR="00932E06">
        <w:t xml:space="preserve">to a rulemaking, noting that precedential policies will also </w:t>
      </w:r>
      <w:r w:rsidR="00940C0D">
        <w:t>have impacts in PG&amp;E and SDG&amp;E service territories.</w:t>
      </w:r>
      <w:r w:rsidR="00940C0D">
        <w:rPr>
          <w:rStyle w:val="FootnoteReference"/>
        </w:rPr>
        <w:footnoteReference w:id="208"/>
      </w:r>
    </w:p>
    <w:p w:rsidR="00762A73" w:rsidP="00291D22" w:rsidRDefault="004B7256" w14:paraId="57440436" w14:textId="168A46C3">
      <w:pPr>
        <w:pStyle w:val="Standard"/>
      </w:pPr>
      <w:r>
        <w:t>AReM and DACC</w:t>
      </w:r>
      <w:r w:rsidR="000B184B">
        <w:t xml:space="preserve"> </w:t>
      </w:r>
      <w:r w:rsidR="000B6FED">
        <w:t xml:space="preserve">identify the need for </w:t>
      </w:r>
      <w:r w:rsidR="00D9328A">
        <w:t>future</w:t>
      </w:r>
      <w:r w:rsidR="000B6FED">
        <w:t xml:space="preserve"> rulemaking on the</w:t>
      </w:r>
      <w:r w:rsidR="007A53A6">
        <w:t xml:space="preserve"> RA</w:t>
      </w:r>
      <w:r w:rsidR="000B6FED">
        <w:t xml:space="preserve"> MPB</w:t>
      </w:r>
      <w:r w:rsidR="007A53A6">
        <w:t xml:space="preserve">, </w:t>
      </w:r>
      <w:r w:rsidR="00430407">
        <w:t xml:space="preserve">suggesting that any problems with the calculation or application of the RA MPB should be addressed in either a </w:t>
      </w:r>
      <w:r w:rsidR="007652C9">
        <w:t>new rulemaking or a re-opened Rulemaking 17-06-026.</w:t>
      </w:r>
      <w:r w:rsidR="007652C9">
        <w:rPr>
          <w:rStyle w:val="FootnoteReference"/>
        </w:rPr>
        <w:footnoteReference w:id="209"/>
      </w:r>
    </w:p>
    <w:p w:rsidRPr="00CB6841" w:rsidR="00291D22" w:rsidP="00291D22" w:rsidRDefault="00291D22" w14:paraId="260C7744" w14:textId="77777777">
      <w:pPr>
        <w:pStyle w:val="Heading3"/>
      </w:pPr>
      <w:bookmarkStart w:name="_Toc183184339" w:id="169"/>
      <w:r>
        <w:lastRenderedPageBreak/>
        <w:t>Discussion</w:t>
      </w:r>
      <w:bookmarkEnd w:id="169"/>
    </w:p>
    <w:p w:rsidRPr="00836129" w:rsidR="00595681" w:rsidP="005A4C77" w:rsidRDefault="00DD061B" w14:paraId="297D01E2" w14:textId="64848562">
      <w:pPr>
        <w:pStyle w:val="Standard"/>
        <w:rPr>
          <w:rStyle w:val="StandardChar"/>
        </w:rPr>
      </w:pPr>
      <w:r w:rsidRPr="00836129">
        <w:rPr>
          <w:rStyle w:val="StandardChar"/>
        </w:rPr>
        <w:t>The standard in this proceeding is a preponderance of the evidence.</w:t>
      </w:r>
      <w:r w:rsidR="0076326E">
        <w:rPr>
          <w:rStyle w:val="FootnoteReference"/>
        </w:rPr>
        <w:footnoteReference w:id="210"/>
      </w:r>
      <w:r w:rsidRPr="00836129" w:rsidR="0090198B">
        <w:rPr>
          <w:rStyle w:val="StandardChar"/>
        </w:rPr>
        <w:t xml:space="preserve"> </w:t>
      </w:r>
      <w:r w:rsidRPr="00836129" w:rsidR="00ED3C62">
        <w:rPr>
          <w:rStyle w:val="StandardChar"/>
        </w:rPr>
        <w:t>As th</w:t>
      </w:r>
      <w:r w:rsidRPr="00836129" w:rsidR="006400DD">
        <w:rPr>
          <w:rStyle w:val="StandardChar"/>
        </w:rPr>
        <w:t xml:space="preserve">e </w:t>
      </w:r>
      <w:r w:rsidRPr="00836129" w:rsidR="00AE3120">
        <w:rPr>
          <w:rStyle w:val="StandardChar"/>
        </w:rPr>
        <w:t xml:space="preserve">scope of this proceeding does not encompass the creation of new policy and rule changes, the question before </w:t>
      </w:r>
      <w:r w:rsidRPr="00836129" w:rsidR="00633A15">
        <w:rPr>
          <w:rStyle w:val="StandardChar"/>
        </w:rPr>
        <w:t xml:space="preserve">us </w:t>
      </w:r>
      <w:r w:rsidRPr="00836129" w:rsidR="00AE3120">
        <w:rPr>
          <w:rStyle w:val="StandardChar"/>
        </w:rPr>
        <w:t>is whether SCE has show</w:t>
      </w:r>
      <w:r w:rsidRPr="00836129" w:rsidR="00B756B4">
        <w:rPr>
          <w:rStyle w:val="StandardChar"/>
        </w:rPr>
        <w:t xml:space="preserve">n by a preponderance of the evidence that </w:t>
      </w:r>
      <w:r w:rsidRPr="00836129" w:rsidR="0089790E">
        <w:rPr>
          <w:rStyle w:val="StandardChar"/>
        </w:rPr>
        <w:t>its</w:t>
      </w:r>
      <w:r w:rsidRPr="00836129" w:rsidR="00B756B4">
        <w:rPr>
          <w:rStyle w:val="StandardChar"/>
        </w:rPr>
        <w:t xml:space="preserve"> proposals </w:t>
      </w:r>
      <w:r w:rsidRPr="00836129" w:rsidR="00EA7AD1">
        <w:rPr>
          <w:rStyle w:val="StandardChar"/>
        </w:rPr>
        <w:t xml:space="preserve">are a reasonable </w:t>
      </w:r>
      <w:r w:rsidRPr="00836129" w:rsidR="00595681">
        <w:rPr>
          <w:rStyle w:val="StandardChar"/>
        </w:rPr>
        <w:t xml:space="preserve">execution of </w:t>
      </w:r>
      <w:r w:rsidRPr="00836129" w:rsidR="00B756B4">
        <w:rPr>
          <w:rStyle w:val="StandardChar"/>
        </w:rPr>
        <w:t>prior commission guidance</w:t>
      </w:r>
      <w:r w:rsidRPr="00836129" w:rsidR="00595681">
        <w:rPr>
          <w:rStyle w:val="StandardChar"/>
        </w:rPr>
        <w:t>.</w:t>
      </w:r>
    </w:p>
    <w:p w:rsidR="00842B43" w:rsidP="00842B43" w:rsidRDefault="00595681" w14:paraId="67390BB7" w14:textId="1C92EB0C">
      <w:pPr>
        <w:pStyle w:val="Standard"/>
        <w:rPr>
          <w:rStyle w:val="StandardChar"/>
        </w:rPr>
      </w:pPr>
      <w:r w:rsidRPr="00836129">
        <w:rPr>
          <w:rStyle w:val="StandardChar"/>
        </w:rPr>
        <w:t xml:space="preserve">In the case of SCE’s </w:t>
      </w:r>
      <w:r w:rsidRPr="00836129" w:rsidR="00041257">
        <w:rPr>
          <w:rStyle w:val="StandardChar"/>
        </w:rPr>
        <w:t>interim SOD methodology</w:t>
      </w:r>
      <w:r w:rsidRPr="00836129" w:rsidR="00416E7F">
        <w:rPr>
          <w:rStyle w:val="StandardChar"/>
        </w:rPr>
        <w:t xml:space="preserve">, the Commission finds that </w:t>
      </w:r>
      <w:r w:rsidRPr="00836129" w:rsidR="00344D8E">
        <w:rPr>
          <w:rStyle w:val="StandardChar"/>
        </w:rPr>
        <w:t>SCE’s proposed methodology</w:t>
      </w:r>
      <w:r w:rsidRPr="00836129" w:rsidR="00416E7F">
        <w:rPr>
          <w:rStyle w:val="StandardChar"/>
        </w:rPr>
        <w:t xml:space="preserve"> is a reasonable execution of guidance given to </w:t>
      </w:r>
      <w:r w:rsidRPr="00836129" w:rsidR="00AB4E6C">
        <w:rPr>
          <w:rStyle w:val="StandardChar"/>
        </w:rPr>
        <w:t>account for how Resource Adequacy is counted for compliance purposes.</w:t>
      </w:r>
      <w:r w:rsidRPr="00836129" w:rsidR="0062367C">
        <w:rPr>
          <w:rStyle w:val="StandardChar"/>
        </w:rPr>
        <w:t xml:space="preserve"> </w:t>
      </w:r>
      <w:r w:rsidRPr="00836129" w:rsidR="002D58C7">
        <w:rPr>
          <w:rStyle w:val="StandardChar"/>
        </w:rPr>
        <w:t>The Commission finds SCE’s use of th</w:t>
      </w:r>
      <w:r w:rsidRPr="00836129" w:rsidR="00922118">
        <w:rPr>
          <w:rStyle w:val="StandardChar"/>
        </w:rPr>
        <w:t>eir SOD</w:t>
      </w:r>
      <w:r w:rsidRPr="00836129" w:rsidR="002D58C7">
        <w:rPr>
          <w:rStyle w:val="StandardChar"/>
        </w:rPr>
        <w:t xml:space="preserve"> metho</w:t>
      </w:r>
      <w:r w:rsidRPr="00836129" w:rsidR="00AF18EA">
        <w:rPr>
          <w:rStyle w:val="StandardChar"/>
        </w:rPr>
        <w:t>do</w:t>
      </w:r>
      <w:r w:rsidRPr="00836129" w:rsidR="002D58C7">
        <w:rPr>
          <w:rStyle w:val="StandardChar"/>
        </w:rPr>
        <w:t>logy reasonable for the pu</w:t>
      </w:r>
      <w:r w:rsidRPr="00836129" w:rsidR="002F75B9">
        <w:rPr>
          <w:rStyle w:val="StandardChar"/>
        </w:rPr>
        <w:t>r</w:t>
      </w:r>
      <w:r w:rsidRPr="00836129" w:rsidR="002D58C7">
        <w:rPr>
          <w:rStyle w:val="StandardChar"/>
        </w:rPr>
        <w:t>poses of the 2025 ERRA forecast</w:t>
      </w:r>
      <w:r w:rsidRPr="00836129" w:rsidR="00AF18EA">
        <w:rPr>
          <w:rStyle w:val="StandardChar"/>
        </w:rPr>
        <w:t xml:space="preserve">. </w:t>
      </w:r>
      <w:r w:rsidRPr="00836129" w:rsidR="00842B43">
        <w:rPr>
          <w:rStyle w:val="StandardChar"/>
        </w:rPr>
        <w:t xml:space="preserve">The </w:t>
      </w:r>
      <w:r w:rsidR="00842B43">
        <w:rPr>
          <w:rStyle w:val="StandardChar"/>
        </w:rPr>
        <w:t>issues of whether hourly RA MPB prices are needed and how to achieve proper accounting for storage and hybrid resources under SOD are both ripe for consideration in a rulemaking proceeding</w:t>
      </w:r>
      <w:r w:rsidR="00732225">
        <w:rPr>
          <w:rStyle w:val="StandardChar"/>
        </w:rPr>
        <w:t>.</w:t>
      </w:r>
    </w:p>
    <w:p w:rsidR="00732225" w:rsidP="00842B43" w:rsidRDefault="00732225" w14:paraId="2379ADC2" w14:textId="7C38389D">
      <w:pPr>
        <w:pStyle w:val="Standard"/>
        <w:rPr>
          <w:rStyle w:val="StandardChar"/>
        </w:rPr>
      </w:pPr>
      <w:r>
        <w:rPr>
          <w:rStyle w:val="StandardChar"/>
        </w:rPr>
        <w:t>SCE’s</w:t>
      </w:r>
      <w:r w:rsidR="00406AC9">
        <w:rPr>
          <w:rStyle w:val="StandardChar"/>
        </w:rPr>
        <w:t xml:space="preserve"> proposal to</w:t>
      </w:r>
      <w:r>
        <w:rPr>
          <w:rStyle w:val="StandardChar"/>
        </w:rPr>
        <w:t xml:space="preserve"> assign RA </w:t>
      </w:r>
      <w:r w:rsidR="00406AC9">
        <w:rPr>
          <w:rStyle w:val="StandardChar"/>
        </w:rPr>
        <w:t xml:space="preserve">capacity to Local, System, and Flexible RA </w:t>
      </w:r>
      <w:r w:rsidR="002D70A1">
        <w:rPr>
          <w:rStyle w:val="StandardChar"/>
        </w:rPr>
        <w:t>i</w:t>
      </w:r>
      <w:r w:rsidR="00615DBC">
        <w:rPr>
          <w:rStyle w:val="StandardChar"/>
        </w:rPr>
        <w:t>s</w:t>
      </w:r>
      <w:r w:rsidR="002D70A1">
        <w:rPr>
          <w:rStyle w:val="StandardChar"/>
        </w:rPr>
        <w:t xml:space="preserve"> not a novel approach.</w:t>
      </w:r>
      <w:r w:rsidR="00683268">
        <w:rPr>
          <w:rStyle w:val="StandardChar"/>
        </w:rPr>
        <w:t xml:space="preserve"> </w:t>
      </w:r>
      <w:r w:rsidR="00922118">
        <w:rPr>
          <w:rStyle w:val="StandardChar"/>
        </w:rPr>
        <w:t xml:space="preserve">SCE has interpreted the </w:t>
      </w:r>
      <w:r w:rsidR="00037751">
        <w:rPr>
          <w:rStyle w:val="StandardChar"/>
        </w:rPr>
        <w:t xml:space="preserve">guidance given </w:t>
      </w:r>
      <w:r w:rsidR="007E66D0">
        <w:rPr>
          <w:rStyle w:val="StandardChar"/>
        </w:rPr>
        <w:t>to Energy Divisio</w:t>
      </w:r>
      <w:r w:rsidR="00615DBC">
        <w:rPr>
          <w:rStyle w:val="StandardChar"/>
        </w:rPr>
        <w:t>n</w:t>
      </w:r>
      <w:r w:rsidR="007E66D0">
        <w:rPr>
          <w:rStyle w:val="StandardChar"/>
        </w:rPr>
        <w:t xml:space="preserve"> </w:t>
      </w:r>
      <w:r w:rsidR="00037751">
        <w:rPr>
          <w:rStyle w:val="StandardChar"/>
        </w:rPr>
        <w:t xml:space="preserve">for assigning </w:t>
      </w:r>
      <w:r w:rsidR="00F73833">
        <w:rPr>
          <w:rStyle w:val="StandardChar"/>
        </w:rPr>
        <w:t>RA capacity in generating MPB</w:t>
      </w:r>
      <w:r w:rsidR="00386305">
        <w:rPr>
          <w:rStyle w:val="StandardChar"/>
        </w:rPr>
        <w:t xml:space="preserve">s </w:t>
      </w:r>
      <w:r w:rsidR="00F73833">
        <w:rPr>
          <w:rStyle w:val="StandardChar"/>
        </w:rPr>
        <w:t xml:space="preserve">as </w:t>
      </w:r>
      <w:r w:rsidR="007E66D0">
        <w:rPr>
          <w:rStyle w:val="StandardChar"/>
        </w:rPr>
        <w:t xml:space="preserve">an </w:t>
      </w:r>
      <w:r w:rsidR="00F73833">
        <w:rPr>
          <w:rStyle w:val="StandardChar"/>
        </w:rPr>
        <w:t>appropriate</w:t>
      </w:r>
      <w:r w:rsidR="007E66D0">
        <w:rPr>
          <w:rStyle w:val="StandardChar"/>
        </w:rPr>
        <w:t xml:space="preserve"> method</w:t>
      </w:r>
      <w:r w:rsidR="00F73833">
        <w:rPr>
          <w:rStyle w:val="StandardChar"/>
        </w:rPr>
        <w:t xml:space="preserve"> </w:t>
      </w:r>
      <w:r w:rsidR="006D63E6">
        <w:rPr>
          <w:rStyle w:val="StandardChar"/>
        </w:rPr>
        <w:t>for it to</w:t>
      </w:r>
      <w:r w:rsidR="00F73833">
        <w:rPr>
          <w:rStyle w:val="StandardChar"/>
        </w:rPr>
        <w:t xml:space="preserve"> assign</w:t>
      </w:r>
      <w:r w:rsidR="000D247A">
        <w:rPr>
          <w:rStyle w:val="StandardChar"/>
        </w:rPr>
        <w:t xml:space="preserve"> RA </w:t>
      </w:r>
      <w:r w:rsidR="00056E98">
        <w:rPr>
          <w:rStyle w:val="StandardChar"/>
        </w:rPr>
        <w:t xml:space="preserve">for the purposes of valuation in past </w:t>
      </w:r>
      <w:r w:rsidR="00980C91">
        <w:rPr>
          <w:rStyle w:val="StandardChar"/>
        </w:rPr>
        <w:t xml:space="preserve">ERRA Forecast </w:t>
      </w:r>
      <w:r w:rsidR="00056E98">
        <w:rPr>
          <w:rStyle w:val="StandardChar"/>
        </w:rPr>
        <w:t>proceedings.</w:t>
      </w:r>
      <w:r w:rsidR="00980C91">
        <w:rPr>
          <w:rStyle w:val="StandardChar"/>
        </w:rPr>
        <w:t xml:space="preserve"> </w:t>
      </w:r>
      <w:r w:rsidR="00583814">
        <w:rPr>
          <w:rStyle w:val="StandardChar"/>
        </w:rPr>
        <w:t xml:space="preserve">Their proposal to do so again in this proceeding is not a </w:t>
      </w:r>
      <w:r w:rsidR="0077686F">
        <w:rPr>
          <w:rStyle w:val="StandardChar"/>
        </w:rPr>
        <w:t xml:space="preserve">policy </w:t>
      </w:r>
      <w:r w:rsidR="00D52EC2">
        <w:rPr>
          <w:rStyle w:val="StandardChar"/>
        </w:rPr>
        <w:t>n</w:t>
      </w:r>
      <w:r w:rsidR="0077686F">
        <w:rPr>
          <w:rStyle w:val="StandardChar"/>
        </w:rPr>
        <w:t>or rule change.</w:t>
      </w:r>
      <w:r w:rsidR="00F73833">
        <w:rPr>
          <w:rStyle w:val="StandardChar"/>
        </w:rPr>
        <w:t xml:space="preserve"> </w:t>
      </w:r>
      <w:r w:rsidR="00683268">
        <w:rPr>
          <w:rStyle w:val="StandardChar"/>
        </w:rPr>
        <w:t>The Commission</w:t>
      </w:r>
      <w:r w:rsidR="00904EEB">
        <w:rPr>
          <w:rStyle w:val="StandardChar"/>
        </w:rPr>
        <w:t xml:space="preserve"> finds SCE’s proposal for assignment of </w:t>
      </w:r>
      <w:r w:rsidR="00721B54">
        <w:rPr>
          <w:rStyle w:val="StandardChar"/>
        </w:rPr>
        <w:t xml:space="preserve">RA </w:t>
      </w:r>
      <w:r w:rsidR="00904EEB">
        <w:rPr>
          <w:rStyle w:val="StandardChar"/>
        </w:rPr>
        <w:t xml:space="preserve">capacity </w:t>
      </w:r>
      <w:r w:rsidR="00964FD0">
        <w:rPr>
          <w:rStyle w:val="StandardChar"/>
        </w:rPr>
        <w:t>to Local, System, and Flexible RA reasonable for the purposes of the 2025 ERRA forecast.</w:t>
      </w:r>
      <w:r w:rsidR="00354EF9">
        <w:rPr>
          <w:rStyle w:val="StandardChar"/>
        </w:rPr>
        <w:t xml:space="preserve"> </w:t>
      </w:r>
      <w:r w:rsidR="00354EF9">
        <w:t>The methodology for assigning RA capacity to RA subcategories for the purpose of valuation is ripe for consideration within a rulemaking proceeding</w:t>
      </w:r>
      <w:r w:rsidR="004E2987">
        <w:t>.</w:t>
      </w:r>
      <w:r w:rsidR="00683268">
        <w:rPr>
          <w:rStyle w:val="StandardChar"/>
        </w:rPr>
        <w:t xml:space="preserve"> </w:t>
      </w:r>
    </w:p>
    <w:p w:rsidRPr="00E860F2" w:rsidR="004E2987" w:rsidP="00842B43" w:rsidRDefault="00FF09F9" w14:paraId="33128C80" w14:textId="11DDE37F">
      <w:pPr>
        <w:pStyle w:val="Standard"/>
        <w:rPr>
          <w:rStyle w:val="StandardChar"/>
        </w:rPr>
      </w:pPr>
      <w:r w:rsidRPr="00E860F2">
        <w:rPr>
          <w:rStyle w:val="StandardChar"/>
        </w:rPr>
        <w:lastRenderedPageBreak/>
        <w:t xml:space="preserve">The need to </w:t>
      </w:r>
      <w:r w:rsidRPr="00E860F2" w:rsidR="00425F81">
        <w:rPr>
          <w:rStyle w:val="StandardChar"/>
        </w:rPr>
        <w:t xml:space="preserve">review or </w:t>
      </w:r>
      <w:r w:rsidRPr="00E860F2">
        <w:rPr>
          <w:rStyle w:val="StandardChar"/>
        </w:rPr>
        <w:t xml:space="preserve">modify </w:t>
      </w:r>
      <w:r w:rsidRPr="00E860F2" w:rsidR="00F44D4F">
        <w:rPr>
          <w:rStyle w:val="StandardChar"/>
        </w:rPr>
        <w:t xml:space="preserve">SCE’s methodology for forecasting sold RA has been omitted from all parties’ </w:t>
      </w:r>
      <w:r w:rsidRPr="00E860F2" w:rsidR="00425F81">
        <w:rPr>
          <w:rStyle w:val="StandardChar"/>
        </w:rPr>
        <w:t>reply brief listing of</w:t>
      </w:r>
      <w:r w:rsidRPr="00E860F2" w:rsidR="00F44D4F">
        <w:rPr>
          <w:rStyle w:val="StandardChar"/>
        </w:rPr>
        <w:t xml:space="preserve"> contested issues. As th</w:t>
      </w:r>
      <w:r w:rsidRPr="00E860F2" w:rsidR="004F6A6A">
        <w:rPr>
          <w:rStyle w:val="StandardChar"/>
        </w:rPr>
        <w:t xml:space="preserve">at </w:t>
      </w:r>
      <w:r w:rsidRPr="00E860F2" w:rsidR="00F44D4F">
        <w:rPr>
          <w:rStyle w:val="StandardChar"/>
        </w:rPr>
        <w:t>is no</w:t>
      </w:r>
      <w:r w:rsidRPr="00E860F2" w:rsidR="004F6A6A">
        <w:rPr>
          <w:rStyle w:val="StandardChar"/>
        </w:rPr>
        <w:t xml:space="preserve"> longer</w:t>
      </w:r>
      <w:r w:rsidRPr="00E860F2" w:rsidR="00F44D4F">
        <w:rPr>
          <w:rStyle w:val="StandardChar"/>
        </w:rPr>
        <w:t xml:space="preserve"> a contested issue</w:t>
      </w:r>
      <w:r w:rsidRPr="00E860F2" w:rsidR="004771E9">
        <w:rPr>
          <w:rStyle w:val="StandardChar"/>
        </w:rPr>
        <w:t>, we do not address it here.</w:t>
      </w:r>
    </w:p>
    <w:p w:rsidR="00713C69" w:rsidP="00842B43" w:rsidRDefault="004030CD" w14:paraId="13F46975" w14:textId="55D3A344">
      <w:pPr>
        <w:pStyle w:val="Standard"/>
        <w:rPr>
          <w:rStyle w:val="StandardChar"/>
        </w:rPr>
      </w:pPr>
      <w:r w:rsidRPr="00E860F2">
        <w:rPr>
          <w:rStyle w:val="StandardChar"/>
        </w:rPr>
        <w:t>All of the parties to this proceeding have noted variation in the MPB</w:t>
      </w:r>
      <w:r w:rsidR="00386305">
        <w:rPr>
          <w:rStyle w:val="StandardChar"/>
        </w:rPr>
        <w:t>s</w:t>
      </w:r>
      <w:r w:rsidR="002A6D90">
        <w:rPr>
          <w:rStyle w:val="StandardChar"/>
        </w:rPr>
        <w:t xml:space="preserve"> </w:t>
      </w:r>
      <w:r w:rsidRPr="00E860F2">
        <w:rPr>
          <w:rStyle w:val="StandardChar"/>
        </w:rPr>
        <w:t>that have the potential to create harmful price volatility</w:t>
      </w:r>
      <w:r w:rsidRPr="00E860F2" w:rsidR="00D34DAC">
        <w:rPr>
          <w:rStyle w:val="StandardChar"/>
        </w:rPr>
        <w:t xml:space="preserve">, and Energy Division has noted anomalies </w:t>
      </w:r>
      <w:r w:rsidRPr="00E860F2" w:rsidR="00FD0A3E">
        <w:rPr>
          <w:rStyle w:val="StandardChar"/>
        </w:rPr>
        <w:t xml:space="preserve">in the forecast data that warrant an evaluation of whether the </w:t>
      </w:r>
      <w:r w:rsidRPr="00E860F2" w:rsidR="000E7406">
        <w:rPr>
          <w:rStyle w:val="StandardChar"/>
        </w:rPr>
        <w:t xml:space="preserve">methodology used to </w:t>
      </w:r>
      <w:r w:rsidRPr="00E860F2" w:rsidR="002D6FBF">
        <w:rPr>
          <w:rStyle w:val="StandardChar"/>
        </w:rPr>
        <w:t>assess</w:t>
      </w:r>
      <w:r w:rsidRPr="00E860F2" w:rsidR="000E7406">
        <w:rPr>
          <w:rStyle w:val="StandardChar"/>
        </w:rPr>
        <w:t xml:space="preserve"> </w:t>
      </w:r>
      <w:r w:rsidRPr="00E860F2" w:rsidR="002D6FBF">
        <w:rPr>
          <w:rStyle w:val="StandardChar"/>
        </w:rPr>
        <w:t>prices remains adequate to ensure indifference.</w:t>
      </w:r>
    </w:p>
    <w:p w:rsidRPr="00E860F2" w:rsidR="001F2D4B" w:rsidP="00842B43" w:rsidRDefault="002351D8" w14:paraId="3989A3B4" w14:textId="20AA4B0B">
      <w:pPr>
        <w:pStyle w:val="Standard"/>
        <w:rPr>
          <w:rStyle w:val="StandardChar"/>
        </w:rPr>
      </w:pPr>
      <w:r w:rsidRPr="00E860F2">
        <w:rPr>
          <w:rStyle w:val="StandardChar"/>
        </w:rPr>
        <w:t>Due to issues identified above regarding affiliate and swap transactions</w:t>
      </w:r>
      <w:r w:rsidRPr="00E860F2" w:rsidR="00D23DCE">
        <w:rPr>
          <w:rStyle w:val="StandardChar"/>
        </w:rPr>
        <w:t>, the Commission</w:t>
      </w:r>
      <w:r w:rsidR="00E47A9B">
        <w:rPr>
          <w:rStyle w:val="StandardChar"/>
        </w:rPr>
        <w:t xml:space="preserve">’s </w:t>
      </w:r>
      <w:r w:rsidRPr="00E860F2" w:rsidR="00D23DCE">
        <w:rPr>
          <w:rStyle w:val="StandardChar"/>
        </w:rPr>
        <w:t>Energy Division</w:t>
      </w:r>
      <w:r w:rsidR="00E47A9B">
        <w:rPr>
          <w:rStyle w:val="StandardChar"/>
        </w:rPr>
        <w:t xml:space="preserve"> </w:t>
      </w:r>
      <w:r w:rsidR="00576EC2">
        <w:rPr>
          <w:rStyle w:val="StandardChar"/>
        </w:rPr>
        <w:t>should</w:t>
      </w:r>
      <w:r w:rsidRPr="00E860F2" w:rsidR="00576EC2">
        <w:rPr>
          <w:rStyle w:val="StandardChar"/>
        </w:rPr>
        <w:t xml:space="preserve"> </w:t>
      </w:r>
      <w:r w:rsidRPr="00E860F2" w:rsidR="00D23DCE">
        <w:rPr>
          <w:rStyle w:val="StandardChar"/>
        </w:rPr>
        <w:t xml:space="preserve">conduct an inquiry and provide a report on transactions that should not be included in the calculation of the MPB. </w:t>
      </w:r>
      <w:r w:rsidR="00F92248">
        <w:rPr>
          <w:rStyle w:val="StandardChar"/>
        </w:rPr>
        <w:t>More broadly, r</w:t>
      </w:r>
      <w:r w:rsidRPr="00E860F2" w:rsidR="00FE71F5">
        <w:rPr>
          <w:rStyle w:val="StandardChar"/>
        </w:rPr>
        <w:t>evisiting the</w:t>
      </w:r>
      <w:r w:rsidRPr="00E860F2" w:rsidR="00E21911">
        <w:rPr>
          <w:rStyle w:val="StandardChar"/>
        </w:rPr>
        <w:t xml:space="preserve"> methodology for computing the </w:t>
      </w:r>
      <w:r w:rsidRPr="00E860F2">
        <w:rPr>
          <w:rStyle w:val="StandardChar"/>
        </w:rPr>
        <w:t>MPB</w:t>
      </w:r>
      <w:r w:rsidR="00386305">
        <w:rPr>
          <w:rStyle w:val="StandardChar"/>
        </w:rPr>
        <w:t xml:space="preserve">s </w:t>
      </w:r>
      <w:r w:rsidRPr="00E860F2">
        <w:rPr>
          <w:rStyle w:val="StandardChar"/>
        </w:rPr>
        <w:t>is a</w:t>
      </w:r>
      <w:r w:rsidRPr="00E860F2" w:rsidR="00FE71F5">
        <w:rPr>
          <w:rStyle w:val="StandardChar"/>
        </w:rPr>
        <w:t>n issue</w:t>
      </w:r>
      <w:r w:rsidRPr="00E860F2" w:rsidR="000263AE">
        <w:rPr>
          <w:rStyle w:val="StandardChar"/>
        </w:rPr>
        <w:t xml:space="preserve"> that is</w:t>
      </w:r>
      <w:r w:rsidRPr="00E860F2">
        <w:rPr>
          <w:rStyle w:val="StandardChar"/>
        </w:rPr>
        <w:t xml:space="preserve"> ripe for consideration within a rulemaking proceeding.</w:t>
      </w:r>
    </w:p>
    <w:p w:rsidR="00604E6E" w:rsidP="00291D22" w:rsidRDefault="00604E6E" w14:paraId="0AA5616A" w14:textId="66497F04">
      <w:pPr>
        <w:pStyle w:val="Standard"/>
        <w:rPr>
          <w:rStyle w:val="StandardChar"/>
        </w:rPr>
      </w:pPr>
      <w:r>
        <w:rPr>
          <w:rStyle w:val="StandardChar"/>
        </w:rPr>
        <w:t>Due to the issues described above, the Commission may in another proceeding consider revisions to the MPB</w:t>
      </w:r>
      <w:r w:rsidRPr="00604E6E">
        <w:t xml:space="preserve"> methodology that may impact the adopted 2025 Final MPBs.</w:t>
      </w:r>
    </w:p>
    <w:p w:rsidR="00E678CE" w:rsidP="00E678CE" w:rsidRDefault="000C1D76" w14:paraId="54CE916A" w14:textId="77777777">
      <w:pPr>
        <w:pStyle w:val="Heading1"/>
        <w:rPr>
          <w:rStyle w:val="StandardChar"/>
        </w:rPr>
      </w:pPr>
      <w:bookmarkStart w:name="_Toc183184340" w:id="170"/>
      <w:bookmarkStart w:name="_Hlk149819559" w:id="171"/>
      <w:bookmarkEnd w:id="163"/>
      <w:r>
        <w:t>2025 ERRA Forecast Average Rates</w:t>
      </w:r>
      <w:bookmarkEnd w:id="170"/>
      <w:r w:rsidRPr="00E678CE" w:rsidR="00E678CE">
        <w:rPr>
          <w:rStyle w:val="StandardChar"/>
        </w:rPr>
        <w:t xml:space="preserve"> </w:t>
      </w:r>
    </w:p>
    <w:p w:rsidR="0078572E" w:rsidP="00E678CE" w:rsidRDefault="00BC3FCA" w14:paraId="1511237C" w14:textId="2386A848">
      <w:pPr>
        <w:pStyle w:val="Standard"/>
        <w:rPr>
          <w:rStyle w:val="StandardChar"/>
        </w:rPr>
      </w:pPr>
      <w:r>
        <w:rPr>
          <w:rStyle w:val="StandardChar"/>
        </w:rPr>
        <w:t xml:space="preserve">SCE </w:t>
      </w:r>
      <w:r w:rsidR="00B2498F">
        <w:rPr>
          <w:rStyle w:val="StandardChar"/>
        </w:rPr>
        <w:t>calculates the impact on it</w:t>
      </w:r>
      <w:r w:rsidRPr="00E678CE" w:rsidR="00E678CE">
        <w:rPr>
          <w:rStyle w:val="StandardChar"/>
        </w:rPr>
        <w:t xml:space="preserve">s </w:t>
      </w:r>
      <w:r w:rsidR="001A2471">
        <w:rPr>
          <w:rStyle w:val="StandardChar"/>
        </w:rPr>
        <w:t xml:space="preserve">bundled </w:t>
      </w:r>
      <w:r w:rsidRPr="00E678CE" w:rsidR="00E678CE">
        <w:rPr>
          <w:rStyle w:val="StandardChar"/>
        </w:rPr>
        <w:t xml:space="preserve">customer groups associated with this </w:t>
      </w:r>
      <w:r w:rsidR="00C0122E">
        <w:rPr>
          <w:rStyle w:val="StandardChar"/>
        </w:rPr>
        <w:t>proposed</w:t>
      </w:r>
      <w:r w:rsidR="00D96DC6">
        <w:rPr>
          <w:rStyle w:val="StandardChar"/>
        </w:rPr>
        <w:t xml:space="preserve"> </w:t>
      </w:r>
      <w:r w:rsidRPr="00E678CE" w:rsidR="00E678CE">
        <w:rPr>
          <w:rStyle w:val="StandardChar"/>
        </w:rPr>
        <w:t>revenue requirement</w:t>
      </w:r>
      <w:r w:rsidR="00B2498F">
        <w:rPr>
          <w:rStyle w:val="StandardChar"/>
        </w:rPr>
        <w:t xml:space="preserve">. </w:t>
      </w:r>
      <w:r w:rsidR="008662EB">
        <w:rPr>
          <w:rStyle w:val="StandardChar"/>
        </w:rPr>
        <w:t>The results of this calculation</w:t>
      </w:r>
      <w:r w:rsidRPr="00E678CE" w:rsidR="00E678CE">
        <w:rPr>
          <w:rStyle w:val="StandardChar"/>
        </w:rPr>
        <w:t xml:space="preserve"> are detailed in the following </w:t>
      </w:r>
      <w:r w:rsidR="00AC782D">
        <w:rPr>
          <w:rStyle w:val="StandardChar"/>
        </w:rPr>
        <w:t>table</w:t>
      </w:r>
      <w:r w:rsidR="008662EB">
        <w:rPr>
          <w:rStyle w:val="StandardChar"/>
        </w:rPr>
        <w:t>:</w:t>
      </w:r>
    </w:p>
    <w:p w:rsidR="0055732C" w:rsidP="00645EF0" w:rsidRDefault="0055732C" w14:paraId="68FF6327" w14:textId="01FC98DC">
      <w:pPr>
        <w:pStyle w:val="Standard"/>
        <w:keepNext/>
        <w:ind w:firstLine="0"/>
        <w:jc w:val="center"/>
        <w:rPr>
          <w:rStyle w:val="StandardChar"/>
        </w:rPr>
      </w:pPr>
      <w:r w:rsidRPr="00AF5D13">
        <w:rPr>
          <w:b/>
          <w:bCs/>
        </w:rPr>
        <w:lastRenderedPageBreak/>
        <w:t>Table </w:t>
      </w:r>
      <w:r w:rsidR="003A4DF1">
        <w:rPr>
          <w:b/>
          <w:bCs/>
        </w:rPr>
        <w:t>8</w:t>
      </w:r>
      <w:r w:rsidRPr="00AF5D13">
        <w:rPr>
          <w:b/>
          <w:bCs/>
        </w:rPr>
        <w:noBreakHyphen/>
      </w:r>
      <w:r w:rsidR="003A4DF1">
        <w:rPr>
          <w:b/>
          <w:bCs/>
        </w:rPr>
        <w:t>1</w:t>
      </w:r>
      <w:r w:rsidRPr="00AF5D13">
        <w:rPr>
          <w:b/>
          <w:bCs/>
        </w:rPr>
        <w:t>.</w:t>
      </w:r>
      <w:r w:rsidRPr="00AF5D13">
        <w:t xml:space="preserve"> </w:t>
      </w:r>
      <w:r w:rsidRPr="00AF5D13">
        <w:rPr>
          <w:bCs/>
        </w:rPr>
        <w:t>Summary of SCE’s</w:t>
      </w:r>
      <w:r w:rsidR="003A4DF1">
        <w:rPr>
          <w:bCs/>
        </w:rPr>
        <w:t xml:space="preserve"> Bundled Customer Rates</w:t>
      </w:r>
    </w:p>
    <w:tbl>
      <w:tblPr>
        <w:tblStyle w:val="TableGrid"/>
        <w:tblW w:w="10555" w:type="dxa"/>
        <w:jc w:val="center"/>
        <w:tblLayout w:type="fixed"/>
        <w:tblLook w:val="04A0" w:firstRow="1" w:lastRow="0" w:firstColumn="1" w:lastColumn="0" w:noHBand="0" w:noVBand="1"/>
      </w:tblPr>
      <w:tblGrid>
        <w:gridCol w:w="3685"/>
        <w:gridCol w:w="1710"/>
        <w:gridCol w:w="1800"/>
        <w:gridCol w:w="1400"/>
        <w:gridCol w:w="1960"/>
      </w:tblGrid>
      <w:tr w:rsidRPr="00454D1A" w:rsidR="00AC782D" w14:paraId="6A085227" w14:textId="77777777">
        <w:trPr>
          <w:jc w:val="center"/>
        </w:trPr>
        <w:tc>
          <w:tcPr>
            <w:tcW w:w="3685" w:type="dxa"/>
          </w:tcPr>
          <w:p w:rsidRPr="00454D1A" w:rsidR="00AC782D" w:rsidRDefault="00AC782D" w14:paraId="2A782427" w14:textId="3BD293F3">
            <w:pPr>
              <w:pStyle w:val="Standard"/>
              <w:keepNext/>
              <w:spacing w:line="240" w:lineRule="auto"/>
              <w:ind w:firstLine="0"/>
              <w:jc w:val="center"/>
              <w:rPr>
                <w:b/>
                <w:bCs/>
                <w:szCs w:val="26"/>
              </w:rPr>
            </w:pPr>
            <w:r w:rsidRPr="00454D1A">
              <w:rPr>
                <w:b/>
                <w:bCs/>
                <w:szCs w:val="26"/>
              </w:rPr>
              <w:t>Rate Schedule by</w:t>
            </w:r>
          </w:p>
          <w:p w:rsidRPr="00454D1A" w:rsidR="00AC782D" w:rsidRDefault="00AC782D" w14:paraId="5E0FAFAD" w14:textId="77777777">
            <w:pPr>
              <w:pStyle w:val="Standard"/>
              <w:keepNext/>
              <w:spacing w:line="240" w:lineRule="auto"/>
              <w:ind w:firstLine="0"/>
              <w:jc w:val="center"/>
              <w:rPr>
                <w:b/>
                <w:bCs/>
                <w:szCs w:val="26"/>
              </w:rPr>
            </w:pPr>
            <w:r w:rsidRPr="00454D1A">
              <w:rPr>
                <w:b/>
                <w:bCs/>
                <w:szCs w:val="26"/>
              </w:rPr>
              <w:t>Customer Group</w:t>
            </w:r>
          </w:p>
        </w:tc>
        <w:tc>
          <w:tcPr>
            <w:tcW w:w="1710" w:type="dxa"/>
          </w:tcPr>
          <w:p w:rsidRPr="00454D1A" w:rsidR="00AC782D" w:rsidRDefault="00AC782D" w14:paraId="1AD372F1" w14:textId="77777777">
            <w:pPr>
              <w:pStyle w:val="Standard"/>
              <w:keepNext/>
              <w:spacing w:line="240" w:lineRule="auto"/>
              <w:ind w:firstLine="0"/>
              <w:jc w:val="center"/>
              <w:rPr>
                <w:b/>
                <w:bCs/>
                <w:szCs w:val="26"/>
              </w:rPr>
            </w:pPr>
            <w:r w:rsidRPr="00454D1A">
              <w:rPr>
                <w:b/>
                <w:bCs/>
                <w:szCs w:val="26"/>
              </w:rPr>
              <w:t>Total</w:t>
            </w:r>
          </w:p>
          <w:p w:rsidRPr="00454D1A" w:rsidR="00AC782D" w:rsidRDefault="00AC782D" w14:paraId="3CED3B07" w14:textId="77777777">
            <w:pPr>
              <w:pStyle w:val="Standard"/>
              <w:keepNext/>
              <w:spacing w:line="240" w:lineRule="auto"/>
              <w:ind w:firstLine="0"/>
              <w:jc w:val="center"/>
              <w:rPr>
                <w:b/>
                <w:bCs/>
                <w:szCs w:val="26"/>
              </w:rPr>
            </w:pPr>
            <w:r w:rsidRPr="00454D1A">
              <w:rPr>
                <w:b/>
                <w:bCs/>
                <w:szCs w:val="26"/>
              </w:rPr>
              <w:t>Delivery</w:t>
            </w:r>
          </w:p>
          <w:p w:rsidRPr="00454D1A" w:rsidR="00AC782D" w:rsidRDefault="00AC782D" w14:paraId="73FE4D36" w14:textId="77777777">
            <w:pPr>
              <w:pStyle w:val="Standard"/>
              <w:keepNext/>
              <w:spacing w:line="240" w:lineRule="auto"/>
              <w:ind w:firstLine="0"/>
              <w:jc w:val="center"/>
              <w:rPr>
                <w:szCs w:val="26"/>
              </w:rPr>
            </w:pPr>
            <w:r w:rsidRPr="00454D1A">
              <w:rPr>
                <w:szCs w:val="26"/>
              </w:rPr>
              <w:t>(¢/kWh)</w:t>
            </w:r>
          </w:p>
        </w:tc>
        <w:tc>
          <w:tcPr>
            <w:tcW w:w="1800" w:type="dxa"/>
          </w:tcPr>
          <w:p w:rsidRPr="00454D1A" w:rsidR="00AC782D" w:rsidRDefault="00AC782D" w14:paraId="7DE5105E" w14:textId="77777777">
            <w:pPr>
              <w:pStyle w:val="Standard"/>
              <w:keepNext/>
              <w:spacing w:line="240" w:lineRule="auto"/>
              <w:ind w:firstLine="0"/>
              <w:jc w:val="center"/>
              <w:rPr>
                <w:b/>
                <w:bCs/>
                <w:szCs w:val="26"/>
              </w:rPr>
            </w:pPr>
            <w:r w:rsidRPr="00454D1A">
              <w:rPr>
                <w:b/>
                <w:bCs/>
                <w:szCs w:val="26"/>
              </w:rPr>
              <w:t>Total</w:t>
            </w:r>
          </w:p>
          <w:p w:rsidRPr="00454D1A" w:rsidR="00AC782D" w:rsidRDefault="00AC782D" w14:paraId="57B1DAD0" w14:textId="77777777">
            <w:pPr>
              <w:pStyle w:val="Standard"/>
              <w:keepNext/>
              <w:spacing w:line="240" w:lineRule="auto"/>
              <w:ind w:firstLine="0"/>
              <w:jc w:val="center"/>
              <w:rPr>
                <w:b/>
                <w:bCs/>
                <w:szCs w:val="26"/>
              </w:rPr>
            </w:pPr>
            <w:r w:rsidRPr="00454D1A">
              <w:rPr>
                <w:b/>
                <w:bCs/>
                <w:szCs w:val="26"/>
              </w:rPr>
              <w:t>Generation</w:t>
            </w:r>
          </w:p>
          <w:p w:rsidRPr="00454D1A" w:rsidR="00AC782D" w:rsidRDefault="00AC782D" w14:paraId="5D24305B" w14:textId="77777777">
            <w:pPr>
              <w:pStyle w:val="Standard"/>
              <w:keepNext/>
              <w:spacing w:line="240" w:lineRule="auto"/>
              <w:ind w:firstLine="0"/>
              <w:jc w:val="center"/>
              <w:rPr>
                <w:szCs w:val="26"/>
              </w:rPr>
            </w:pPr>
            <w:r w:rsidRPr="00454D1A">
              <w:rPr>
                <w:szCs w:val="26"/>
              </w:rPr>
              <w:t>(¢/kWh)</w:t>
            </w:r>
          </w:p>
        </w:tc>
        <w:tc>
          <w:tcPr>
            <w:tcW w:w="1400" w:type="dxa"/>
          </w:tcPr>
          <w:p w:rsidRPr="00454D1A" w:rsidR="00AC782D" w:rsidRDefault="00AC782D" w14:paraId="5060083F" w14:textId="77777777">
            <w:pPr>
              <w:pStyle w:val="Standard"/>
              <w:keepNext/>
              <w:spacing w:line="240" w:lineRule="auto"/>
              <w:ind w:firstLine="0"/>
              <w:jc w:val="center"/>
              <w:rPr>
                <w:b/>
                <w:bCs/>
                <w:szCs w:val="26"/>
              </w:rPr>
            </w:pPr>
            <w:r w:rsidRPr="00454D1A">
              <w:rPr>
                <w:b/>
                <w:bCs/>
                <w:szCs w:val="26"/>
              </w:rPr>
              <w:t>Total</w:t>
            </w:r>
          </w:p>
          <w:p w:rsidRPr="00454D1A" w:rsidR="00AC782D" w:rsidRDefault="00AC782D" w14:paraId="0F293607" w14:textId="77777777">
            <w:pPr>
              <w:pStyle w:val="Standard"/>
              <w:keepNext/>
              <w:spacing w:line="240" w:lineRule="auto"/>
              <w:ind w:firstLine="0"/>
              <w:jc w:val="center"/>
              <w:rPr>
                <w:szCs w:val="26"/>
              </w:rPr>
            </w:pPr>
            <w:r w:rsidRPr="00454D1A">
              <w:rPr>
                <w:szCs w:val="26"/>
              </w:rPr>
              <w:t>(¢/kWh)</w:t>
            </w:r>
          </w:p>
        </w:tc>
        <w:tc>
          <w:tcPr>
            <w:tcW w:w="1960" w:type="dxa"/>
          </w:tcPr>
          <w:p w:rsidRPr="00454D1A" w:rsidR="00AC782D" w:rsidRDefault="00AC782D" w14:paraId="3B0A558D" w14:textId="77777777">
            <w:pPr>
              <w:pStyle w:val="Standard"/>
              <w:keepNext/>
              <w:spacing w:line="240" w:lineRule="auto"/>
              <w:ind w:firstLine="0"/>
              <w:jc w:val="center"/>
              <w:rPr>
                <w:b/>
                <w:bCs/>
                <w:szCs w:val="26"/>
              </w:rPr>
            </w:pPr>
            <w:r w:rsidRPr="00454D1A">
              <w:rPr>
                <w:b/>
                <w:bCs/>
                <w:szCs w:val="26"/>
              </w:rPr>
              <w:t>% Change</w:t>
            </w:r>
          </w:p>
          <w:p w:rsidRPr="00454D1A" w:rsidR="00AC782D" w:rsidRDefault="00AC782D" w14:paraId="1680E61B" w14:textId="77777777">
            <w:pPr>
              <w:pStyle w:val="Standard"/>
              <w:keepNext/>
              <w:spacing w:line="240" w:lineRule="auto"/>
              <w:ind w:firstLine="0"/>
              <w:jc w:val="center"/>
              <w:rPr>
                <w:b/>
                <w:bCs/>
                <w:szCs w:val="26"/>
              </w:rPr>
            </w:pPr>
            <w:r w:rsidRPr="00454D1A">
              <w:rPr>
                <w:b/>
                <w:bCs/>
                <w:szCs w:val="26"/>
              </w:rPr>
              <w:t>from 10/1/202</w:t>
            </w:r>
            <w:r>
              <w:rPr>
                <w:b/>
                <w:bCs/>
                <w:szCs w:val="26"/>
              </w:rPr>
              <w:t>4</w:t>
            </w:r>
          </w:p>
        </w:tc>
      </w:tr>
      <w:tr w:rsidRPr="00454D1A" w:rsidR="00AC782D" w14:paraId="19942BD6" w14:textId="77777777">
        <w:trPr>
          <w:jc w:val="center"/>
        </w:trPr>
        <w:tc>
          <w:tcPr>
            <w:tcW w:w="3685" w:type="dxa"/>
          </w:tcPr>
          <w:p w:rsidRPr="00454D1A" w:rsidR="00AC782D" w:rsidRDefault="00AC782D" w14:paraId="5C4492C9" w14:textId="77777777">
            <w:pPr>
              <w:pStyle w:val="Standard"/>
              <w:keepNext/>
              <w:spacing w:line="240" w:lineRule="auto"/>
              <w:ind w:firstLine="0"/>
              <w:rPr>
                <w:b/>
                <w:bCs/>
                <w:szCs w:val="26"/>
              </w:rPr>
            </w:pPr>
            <w:r w:rsidRPr="00454D1A">
              <w:rPr>
                <w:b/>
                <w:bCs/>
                <w:szCs w:val="26"/>
              </w:rPr>
              <w:t>Domestic</w:t>
            </w:r>
          </w:p>
          <w:p w:rsidRPr="00454D1A" w:rsidR="00AC782D" w:rsidP="00AC782D" w:rsidRDefault="00AC782D" w14:paraId="4DC00315" w14:textId="77777777">
            <w:pPr>
              <w:pStyle w:val="Standard"/>
              <w:keepNext/>
              <w:numPr>
                <w:ilvl w:val="0"/>
                <w:numId w:val="36"/>
              </w:numPr>
              <w:spacing w:line="240" w:lineRule="auto"/>
              <w:ind w:left="576" w:hanging="216"/>
              <w:rPr>
                <w:szCs w:val="26"/>
              </w:rPr>
            </w:pPr>
            <w:r w:rsidRPr="00454D1A">
              <w:rPr>
                <w:szCs w:val="26"/>
              </w:rPr>
              <w:t>D</w:t>
            </w:r>
          </w:p>
          <w:p w:rsidRPr="00454D1A" w:rsidR="00AC782D" w:rsidP="00AC782D" w:rsidRDefault="00AC782D" w14:paraId="5A432334" w14:textId="77777777">
            <w:pPr>
              <w:pStyle w:val="Standard"/>
              <w:keepNext/>
              <w:numPr>
                <w:ilvl w:val="0"/>
                <w:numId w:val="36"/>
              </w:numPr>
              <w:spacing w:line="240" w:lineRule="auto"/>
              <w:ind w:left="576" w:hanging="216"/>
              <w:rPr>
                <w:szCs w:val="26"/>
              </w:rPr>
            </w:pPr>
            <w:r w:rsidRPr="00454D1A">
              <w:rPr>
                <w:szCs w:val="26"/>
              </w:rPr>
              <w:t>D</w:t>
            </w:r>
            <w:r>
              <w:rPr>
                <w:szCs w:val="26"/>
              </w:rPr>
              <w:noBreakHyphen/>
            </w:r>
            <w:r w:rsidRPr="00454D1A">
              <w:rPr>
                <w:szCs w:val="26"/>
              </w:rPr>
              <w:t>CARE</w:t>
            </w:r>
          </w:p>
          <w:p w:rsidRPr="00454D1A" w:rsidR="00AC782D" w:rsidP="00AC782D" w:rsidRDefault="00AC782D" w14:paraId="5CAA7547" w14:textId="77777777">
            <w:pPr>
              <w:pStyle w:val="Standard"/>
              <w:keepNext/>
              <w:numPr>
                <w:ilvl w:val="0"/>
                <w:numId w:val="36"/>
              </w:numPr>
              <w:spacing w:line="240" w:lineRule="auto"/>
              <w:ind w:left="576" w:hanging="216"/>
              <w:rPr>
                <w:szCs w:val="26"/>
              </w:rPr>
            </w:pPr>
            <w:r w:rsidRPr="00454D1A">
              <w:rPr>
                <w:szCs w:val="26"/>
              </w:rPr>
              <w:t>DE</w:t>
            </w:r>
          </w:p>
          <w:p w:rsidRPr="00454D1A" w:rsidR="00AC782D" w:rsidP="00AC782D" w:rsidRDefault="00AC782D" w14:paraId="12621A82" w14:textId="77777777">
            <w:pPr>
              <w:pStyle w:val="Standard"/>
              <w:keepNext/>
              <w:numPr>
                <w:ilvl w:val="0"/>
                <w:numId w:val="36"/>
              </w:numPr>
              <w:spacing w:line="240" w:lineRule="auto"/>
              <w:ind w:left="576" w:hanging="216"/>
              <w:rPr>
                <w:szCs w:val="26"/>
              </w:rPr>
            </w:pPr>
            <w:r w:rsidRPr="00454D1A">
              <w:rPr>
                <w:szCs w:val="26"/>
              </w:rPr>
              <w:t>DM</w:t>
            </w:r>
          </w:p>
          <w:p w:rsidRPr="00454D1A" w:rsidR="00AC782D" w:rsidP="00AC782D" w:rsidRDefault="00AC782D" w14:paraId="589FAE6A" w14:textId="77777777">
            <w:pPr>
              <w:pStyle w:val="Standard"/>
              <w:keepNext/>
              <w:numPr>
                <w:ilvl w:val="0"/>
                <w:numId w:val="36"/>
              </w:numPr>
              <w:spacing w:line="240" w:lineRule="auto"/>
              <w:ind w:left="576" w:hanging="216"/>
              <w:rPr>
                <w:szCs w:val="26"/>
              </w:rPr>
            </w:pPr>
            <w:r w:rsidRPr="00454D1A">
              <w:rPr>
                <w:szCs w:val="26"/>
              </w:rPr>
              <w:t>DMS</w:t>
            </w:r>
            <w:r>
              <w:rPr>
                <w:szCs w:val="26"/>
              </w:rPr>
              <w:noBreakHyphen/>
            </w:r>
            <w:r w:rsidRPr="00454D1A">
              <w:rPr>
                <w:szCs w:val="26"/>
              </w:rPr>
              <w:t>1</w:t>
            </w:r>
          </w:p>
          <w:p w:rsidRPr="00454D1A" w:rsidR="00AC782D" w:rsidP="00AC782D" w:rsidRDefault="00AC782D" w14:paraId="00F2F366" w14:textId="77777777">
            <w:pPr>
              <w:pStyle w:val="Standard"/>
              <w:keepNext/>
              <w:numPr>
                <w:ilvl w:val="0"/>
                <w:numId w:val="36"/>
              </w:numPr>
              <w:spacing w:line="240" w:lineRule="auto"/>
              <w:ind w:left="576" w:hanging="216"/>
              <w:rPr>
                <w:szCs w:val="26"/>
              </w:rPr>
            </w:pPr>
            <w:r w:rsidRPr="00454D1A">
              <w:rPr>
                <w:szCs w:val="26"/>
              </w:rPr>
              <w:t>DMS</w:t>
            </w:r>
            <w:r>
              <w:rPr>
                <w:szCs w:val="26"/>
              </w:rPr>
              <w:noBreakHyphen/>
            </w:r>
            <w:r w:rsidRPr="00454D1A">
              <w:rPr>
                <w:szCs w:val="26"/>
              </w:rPr>
              <w:t>2</w:t>
            </w:r>
          </w:p>
        </w:tc>
        <w:tc>
          <w:tcPr>
            <w:tcW w:w="1710" w:type="dxa"/>
          </w:tcPr>
          <w:p w:rsidRPr="00454D1A" w:rsidR="00AC782D" w:rsidRDefault="00AC782D" w14:paraId="03705033" w14:textId="77777777">
            <w:pPr>
              <w:pStyle w:val="Standard"/>
              <w:keepNext/>
              <w:spacing w:after="60" w:line="240" w:lineRule="auto"/>
              <w:ind w:firstLine="0"/>
              <w:jc w:val="right"/>
              <w:rPr>
                <w:b/>
                <w:bCs/>
                <w:szCs w:val="26"/>
              </w:rPr>
            </w:pPr>
          </w:p>
          <w:p w:rsidR="00AC782D" w:rsidRDefault="00AC782D" w14:paraId="06C1543A" w14:textId="77777777">
            <w:pPr>
              <w:pStyle w:val="Standard"/>
              <w:keepNext/>
              <w:spacing w:line="240" w:lineRule="auto"/>
              <w:ind w:firstLine="0"/>
              <w:jc w:val="right"/>
            </w:pPr>
            <w:r>
              <w:t xml:space="preserve">0.22557 </w:t>
            </w:r>
          </w:p>
          <w:p w:rsidR="00AC782D" w:rsidRDefault="00AC782D" w14:paraId="41C8EDAD" w14:textId="77777777">
            <w:pPr>
              <w:pStyle w:val="Standard"/>
              <w:keepNext/>
              <w:spacing w:line="240" w:lineRule="auto"/>
              <w:ind w:firstLine="0"/>
              <w:jc w:val="right"/>
            </w:pPr>
            <w:r>
              <w:t xml:space="preserve"> 0.10217 </w:t>
            </w:r>
          </w:p>
          <w:p w:rsidR="00AC782D" w:rsidRDefault="00AC782D" w14:paraId="5452CDAF" w14:textId="77777777">
            <w:pPr>
              <w:pStyle w:val="Standard"/>
              <w:keepNext/>
              <w:spacing w:line="240" w:lineRule="auto"/>
              <w:ind w:firstLine="0"/>
              <w:jc w:val="right"/>
            </w:pPr>
            <w:r>
              <w:t xml:space="preserve"> 0.13957 </w:t>
            </w:r>
          </w:p>
          <w:p w:rsidR="00AC782D" w:rsidRDefault="00AC782D" w14:paraId="07A99BB4" w14:textId="77777777">
            <w:pPr>
              <w:pStyle w:val="Standard"/>
              <w:keepNext/>
              <w:spacing w:line="240" w:lineRule="auto"/>
              <w:ind w:firstLine="0"/>
              <w:jc w:val="right"/>
            </w:pPr>
            <w:r>
              <w:t xml:space="preserve"> 0.13667 </w:t>
            </w:r>
          </w:p>
          <w:p w:rsidR="00AC782D" w:rsidRDefault="00AC782D" w14:paraId="10C6F5CD" w14:textId="77777777">
            <w:pPr>
              <w:pStyle w:val="Standard"/>
              <w:keepNext/>
              <w:spacing w:line="240" w:lineRule="auto"/>
              <w:ind w:firstLine="0"/>
              <w:jc w:val="right"/>
            </w:pPr>
            <w:r>
              <w:t xml:space="preserve"> 0.23474 </w:t>
            </w:r>
          </w:p>
          <w:p w:rsidRPr="00454D1A" w:rsidR="00AC782D" w:rsidRDefault="00AC782D" w14:paraId="3BD06FCC" w14:textId="77777777">
            <w:pPr>
              <w:pStyle w:val="Standard"/>
              <w:keepNext/>
              <w:spacing w:line="240" w:lineRule="auto"/>
              <w:ind w:firstLine="0"/>
              <w:jc w:val="right"/>
            </w:pPr>
            <w:r>
              <w:t xml:space="preserve"> 0.22962</w:t>
            </w:r>
          </w:p>
        </w:tc>
        <w:tc>
          <w:tcPr>
            <w:tcW w:w="1800" w:type="dxa"/>
          </w:tcPr>
          <w:p w:rsidR="00AC782D" w:rsidRDefault="00AC782D" w14:paraId="465DB309" w14:textId="77777777">
            <w:pPr>
              <w:pStyle w:val="Standard"/>
              <w:keepNext/>
              <w:spacing w:line="240" w:lineRule="auto"/>
              <w:ind w:firstLine="0"/>
              <w:jc w:val="right"/>
            </w:pPr>
          </w:p>
          <w:p w:rsidR="00AC782D" w:rsidRDefault="00AC782D" w14:paraId="13AA3684" w14:textId="77777777">
            <w:pPr>
              <w:pStyle w:val="Standard"/>
              <w:keepNext/>
              <w:spacing w:line="240" w:lineRule="auto"/>
              <w:ind w:firstLine="0"/>
              <w:jc w:val="right"/>
            </w:pPr>
            <w:r>
              <w:t xml:space="preserve">0.11462 </w:t>
            </w:r>
          </w:p>
          <w:p w:rsidR="00AC782D" w:rsidRDefault="00AC782D" w14:paraId="03FA1C0E" w14:textId="77777777">
            <w:pPr>
              <w:pStyle w:val="Standard"/>
              <w:keepNext/>
              <w:spacing w:line="240" w:lineRule="auto"/>
              <w:ind w:firstLine="0"/>
              <w:jc w:val="right"/>
            </w:pPr>
            <w:r>
              <w:t xml:space="preserve"> 0.11461 </w:t>
            </w:r>
          </w:p>
          <w:p w:rsidR="00AC782D" w:rsidRDefault="00AC782D" w14:paraId="2D12FE1C" w14:textId="77777777">
            <w:pPr>
              <w:pStyle w:val="Standard"/>
              <w:keepNext/>
              <w:spacing w:line="240" w:lineRule="auto"/>
              <w:ind w:firstLine="0"/>
              <w:jc w:val="right"/>
            </w:pPr>
            <w:r>
              <w:t xml:space="preserve"> 0.11456 </w:t>
            </w:r>
          </w:p>
          <w:p w:rsidR="00AC782D" w:rsidRDefault="00AC782D" w14:paraId="4CAB346A" w14:textId="77777777">
            <w:pPr>
              <w:pStyle w:val="Standard"/>
              <w:keepNext/>
              <w:spacing w:line="240" w:lineRule="auto"/>
              <w:ind w:firstLine="0"/>
              <w:jc w:val="right"/>
            </w:pPr>
            <w:r>
              <w:t xml:space="preserve"> 0.11494 </w:t>
            </w:r>
          </w:p>
          <w:p w:rsidR="00AC782D" w:rsidRDefault="00AC782D" w14:paraId="5F06A1D8" w14:textId="77777777">
            <w:pPr>
              <w:pStyle w:val="Standard"/>
              <w:keepNext/>
              <w:spacing w:line="240" w:lineRule="auto"/>
              <w:ind w:firstLine="0"/>
              <w:jc w:val="right"/>
            </w:pPr>
            <w:r>
              <w:t xml:space="preserve"> 0.11492 </w:t>
            </w:r>
          </w:p>
          <w:p w:rsidRPr="00454D1A" w:rsidR="00AC782D" w:rsidRDefault="00AC782D" w14:paraId="1C7BC56B" w14:textId="77777777">
            <w:pPr>
              <w:pStyle w:val="Standard"/>
              <w:keepNext/>
              <w:spacing w:line="240" w:lineRule="auto"/>
              <w:ind w:firstLine="0"/>
              <w:jc w:val="right"/>
            </w:pPr>
            <w:r>
              <w:t xml:space="preserve"> 0.11506</w:t>
            </w:r>
          </w:p>
        </w:tc>
        <w:tc>
          <w:tcPr>
            <w:tcW w:w="1400" w:type="dxa"/>
          </w:tcPr>
          <w:p w:rsidR="00AC782D" w:rsidRDefault="00AC782D" w14:paraId="53516D91" w14:textId="77777777">
            <w:pPr>
              <w:pStyle w:val="Standard"/>
              <w:keepNext/>
              <w:spacing w:line="240" w:lineRule="auto"/>
              <w:ind w:firstLine="0"/>
              <w:jc w:val="right"/>
            </w:pPr>
          </w:p>
          <w:p w:rsidR="00AC782D" w:rsidRDefault="00AC782D" w14:paraId="75E52964" w14:textId="77777777">
            <w:pPr>
              <w:pStyle w:val="Standard"/>
              <w:keepNext/>
              <w:spacing w:line="240" w:lineRule="auto"/>
              <w:ind w:firstLine="0"/>
              <w:jc w:val="right"/>
            </w:pPr>
            <w:r>
              <w:t xml:space="preserve">0.34019 </w:t>
            </w:r>
          </w:p>
          <w:p w:rsidR="00AC782D" w:rsidRDefault="00AC782D" w14:paraId="7371D9BC" w14:textId="77777777">
            <w:pPr>
              <w:pStyle w:val="Standard"/>
              <w:keepNext/>
              <w:spacing w:line="240" w:lineRule="auto"/>
              <w:ind w:firstLine="0"/>
              <w:jc w:val="right"/>
            </w:pPr>
            <w:r>
              <w:t xml:space="preserve"> 0.21678 </w:t>
            </w:r>
          </w:p>
          <w:p w:rsidR="00AC782D" w:rsidRDefault="00AC782D" w14:paraId="71BAFD9A" w14:textId="77777777">
            <w:pPr>
              <w:pStyle w:val="Standard"/>
              <w:keepNext/>
              <w:spacing w:line="240" w:lineRule="auto"/>
              <w:ind w:firstLine="0"/>
              <w:jc w:val="right"/>
            </w:pPr>
            <w:r>
              <w:t xml:space="preserve"> 0.25412 </w:t>
            </w:r>
          </w:p>
          <w:p w:rsidR="00AC782D" w:rsidRDefault="00AC782D" w14:paraId="2D9FE3F9" w14:textId="77777777">
            <w:pPr>
              <w:pStyle w:val="Standard"/>
              <w:keepNext/>
              <w:spacing w:line="240" w:lineRule="auto"/>
              <w:ind w:firstLine="0"/>
              <w:jc w:val="right"/>
            </w:pPr>
            <w:r>
              <w:t xml:space="preserve"> 0.25161 </w:t>
            </w:r>
          </w:p>
          <w:p w:rsidR="00AC782D" w:rsidRDefault="00AC782D" w14:paraId="69F99801" w14:textId="77777777">
            <w:pPr>
              <w:pStyle w:val="Standard"/>
              <w:keepNext/>
              <w:spacing w:line="240" w:lineRule="auto"/>
              <w:ind w:firstLine="0"/>
              <w:jc w:val="right"/>
            </w:pPr>
            <w:r>
              <w:t xml:space="preserve"> 0.34967 </w:t>
            </w:r>
          </w:p>
          <w:p w:rsidRPr="00454D1A" w:rsidR="00AC782D" w:rsidRDefault="00AC782D" w14:paraId="27494252" w14:textId="77777777">
            <w:pPr>
              <w:pStyle w:val="Standard"/>
              <w:keepNext/>
              <w:spacing w:line="240" w:lineRule="auto"/>
              <w:ind w:firstLine="0"/>
              <w:jc w:val="right"/>
            </w:pPr>
            <w:r>
              <w:t xml:space="preserve"> 0.34469</w:t>
            </w:r>
          </w:p>
        </w:tc>
        <w:tc>
          <w:tcPr>
            <w:tcW w:w="1960" w:type="dxa"/>
          </w:tcPr>
          <w:p w:rsidR="00AC782D" w:rsidRDefault="00AC782D" w14:paraId="4082031B" w14:textId="77777777">
            <w:pPr>
              <w:pStyle w:val="Standard"/>
              <w:keepNext/>
              <w:spacing w:line="240" w:lineRule="auto"/>
              <w:ind w:firstLine="0"/>
              <w:jc w:val="right"/>
            </w:pPr>
          </w:p>
          <w:p w:rsidR="00AC782D" w:rsidRDefault="00AC782D" w14:paraId="56BDE8F1" w14:textId="77777777">
            <w:pPr>
              <w:pStyle w:val="Standard"/>
              <w:keepNext/>
              <w:spacing w:line="240" w:lineRule="auto"/>
              <w:ind w:firstLine="0"/>
              <w:jc w:val="right"/>
            </w:pPr>
            <w:r>
              <w:t>2.4%</w:t>
            </w:r>
          </w:p>
          <w:p w:rsidR="00AC782D" w:rsidRDefault="00AC782D" w14:paraId="4E9E3FFD" w14:textId="77777777">
            <w:pPr>
              <w:pStyle w:val="Standard"/>
              <w:keepNext/>
              <w:spacing w:line="240" w:lineRule="auto"/>
              <w:ind w:firstLine="0"/>
              <w:jc w:val="right"/>
            </w:pPr>
            <w:r>
              <w:t>4.0%</w:t>
            </w:r>
          </w:p>
          <w:p w:rsidR="00AC782D" w:rsidRDefault="00AC782D" w14:paraId="2809AFF8" w14:textId="77777777">
            <w:pPr>
              <w:pStyle w:val="Standard"/>
              <w:keepNext/>
              <w:spacing w:line="240" w:lineRule="auto"/>
              <w:ind w:firstLine="0"/>
              <w:jc w:val="right"/>
            </w:pPr>
            <w:r>
              <w:t>2.1%</w:t>
            </w:r>
          </w:p>
          <w:p w:rsidR="00AC782D" w:rsidRDefault="00AC782D" w14:paraId="16B07585" w14:textId="77777777">
            <w:pPr>
              <w:pStyle w:val="Standard"/>
              <w:keepNext/>
              <w:spacing w:line="240" w:lineRule="auto"/>
              <w:ind w:firstLine="0"/>
              <w:jc w:val="right"/>
            </w:pPr>
            <w:r>
              <w:t>20.5%</w:t>
            </w:r>
          </w:p>
          <w:p w:rsidR="00AC782D" w:rsidRDefault="00AC782D" w14:paraId="0A991A2E" w14:textId="77777777">
            <w:pPr>
              <w:pStyle w:val="Standard"/>
              <w:keepNext/>
              <w:spacing w:line="240" w:lineRule="auto"/>
              <w:ind w:firstLine="0"/>
              <w:jc w:val="right"/>
            </w:pPr>
            <w:r>
              <w:t>1.1%</w:t>
            </w:r>
          </w:p>
          <w:p w:rsidRPr="00454D1A" w:rsidR="00AC782D" w:rsidRDefault="00AC782D" w14:paraId="2E8E064B" w14:textId="77777777">
            <w:pPr>
              <w:pStyle w:val="Standard"/>
              <w:keepNext/>
              <w:spacing w:line="240" w:lineRule="auto"/>
              <w:ind w:firstLine="0"/>
              <w:jc w:val="right"/>
            </w:pPr>
            <w:r>
              <w:t>-0.3%</w:t>
            </w:r>
          </w:p>
        </w:tc>
      </w:tr>
      <w:tr w:rsidRPr="00454D1A" w:rsidR="00AC782D" w14:paraId="18AF4B8D" w14:textId="77777777">
        <w:trPr>
          <w:jc w:val="center"/>
        </w:trPr>
        <w:tc>
          <w:tcPr>
            <w:tcW w:w="3685" w:type="dxa"/>
          </w:tcPr>
          <w:p w:rsidRPr="00454D1A" w:rsidR="00AC782D" w:rsidRDefault="00AC782D" w14:paraId="64627A3F" w14:textId="77777777">
            <w:pPr>
              <w:pStyle w:val="Standard"/>
              <w:keepNext/>
              <w:spacing w:line="240" w:lineRule="auto"/>
              <w:ind w:firstLine="0"/>
              <w:rPr>
                <w:b/>
                <w:bCs/>
                <w:szCs w:val="26"/>
              </w:rPr>
            </w:pPr>
            <w:r w:rsidRPr="00454D1A">
              <w:rPr>
                <w:b/>
                <w:bCs/>
                <w:szCs w:val="26"/>
              </w:rPr>
              <w:t>Lighting</w:t>
            </w:r>
            <w:r>
              <w:rPr>
                <w:b/>
                <w:bCs/>
                <w:szCs w:val="26"/>
              </w:rPr>
              <w:noBreakHyphen/>
            </w:r>
            <w:r w:rsidRPr="00454D1A">
              <w:rPr>
                <w:b/>
                <w:bCs/>
                <w:szCs w:val="26"/>
              </w:rPr>
              <w:t>Small, Med. Power</w:t>
            </w:r>
          </w:p>
          <w:p w:rsidRPr="00454D1A" w:rsidR="00AC782D" w:rsidP="00AC782D" w:rsidRDefault="00AC782D" w14:paraId="30F8A3FF" w14:textId="77777777">
            <w:pPr>
              <w:pStyle w:val="Standard"/>
              <w:keepNext/>
              <w:numPr>
                <w:ilvl w:val="0"/>
                <w:numId w:val="36"/>
              </w:numPr>
              <w:spacing w:line="240" w:lineRule="auto"/>
              <w:ind w:left="576" w:hanging="216"/>
              <w:rPr>
                <w:szCs w:val="26"/>
              </w:rPr>
            </w:pPr>
            <w:r w:rsidRPr="00454D1A">
              <w:rPr>
                <w:szCs w:val="26"/>
              </w:rPr>
              <w:t>GS</w:t>
            </w:r>
            <w:r>
              <w:rPr>
                <w:szCs w:val="26"/>
              </w:rPr>
              <w:noBreakHyphen/>
            </w:r>
            <w:r w:rsidRPr="00454D1A">
              <w:rPr>
                <w:szCs w:val="26"/>
              </w:rPr>
              <w:t>1</w:t>
            </w:r>
          </w:p>
          <w:p w:rsidRPr="00454D1A" w:rsidR="00AC782D" w:rsidP="00AC782D" w:rsidRDefault="00AC782D" w14:paraId="4DB830B2" w14:textId="77777777">
            <w:pPr>
              <w:pStyle w:val="Standard"/>
              <w:keepNext/>
              <w:numPr>
                <w:ilvl w:val="0"/>
                <w:numId w:val="36"/>
              </w:numPr>
              <w:spacing w:line="240" w:lineRule="auto"/>
              <w:ind w:left="576" w:hanging="216"/>
              <w:rPr>
                <w:szCs w:val="26"/>
              </w:rPr>
            </w:pPr>
            <w:r w:rsidRPr="00454D1A">
              <w:rPr>
                <w:szCs w:val="26"/>
              </w:rPr>
              <w:t>GS</w:t>
            </w:r>
            <w:r>
              <w:rPr>
                <w:szCs w:val="26"/>
              </w:rPr>
              <w:noBreakHyphen/>
            </w:r>
            <w:r w:rsidRPr="00454D1A">
              <w:rPr>
                <w:szCs w:val="26"/>
              </w:rPr>
              <w:t>2</w:t>
            </w:r>
          </w:p>
          <w:p w:rsidRPr="00454D1A" w:rsidR="00AC782D" w:rsidP="00AC782D" w:rsidRDefault="00AC782D" w14:paraId="2E310C4F" w14:textId="77777777">
            <w:pPr>
              <w:pStyle w:val="Standard"/>
              <w:keepNext/>
              <w:numPr>
                <w:ilvl w:val="0"/>
                <w:numId w:val="36"/>
              </w:numPr>
              <w:spacing w:line="240" w:lineRule="auto"/>
              <w:ind w:left="576" w:hanging="216"/>
              <w:rPr>
                <w:szCs w:val="26"/>
              </w:rPr>
            </w:pPr>
            <w:r w:rsidRPr="00454D1A">
              <w:rPr>
                <w:szCs w:val="26"/>
              </w:rPr>
              <w:t>TC</w:t>
            </w:r>
            <w:r>
              <w:rPr>
                <w:szCs w:val="26"/>
              </w:rPr>
              <w:noBreakHyphen/>
            </w:r>
            <w:r w:rsidRPr="00454D1A">
              <w:rPr>
                <w:szCs w:val="26"/>
              </w:rPr>
              <w:t>1</w:t>
            </w:r>
          </w:p>
          <w:p w:rsidRPr="00454D1A" w:rsidR="00AC782D" w:rsidP="00AC782D" w:rsidRDefault="00AC782D" w14:paraId="2AB1FEE7" w14:textId="77777777">
            <w:pPr>
              <w:pStyle w:val="Standard"/>
              <w:keepNext/>
              <w:numPr>
                <w:ilvl w:val="0"/>
                <w:numId w:val="36"/>
              </w:numPr>
              <w:spacing w:line="240" w:lineRule="auto"/>
              <w:ind w:left="576" w:hanging="216"/>
              <w:rPr>
                <w:szCs w:val="26"/>
              </w:rPr>
            </w:pPr>
            <w:r w:rsidRPr="00454D1A">
              <w:rPr>
                <w:szCs w:val="26"/>
              </w:rPr>
              <w:t>TOU</w:t>
            </w:r>
            <w:r>
              <w:rPr>
                <w:szCs w:val="26"/>
              </w:rPr>
              <w:noBreakHyphen/>
            </w:r>
            <w:r w:rsidRPr="00454D1A">
              <w:rPr>
                <w:szCs w:val="26"/>
              </w:rPr>
              <w:t>GS</w:t>
            </w:r>
          </w:p>
        </w:tc>
        <w:tc>
          <w:tcPr>
            <w:tcW w:w="1710" w:type="dxa"/>
          </w:tcPr>
          <w:p w:rsidR="00AC782D" w:rsidRDefault="00AC782D" w14:paraId="098CB358" w14:textId="77777777">
            <w:pPr>
              <w:pStyle w:val="Standard"/>
              <w:keepNext/>
              <w:spacing w:line="240" w:lineRule="auto"/>
              <w:ind w:firstLine="0"/>
              <w:jc w:val="right"/>
            </w:pPr>
          </w:p>
          <w:p w:rsidR="00AC782D" w:rsidRDefault="00AC782D" w14:paraId="75C8FF1F" w14:textId="77777777">
            <w:pPr>
              <w:pStyle w:val="Standard"/>
              <w:keepNext/>
              <w:spacing w:line="240" w:lineRule="auto"/>
              <w:ind w:firstLine="0"/>
              <w:jc w:val="right"/>
            </w:pPr>
            <w:r>
              <w:t xml:space="preserve">0.16462 </w:t>
            </w:r>
          </w:p>
          <w:p w:rsidR="00AC782D" w:rsidRDefault="00AC782D" w14:paraId="3AF04565" w14:textId="77777777">
            <w:pPr>
              <w:pStyle w:val="Standard"/>
              <w:keepNext/>
              <w:spacing w:line="240" w:lineRule="auto"/>
              <w:ind w:firstLine="0"/>
              <w:jc w:val="right"/>
            </w:pPr>
            <w:r>
              <w:t xml:space="preserve"> 0.20234 </w:t>
            </w:r>
          </w:p>
          <w:p w:rsidR="00AC782D" w:rsidRDefault="00AC782D" w14:paraId="2EA2F45B" w14:textId="77777777">
            <w:pPr>
              <w:pStyle w:val="Standard"/>
              <w:keepNext/>
              <w:spacing w:line="240" w:lineRule="auto"/>
              <w:ind w:firstLine="0"/>
              <w:jc w:val="right"/>
            </w:pPr>
            <w:r>
              <w:t xml:space="preserve"> 0.25194 </w:t>
            </w:r>
          </w:p>
          <w:p w:rsidRPr="00454D1A" w:rsidR="00AC782D" w:rsidRDefault="00AC782D" w14:paraId="3C851788" w14:textId="77777777">
            <w:pPr>
              <w:pStyle w:val="Standard"/>
              <w:keepNext/>
              <w:spacing w:line="240" w:lineRule="auto"/>
              <w:ind w:firstLine="0"/>
              <w:jc w:val="right"/>
            </w:pPr>
            <w:r>
              <w:t xml:space="preserve"> 0.16099</w:t>
            </w:r>
          </w:p>
        </w:tc>
        <w:tc>
          <w:tcPr>
            <w:tcW w:w="1800" w:type="dxa"/>
          </w:tcPr>
          <w:p w:rsidR="00AC782D" w:rsidRDefault="00AC782D" w14:paraId="58E49964" w14:textId="77777777">
            <w:pPr>
              <w:pStyle w:val="Standard"/>
              <w:keepNext/>
              <w:spacing w:line="240" w:lineRule="auto"/>
              <w:ind w:firstLine="0"/>
              <w:jc w:val="right"/>
            </w:pPr>
          </w:p>
          <w:p w:rsidR="00AC782D" w:rsidRDefault="00AC782D" w14:paraId="54DD7B20" w14:textId="77777777">
            <w:pPr>
              <w:pStyle w:val="Standard"/>
              <w:keepNext/>
              <w:spacing w:line="240" w:lineRule="auto"/>
              <w:ind w:firstLine="0"/>
              <w:jc w:val="right"/>
            </w:pPr>
            <w:r>
              <w:t xml:space="preserve">0.10981 </w:t>
            </w:r>
          </w:p>
          <w:p w:rsidR="00AC782D" w:rsidRDefault="00AC782D" w14:paraId="4FC966BF" w14:textId="77777777">
            <w:pPr>
              <w:pStyle w:val="Standard"/>
              <w:keepNext/>
              <w:spacing w:line="240" w:lineRule="auto"/>
              <w:ind w:firstLine="0"/>
              <w:jc w:val="right"/>
            </w:pPr>
            <w:r>
              <w:t xml:space="preserve"> 0.09998 </w:t>
            </w:r>
          </w:p>
          <w:p w:rsidR="00AC782D" w:rsidRDefault="00AC782D" w14:paraId="7C778B58" w14:textId="77777777">
            <w:pPr>
              <w:pStyle w:val="Standard"/>
              <w:keepNext/>
              <w:spacing w:line="240" w:lineRule="auto"/>
              <w:ind w:firstLine="0"/>
              <w:jc w:val="right"/>
            </w:pPr>
            <w:r>
              <w:t xml:space="preserve"> 0.08913 </w:t>
            </w:r>
          </w:p>
          <w:p w:rsidRPr="00454D1A" w:rsidR="00AC782D" w:rsidRDefault="00AC782D" w14:paraId="1129A6A2" w14:textId="77777777">
            <w:pPr>
              <w:pStyle w:val="Standard"/>
              <w:keepNext/>
              <w:spacing w:line="240" w:lineRule="auto"/>
              <w:ind w:firstLine="0"/>
              <w:jc w:val="right"/>
            </w:pPr>
            <w:r>
              <w:t xml:space="preserve"> 0.08925</w:t>
            </w:r>
          </w:p>
        </w:tc>
        <w:tc>
          <w:tcPr>
            <w:tcW w:w="1400" w:type="dxa"/>
          </w:tcPr>
          <w:p w:rsidR="00AC782D" w:rsidRDefault="00AC782D" w14:paraId="05EA4B7A" w14:textId="77777777">
            <w:pPr>
              <w:pStyle w:val="Standard"/>
              <w:keepNext/>
              <w:spacing w:line="240" w:lineRule="auto"/>
              <w:ind w:firstLine="0"/>
              <w:jc w:val="right"/>
            </w:pPr>
          </w:p>
          <w:p w:rsidR="00AC782D" w:rsidRDefault="00AC782D" w14:paraId="085E4AC2" w14:textId="77777777">
            <w:pPr>
              <w:pStyle w:val="Standard"/>
              <w:keepNext/>
              <w:spacing w:line="240" w:lineRule="auto"/>
              <w:ind w:firstLine="0"/>
              <w:jc w:val="right"/>
            </w:pPr>
            <w:r>
              <w:t xml:space="preserve">0.27444 </w:t>
            </w:r>
          </w:p>
          <w:p w:rsidR="00AC782D" w:rsidRDefault="00AC782D" w14:paraId="2466BA3D" w14:textId="77777777">
            <w:pPr>
              <w:pStyle w:val="Standard"/>
              <w:keepNext/>
              <w:spacing w:line="240" w:lineRule="auto"/>
              <w:ind w:firstLine="0"/>
              <w:jc w:val="right"/>
            </w:pPr>
            <w:r>
              <w:t xml:space="preserve"> 0.30232 </w:t>
            </w:r>
          </w:p>
          <w:p w:rsidR="00AC782D" w:rsidRDefault="00AC782D" w14:paraId="14036DC3" w14:textId="77777777">
            <w:pPr>
              <w:pStyle w:val="Standard"/>
              <w:keepNext/>
              <w:spacing w:line="240" w:lineRule="auto"/>
              <w:ind w:firstLine="0"/>
              <w:jc w:val="right"/>
            </w:pPr>
            <w:r>
              <w:t xml:space="preserve"> 0.34107 </w:t>
            </w:r>
          </w:p>
          <w:p w:rsidRPr="00454D1A" w:rsidR="00AC782D" w:rsidRDefault="00AC782D" w14:paraId="62967CC6" w14:textId="77777777">
            <w:pPr>
              <w:pStyle w:val="Standard"/>
              <w:keepNext/>
              <w:spacing w:line="240" w:lineRule="auto"/>
              <w:ind w:firstLine="0"/>
              <w:jc w:val="right"/>
            </w:pPr>
            <w:r>
              <w:t xml:space="preserve"> 0.25023</w:t>
            </w:r>
          </w:p>
        </w:tc>
        <w:tc>
          <w:tcPr>
            <w:tcW w:w="1960" w:type="dxa"/>
          </w:tcPr>
          <w:p w:rsidR="00AC782D" w:rsidRDefault="00AC782D" w14:paraId="423D94D7" w14:textId="77777777">
            <w:pPr>
              <w:pStyle w:val="Standard"/>
              <w:keepNext/>
              <w:spacing w:line="240" w:lineRule="auto"/>
              <w:ind w:firstLine="0"/>
              <w:jc w:val="right"/>
            </w:pPr>
          </w:p>
          <w:p w:rsidR="00AC782D" w:rsidRDefault="00AC782D" w14:paraId="4F83DEEF" w14:textId="77777777">
            <w:pPr>
              <w:pStyle w:val="Standard"/>
              <w:keepNext/>
              <w:spacing w:line="240" w:lineRule="auto"/>
              <w:ind w:firstLine="0"/>
              <w:jc w:val="right"/>
            </w:pPr>
            <w:r>
              <w:t>0.5%</w:t>
            </w:r>
          </w:p>
          <w:p w:rsidR="00AC782D" w:rsidRDefault="00AC782D" w14:paraId="110C6712" w14:textId="77777777">
            <w:pPr>
              <w:pStyle w:val="Standard"/>
              <w:keepNext/>
              <w:spacing w:line="240" w:lineRule="auto"/>
              <w:ind w:firstLine="0"/>
              <w:jc w:val="right"/>
            </w:pPr>
            <w:r>
              <w:t>-2.1%</w:t>
            </w:r>
          </w:p>
          <w:p w:rsidR="00AC782D" w:rsidRDefault="00AC782D" w14:paraId="23DAD4C3" w14:textId="77777777">
            <w:pPr>
              <w:pStyle w:val="Standard"/>
              <w:keepNext/>
              <w:spacing w:line="240" w:lineRule="auto"/>
              <w:ind w:firstLine="0"/>
              <w:jc w:val="right"/>
            </w:pPr>
            <w:r>
              <w:t>-1.2%</w:t>
            </w:r>
          </w:p>
          <w:p w:rsidRPr="00454D1A" w:rsidR="00AC782D" w:rsidRDefault="00AC782D" w14:paraId="1D2111A9" w14:textId="77777777">
            <w:pPr>
              <w:pStyle w:val="Standard"/>
              <w:keepNext/>
              <w:spacing w:line="240" w:lineRule="auto"/>
              <w:ind w:firstLine="0"/>
              <w:jc w:val="right"/>
            </w:pPr>
            <w:r>
              <w:t>0.9%</w:t>
            </w:r>
          </w:p>
        </w:tc>
      </w:tr>
      <w:tr w:rsidRPr="00454D1A" w:rsidR="00AC782D" w14:paraId="003144BD" w14:textId="77777777">
        <w:trPr>
          <w:jc w:val="center"/>
        </w:trPr>
        <w:tc>
          <w:tcPr>
            <w:tcW w:w="3685" w:type="dxa"/>
          </w:tcPr>
          <w:p w:rsidRPr="00454D1A" w:rsidR="00AC782D" w:rsidRDefault="00AC782D" w14:paraId="17F21AD2" w14:textId="77777777">
            <w:pPr>
              <w:pStyle w:val="Standard"/>
              <w:keepNext/>
              <w:spacing w:line="240" w:lineRule="auto"/>
              <w:ind w:firstLine="0"/>
              <w:rPr>
                <w:b/>
                <w:bCs/>
                <w:szCs w:val="26"/>
              </w:rPr>
            </w:pPr>
            <w:r w:rsidRPr="00454D1A">
              <w:rPr>
                <w:b/>
                <w:bCs/>
                <w:szCs w:val="26"/>
              </w:rPr>
              <w:t>Large Power</w:t>
            </w:r>
          </w:p>
          <w:p w:rsidRPr="00454D1A" w:rsidR="00AC782D" w:rsidP="00AC782D" w:rsidRDefault="00AC782D" w14:paraId="3DFB9F6A" w14:textId="77777777">
            <w:pPr>
              <w:pStyle w:val="Standard"/>
              <w:keepNext/>
              <w:numPr>
                <w:ilvl w:val="0"/>
                <w:numId w:val="36"/>
              </w:numPr>
              <w:spacing w:line="240" w:lineRule="auto"/>
              <w:ind w:left="576" w:hanging="216"/>
              <w:rPr>
                <w:szCs w:val="26"/>
              </w:rPr>
            </w:pPr>
            <w:r w:rsidRPr="00454D1A">
              <w:rPr>
                <w:szCs w:val="26"/>
              </w:rPr>
              <w:t>TOU</w:t>
            </w:r>
            <w:r>
              <w:rPr>
                <w:szCs w:val="26"/>
              </w:rPr>
              <w:noBreakHyphen/>
              <w:t>8-</w:t>
            </w:r>
            <w:r w:rsidRPr="00454D1A">
              <w:rPr>
                <w:szCs w:val="26"/>
              </w:rPr>
              <w:t>S</w:t>
            </w:r>
          </w:p>
          <w:p w:rsidRPr="00454D1A" w:rsidR="00AC782D" w:rsidP="00AC782D" w:rsidRDefault="00AC782D" w14:paraId="791F7707" w14:textId="77777777">
            <w:pPr>
              <w:pStyle w:val="Standard"/>
              <w:keepNext/>
              <w:numPr>
                <w:ilvl w:val="0"/>
                <w:numId w:val="36"/>
              </w:numPr>
              <w:spacing w:line="240" w:lineRule="auto"/>
              <w:ind w:left="576" w:hanging="216"/>
              <w:rPr>
                <w:szCs w:val="26"/>
              </w:rPr>
            </w:pPr>
            <w:r w:rsidRPr="00454D1A">
              <w:rPr>
                <w:szCs w:val="26"/>
              </w:rPr>
              <w:t>TOU</w:t>
            </w:r>
            <w:r>
              <w:rPr>
                <w:szCs w:val="26"/>
              </w:rPr>
              <w:noBreakHyphen/>
              <w:t>8-</w:t>
            </w:r>
            <w:r w:rsidRPr="00454D1A">
              <w:rPr>
                <w:szCs w:val="26"/>
              </w:rPr>
              <w:t>P</w:t>
            </w:r>
          </w:p>
          <w:p w:rsidRPr="00454D1A" w:rsidR="00AC782D" w:rsidP="00AC782D" w:rsidRDefault="00AC782D" w14:paraId="4726395C" w14:textId="77777777">
            <w:pPr>
              <w:pStyle w:val="Standard"/>
              <w:keepNext/>
              <w:numPr>
                <w:ilvl w:val="0"/>
                <w:numId w:val="36"/>
              </w:numPr>
              <w:spacing w:line="240" w:lineRule="auto"/>
              <w:ind w:left="576" w:hanging="216"/>
              <w:rPr>
                <w:szCs w:val="26"/>
              </w:rPr>
            </w:pPr>
            <w:r w:rsidRPr="00454D1A">
              <w:rPr>
                <w:szCs w:val="26"/>
              </w:rPr>
              <w:t>TOU</w:t>
            </w:r>
            <w:r>
              <w:rPr>
                <w:szCs w:val="26"/>
              </w:rPr>
              <w:noBreakHyphen/>
              <w:t>8-</w:t>
            </w:r>
            <w:r w:rsidRPr="00454D1A">
              <w:rPr>
                <w:szCs w:val="26"/>
              </w:rPr>
              <w:t>T</w:t>
            </w:r>
          </w:p>
          <w:p w:rsidRPr="00454D1A" w:rsidR="00AC782D" w:rsidP="00AC782D" w:rsidRDefault="00AC782D" w14:paraId="207354F7" w14:textId="77777777">
            <w:pPr>
              <w:pStyle w:val="Standard"/>
              <w:keepNext/>
              <w:numPr>
                <w:ilvl w:val="0"/>
                <w:numId w:val="36"/>
              </w:numPr>
              <w:spacing w:line="240" w:lineRule="auto"/>
              <w:ind w:left="576" w:hanging="216"/>
              <w:rPr>
                <w:szCs w:val="26"/>
              </w:rPr>
            </w:pPr>
            <w:r w:rsidRPr="00454D1A">
              <w:rPr>
                <w:szCs w:val="26"/>
              </w:rPr>
              <w:t>TOU</w:t>
            </w:r>
            <w:r>
              <w:rPr>
                <w:szCs w:val="26"/>
              </w:rPr>
              <w:noBreakHyphen/>
            </w:r>
            <w:r w:rsidRPr="00454D1A">
              <w:rPr>
                <w:szCs w:val="26"/>
              </w:rPr>
              <w:t>8</w:t>
            </w:r>
            <w:r>
              <w:rPr>
                <w:szCs w:val="26"/>
              </w:rPr>
              <w:noBreakHyphen/>
            </w:r>
            <w:r w:rsidRPr="00454D1A">
              <w:rPr>
                <w:szCs w:val="26"/>
              </w:rPr>
              <w:t>S</w:t>
            </w:r>
            <w:r>
              <w:rPr>
                <w:szCs w:val="26"/>
              </w:rPr>
              <w:noBreakHyphen/>
            </w:r>
            <w:r w:rsidRPr="00454D1A">
              <w:rPr>
                <w:szCs w:val="26"/>
              </w:rPr>
              <w:t>S</w:t>
            </w:r>
          </w:p>
          <w:p w:rsidRPr="00454D1A" w:rsidR="00AC782D" w:rsidP="00AC782D" w:rsidRDefault="00AC782D" w14:paraId="038F59B5" w14:textId="77777777">
            <w:pPr>
              <w:pStyle w:val="Standard"/>
              <w:keepNext/>
              <w:numPr>
                <w:ilvl w:val="0"/>
                <w:numId w:val="36"/>
              </w:numPr>
              <w:spacing w:line="240" w:lineRule="auto"/>
              <w:ind w:left="576" w:hanging="216"/>
              <w:rPr>
                <w:szCs w:val="26"/>
              </w:rPr>
            </w:pPr>
            <w:r w:rsidRPr="00454D1A">
              <w:rPr>
                <w:szCs w:val="26"/>
              </w:rPr>
              <w:t>TOU</w:t>
            </w:r>
            <w:r>
              <w:rPr>
                <w:szCs w:val="26"/>
              </w:rPr>
              <w:noBreakHyphen/>
            </w:r>
            <w:r w:rsidRPr="00454D1A">
              <w:rPr>
                <w:szCs w:val="26"/>
              </w:rPr>
              <w:t>8</w:t>
            </w:r>
            <w:r>
              <w:rPr>
                <w:szCs w:val="26"/>
              </w:rPr>
              <w:noBreakHyphen/>
            </w:r>
            <w:r w:rsidRPr="00454D1A">
              <w:rPr>
                <w:szCs w:val="26"/>
              </w:rPr>
              <w:t>S</w:t>
            </w:r>
            <w:r>
              <w:rPr>
                <w:szCs w:val="26"/>
              </w:rPr>
              <w:noBreakHyphen/>
            </w:r>
            <w:r w:rsidRPr="00454D1A">
              <w:rPr>
                <w:szCs w:val="26"/>
              </w:rPr>
              <w:t>P</w:t>
            </w:r>
          </w:p>
          <w:p w:rsidRPr="00454D1A" w:rsidR="00AC782D" w:rsidP="00AC782D" w:rsidRDefault="00AC782D" w14:paraId="2D711D4B" w14:textId="77777777">
            <w:pPr>
              <w:pStyle w:val="Standard"/>
              <w:keepNext/>
              <w:numPr>
                <w:ilvl w:val="0"/>
                <w:numId w:val="36"/>
              </w:numPr>
              <w:spacing w:line="240" w:lineRule="auto"/>
              <w:ind w:left="576" w:hanging="216"/>
              <w:rPr>
                <w:szCs w:val="26"/>
              </w:rPr>
            </w:pPr>
            <w:r w:rsidRPr="00454D1A">
              <w:rPr>
                <w:szCs w:val="26"/>
              </w:rPr>
              <w:t>TOU</w:t>
            </w:r>
            <w:r>
              <w:rPr>
                <w:szCs w:val="26"/>
              </w:rPr>
              <w:noBreakHyphen/>
            </w:r>
            <w:r w:rsidRPr="00454D1A">
              <w:rPr>
                <w:szCs w:val="26"/>
              </w:rPr>
              <w:t>8</w:t>
            </w:r>
            <w:r>
              <w:rPr>
                <w:szCs w:val="26"/>
              </w:rPr>
              <w:noBreakHyphen/>
            </w:r>
            <w:r w:rsidRPr="00454D1A">
              <w:rPr>
                <w:szCs w:val="26"/>
              </w:rPr>
              <w:t>S</w:t>
            </w:r>
            <w:r>
              <w:rPr>
                <w:szCs w:val="26"/>
              </w:rPr>
              <w:noBreakHyphen/>
            </w:r>
            <w:r w:rsidRPr="00454D1A">
              <w:rPr>
                <w:szCs w:val="26"/>
              </w:rPr>
              <w:t>T</w:t>
            </w:r>
          </w:p>
        </w:tc>
        <w:tc>
          <w:tcPr>
            <w:tcW w:w="1710" w:type="dxa"/>
          </w:tcPr>
          <w:p w:rsidR="00AC782D" w:rsidRDefault="00AC782D" w14:paraId="677D83FC" w14:textId="77777777">
            <w:pPr>
              <w:pStyle w:val="Standard"/>
              <w:keepNext/>
              <w:spacing w:line="240" w:lineRule="auto"/>
              <w:ind w:firstLine="0"/>
              <w:jc w:val="right"/>
            </w:pPr>
          </w:p>
          <w:p w:rsidR="00AC782D" w:rsidRDefault="00AC782D" w14:paraId="553D4E29" w14:textId="77777777">
            <w:pPr>
              <w:pStyle w:val="Standard"/>
              <w:keepNext/>
              <w:spacing w:line="240" w:lineRule="auto"/>
              <w:ind w:firstLine="0"/>
              <w:jc w:val="right"/>
            </w:pPr>
            <w:r>
              <w:t xml:space="preserve">0.13921 </w:t>
            </w:r>
          </w:p>
          <w:p w:rsidR="00AC782D" w:rsidRDefault="00AC782D" w14:paraId="2BEC5F26" w14:textId="77777777">
            <w:pPr>
              <w:pStyle w:val="Standard"/>
              <w:keepNext/>
              <w:spacing w:line="240" w:lineRule="auto"/>
              <w:ind w:firstLine="0"/>
              <w:jc w:val="right"/>
            </w:pPr>
            <w:r>
              <w:t xml:space="preserve"> 0.12153 </w:t>
            </w:r>
          </w:p>
          <w:p w:rsidR="00AC782D" w:rsidRDefault="00AC782D" w14:paraId="260B0FFF" w14:textId="77777777">
            <w:pPr>
              <w:pStyle w:val="Standard"/>
              <w:keepNext/>
              <w:spacing w:line="240" w:lineRule="auto"/>
              <w:ind w:firstLine="0"/>
              <w:jc w:val="right"/>
            </w:pPr>
            <w:r>
              <w:t xml:space="preserve"> 0.04873 </w:t>
            </w:r>
          </w:p>
          <w:p w:rsidR="00AC782D" w:rsidRDefault="00AC782D" w14:paraId="11715F4A" w14:textId="77777777">
            <w:pPr>
              <w:pStyle w:val="Standard"/>
              <w:keepNext/>
              <w:spacing w:line="240" w:lineRule="auto"/>
              <w:ind w:firstLine="0"/>
              <w:jc w:val="right"/>
            </w:pPr>
            <w:r>
              <w:t xml:space="preserve"> 0.14327 </w:t>
            </w:r>
          </w:p>
          <w:p w:rsidR="00AC782D" w:rsidRDefault="00AC782D" w14:paraId="45614F75" w14:textId="77777777">
            <w:pPr>
              <w:pStyle w:val="Standard"/>
              <w:keepNext/>
              <w:spacing w:line="240" w:lineRule="auto"/>
              <w:ind w:firstLine="0"/>
              <w:jc w:val="right"/>
            </w:pPr>
            <w:r>
              <w:t xml:space="preserve"> 0.14074 </w:t>
            </w:r>
          </w:p>
          <w:p w:rsidRPr="00454D1A" w:rsidR="00AC782D" w:rsidRDefault="00AC782D" w14:paraId="41321079" w14:textId="77777777">
            <w:pPr>
              <w:pStyle w:val="Standard"/>
              <w:keepNext/>
              <w:spacing w:line="240" w:lineRule="auto"/>
              <w:ind w:firstLine="0"/>
              <w:jc w:val="right"/>
            </w:pPr>
            <w:r>
              <w:t xml:space="preserve"> 0.05544</w:t>
            </w:r>
          </w:p>
        </w:tc>
        <w:tc>
          <w:tcPr>
            <w:tcW w:w="1800" w:type="dxa"/>
          </w:tcPr>
          <w:p w:rsidR="00AC782D" w:rsidRDefault="00AC782D" w14:paraId="38AECB0C" w14:textId="77777777">
            <w:pPr>
              <w:pStyle w:val="Standard"/>
              <w:keepNext/>
              <w:spacing w:line="240" w:lineRule="auto"/>
              <w:ind w:firstLine="0"/>
              <w:jc w:val="right"/>
            </w:pPr>
          </w:p>
          <w:p w:rsidR="00AC782D" w:rsidRDefault="00AC782D" w14:paraId="24B06414" w14:textId="77777777">
            <w:pPr>
              <w:pStyle w:val="Standard"/>
              <w:keepNext/>
              <w:spacing w:line="240" w:lineRule="auto"/>
              <w:ind w:firstLine="0"/>
              <w:jc w:val="right"/>
            </w:pPr>
            <w:r>
              <w:t xml:space="preserve">0.08390 </w:t>
            </w:r>
          </w:p>
          <w:p w:rsidR="00AC782D" w:rsidRDefault="00AC782D" w14:paraId="1DFC0924" w14:textId="77777777">
            <w:pPr>
              <w:pStyle w:val="Standard"/>
              <w:keepNext/>
              <w:spacing w:line="240" w:lineRule="auto"/>
              <w:ind w:firstLine="0"/>
              <w:jc w:val="right"/>
            </w:pPr>
            <w:r>
              <w:t xml:space="preserve"> 0.08009 </w:t>
            </w:r>
          </w:p>
          <w:p w:rsidR="00AC782D" w:rsidRDefault="00AC782D" w14:paraId="68F7748E" w14:textId="77777777">
            <w:pPr>
              <w:pStyle w:val="Standard"/>
              <w:keepNext/>
              <w:spacing w:line="240" w:lineRule="auto"/>
              <w:ind w:firstLine="0"/>
              <w:jc w:val="right"/>
            </w:pPr>
            <w:r>
              <w:t xml:space="preserve"> 0.07440 </w:t>
            </w:r>
          </w:p>
          <w:p w:rsidR="00AC782D" w:rsidRDefault="00AC782D" w14:paraId="783F5A8D" w14:textId="77777777">
            <w:pPr>
              <w:pStyle w:val="Standard"/>
              <w:keepNext/>
              <w:spacing w:line="240" w:lineRule="auto"/>
              <w:ind w:firstLine="0"/>
              <w:jc w:val="right"/>
            </w:pPr>
            <w:r>
              <w:t xml:space="preserve"> 0.08947 </w:t>
            </w:r>
          </w:p>
          <w:p w:rsidR="00AC782D" w:rsidRDefault="00AC782D" w14:paraId="3181D3CD" w14:textId="77777777">
            <w:pPr>
              <w:pStyle w:val="Standard"/>
              <w:keepNext/>
              <w:spacing w:line="240" w:lineRule="auto"/>
              <w:ind w:firstLine="0"/>
              <w:jc w:val="right"/>
            </w:pPr>
            <w:r>
              <w:t xml:space="preserve"> 0.08537 </w:t>
            </w:r>
          </w:p>
          <w:p w:rsidRPr="00454D1A" w:rsidR="00AC782D" w:rsidRDefault="00AC782D" w14:paraId="5CA72D9F" w14:textId="77777777">
            <w:pPr>
              <w:pStyle w:val="Standard"/>
              <w:keepNext/>
              <w:spacing w:line="240" w:lineRule="auto"/>
              <w:ind w:firstLine="0"/>
              <w:jc w:val="right"/>
            </w:pPr>
            <w:r>
              <w:t xml:space="preserve"> 0.07693</w:t>
            </w:r>
          </w:p>
        </w:tc>
        <w:tc>
          <w:tcPr>
            <w:tcW w:w="1400" w:type="dxa"/>
          </w:tcPr>
          <w:p w:rsidR="00AC782D" w:rsidRDefault="00AC782D" w14:paraId="148E17EA" w14:textId="77777777">
            <w:pPr>
              <w:pStyle w:val="Standard"/>
              <w:keepNext/>
              <w:spacing w:line="240" w:lineRule="auto"/>
              <w:ind w:firstLine="0"/>
              <w:jc w:val="right"/>
            </w:pPr>
          </w:p>
          <w:p w:rsidR="00AC782D" w:rsidRDefault="00AC782D" w14:paraId="2A3815BF" w14:textId="77777777">
            <w:pPr>
              <w:pStyle w:val="Standard"/>
              <w:keepNext/>
              <w:spacing w:line="240" w:lineRule="auto"/>
              <w:ind w:firstLine="0"/>
              <w:jc w:val="right"/>
            </w:pPr>
            <w:r>
              <w:t xml:space="preserve">0.22311 </w:t>
            </w:r>
          </w:p>
          <w:p w:rsidR="00AC782D" w:rsidRDefault="00AC782D" w14:paraId="44A6FA88" w14:textId="77777777">
            <w:pPr>
              <w:pStyle w:val="Standard"/>
              <w:keepNext/>
              <w:spacing w:line="240" w:lineRule="auto"/>
              <w:ind w:firstLine="0"/>
              <w:jc w:val="right"/>
            </w:pPr>
            <w:r>
              <w:t xml:space="preserve"> 0.20162 </w:t>
            </w:r>
          </w:p>
          <w:p w:rsidR="00AC782D" w:rsidRDefault="00AC782D" w14:paraId="54E60B72" w14:textId="77777777">
            <w:pPr>
              <w:pStyle w:val="Standard"/>
              <w:keepNext/>
              <w:spacing w:line="240" w:lineRule="auto"/>
              <w:ind w:firstLine="0"/>
              <w:jc w:val="right"/>
            </w:pPr>
            <w:r>
              <w:t xml:space="preserve"> 0.12313 </w:t>
            </w:r>
          </w:p>
          <w:p w:rsidR="00AC782D" w:rsidRDefault="00AC782D" w14:paraId="1851FEAA" w14:textId="77777777">
            <w:pPr>
              <w:pStyle w:val="Standard"/>
              <w:keepNext/>
              <w:spacing w:line="240" w:lineRule="auto"/>
              <w:ind w:firstLine="0"/>
              <w:jc w:val="right"/>
            </w:pPr>
            <w:r>
              <w:t xml:space="preserve"> 0.23273 </w:t>
            </w:r>
          </w:p>
          <w:p w:rsidR="00AC782D" w:rsidRDefault="00AC782D" w14:paraId="1CA388F7" w14:textId="77777777">
            <w:pPr>
              <w:pStyle w:val="Standard"/>
              <w:keepNext/>
              <w:spacing w:line="240" w:lineRule="auto"/>
              <w:ind w:firstLine="0"/>
              <w:jc w:val="right"/>
            </w:pPr>
            <w:r>
              <w:t xml:space="preserve"> 0.22612 </w:t>
            </w:r>
          </w:p>
          <w:p w:rsidRPr="00454D1A" w:rsidR="00AC782D" w:rsidRDefault="00AC782D" w14:paraId="48CA30F7" w14:textId="77777777">
            <w:pPr>
              <w:pStyle w:val="Standard"/>
              <w:keepNext/>
              <w:spacing w:line="240" w:lineRule="auto"/>
              <w:ind w:firstLine="0"/>
              <w:jc w:val="right"/>
            </w:pPr>
            <w:r>
              <w:t xml:space="preserve"> 0.13237</w:t>
            </w:r>
          </w:p>
        </w:tc>
        <w:tc>
          <w:tcPr>
            <w:tcW w:w="1960" w:type="dxa"/>
          </w:tcPr>
          <w:p w:rsidR="00AC782D" w:rsidRDefault="00AC782D" w14:paraId="0FC54747" w14:textId="77777777">
            <w:pPr>
              <w:pStyle w:val="Standard"/>
              <w:keepNext/>
              <w:spacing w:line="240" w:lineRule="auto"/>
              <w:ind w:firstLine="0"/>
              <w:jc w:val="right"/>
            </w:pPr>
          </w:p>
          <w:p w:rsidR="00AC782D" w:rsidRDefault="00AC782D" w14:paraId="1E4C3694" w14:textId="77777777">
            <w:pPr>
              <w:pStyle w:val="Standard"/>
              <w:keepNext/>
              <w:spacing w:line="240" w:lineRule="auto"/>
              <w:ind w:firstLine="0"/>
              <w:jc w:val="right"/>
            </w:pPr>
            <w:r>
              <w:t>-1.0%</w:t>
            </w:r>
          </w:p>
          <w:p w:rsidR="00AC782D" w:rsidRDefault="00AC782D" w14:paraId="6CD67FB0" w14:textId="77777777">
            <w:pPr>
              <w:pStyle w:val="Standard"/>
              <w:keepNext/>
              <w:spacing w:line="240" w:lineRule="auto"/>
              <w:ind w:firstLine="0"/>
              <w:jc w:val="right"/>
            </w:pPr>
            <w:r>
              <w:t>-3.1%</w:t>
            </w:r>
          </w:p>
          <w:p w:rsidR="00AC782D" w:rsidRDefault="00AC782D" w14:paraId="7BED7E6A" w14:textId="77777777">
            <w:pPr>
              <w:pStyle w:val="Standard"/>
              <w:keepNext/>
              <w:spacing w:line="240" w:lineRule="auto"/>
              <w:ind w:firstLine="0"/>
              <w:jc w:val="right"/>
            </w:pPr>
            <w:r>
              <w:t>-1.1%</w:t>
            </w:r>
          </w:p>
          <w:p w:rsidR="00AC782D" w:rsidRDefault="00AC782D" w14:paraId="6117B5E5" w14:textId="77777777">
            <w:pPr>
              <w:pStyle w:val="Standard"/>
              <w:keepNext/>
              <w:spacing w:line="240" w:lineRule="auto"/>
              <w:ind w:firstLine="0"/>
              <w:jc w:val="right"/>
            </w:pPr>
            <w:r>
              <w:t>-1.0%</w:t>
            </w:r>
          </w:p>
          <w:p w:rsidR="00AC782D" w:rsidRDefault="00AC782D" w14:paraId="65AA091A" w14:textId="77777777">
            <w:pPr>
              <w:pStyle w:val="Standard"/>
              <w:keepNext/>
              <w:spacing w:line="240" w:lineRule="auto"/>
              <w:ind w:firstLine="0"/>
              <w:jc w:val="right"/>
            </w:pPr>
            <w:r>
              <w:t>-0.8%</w:t>
            </w:r>
          </w:p>
          <w:p w:rsidRPr="00454D1A" w:rsidR="00AC782D" w:rsidRDefault="00AC782D" w14:paraId="472C0E66" w14:textId="77777777">
            <w:pPr>
              <w:pStyle w:val="Standard"/>
              <w:keepNext/>
              <w:spacing w:line="240" w:lineRule="auto"/>
              <w:ind w:firstLine="0"/>
              <w:jc w:val="right"/>
            </w:pPr>
            <w:r>
              <w:t>-0.9%</w:t>
            </w:r>
          </w:p>
        </w:tc>
      </w:tr>
      <w:tr w:rsidRPr="00454D1A" w:rsidR="00AC782D" w14:paraId="5222A0D6" w14:textId="77777777">
        <w:trPr>
          <w:jc w:val="center"/>
        </w:trPr>
        <w:tc>
          <w:tcPr>
            <w:tcW w:w="3685" w:type="dxa"/>
          </w:tcPr>
          <w:p w:rsidRPr="00454D1A" w:rsidR="00AC782D" w:rsidRDefault="00AC782D" w14:paraId="7D26A66D" w14:textId="77777777">
            <w:pPr>
              <w:pStyle w:val="Standard"/>
              <w:keepNext/>
              <w:spacing w:line="240" w:lineRule="auto"/>
              <w:ind w:firstLine="0"/>
              <w:rPr>
                <w:b/>
                <w:bCs/>
                <w:szCs w:val="26"/>
              </w:rPr>
            </w:pPr>
            <w:r w:rsidRPr="00454D1A">
              <w:rPr>
                <w:b/>
                <w:bCs/>
                <w:szCs w:val="26"/>
              </w:rPr>
              <w:t>Agricultural</w:t>
            </w:r>
            <w:r>
              <w:rPr>
                <w:b/>
                <w:bCs/>
                <w:szCs w:val="26"/>
              </w:rPr>
              <w:t> </w:t>
            </w:r>
            <w:r w:rsidRPr="00454D1A">
              <w:rPr>
                <w:b/>
                <w:bCs/>
                <w:szCs w:val="26"/>
              </w:rPr>
              <w:t>&amp; Pumping</w:t>
            </w:r>
          </w:p>
          <w:p w:rsidRPr="00454D1A" w:rsidR="00AC782D" w:rsidP="00AC782D" w:rsidRDefault="00AC782D" w14:paraId="4ECBA466" w14:textId="77777777">
            <w:pPr>
              <w:pStyle w:val="Standard"/>
              <w:keepNext/>
              <w:numPr>
                <w:ilvl w:val="0"/>
                <w:numId w:val="36"/>
              </w:numPr>
              <w:spacing w:line="240" w:lineRule="auto"/>
              <w:ind w:left="576" w:hanging="216"/>
              <w:rPr>
                <w:szCs w:val="26"/>
              </w:rPr>
            </w:pPr>
            <w:r w:rsidRPr="00454D1A">
              <w:rPr>
                <w:szCs w:val="26"/>
              </w:rPr>
              <w:t>TOU</w:t>
            </w:r>
            <w:r>
              <w:rPr>
                <w:szCs w:val="26"/>
              </w:rPr>
              <w:noBreakHyphen/>
            </w:r>
            <w:r w:rsidRPr="00454D1A">
              <w:rPr>
                <w:szCs w:val="26"/>
              </w:rPr>
              <w:t>PA</w:t>
            </w:r>
            <w:r>
              <w:rPr>
                <w:szCs w:val="26"/>
              </w:rPr>
              <w:noBreakHyphen/>
            </w:r>
            <w:r w:rsidRPr="00454D1A">
              <w:rPr>
                <w:szCs w:val="26"/>
              </w:rPr>
              <w:t>2</w:t>
            </w:r>
          </w:p>
          <w:p w:rsidRPr="00454D1A" w:rsidR="00AC782D" w:rsidP="00AC782D" w:rsidRDefault="00AC782D" w14:paraId="756ECE91" w14:textId="77777777">
            <w:pPr>
              <w:pStyle w:val="Standard"/>
              <w:keepNext/>
              <w:numPr>
                <w:ilvl w:val="0"/>
                <w:numId w:val="36"/>
              </w:numPr>
              <w:spacing w:line="240" w:lineRule="auto"/>
              <w:ind w:left="576" w:hanging="216"/>
              <w:rPr>
                <w:szCs w:val="26"/>
              </w:rPr>
            </w:pPr>
            <w:r w:rsidRPr="00454D1A">
              <w:rPr>
                <w:szCs w:val="26"/>
              </w:rPr>
              <w:t>TOU</w:t>
            </w:r>
            <w:r>
              <w:rPr>
                <w:szCs w:val="26"/>
              </w:rPr>
              <w:noBreakHyphen/>
            </w:r>
            <w:r w:rsidRPr="00454D1A">
              <w:rPr>
                <w:szCs w:val="26"/>
              </w:rPr>
              <w:t>PA</w:t>
            </w:r>
            <w:r>
              <w:rPr>
                <w:szCs w:val="26"/>
              </w:rPr>
              <w:noBreakHyphen/>
            </w:r>
            <w:r w:rsidRPr="00454D1A">
              <w:rPr>
                <w:szCs w:val="26"/>
              </w:rPr>
              <w:t>3</w:t>
            </w:r>
          </w:p>
        </w:tc>
        <w:tc>
          <w:tcPr>
            <w:tcW w:w="1710" w:type="dxa"/>
          </w:tcPr>
          <w:p w:rsidR="00AC782D" w:rsidRDefault="00AC782D" w14:paraId="36F797FF" w14:textId="77777777">
            <w:pPr>
              <w:pStyle w:val="Standard"/>
              <w:keepNext/>
              <w:spacing w:line="240" w:lineRule="auto"/>
              <w:ind w:firstLine="0"/>
              <w:jc w:val="right"/>
            </w:pPr>
          </w:p>
          <w:p w:rsidR="00AC782D" w:rsidRDefault="00AC782D" w14:paraId="538EED46" w14:textId="77777777">
            <w:pPr>
              <w:pStyle w:val="Standard"/>
              <w:keepNext/>
              <w:spacing w:line="240" w:lineRule="auto"/>
              <w:ind w:firstLine="0"/>
              <w:jc w:val="right"/>
            </w:pPr>
            <w:r>
              <w:t xml:space="preserve">0.15545 </w:t>
            </w:r>
          </w:p>
          <w:p w:rsidRPr="00454D1A" w:rsidR="00AC782D" w:rsidRDefault="00AC782D" w14:paraId="2D3175E4" w14:textId="77777777">
            <w:pPr>
              <w:pStyle w:val="Standard"/>
              <w:keepNext/>
              <w:spacing w:line="240" w:lineRule="auto"/>
              <w:ind w:firstLine="0"/>
              <w:jc w:val="right"/>
            </w:pPr>
            <w:r>
              <w:t xml:space="preserve"> 0.12340</w:t>
            </w:r>
          </w:p>
        </w:tc>
        <w:tc>
          <w:tcPr>
            <w:tcW w:w="1800" w:type="dxa"/>
          </w:tcPr>
          <w:p w:rsidR="00AC782D" w:rsidRDefault="00AC782D" w14:paraId="5D846F0A" w14:textId="77777777">
            <w:pPr>
              <w:pStyle w:val="Standard"/>
              <w:keepNext/>
              <w:spacing w:line="240" w:lineRule="auto"/>
              <w:ind w:firstLine="0"/>
              <w:jc w:val="right"/>
            </w:pPr>
          </w:p>
          <w:p w:rsidR="00AC782D" w:rsidRDefault="00AC782D" w14:paraId="3CA4A9DA" w14:textId="77777777">
            <w:pPr>
              <w:pStyle w:val="Standard"/>
              <w:keepNext/>
              <w:spacing w:line="240" w:lineRule="auto"/>
              <w:ind w:firstLine="0"/>
              <w:jc w:val="right"/>
            </w:pPr>
            <w:r>
              <w:t xml:space="preserve">0.09111 </w:t>
            </w:r>
          </w:p>
          <w:p w:rsidRPr="00454D1A" w:rsidR="00AC782D" w:rsidRDefault="00AC782D" w14:paraId="1414D429" w14:textId="77777777">
            <w:pPr>
              <w:pStyle w:val="Standard"/>
              <w:keepNext/>
              <w:spacing w:line="240" w:lineRule="auto"/>
              <w:ind w:firstLine="0"/>
              <w:jc w:val="right"/>
            </w:pPr>
            <w:r>
              <w:t xml:space="preserve"> 0.07723</w:t>
            </w:r>
          </w:p>
        </w:tc>
        <w:tc>
          <w:tcPr>
            <w:tcW w:w="1400" w:type="dxa"/>
          </w:tcPr>
          <w:p w:rsidR="00AC782D" w:rsidRDefault="00AC782D" w14:paraId="7E1BD2B3" w14:textId="77777777">
            <w:pPr>
              <w:pStyle w:val="Standard"/>
              <w:keepNext/>
              <w:spacing w:line="240" w:lineRule="auto"/>
              <w:ind w:firstLine="0"/>
              <w:jc w:val="right"/>
            </w:pPr>
          </w:p>
          <w:p w:rsidR="00AC782D" w:rsidRDefault="00AC782D" w14:paraId="0C6F2ADF" w14:textId="77777777">
            <w:pPr>
              <w:pStyle w:val="Standard"/>
              <w:keepNext/>
              <w:spacing w:line="240" w:lineRule="auto"/>
              <w:ind w:firstLine="0"/>
              <w:jc w:val="right"/>
            </w:pPr>
            <w:r>
              <w:t xml:space="preserve">0.24656 </w:t>
            </w:r>
          </w:p>
          <w:p w:rsidRPr="00454D1A" w:rsidR="00AC782D" w:rsidRDefault="00AC782D" w14:paraId="1FCC5AA5" w14:textId="77777777">
            <w:pPr>
              <w:pStyle w:val="Standard"/>
              <w:keepNext/>
              <w:spacing w:line="240" w:lineRule="auto"/>
              <w:ind w:firstLine="0"/>
              <w:jc w:val="right"/>
            </w:pPr>
            <w:r>
              <w:t xml:space="preserve"> 0.20063</w:t>
            </w:r>
          </w:p>
        </w:tc>
        <w:tc>
          <w:tcPr>
            <w:tcW w:w="1960" w:type="dxa"/>
          </w:tcPr>
          <w:p w:rsidR="00AC782D" w:rsidRDefault="00AC782D" w14:paraId="7DBE372A" w14:textId="77777777">
            <w:pPr>
              <w:pStyle w:val="Standard"/>
              <w:keepNext/>
              <w:spacing w:line="240" w:lineRule="auto"/>
              <w:ind w:firstLine="0"/>
              <w:jc w:val="right"/>
            </w:pPr>
          </w:p>
          <w:p w:rsidR="00AC782D" w:rsidRDefault="00AC782D" w14:paraId="0557548D" w14:textId="77777777">
            <w:pPr>
              <w:pStyle w:val="Standard"/>
              <w:keepNext/>
              <w:spacing w:line="240" w:lineRule="auto"/>
              <w:ind w:firstLine="0"/>
              <w:jc w:val="right"/>
            </w:pPr>
            <w:r>
              <w:t>-1.2%</w:t>
            </w:r>
          </w:p>
          <w:p w:rsidRPr="00454D1A" w:rsidR="00AC782D" w:rsidRDefault="00AC782D" w14:paraId="0253564E" w14:textId="77777777">
            <w:pPr>
              <w:pStyle w:val="Standard"/>
              <w:keepNext/>
              <w:spacing w:line="240" w:lineRule="auto"/>
              <w:ind w:firstLine="0"/>
              <w:jc w:val="right"/>
            </w:pPr>
            <w:r>
              <w:t>-2.0%</w:t>
            </w:r>
          </w:p>
        </w:tc>
      </w:tr>
      <w:tr w:rsidRPr="00454D1A" w:rsidR="00AC782D" w14:paraId="6E24AA40" w14:textId="77777777">
        <w:trPr>
          <w:jc w:val="center"/>
        </w:trPr>
        <w:tc>
          <w:tcPr>
            <w:tcW w:w="3685" w:type="dxa"/>
          </w:tcPr>
          <w:p w:rsidRPr="00454D1A" w:rsidR="00AC782D" w:rsidRDefault="00AC782D" w14:paraId="15811BEC" w14:textId="77777777">
            <w:pPr>
              <w:pStyle w:val="Standard"/>
              <w:keepNext/>
              <w:spacing w:line="240" w:lineRule="auto"/>
              <w:ind w:firstLine="0"/>
              <w:rPr>
                <w:b/>
                <w:bCs/>
                <w:szCs w:val="26"/>
              </w:rPr>
            </w:pPr>
            <w:r w:rsidRPr="00454D1A">
              <w:rPr>
                <w:b/>
                <w:bCs/>
                <w:szCs w:val="26"/>
              </w:rPr>
              <w:t>Street</w:t>
            </w:r>
            <w:r>
              <w:rPr>
                <w:b/>
                <w:bCs/>
                <w:szCs w:val="26"/>
              </w:rPr>
              <w:t> </w:t>
            </w:r>
            <w:r w:rsidRPr="00454D1A">
              <w:rPr>
                <w:b/>
                <w:bCs/>
                <w:szCs w:val="26"/>
              </w:rPr>
              <w:t>&amp; Area Lighting</w:t>
            </w:r>
          </w:p>
          <w:p w:rsidRPr="00454D1A" w:rsidR="00AC782D" w:rsidP="00AC782D" w:rsidRDefault="00AC782D" w14:paraId="1518DF9D" w14:textId="77777777">
            <w:pPr>
              <w:pStyle w:val="Standard"/>
              <w:keepNext/>
              <w:numPr>
                <w:ilvl w:val="0"/>
                <w:numId w:val="36"/>
              </w:numPr>
              <w:spacing w:line="240" w:lineRule="auto"/>
              <w:ind w:left="576" w:hanging="216"/>
              <w:rPr>
                <w:szCs w:val="26"/>
              </w:rPr>
            </w:pPr>
            <w:r w:rsidRPr="00454D1A">
              <w:rPr>
                <w:szCs w:val="26"/>
              </w:rPr>
              <w:t>LS</w:t>
            </w:r>
            <w:r>
              <w:rPr>
                <w:szCs w:val="26"/>
              </w:rPr>
              <w:noBreakHyphen/>
            </w:r>
            <w:r w:rsidRPr="00454D1A">
              <w:rPr>
                <w:szCs w:val="26"/>
              </w:rPr>
              <w:t>1</w:t>
            </w:r>
          </w:p>
          <w:p w:rsidRPr="00454D1A" w:rsidR="00AC782D" w:rsidP="00AC782D" w:rsidRDefault="00AC782D" w14:paraId="76474A52" w14:textId="77777777">
            <w:pPr>
              <w:pStyle w:val="Standard"/>
              <w:keepNext/>
              <w:numPr>
                <w:ilvl w:val="0"/>
                <w:numId w:val="36"/>
              </w:numPr>
              <w:spacing w:line="240" w:lineRule="auto"/>
              <w:ind w:left="576" w:hanging="216"/>
              <w:rPr>
                <w:szCs w:val="26"/>
              </w:rPr>
            </w:pPr>
            <w:r w:rsidRPr="00454D1A">
              <w:rPr>
                <w:szCs w:val="26"/>
              </w:rPr>
              <w:t>LS</w:t>
            </w:r>
            <w:r>
              <w:rPr>
                <w:szCs w:val="26"/>
              </w:rPr>
              <w:noBreakHyphen/>
            </w:r>
            <w:r w:rsidRPr="00454D1A">
              <w:rPr>
                <w:szCs w:val="26"/>
              </w:rPr>
              <w:t>2</w:t>
            </w:r>
          </w:p>
          <w:p w:rsidRPr="00454D1A" w:rsidR="00AC782D" w:rsidP="00AC782D" w:rsidRDefault="00AC782D" w14:paraId="27FB2626" w14:textId="77777777">
            <w:pPr>
              <w:pStyle w:val="Standard"/>
              <w:keepNext/>
              <w:numPr>
                <w:ilvl w:val="0"/>
                <w:numId w:val="36"/>
              </w:numPr>
              <w:spacing w:line="240" w:lineRule="auto"/>
              <w:ind w:left="576" w:hanging="216"/>
              <w:rPr>
                <w:szCs w:val="26"/>
              </w:rPr>
            </w:pPr>
            <w:r w:rsidRPr="00454D1A">
              <w:rPr>
                <w:szCs w:val="26"/>
              </w:rPr>
              <w:t>LS</w:t>
            </w:r>
            <w:r>
              <w:rPr>
                <w:szCs w:val="26"/>
              </w:rPr>
              <w:noBreakHyphen/>
            </w:r>
            <w:r w:rsidRPr="00454D1A">
              <w:rPr>
                <w:szCs w:val="26"/>
              </w:rPr>
              <w:t>3</w:t>
            </w:r>
          </w:p>
          <w:p w:rsidRPr="00454D1A" w:rsidR="00AC782D" w:rsidP="00AC782D" w:rsidRDefault="00AC782D" w14:paraId="68F34B1B" w14:textId="77777777">
            <w:pPr>
              <w:pStyle w:val="Standard"/>
              <w:keepNext/>
              <w:numPr>
                <w:ilvl w:val="0"/>
                <w:numId w:val="36"/>
              </w:numPr>
              <w:spacing w:line="240" w:lineRule="auto"/>
              <w:ind w:left="576" w:hanging="216"/>
              <w:rPr>
                <w:szCs w:val="26"/>
              </w:rPr>
            </w:pPr>
            <w:r w:rsidRPr="00454D1A">
              <w:rPr>
                <w:szCs w:val="26"/>
              </w:rPr>
              <w:t>DTL</w:t>
            </w:r>
          </w:p>
          <w:p w:rsidRPr="00454D1A" w:rsidR="00AC782D" w:rsidP="00AC782D" w:rsidRDefault="00AC782D" w14:paraId="589539B4" w14:textId="77777777">
            <w:pPr>
              <w:pStyle w:val="Standard"/>
              <w:keepNext/>
              <w:numPr>
                <w:ilvl w:val="0"/>
                <w:numId w:val="36"/>
              </w:numPr>
              <w:spacing w:line="240" w:lineRule="auto"/>
              <w:ind w:left="576" w:hanging="216"/>
              <w:rPr>
                <w:szCs w:val="26"/>
              </w:rPr>
            </w:pPr>
            <w:r w:rsidRPr="00454D1A">
              <w:rPr>
                <w:szCs w:val="26"/>
              </w:rPr>
              <w:t>OL</w:t>
            </w:r>
            <w:r>
              <w:rPr>
                <w:szCs w:val="26"/>
              </w:rPr>
              <w:noBreakHyphen/>
            </w:r>
            <w:r w:rsidRPr="00454D1A">
              <w:rPr>
                <w:szCs w:val="26"/>
              </w:rPr>
              <w:t>1</w:t>
            </w:r>
          </w:p>
        </w:tc>
        <w:tc>
          <w:tcPr>
            <w:tcW w:w="1710" w:type="dxa"/>
          </w:tcPr>
          <w:p w:rsidR="00AC782D" w:rsidRDefault="00AC782D" w14:paraId="6FD381A2" w14:textId="77777777">
            <w:pPr>
              <w:pStyle w:val="Standard"/>
              <w:keepNext/>
              <w:spacing w:line="240" w:lineRule="auto"/>
              <w:ind w:firstLine="0"/>
              <w:jc w:val="right"/>
            </w:pPr>
          </w:p>
          <w:p w:rsidR="00AC782D" w:rsidRDefault="00AC782D" w14:paraId="20211C7D" w14:textId="77777777">
            <w:pPr>
              <w:pStyle w:val="Standard"/>
              <w:keepNext/>
              <w:spacing w:line="240" w:lineRule="auto"/>
              <w:ind w:firstLine="0"/>
              <w:jc w:val="right"/>
            </w:pPr>
            <w:r>
              <w:t xml:space="preserve">0.64317 </w:t>
            </w:r>
          </w:p>
          <w:p w:rsidR="00AC782D" w:rsidRDefault="00AC782D" w14:paraId="314EABF9" w14:textId="77777777">
            <w:pPr>
              <w:pStyle w:val="Standard"/>
              <w:keepNext/>
              <w:spacing w:line="240" w:lineRule="auto"/>
              <w:ind w:firstLine="0"/>
              <w:jc w:val="right"/>
            </w:pPr>
            <w:r>
              <w:t xml:space="preserve"> 0.20582 </w:t>
            </w:r>
          </w:p>
          <w:p w:rsidR="00AC782D" w:rsidRDefault="00AC782D" w14:paraId="32282AA7" w14:textId="77777777">
            <w:pPr>
              <w:pStyle w:val="Standard"/>
              <w:keepNext/>
              <w:spacing w:line="240" w:lineRule="auto"/>
              <w:ind w:firstLine="0"/>
              <w:jc w:val="right"/>
            </w:pPr>
            <w:r>
              <w:t xml:space="preserve"> 0.10028 </w:t>
            </w:r>
          </w:p>
          <w:p w:rsidR="00AC782D" w:rsidRDefault="00AC782D" w14:paraId="49F90F2D" w14:textId="77777777">
            <w:pPr>
              <w:pStyle w:val="Standard"/>
              <w:keepNext/>
              <w:spacing w:line="240" w:lineRule="auto"/>
              <w:ind w:firstLine="0"/>
              <w:jc w:val="right"/>
            </w:pPr>
            <w:r>
              <w:t xml:space="preserve"> 0.49845 </w:t>
            </w:r>
          </w:p>
          <w:p w:rsidRPr="00454D1A" w:rsidR="00AC782D" w:rsidRDefault="00AC782D" w14:paraId="72C80843" w14:textId="77777777">
            <w:pPr>
              <w:pStyle w:val="Standard"/>
              <w:keepNext/>
              <w:spacing w:line="240" w:lineRule="auto"/>
              <w:ind w:firstLine="0"/>
              <w:jc w:val="right"/>
            </w:pPr>
            <w:r>
              <w:t xml:space="preserve"> 0.37082</w:t>
            </w:r>
          </w:p>
        </w:tc>
        <w:tc>
          <w:tcPr>
            <w:tcW w:w="1800" w:type="dxa"/>
          </w:tcPr>
          <w:p w:rsidR="00AC782D" w:rsidRDefault="00AC782D" w14:paraId="7EF1E726" w14:textId="77777777">
            <w:pPr>
              <w:pStyle w:val="Standard"/>
              <w:keepNext/>
              <w:spacing w:line="240" w:lineRule="auto"/>
              <w:ind w:firstLine="0"/>
              <w:jc w:val="right"/>
            </w:pPr>
          </w:p>
          <w:p w:rsidR="00AC782D" w:rsidRDefault="00AC782D" w14:paraId="213DA3E7" w14:textId="77777777">
            <w:pPr>
              <w:pStyle w:val="Standard"/>
              <w:keepNext/>
              <w:spacing w:line="240" w:lineRule="auto"/>
              <w:ind w:firstLine="0"/>
              <w:jc w:val="right"/>
            </w:pPr>
            <w:r>
              <w:t xml:space="preserve">0.06093 </w:t>
            </w:r>
          </w:p>
          <w:p w:rsidR="00AC782D" w:rsidRDefault="00AC782D" w14:paraId="54C59B93" w14:textId="77777777">
            <w:pPr>
              <w:pStyle w:val="Standard"/>
              <w:keepNext/>
              <w:spacing w:line="240" w:lineRule="auto"/>
              <w:ind w:firstLine="0"/>
              <w:jc w:val="right"/>
            </w:pPr>
            <w:r>
              <w:t xml:space="preserve"> 0.06086 </w:t>
            </w:r>
          </w:p>
          <w:p w:rsidR="00AC782D" w:rsidRDefault="00AC782D" w14:paraId="3BEE3B42" w14:textId="77777777">
            <w:pPr>
              <w:pStyle w:val="Standard"/>
              <w:keepNext/>
              <w:spacing w:line="240" w:lineRule="auto"/>
              <w:ind w:firstLine="0"/>
              <w:jc w:val="right"/>
            </w:pPr>
            <w:r>
              <w:t xml:space="preserve"> 0.06096 </w:t>
            </w:r>
          </w:p>
          <w:p w:rsidR="00AC782D" w:rsidRDefault="00AC782D" w14:paraId="3D64192F" w14:textId="77777777">
            <w:pPr>
              <w:pStyle w:val="Standard"/>
              <w:keepNext/>
              <w:spacing w:line="240" w:lineRule="auto"/>
              <w:ind w:firstLine="0"/>
              <w:jc w:val="right"/>
            </w:pPr>
            <w:r>
              <w:t xml:space="preserve"> 0.06093 </w:t>
            </w:r>
          </w:p>
          <w:p w:rsidRPr="00454D1A" w:rsidR="00AC782D" w:rsidRDefault="00AC782D" w14:paraId="4427017B" w14:textId="77777777">
            <w:pPr>
              <w:pStyle w:val="Standard"/>
              <w:keepNext/>
              <w:spacing w:line="240" w:lineRule="auto"/>
              <w:ind w:firstLine="0"/>
              <w:jc w:val="right"/>
            </w:pPr>
            <w:r>
              <w:t xml:space="preserve"> 0.06093</w:t>
            </w:r>
          </w:p>
        </w:tc>
        <w:tc>
          <w:tcPr>
            <w:tcW w:w="1400" w:type="dxa"/>
          </w:tcPr>
          <w:p w:rsidR="00AC782D" w:rsidRDefault="00AC782D" w14:paraId="2770AA9F" w14:textId="77777777">
            <w:pPr>
              <w:pStyle w:val="Standard"/>
              <w:keepNext/>
              <w:spacing w:line="240" w:lineRule="auto"/>
              <w:ind w:firstLine="0"/>
              <w:jc w:val="right"/>
            </w:pPr>
          </w:p>
          <w:p w:rsidR="00AC782D" w:rsidRDefault="00AC782D" w14:paraId="284E4E8F" w14:textId="77777777">
            <w:pPr>
              <w:pStyle w:val="Standard"/>
              <w:keepNext/>
              <w:spacing w:line="240" w:lineRule="auto"/>
              <w:ind w:firstLine="0"/>
              <w:jc w:val="right"/>
            </w:pPr>
            <w:r>
              <w:t xml:space="preserve">0.70410 </w:t>
            </w:r>
          </w:p>
          <w:p w:rsidR="00AC782D" w:rsidRDefault="00AC782D" w14:paraId="5F2891A6" w14:textId="77777777">
            <w:pPr>
              <w:pStyle w:val="Standard"/>
              <w:keepNext/>
              <w:spacing w:line="240" w:lineRule="auto"/>
              <w:ind w:firstLine="0"/>
              <w:jc w:val="right"/>
            </w:pPr>
            <w:r>
              <w:t xml:space="preserve"> 0.26668 </w:t>
            </w:r>
          </w:p>
          <w:p w:rsidR="00AC782D" w:rsidRDefault="00AC782D" w14:paraId="32687502" w14:textId="77777777">
            <w:pPr>
              <w:pStyle w:val="Standard"/>
              <w:keepNext/>
              <w:spacing w:line="240" w:lineRule="auto"/>
              <w:ind w:firstLine="0"/>
              <w:jc w:val="right"/>
            </w:pPr>
            <w:r>
              <w:t xml:space="preserve"> 0.16124 </w:t>
            </w:r>
          </w:p>
          <w:p w:rsidR="00AC782D" w:rsidRDefault="00AC782D" w14:paraId="6C5D9030" w14:textId="77777777">
            <w:pPr>
              <w:pStyle w:val="Standard"/>
              <w:keepNext/>
              <w:spacing w:line="240" w:lineRule="auto"/>
              <w:ind w:firstLine="0"/>
              <w:jc w:val="right"/>
            </w:pPr>
            <w:r>
              <w:t xml:space="preserve"> 0.55938 </w:t>
            </w:r>
          </w:p>
          <w:p w:rsidRPr="00454D1A" w:rsidR="00AC782D" w:rsidRDefault="00AC782D" w14:paraId="5C715FB2" w14:textId="77777777">
            <w:pPr>
              <w:pStyle w:val="Standard"/>
              <w:keepNext/>
              <w:spacing w:line="240" w:lineRule="auto"/>
              <w:ind w:firstLine="0"/>
              <w:jc w:val="right"/>
            </w:pPr>
            <w:r>
              <w:t xml:space="preserve"> 0.43175</w:t>
            </w:r>
          </w:p>
        </w:tc>
        <w:tc>
          <w:tcPr>
            <w:tcW w:w="1960" w:type="dxa"/>
          </w:tcPr>
          <w:p w:rsidR="00AC782D" w:rsidRDefault="00AC782D" w14:paraId="04711CFD" w14:textId="77777777">
            <w:pPr>
              <w:pStyle w:val="Standard"/>
              <w:keepNext/>
              <w:spacing w:line="240" w:lineRule="auto"/>
              <w:ind w:firstLine="0"/>
              <w:jc w:val="right"/>
            </w:pPr>
          </w:p>
          <w:p w:rsidR="00AC782D" w:rsidRDefault="00AC782D" w14:paraId="0271C9EA" w14:textId="77777777">
            <w:pPr>
              <w:pStyle w:val="Standard"/>
              <w:keepNext/>
              <w:spacing w:line="240" w:lineRule="auto"/>
              <w:ind w:firstLine="0"/>
              <w:jc w:val="right"/>
            </w:pPr>
            <w:r>
              <w:t>0.0%</w:t>
            </w:r>
          </w:p>
          <w:p w:rsidR="00AC782D" w:rsidRDefault="00AC782D" w14:paraId="625BCBBB" w14:textId="77777777">
            <w:pPr>
              <w:pStyle w:val="Standard"/>
              <w:keepNext/>
              <w:spacing w:line="240" w:lineRule="auto"/>
              <w:ind w:firstLine="0"/>
              <w:jc w:val="right"/>
            </w:pPr>
            <w:r>
              <w:t>0.1%</w:t>
            </w:r>
          </w:p>
          <w:p w:rsidR="00AC782D" w:rsidRDefault="00AC782D" w14:paraId="76A3A7D7" w14:textId="77777777">
            <w:pPr>
              <w:pStyle w:val="Standard"/>
              <w:keepNext/>
              <w:spacing w:line="240" w:lineRule="auto"/>
              <w:ind w:firstLine="0"/>
              <w:jc w:val="right"/>
            </w:pPr>
            <w:r>
              <w:t>-1.4%</w:t>
            </w:r>
          </w:p>
          <w:p w:rsidR="00AC782D" w:rsidRDefault="00AC782D" w14:paraId="7F6ACAF4" w14:textId="77777777">
            <w:pPr>
              <w:pStyle w:val="Standard"/>
              <w:keepNext/>
              <w:spacing w:line="240" w:lineRule="auto"/>
              <w:ind w:firstLine="0"/>
              <w:jc w:val="right"/>
            </w:pPr>
            <w:r>
              <w:t>0.1%</w:t>
            </w:r>
          </w:p>
          <w:p w:rsidRPr="00454D1A" w:rsidR="00AC782D" w:rsidRDefault="00AC782D" w14:paraId="3EF8E98D" w14:textId="77777777">
            <w:pPr>
              <w:pStyle w:val="Standard"/>
              <w:keepNext/>
              <w:spacing w:line="240" w:lineRule="auto"/>
              <w:ind w:firstLine="0"/>
              <w:jc w:val="right"/>
            </w:pPr>
            <w:r>
              <w:t>0.1%</w:t>
            </w:r>
          </w:p>
        </w:tc>
      </w:tr>
      <w:tr w:rsidRPr="00454D1A" w:rsidR="00AC782D" w14:paraId="080B6D8E" w14:textId="77777777">
        <w:trPr>
          <w:jc w:val="center"/>
        </w:trPr>
        <w:tc>
          <w:tcPr>
            <w:tcW w:w="3685" w:type="dxa"/>
          </w:tcPr>
          <w:p w:rsidRPr="00454D1A" w:rsidR="00AC782D" w:rsidRDefault="00AC782D" w14:paraId="0FA445E6" w14:textId="77777777">
            <w:pPr>
              <w:pStyle w:val="Standard"/>
              <w:keepNext/>
              <w:spacing w:line="240" w:lineRule="auto"/>
              <w:ind w:firstLine="0"/>
              <w:rPr>
                <w:b/>
                <w:bCs/>
                <w:szCs w:val="26"/>
              </w:rPr>
            </w:pPr>
            <w:r w:rsidRPr="00454D1A">
              <w:rPr>
                <w:b/>
                <w:bCs/>
                <w:szCs w:val="26"/>
              </w:rPr>
              <w:t>Average Rate</w:t>
            </w:r>
            <w:r>
              <w:rPr>
                <w:b/>
                <w:bCs/>
                <w:szCs w:val="26"/>
              </w:rPr>
              <w:t> —</w:t>
            </w:r>
            <w:r w:rsidRPr="00454D1A">
              <w:rPr>
                <w:b/>
                <w:bCs/>
                <w:szCs w:val="26"/>
              </w:rPr>
              <w:t xml:space="preserve"> All Groups</w:t>
            </w:r>
          </w:p>
        </w:tc>
        <w:tc>
          <w:tcPr>
            <w:tcW w:w="1710" w:type="dxa"/>
          </w:tcPr>
          <w:p w:rsidRPr="00454D1A" w:rsidR="00AC782D" w:rsidRDefault="00AC782D" w14:paraId="2C1A4AB8" w14:textId="77777777">
            <w:pPr>
              <w:pStyle w:val="Standard"/>
              <w:keepNext/>
              <w:spacing w:line="240" w:lineRule="auto"/>
              <w:ind w:firstLine="0"/>
              <w:jc w:val="right"/>
            </w:pPr>
            <w:r w:rsidRPr="0046689D">
              <w:t>0.16008</w:t>
            </w:r>
          </w:p>
        </w:tc>
        <w:tc>
          <w:tcPr>
            <w:tcW w:w="1800" w:type="dxa"/>
          </w:tcPr>
          <w:p w:rsidRPr="00454D1A" w:rsidR="00AC782D" w:rsidRDefault="00AC782D" w14:paraId="07B1373C" w14:textId="77777777">
            <w:pPr>
              <w:pStyle w:val="Standard"/>
              <w:keepNext/>
              <w:spacing w:line="240" w:lineRule="auto"/>
              <w:ind w:firstLine="0"/>
              <w:jc w:val="right"/>
            </w:pPr>
            <w:r w:rsidRPr="00221F65">
              <w:t>0.09894</w:t>
            </w:r>
          </w:p>
        </w:tc>
        <w:tc>
          <w:tcPr>
            <w:tcW w:w="1400" w:type="dxa"/>
          </w:tcPr>
          <w:p w:rsidRPr="00454D1A" w:rsidR="00AC782D" w:rsidRDefault="00AC782D" w14:paraId="34A0A9BA" w14:textId="77777777">
            <w:pPr>
              <w:pStyle w:val="Standard"/>
              <w:keepNext/>
              <w:spacing w:line="240" w:lineRule="auto"/>
              <w:ind w:firstLine="0"/>
              <w:jc w:val="right"/>
            </w:pPr>
            <w:r w:rsidRPr="00647EEE">
              <w:t>0.25901</w:t>
            </w:r>
          </w:p>
        </w:tc>
        <w:tc>
          <w:tcPr>
            <w:tcW w:w="1960" w:type="dxa"/>
          </w:tcPr>
          <w:p w:rsidRPr="00454D1A" w:rsidR="00AC782D" w:rsidRDefault="00AC782D" w14:paraId="129C0F80" w14:textId="77777777">
            <w:pPr>
              <w:pStyle w:val="Standard"/>
              <w:keepNext/>
              <w:spacing w:line="240" w:lineRule="auto"/>
              <w:ind w:firstLine="0"/>
              <w:jc w:val="right"/>
            </w:pPr>
            <w:r w:rsidRPr="00647EEE">
              <w:t>-0.1%</w:t>
            </w:r>
          </w:p>
        </w:tc>
      </w:tr>
    </w:tbl>
    <w:p w:rsidR="00687717" w:rsidP="00E678CE" w:rsidRDefault="00687717" w14:paraId="6B58904B" w14:textId="77777777">
      <w:pPr>
        <w:pStyle w:val="Standard"/>
      </w:pPr>
    </w:p>
    <w:p w:rsidR="000C1D76" w:rsidP="00B11F8C" w:rsidRDefault="00206D6E" w14:paraId="6B4D7AF2" w14:textId="28690586">
      <w:pPr>
        <w:pStyle w:val="Heading1"/>
      </w:pPr>
      <w:bookmarkStart w:name="_Toc183184341" w:id="172"/>
      <w:r>
        <w:lastRenderedPageBreak/>
        <w:t>PCIA</w:t>
      </w:r>
      <w:r w:rsidR="00800F8A">
        <w:t xml:space="preserve"> Rates by Vintage</w:t>
      </w:r>
      <w:bookmarkEnd w:id="172"/>
    </w:p>
    <w:p w:rsidR="00E678CE" w:rsidP="005F6C37" w:rsidRDefault="00414296" w14:paraId="23792A45" w14:textId="7C6CC03B">
      <w:pPr>
        <w:pStyle w:val="Standard"/>
      </w:pPr>
      <w:r>
        <w:t>Pursuant to D.18-10-019, the vintaged Indifference Amounts are allocated to rate groups using the system generation revenue allocation factors, then divided by the forecast billing determinants to set the final PCIA rates. In accordance with D.19-10-001, SCE applied forecast vintage-specific billing determinants to set the final PCIA rates.</w:t>
      </w:r>
      <w:r w:rsidR="00A75057">
        <w:t xml:space="preserve"> </w:t>
      </w:r>
      <w:r w:rsidR="005F6C37">
        <w:t>Pursuant to D.08-09-012, customers are assigned a vintage based on the date of their departure. If they departed on or before June 30 of a given year, they are assigned to the prior year’s vintage. Alternatively, if they departed on or after July 1 of a given year, they are assigned that year’s vintage</w:t>
      </w:r>
      <w:r w:rsidRPr="005F6C37" w:rsidR="00A5273D">
        <w:t>.</w:t>
      </w:r>
      <w:r w:rsidR="005F6C37">
        <w:t xml:space="preserve"> PCIA rates by vintage are detailed in the following table.</w:t>
      </w:r>
    </w:p>
    <w:p w:rsidR="00094165" w:rsidP="00D759A0" w:rsidRDefault="00094165" w14:paraId="4D58691D" w14:textId="79AC51FF">
      <w:pPr>
        <w:pStyle w:val="Standard"/>
        <w:jc w:val="center"/>
      </w:pPr>
      <w:r w:rsidRPr="00AF5D13">
        <w:rPr>
          <w:b/>
          <w:bCs/>
        </w:rPr>
        <w:t>Table </w:t>
      </w:r>
      <w:r>
        <w:rPr>
          <w:b/>
          <w:bCs/>
        </w:rPr>
        <w:t>9</w:t>
      </w:r>
      <w:r w:rsidRPr="00AF5D13">
        <w:rPr>
          <w:b/>
          <w:bCs/>
        </w:rPr>
        <w:noBreakHyphen/>
      </w:r>
      <w:r>
        <w:rPr>
          <w:b/>
          <w:bCs/>
        </w:rPr>
        <w:t>1</w:t>
      </w:r>
      <w:r w:rsidRPr="00AF5D13">
        <w:rPr>
          <w:b/>
          <w:bCs/>
        </w:rPr>
        <w:t>.</w:t>
      </w:r>
      <w:r w:rsidRPr="00AF5D13">
        <w:t xml:space="preserve"> </w:t>
      </w:r>
      <w:r w:rsidRPr="00AF5D13">
        <w:rPr>
          <w:bCs/>
        </w:rPr>
        <w:t>Summary of SCE</w:t>
      </w:r>
      <w:r>
        <w:rPr>
          <w:bCs/>
        </w:rPr>
        <w:t xml:space="preserve"> PCIA Rates by Vintage</w:t>
      </w:r>
    </w:p>
    <w:tbl>
      <w:tblPr>
        <w:tblStyle w:val="TableGrid"/>
        <w:tblW w:w="0" w:type="auto"/>
        <w:jc w:val="center"/>
        <w:tblLook w:val="04A0" w:firstRow="1" w:lastRow="0" w:firstColumn="1" w:lastColumn="0" w:noHBand="0" w:noVBand="1"/>
      </w:tblPr>
      <w:tblGrid>
        <w:gridCol w:w="2070"/>
        <w:gridCol w:w="2160"/>
      </w:tblGrid>
      <w:tr w:rsidR="00161CE5" w:rsidTr="00D759A0" w14:paraId="7C7F5B9D" w14:textId="77777777">
        <w:trPr>
          <w:cantSplit/>
          <w:jc w:val="center"/>
        </w:trPr>
        <w:tc>
          <w:tcPr>
            <w:tcW w:w="2070" w:type="dxa"/>
          </w:tcPr>
          <w:p w:rsidRPr="00EB6896" w:rsidR="00161CE5" w:rsidRDefault="00161CE5" w14:paraId="149E56F1" w14:textId="77777777">
            <w:pPr>
              <w:pStyle w:val="Standard"/>
            </w:pPr>
            <w:r w:rsidRPr="003C1797">
              <w:t>2001</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197A1B8B" w14:textId="77777777">
            <w:pPr>
              <w:pStyle w:val="Standard"/>
            </w:pPr>
            <w:r w:rsidRPr="00161CE5">
              <w:rPr>
                <w:rFonts w:cs="Calibri"/>
                <w:szCs w:val="26"/>
              </w:rPr>
              <w:t>(0.00000)</w:t>
            </w:r>
          </w:p>
        </w:tc>
      </w:tr>
      <w:tr w:rsidR="00161CE5" w:rsidTr="00D759A0" w14:paraId="6852E308" w14:textId="77777777">
        <w:trPr>
          <w:cantSplit/>
          <w:jc w:val="center"/>
        </w:trPr>
        <w:tc>
          <w:tcPr>
            <w:tcW w:w="2070" w:type="dxa"/>
          </w:tcPr>
          <w:p w:rsidRPr="00EB6896" w:rsidR="00161CE5" w:rsidRDefault="00161CE5" w14:paraId="3CEA981C" w14:textId="77777777">
            <w:pPr>
              <w:pStyle w:val="Standard"/>
            </w:pPr>
            <w:r w:rsidRPr="003C1797">
              <w:t>2004</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0EDA509A" w14:textId="77777777">
            <w:pPr>
              <w:pStyle w:val="Standard"/>
            </w:pPr>
            <w:r w:rsidRPr="00161CE5">
              <w:rPr>
                <w:rFonts w:cs="Calibri"/>
                <w:szCs w:val="26"/>
              </w:rPr>
              <w:t>(0.00000)</w:t>
            </w:r>
          </w:p>
        </w:tc>
      </w:tr>
      <w:tr w:rsidR="00161CE5" w:rsidTr="00D759A0" w14:paraId="35506024" w14:textId="77777777">
        <w:trPr>
          <w:cantSplit/>
          <w:jc w:val="center"/>
        </w:trPr>
        <w:tc>
          <w:tcPr>
            <w:tcW w:w="2070" w:type="dxa"/>
          </w:tcPr>
          <w:p w:rsidRPr="00EB6896" w:rsidR="00161CE5" w:rsidRDefault="00161CE5" w14:paraId="4EDCA7DC" w14:textId="77777777">
            <w:pPr>
              <w:pStyle w:val="Standard"/>
            </w:pPr>
            <w:r w:rsidRPr="003C1797">
              <w:t>2009</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022089BA" w14:textId="77777777">
            <w:pPr>
              <w:pStyle w:val="Standard"/>
            </w:pPr>
            <w:r w:rsidRPr="00161CE5">
              <w:rPr>
                <w:rFonts w:cs="Calibri"/>
                <w:szCs w:val="26"/>
              </w:rPr>
              <w:t xml:space="preserve">0.00127 </w:t>
            </w:r>
          </w:p>
        </w:tc>
      </w:tr>
      <w:tr w:rsidR="00161CE5" w:rsidTr="00D759A0" w14:paraId="2F10A208" w14:textId="77777777">
        <w:trPr>
          <w:cantSplit/>
          <w:jc w:val="center"/>
        </w:trPr>
        <w:tc>
          <w:tcPr>
            <w:tcW w:w="2070" w:type="dxa"/>
          </w:tcPr>
          <w:p w:rsidRPr="00EB6896" w:rsidR="00161CE5" w:rsidRDefault="00161CE5" w14:paraId="67850810" w14:textId="77777777">
            <w:pPr>
              <w:pStyle w:val="Standard"/>
            </w:pPr>
            <w:r>
              <w:t>2010</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75934D7D" w14:textId="77777777">
            <w:pPr>
              <w:pStyle w:val="Standard"/>
            </w:pPr>
            <w:r w:rsidRPr="00161CE5">
              <w:rPr>
                <w:rFonts w:cs="Calibri"/>
                <w:szCs w:val="26"/>
              </w:rPr>
              <w:t xml:space="preserve">0.00045 </w:t>
            </w:r>
          </w:p>
        </w:tc>
      </w:tr>
      <w:tr w:rsidR="00161CE5" w:rsidTr="00D759A0" w14:paraId="445B2245" w14:textId="77777777">
        <w:trPr>
          <w:cantSplit/>
          <w:jc w:val="center"/>
        </w:trPr>
        <w:tc>
          <w:tcPr>
            <w:tcW w:w="2070" w:type="dxa"/>
          </w:tcPr>
          <w:p w:rsidRPr="00EB6896" w:rsidR="00161CE5" w:rsidRDefault="00161CE5" w14:paraId="2C24DCDB" w14:textId="77777777">
            <w:pPr>
              <w:pStyle w:val="Standard"/>
            </w:pPr>
            <w:r>
              <w:t>2011</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1D399022" w14:textId="77777777">
            <w:pPr>
              <w:pStyle w:val="Standard"/>
            </w:pPr>
            <w:r w:rsidRPr="00161CE5">
              <w:rPr>
                <w:rFonts w:cs="Calibri"/>
                <w:szCs w:val="26"/>
              </w:rPr>
              <w:t>(0.00086)</w:t>
            </w:r>
          </w:p>
        </w:tc>
      </w:tr>
      <w:tr w:rsidR="00161CE5" w:rsidTr="00D759A0" w14:paraId="55115841" w14:textId="77777777">
        <w:trPr>
          <w:cantSplit/>
          <w:jc w:val="center"/>
        </w:trPr>
        <w:tc>
          <w:tcPr>
            <w:tcW w:w="2070" w:type="dxa"/>
          </w:tcPr>
          <w:p w:rsidRPr="00EB6896" w:rsidR="00161CE5" w:rsidRDefault="00161CE5" w14:paraId="773E9A90" w14:textId="77777777">
            <w:pPr>
              <w:pStyle w:val="Standard"/>
            </w:pPr>
            <w:r>
              <w:t>2012</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37BC7CED" w14:textId="77777777">
            <w:pPr>
              <w:pStyle w:val="Standard"/>
            </w:pPr>
            <w:r w:rsidRPr="00161CE5">
              <w:rPr>
                <w:rFonts w:cs="Calibri"/>
                <w:szCs w:val="26"/>
              </w:rPr>
              <w:t>(0.00106)</w:t>
            </w:r>
          </w:p>
        </w:tc>
      </w:tr>
      <w:tr w:rsidR="00161CE5" w:rsidTr="00D759A0" w14:paraId="20BDDD70" w14:textId="77777777">
        <w:trPr>
          <w:cantSplit/>
          <w:jc w:val="center"/>
        </w:trPr>
        <w:tc>
          <w:tcPr>
            <w:tcW w:w="2070" w:type="dxa"/>
          </w:tcPr>
          <w:p w:rsidRPr="00EB6896" w:rsidR="00161CE5" w:rsidRDefault="00161CE5" w14:paraId="15738C62" w14:textId="77777777">
            <w:pPr>
              <w:pStyle w:val="Standard"/>
            </w:pPr>
            <w:r>
              <w:t>2013</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0CDD4C1E" w14:textId="77777777">
            <w:pPr>
              <w:pStyle w:val="Standard"/>
            </w:pPr>
            <w:r w:rsidRPr="00161CE5">
              <w:rPr>
                <w:rFonts w:cs="Calibri"/>
                <w:szCs w:val="26"/>
              </w:rPr>
              <w:t>(0.00103)</w:t>
            </w:r>
          </w:p>
        </w:tc>
      </w:tr>
      <w:tr w:rsidR="00161CE5" w:rsidTr="00D759A0" w14:paraId="73283C3A" w14:textId="77777777">
        <w:trPr>
          <w:cantSplit/>
          <w:jc w:val="center"/>
        </w:trPr>
        <w:tc>
          <w:tcPr>
            <w:tcW w:w="2070" w:type="dxa"/>
          </w:tcPr>
          <w:p w:rsidR="00161CE5" w:rsidRDefault="00161CE5" w14:paraId="2EE4D08E" w14:textId="77777777">
            <w:pPr>
              <w:pStyle w:val="Standard"/>
            </w:pPr>
            <w:r>
              <w:t>2014</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1B219A46" w14:textId="77777777">
            <w:pPr>
              <w:pStyle w:val="Standard"/>
            </w:pPr>
            <w:r w:rsidRPr="00161CE5">
              <w:rPr>
                <w:rFonts w:cs="Calibri"/>
                <w:szCs w:val="26"/>
              </w:rPr>
              <w:t>(0.00231)</w:t>
            </w:r>
          </w:p>
        </w:tc>
      </w:tr>
      <w:tr w:rsidR="00161CE5" w:rsidTr="00D759A0" w14:paraId="71350EAA" w14:textId="77777777">
        <w:trPr>
          <w:cantSplit/>
          <w:jc w:val="center"/>
        </w:trPr>
        <w:tc>
          <w:tcPr>
            <w:tcW w:w="2070" w:type="dxa"/>
          </w:tcPr>
          <w:p w:rsidR="00161CE5" w:rsidRDefault="00161CE5" w14:paraId="699B843D" w14:textId="77777777">
            <w:pPr>
              <w:pStyle w:val="Standard"/>
            </w:pPr>
            <w:r>
              <w:t>2015</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0E2D0C14" w14:textId="77777777">
            <w:pPr>
              <w:pStyle w:val="Standard"/>
            </w:pPr>
            <w:r w:rsidRPr="00161CE5">
              <w:rPr>
                <w:rFonts w:cs="Calibri"/>
                <w:szCs w:val="26"/>
              </w:rPr>
              <w:t>(0.00750)</w:t>
            </w:r>
          </w:p>
        </w:tc>
      </w:tr>
      <w:tr w:rsidR="00161CE5" w:rsidTr="00D759A0" w14:paraId="0B0B84FC" w14:textId="77777777">
        <w:trPr>
          <w:cantSplit/>
          <w:jc w:val="center"/>
        </w:trPr>
        <w:tc>
          <w:tcPr>
            <w:tcW w:w="2070" w:type="dxa"/>
          </w:tcPr>
          <w:p w:rsidR="00161CE5" w:rsidRDefault="00161CE5" w14:paraId="1B8080D4" w14:textId="77777777">
            <w:pPr>
              <w:pStyle w:val="Standard"/>
            </w:pPr>
            <w:r>
              <w:t>2016</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2BDAFC3D" w14:textId="77777777">
            <w:pPr>
              <w:pStyle w:val="Standard"/>
            </w:pPr>
            <w:r w:rsidRPr="00161CE5">
              <w:rPr>
                <w:rFonts w:cs="Calibri"/>
                <w:szCs w:val="26"/>
              </w:rPr>
              <w:t>(0.01017)</w:t>
            </w:r>
          </w:p>
        </w:tc>
      </w:tr>
      <w:tr w:rsidR="00161CE5" w:rsidTr="00D759A0" w14:paraId="723DF003" w14:textId="77777777">
        <w:trPr>
          <w:cantSplit/>
          <w:jc w:val="center"/>
        </w:trPr>
        <w:tc>
          <w:tcPr>
            <w:tcW w:w="2070" w:type="dxa"/>
          </w:tcPr>
          <w:p w:rsidR="00161CE5" w:rsidRDefault="00161CE5" w14:paraId="53F95C56" w14:textId="77777777">
            <w:pPr>
              <w:pStyle w:val="Standard"/>
            </w:pPr>
            <w:r>
              <w:t>2017</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20583034" w14:textId="77777777">
            <w:pPr>
              <w:pStyle w:val="Standard"/>
            </w:pPr>
            <w:r w:rsidRPr="00161CE5">
              <w:rPr>
                <w:rFonts w:cs="Calibri"/>
                <w:szCs w:val="26"/>
              </w:rPr>
              <w:t>(0.00968)</w:t>
            </w:r>
          </w:p>
        </w:tc>
      </w:tr>
      <w:tr w:rsidR="00161CE5" w:rsidTr="00D759A0" w14:paraId="1BA537E6" w14:textId="77777777">
        <w:trPr>
          <w:cantSplit/>
          <w:jc w:val="center"/>
        </w:trPr>
        <w:tc>
          <w:tcPr>
            <w:tcW w:w="2070" w:type="dxa"/>
          </w:tcPr>
          <w:p w:rsidR="00161CE5" w:rsidRDefault="00161CE5" w14:paraId="4D2D9AFA" w14:textId="77777777">
            <w:pPr>
              <w:pStyle w:val="Standard"/>
            </w:pPr>
            <w:r>
              <w:t>2018</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699F3445" w14:textId="77777777">
            <w:pPr>
              <w:pStyle w:val="Standard"/>
            </w:pPr>
            <w:r w:rsidRPr="00161CE5">
              <w:rPr>
                <w:rFonts w:cs="Calibri"/>
                <w:szCs w:val="26"/>
              </w:rPr>
              <w:t>(0.01126)</w:t>
            </w:r>
          </w:p>
        </w:tc>
      </w:tr>
      <w:tr w:rsidR="00161CE5" w:rsidTr="00D759A0" w14:paraId="782A32D2" w14:textId="77777777">
        <w:trPr>
          <w:cantSplit/>
          <w:jc w:val="center"/>
        </w:trPr>
        <w:tc>
          <w:tcPr>
            <w:tcW w:w="2070" w:type="dxa"/>
          </w:tcPr>
          <w:p w:rsidR="00161CE5" w:rsidRDefault="00161CE5" w14:paraId="2C5E3D8F" w14:textId="77777777">
            <w:pPr>
              <w:pStyle w:val="Standard"/>
            </w:pPr>
            <w:r>
              <w:t>2019</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366C69F8" w14:textId="77777777">
            <w:pPr>
              <w:pStyle w:val="Standard"/>
            </w:pPr>
            <w:r w:rsidRPr="00161CE5">
              <w:rPr>
                <w:rFonts w:cs="Calibri"/>
                <w:szCs w:val="26"/>
              </w:rPr>
              <w:t>(0.01122)</w:t>
            </w:r>
          </w:p>
        </w:tc>
      </w:tr>
      <w:tr w:rsidR="00161CE5" w:rsidTr="00D759A0" w14:paraId="4356DAC6" w14:textId="77777777">
        <w:trPr>
          <w:cantSplit/>
          <w:jc w:val="center"/>
        </w:trPr>
        <w:tc>
          <w:tcPr>
            <w:tcW w:w="2070" w:type="dxa"/>
          </w:tcPr>
          <w:p w:rsidR="00161CE5" w:rsidRDefault="00161CE5" w14:paraId="05EC996E" w14:textId="77777777">
            <w:pPr>
              <w:pStyle w:val="Standard"/>
            </w:pPr>
            <w:r>
              <w:lastRenderedPageBreak/>
              <w:t>2020</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60C6BD3E" w14:textId="77777777">
            <w:pPr>
              <w:pStyle w:val="Standard"/>
            </w:pPr>
            <w:r w:rsidRPr="00161CE5">
              <w:rPr>
                <w:rFonts w:cs="Calibri"/>
                <w:szCs w:val="26"/>
              </w:rPr>
              <w:t>(0.00991)</w:t>
            </w:r>
          </w:p>
        </w:tc>
      </w:tr>
      <w:tr w:rsidR="00161CE5" w:rsidTr="00D759A0" w14:paraId="6552FAB6" w14:textId="77777777">
        <w:trPr>
          <w:cantSplit/>
          <w:jc w:val="center"/>
        </w:trPr>
        <w:tc>
          <w:tcPr>
            <w:tcW w:w="2070" w:type="dxa"/>
          </w:tcPr>
          <w:p w:rsidR="00161CE5" w:rsidRDefault="00161CE5" w14:paraId="7613C34E" w14:textId="77777777">
            <w:pPr>
              <w:pStyle w:val="Standard"/>
            </w:pPr>
            <w:r>
              <w:t>2021</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6F387E52" w14:textId="77777777">
            <w:pPr>
              <w:pStyle w:val="Standard"/>
            </w:pPr>
            <w:r w:rsidRPr="00161CE5">
              <w:rPr>
                <w:rFonts w:cs="Calibri"/>
                <w:szCs w:val="26"/>
              </w:rPr>
              <w:t>(0.00971)</w:t>
            </w:r>
          </w:p>
        </w:tc>
      </w:tr>
      <w:tr w:rsidR="00161CE5" w:rsidTr="00D759A0" w14:paraId="11426BDF" w14:textId="77777777">
        <w:trPr>
          <w:cantSplit/>
          <w:jc w:val="center"/>
        </w:trPr>
        <w:tc>
          <w:tcPr>
            <w:tcW w:w="2070" w:type="dxa"/>
          </w:tcPr>
          <w:p w:rsidR="00161CE5" w:rsidRDefault="00161CE5" w14:paraId="3B68F9C0" w14:textId="77777777">
            <w:pPr>
              <w:pStyle w:val="Standard"/>
            </w:pPr>
            <w:r>
              <w:t>2022</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4542083A" w14:textId="77777777">
            <w:pPr>
              <w:pStyle w:val="Standard"/>
            </w:pPr>
            <w:r w:rsidRPr="00161CE5">
              <w:rPr>
                <w:rFonts w:cs="Calibri"/>
                <w:szCs w:val="26"/>
              </w:rPr>
              <w:t>(0.01706)</w:t>
            </w:r>
          </w:p>
        </w:tc>
      </w:tr>
      <w:tr w:rsidR="00161CE5" w:rsidTr="00D759A0" w14:paraId="02450F18" w14:textId="77777777">
        <w:trPr>
          <w:cantSplit/>
          <w:jc w:val="center"/>
        </w:trPr>
        <w:tc>
          <w:tcPr>
            <w:tcW w:w="2070" w:type="dxa"/>
          </w:tcPr>
          <w:p w:rsidR="00161CE5" w:rsidRDefault="00161CE5" w14:paraId="3C30F279" w14:textId="77777777">
            <w:pPr>
              <w:pStyle w:val="Standard"/>
            </w:pPr>
            <w:r>
              <w:t>2023</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3CD2E918" w14:textId="77777777">
            <w:pPr>
              <w:pStyle w:val="Standard"/>
            </w:pPr>
            <w:r w:rsidRPr="00161CE5">
              <w:rPr>
                <w:rFonts w:cs="Calibri"/>
                <w:szCs w:val="26"/>
              </w:rPr>
              <w:t>(0.02167)</w:t>
            </w:r>
          </w:p>
        </w:tc>
      </w:tr>
      <w:tr w:rsidR="00161CE5" w:rsidTr="00D759A0" w14:paraId="061C197D" w14:textId="77777777">
        <w:trPr>
          <w:cantSplit/>
          <w:jc w:val="center"/>
        </w:trPr>
        <w:tc>
          <w:tcPr>
            <w:tcW w:w="2070" w:type="dxa"/>
          </w:tcPr>
          <w:p w:rsidR="00161CE5" w:rsidRDefault="00161CE5" w14:paraId="2E60C93C" w14:textId="77777777">
            <w:pPr>
              <w:pStyle w:val="Standard"/>
            </w:pPr>
            <w:r>
              <w:t>2024</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5214E182" w14:textId="77777777">
            <w:pPr>
              <w:pStyle w:val="Standard"/>
            </w:pPr>
            <w:r w:rsidRPr="00161CE5">
              <w:rPr>
                <w:rFonts w:cs="Calibri"/>
                <w:szCs w:val="26"/>
              </w:rPr>
              <w:t>(0.02063)</w:t>
            </w:r>
          </w:p>
        </w:tc>
      </w:tr>
      <w:tr w:rsidR="00161CE5" w:rsidTr="00D759A0" w14:paraId="595CE201" w14:textId="77777777">
        <w:trPr>
          <w:cantSplit/>
          <w:jc w:val="center"/>
        </w:trPr>
        <w:tc>
          <w:tcPr>
            <w:tcW w:w="2070" w:type="dxa"/>
          </w:tcPr>
          <w:p w:rsidR="00161CE5" w:rsidRDefault="00161CE5" w14:paraId="7F0A7B0A" w14:textId="77777777">
            <w:pPr>
              <w:pStyle w:val="Standard"/>
            </w:pPr>
            <w:r>
              <w:t>2025</w:t>
            </w:r>
          </w:p>
        </w:tc>
        <w:tc>
          <w:tcPr>
            <w:tcW w:w="2160" w:type="dxa"/>
            <w:tcBorders>
              <w:top w:val="single" w:color="auto" w:sz="4" w:space="0"/>
              <w:left w:val="nil"/>
              <w:bottom w:val="single" w:color="auto" w:sz="4" w:space="0"/>
              <w:right w:val="single" w:color="auto" w:sz="4" w:space="0"/>
            </w:tcBorders>
            <w:shd w:val="clear" w:color="auto" w:fill="auto"/>
            <w:vAlign w:val="center"/>
          </w:tcPr>
          <w:p w:rsidRPr="00161CE5" w:rsidR="00161CE5" w:rsidRDefault="00161CE5" w14:paraId="501F3C65" w14:textId="77777777">
            <w:pPr>
              <w:pStyle w:val="Standard"/>
            </w:pPr>
            <w:r w:rsidRPr="00161CE5">
              <w:rPr>
                <w:rFonts w:cs="Calibri"/>
                <w:szCs w:val="26"/>
              </w:rPr>
              <w:t>(0.02149)</w:t>
            </w:r>
          </w:p>
        </w:tc>
      </w:tr>
    </w:tbl>
    <w:p w:rsidR="00C80AE4" w:rsidP="00C80AE4" w:rsidRDefault="00E47A9B" w14:paraId="7623FCFD" w14:textId="3D3449AA">
      <w:pPr>
        <w:pStyle w:val="Standard"/>
      </w:pPr>
      <w:r>
        <w:t>Weighing the record</w:t>
      </w:r>
      <w:r w:rsidRPr="007C4F12" w:rsidR="00C80AE4">
        <w:t xml:space="preserve">, we find SCE’s </w:t>
      </w:r>
      <w:r w:rsidR="0003041B">
        <w:t xml:space="preserve">allocation of indifference charges among vintages and customer classes </w:t>
      </w:r>
      <w:r w:rsidR="00C80AE4">
        <w:t>to be reasonable and</w:t>
      </w:r>
      <w:r w:rsidRPr="007C4F12" w:rsidR="00C80AE4">
        <w:t xml:space="preserve"> therefore approve them as proposed.</w:t>
      </w:r>
    </w:p>
    <w:p w:rsidR="00982D60" w:rsidP="008A4308" w:rsidRDefault="008A4308" w14:paraId="06F380A3" w14:textId="57170F2A">
      <w:pPr>
        <w:pStyle w:val="Heading1"/>
      </w:pPr>
      <w:bookmarkStart w:name="_Toc183184342" w:id="173"/>
      <w:bookmarkEnd w:id="171"/>
      <w:r>
        <w:t>Safety Considerations</w:t>
      </w:r>
      <w:r w:rsidR="00774D5E">
        <w:t xml:space="preserve"> and Environmental </w:t>
      </w:r>
      <w:r w:rsidR="00645EF0">
        <w:br/>
      </w:r>
      <w:r w:rsidR="00774D5E">
        <w:t>and S</w:t>
      </w:r>
      <w:r w:rsidR="00D457A6">
        <w:t>ocial Justice Considerations</w:t>
      </w:r>
      <w:bookmarkEnd w:id="173"/>
    </w:p>
    <w:p w:rsidR="002635DE" w:rsidP="002635DE" w:rsidRDefault="002635DE" w14:paraId="2E5DBE74" w14:textId="4EDABAB6">
      <w:pPr>
        <w:pStyle w:val="Standard"/>
      </w:pPr>
      <w:r>
        <w:t>The California Legislature enacted AB 32</w:t>
      </w:r>
      <w:r w:rsidR="000F233A">
        <w:t xml:space="preserve"> </w:t>
      </w:r>
      <w:r w:rsidR="00E96981">
        <w:t>(Nunez) Stat</w:t>
      </w:r>
      <w:r w:rsidR="00BC3FCA">
        <w:t>. 2006, Ch. 488,</w:t>
      </w:r>
      <w:r>
        <w:t xml:space="preserve"> in part to address the health and safety impacts of GHG emissions, which pose “a serious threat to the economic well</w:t>
      </w:r>
      <w:r w:rsidR="00474E05">
        <w:t>-</w:t>
      </w:r>
      <w:r>
        <w:t xml:space="preserve">being, public health, natural resources, and the environment of California.” The Legislature found that GHG emissions could result in “the exacerbation of air quality problems, a reduction in the quality and supply of water to the state from the Sierra snowpack, a rise in sea levels resulting in the displacement of thousands of coastal businesses and residences, damage to marine ecosystems and the natural environment, and an increase in the incidences of infectious disease, asthma, and other human health related problems.” </w:t>
      </w:r>
    </w:p>
    <w:p w:rsidR="008A4308" w:rsidP="002635DE" w:rsidRDefault="002635DE" w14:paraId="7B2435F7" w14:textId="5D603F48">
      <w:pPr>
        <w:pStyle w:val="Standard"/>
      </w:pPr>
      <w:r>
        <w:t>This Decision approves SCE’s forecast of GHG costs and allocation of GHG allowance proceeds because it helps achieve a main goal of AB 32 and Pub. Util. Code § 748.5 and will therefore improve the health and safety of California residents.</w:t>
      </w:r>
    </w:p>
    <w:p w:rsidR="009E4504" w:rsidP="009E4504" w:rsidRDefault="009E4504" w14:paraId="338284FB" w14:textId="658BB038">
      <w:pPr>
        <w:pStyle w:val="Standard"/>
      </w:pPr>
      <w:r>
        <w:lastRenderedPageBreak/>
        <w:t>T</w:t>
      </w:r>
      <w:r w:rsidRPr="009E4504">
        <w:t>he pro</w:t>
      </w:r>
      <w:r w:rsidR="00A44FE0">
        <w:t>vision of</w:t>
      </w:r>
      <w:r w:rsidRPr="009E4504">
        <w:t xml:space="preserve"> F&amp;PP inherently assumes that all power providers are fully compliant with laws, rules, regulations, and internally-managed controls to help ensure that their generating facilities are operated and maintained in a safe working condition.</w:t>
      </w:r>
    </w:p>
    <w:p w:rsidR="00D959B8" w:rsidP="002635DE" w:rsidRDefault="00ED3D3E" w14:paraId="60638A97" w14:textId="7074F568">
      <w:pPr>
        <w:pStyle w:val="Standard"/>
      </w:pPr>
      <w:r>
        <w:t>No party raised any Environmental or Social Justice concerns related to the Application.</w:t>
      </w:r>
    </w:p>
    <w:p w:rsidRPr="00454D1A" w:rsidR="002F3B49" w:rsidP="002F3B49" w:rsidRDefault="002F3B49" w14:paraId="1FAEFD84" w14:textId="77777777">
      <w:pPr>
        <w:pStyle w:val="Heading1"/>
      </w:pPr>
      <w:bookmarkStart w:name="_Toc26797703" w:id="174"/>
      <w:bookmarkStart w:name="_Toc26969015" w:id="175"/>
      <w:bookmarkStart w:name="_Toc93064684" w:id="176"/>
      <w:bookmarkStart w:name="_Toc120876413" w:id="177"/>
      <w:bookmarkStart w:name="_Toc151976255" w:id="178"/>
      <w:bookmarkStart w:name="_Toc183184343" w:id="179"/>
      <w:r w:rsidRPr="006A6990">
        <w:t>Compliance</w:t>
      </w:r>
      <w:r w:rsidRPr="00454D1A">
        <w:t xml:space="preserve"> with the Authority</w:t>
      </w:r>
      <w:r w:rsidRPr="00454D1A">
        <w:br/>
        <w:t>Granted Herein</w:t>
      </w:r>
      <w:bookmarkEnd w:id="174"/>
      <w:bookmarkEnd w:id="175"/>
      <w:bookmarkEnd w:id="176"/>
      <w:bookmarkEnd w:id="177"/>
      <w:bookmarkEnd w:id="178"/>
      <w:bookmarkEnd w:id="179"/>
    </w:p>
    <w:p w:rsidR="002F3B49" w:rsidP="002F3B49" w:rsidRDefault="002F3B49" w14:paraId="174072BE" w14:textId="76428719">
      <w:pPr>
        <w:pStyle w:val="Standard"/>
      </w:pPr>
      <w:r>
        <w:t xml:space="preserve">We </w:t>
      </w:r>
      <w:r w:rsidRPr="002440A2">
        <w:t>authorize</w:t>
      </w:r>
      <w:r>
        <w:t xml:space="preserve"> SCE</w:t>
      </w:r>
      <w:r w:rsidRPr="00454D1A">
        <w:t xml:space="preserve"> to update the final 202</w:t>
      </w:r>
      <w:r w:rsidR="005107C1">
        <w:t>4</w:t>
      </w:r>
      <w:r w:rsidRPr="00454D1A">
        <w:t xml:space="preserve"> year</w:t>
      </w:r>
      <w:r>
        <w:noBreakHyphen/>
      </w:r>
      <w:r w:rsidRPr="00454D1A">
        <w:t>end balances with recorded actual</w:t>
      </w:r>
      <w:r w:rsidR="006B1D3B">
        <w:t xml:space="preserve"> value</w:t>
      </w:r>
      <w:r w:rsidRPr="00454D1A">
        <w:t>s</w:t>
      </w:r>
      <w:r w:rsidR="006B1D3B">
        <w:t xml:space="preserve"> (actuals)</w:t>
      </w:r>
      <w:r w:rsidRPr="00454D1A">
        <w:t xml:space="preserve"> through </w:t>
      </w:r>
      <w:r>
        <w:t>October 202</w:t>
      </w:r>
      <w:r w:rsidR="005107C1">
        <w:t>4</w:t>
      </w:r>
      <w:r>
        <w:t xml:space="preserve"> and forecast for November and </w:t>
      </w:r>
      <w:r w:rsidRPr="00454D1A">
        <w:t>December</w:t>
      </w:r>
      <w:r>
        <w:t> </w:t>
      </w:r>
      <w:r w:rsidRPr="00454D1A">
        <w:t>202</w:t>
      </w:r>
      <w:r w:rsidR="006B1D3B">
        <w:t>4</w:t>
      </w:r>
      <w:r w:rsidRPr="00454D1A">
        <w:t>.</w:t>
      </w:r>
      <w:r>
        <w:t xml:space="preserve"> </w:t>
      </w:r>
      <w:r w:rsidR="00194A32">
        <w:t>These balances</w:t>
      </w:r>
      <w:r w:rsidR="00F54AD2">
        <w:t xml:space="preserve">, as well as the 2025 </w:t>
      </w:r>
      <w:r w:rsidR="00714FB7">
        <w:t>forecasts,</w:t>
      </w:r>
      <w:r w:rsidR="00194A32">
        <w:t xml:space="preserve"> </w:t>
      </w:r>
      <w:r w:rsidR="004355AD">
        <w:t xml:space="preserve">shall utilize the most updated MPB values available. </w:t>
      </w:r>
      <w:r>
        <w:t xml:space="preserve">If SCE has its November </w:t>
      </w:r>
      <w:r w:rsidR="006B1D3B">
        <w:t xml:space="preserve">2024 </w:t>
      </w:r>
      <w:r>
        <w:t>actuals available in time for submitting its Advice Letter, those should be included rather than a November forecast.</w:t>
      </w:r>
      <w:r w:rsidRPr="00454D1A">
        <w:t xml:space="preserve"> </w:t>
      </w:r>
    </w:p>
    <w:p w:rsidRPr="00454D1A" w:rsidR="002F3B49" w:rsidP="002F3B49" w:rsidRDefault="002F3B49" w14:paraId="1E7EA8EF" w14:textId="5F69177F">
      <w:pPr>
        <w:pStyle w:val="Standard"/>
      </w:pPr>
      <w:r w:rsidRPr="00454D1A">
        <w:t xml:space="preserve">SCE </w:t>
      </w:r>
      <w:r>
        <w:t>shall</w:t>
      </w:r>
      <w:r w:rsidRPr="00454D1A">
        <w:t xml:space="preserve"> submit a Tier 1 </w:t>
      </w:r>
      <w:r w:rsidRPr="00EF0C2C">
        <w:t>A</w:t>
      </w:r>
      <w:r>
        <w:t xml:space="preserve">dvice </w:t>
      </w:r>
      <w:r w:rsidRPr="00EF0C2C">
        <w:t>L</w:t>
      </w:r>
      <w:r>
        <w:t>etter</w:t>
      </w:r>
      <w:r w:rsidRPr="00454D1A">
        <w:t xml:space="preserve"> to the Commission’s Energy</w:t>
      </w:r>
      <w:r w:rsidR="00645EF0">
        <w:t> </w:t>
      </w:r>
      <w:r w:rsidRPr="00454D1A">
        <w:t xml:space="preserve">Division within 30 days of the date of issuance of this </w:t>
      </w:r>
      <w:r>
        <w:t>Decision</w:t>
      </w:r>
      <w:r w:rsidRPr="00454D1A">
        <w:t xml:space="preserve"> to implement the </w:t>
      </w:r>
      <w:r>
        <w:t>revenue requirements adopted in</w:t>
      </w:r>
      <w:r w:rsidRPr="00454D1A">
        <w:t xml:space="preserve"> this </w:t>
      </w:r>
      <w:r>
        <w:t>Decision</w:t>
      </w:r>
      <w:r w:rsidRPr="00454D1A">
        <w:t xml:space="preserve">. The tariff sheets filed in this </w:t>
      </w:r>
      <w:r w:rsidRPr="00EF0C2C">
        <w:t>A</w:t>
      </w:r>
      <w:r>
        <w:t xml:space="preserve">dvice </w:t>
      </w:r>
      <w:r w:rsidRPr="00EF0C2C">
        <w:t>L</w:t>
      </w:r>
      <w:r>
        <w:t>etter</w:t>
      </w:r>
      <w:r w:rsidRPr="00454D1A">
        <w:t xml:space="preserve"> shall be effective on or after the date filed, subject to the Commission’s Energy Division determining that SCE’s </w:t>
      </w:r>
      <w:r w:rsidRPr="00EF0C2C">
        <w:t>A</w:t>
      </w:r>
      <w:r>
        <w:t xml:space="preserve">dvice </w:t>
      </w:r>
      <w:r w:rsidRPr="00EF0C2C">
        <w:t>L</w:t>
      </w:r>
      <w:r>
        <w:t>etter</w:t>
      </w:r>
      <w:r w:rsidRPr="00454D1A">
        <w:t xml:space="preserve"> complies with this </w:t>
      </w:r>
      <w:r>
        <w:t>Decision</w:t>
      </w:r>
      <w:r w:rsidRPr="00454D1A">
        <w:t>.</w:t>
      </w:r>
    </w:p>
    <w:p w:rsidR="002F3B49" w:rsidP="002F3B49" w:rsidRDefault="002F3B49" w14:paraId="7C239E5B" w14:textId="7B7B1748">
      <w:pPr>
        <w:pStyle w:val="Standard"/>
      </w:pPr>
      <w:r w:rsidRPr="00454D1A">
        <w:t xml:space="preserve">SCE is </w:t>
      </w:r>
      <w:r>
        <w:t xml:space="preserve">further </w:t>
      </w:r>
      <w:r w:rsidRPr="00454D1A">
        <w:t xml:space="preserve">authorized to implement the revenue requirement adopted in this proceeding, as updated to reflect </w:t>
      </w:r>
      <w:r>
        <w:t>October – November 202</w:t>
      </w:r>
      <w:r w:rsidR="006B1D3B">
        <w:t>4</w:t>
      </w:r>
      <w:r>
        <w:t xml:space="preserve"> actuals and forecasts for December 202</w:t>
      </w:r>
      <w:r w:rsidR="006B1D3B">
        <w:t>4</w:t>
      </w:r>
      <w:r w:rsidRPr="00454D1A">
        <w:t xml:space="preserve">, in its </w:t>
      </w:r>
      <w:r>
        <w:t>advice letter for rates to be effective starting</w:t>
      </w:r>
      <w:r w:rsidRPr="00454D1A">
        <w:t xml:space="preserve"> January</w:t>
      </w:r>
      <w:r>
        <w:t> </w:t>
      </w:r>
      <w:r w:rsidRPr="00454D1A">
        <w:t>1,</w:t>
      </w:r>
      <w:r>
        <w:t> </w:t>
      </w:r>
      <w:r w:rsidRPr="00454D1A">
        <w:t>202</w:t>
      </w:r>
      <w:r w:rsidR="006B1D3B">
        <w:t>5</w:t>
      </w:r>
      <w:r w:rsidRPr="00454D1A">
        <w:t>.</w:t>
      </w:r>
      <w:r>
        <w:rPr>
          <w:rStyle w:val="FootnoteReference"/>
        </w:rPr>
        <w:footnoteReference w:id="211"/>
      </w:r>
      <w:r w:rsidRPr="00454D1A">
        <w:t xml:space="preserve"> </w:t>
      </w:r>
    </w:p>
    <w:p w:rsidR="00554CEE" w:rsidP="00E47A9B" w:rsidRDefault="00E47A9B" w14:paraId="6F48B465" w14:textId="15364F71">
      <w:pPr>
        <w:pStyle w:val="Standard"/>
      </w:pPr>
      <w:r>
        <w:lastRenderedPageBreak/>
        <w:t>Weighing the record</w:t>
      </w:r>
      <w:r w:rsidRPr="007C4F12" w:rsidR="00554CEE">
        <w:t xml:space="preserve">, we find SCE’s </w:t>
      </w:r>
      <w:r w:rsidR="00F9588D">
        <w:t xml:space="preserve">request and methods used to determine the issues described above </w:t>
      </w:r>
      <w:r w:rsidR="0016346C">
        <w:t>for all customer categories</w:t>
      </w:r>
      <w:r>
        <w:t xml:space="preserve"> are reasonable</w:t>
      </w:r>
      <w:r w:rsidR="0016346C">
        <w:t xml:space="preserve"> and</w:t>
      </w:r>
      <w:r w:rsidRPr="007C4F12" w:rsidR="00554CEE">
        <w:t xml:space="preserve"> therefore approve them as proposed.</w:t>
      </w:r>
    </w:p>
    <w:p w:rsidR="00603238" w:rsidP="00FA1B4F" w:rsidRDefault="00603238" w14:paraId="01FB897A" w14:textId="1BCC4DB8">
      <w:pPr>
        <w:pStyle w:val="Heading1"/>
      </w:pPr>
      <w:bookmarkStart w:name="_Toc183184344" w:id="180"/>
      <w:r>
        <w:t>Summary of Public Comment</w:t>
      </w:r>
      <w:bookmarkEnd w:id="180"/>
    </w:p>
    <w:p w:rsidR="00603238" w:rsidP="00284D8D" w:rsidRDefault="00603238" w14:paraId="097A3677" w14:textId="3DA894BF">
      <w:r w:rsidRPr="006B1D3B">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p>
    <w:p w:rsidRPr="006B1D3B" w:rsidR="00176230" w:rsidP="00284D8D" w:rsidRDefault="00EF2543" w14:paraId="374F07F8" w14:textId="177D7A47">
      <w:pPr>
        <w:rPr>
          <w:rFonts w:ascii="Calibri" w:hAnsi="Calibri"/>
          <w:sz w:val="22"/>
        </w:rPr>
      </w:pPr>
      <w:r>
        <w:t xml:space="preserve">There </w:t>
      </w:r>
      <w:r w:rsidR="008D7DC6">
        <w:t>w</w:t>
      </w:r>
      <w:r w:rsidR="00007F03">
        <w:t>ere</w:t>
      </w:r>
      <w:r>
        <w:t xml:space="preserve"> a total of 8 written comments. </w:t>
      </w:r>
      <w:r w:rsidR="005B0F27">
        <w:t>Written comments</w:t>
      </w:r>
      <w:r w:rsidR="008D7DC6">
        <w:t xml:space="preserve"> largely</w:t>
      </w:r>
      <w:r w:rsidR="005B0F27">
        <w:t xml:space="preserve"> supported </w:t>
      </w:r>
      <w:r w:rsidR="00980D4C">
        <w:t>affordabili</w:t>
      </w:r>
      <w:r w:rsidR="006B5AE7">
        <w:t xml:space="preserve">ty and advocated for </w:t>
      </w:r>
      <w:r w:rsidR="00D05270">
        <w:t>rate reduction, both at the level proposed by this application and at a higher level</w:t>
      </w:r>
      <w:r w:rsidR="00B64FBB">
        <w:t xml:space="preserve"> than </w:t>
      </w:r>
      <w:r w:rsidR="006B5AE7">
        <w:t>contemplated here</w:t>
      </w:r>
      <w:r w:rsidR="00B64FBB">
        <w:t>.</w:t>
      </w:r>
      <w:r w:rsidR="008D7DC6">
        <w:t xml:space="preserve"> Other </w:t>
      </w:r>
      <w:r w:rsidR="00965389">
        <w:t xml:space="preserve">themes expressed in </w:t>
      </w:r>
      <w:r w:rsidR="00BD2C70">
        <w:t xml:space="preserve">public </w:t>
      </w:r>
      <w:r w:rsidR="00980D4C">
        <w:t>comment</w:t>
      </w:r>
      <w:r w:rsidR="00965389">
        <w:t xml:space="preserve"> were</w:t>
      </w:r>
      <w:r w:rsidR="00980D4C">
        <w:t xml:space="preserve"> frustration with high </w:t>
      </w:r>
      <w:r w:rsidR="006B5AE7">
        <w:t xml:space="preserve">energy </w:t>
      </w:r>
      <w:r w:rsidR="00980D4C">
        <w:t>prices</w:t>
      </w:r>
      <w:r w:rsidR="00775EAC">
        <w:t>, not</w:t>
      </w:r>
      <w:r w:rsidR="00965389">
        <w:t>ing</w:t>
      </w:r>
      <w:r w:rsidR="00775EAC">
        <w:t xml:space="preserve"> the profitability </w:t>
      </w:r>
      <w:r w:rsidR="00BF4D25">
        <w:t xml:space="preserve">and dividends associated with SCE stock, and </w:t>
      </w:r>
      <w:r w:rsidR="00D446EC">
        <w:t>f</w:t>
      </w:r>
      <w:r w:rsidR="00990706">
        <w:t xml:space="preserve">inding it more appropriate to reward energy savers than to </w:t>
      </w:r>
      <w:r w:rsidR="00D446EC">
        <w:t xml:space="preserve">discount </w:t>
      </w:r>
      <w:r w:rsidR="00990706">
        <w:t>prices for</w:t>
      </w:r>
      <w:r w:rsidR="009A35D0">
        <w:t xml:space="preserve"> residents using more than 500kWh per month.</w:t>
      </w:r>
    </w:p>
    <w:p w:rsidR="004A1EAD" w:rsidP="004A1EAD" w:rsidRDefault="004A1EAD" w14:paraId="7E265B8C" w14:textId="77777777">
      <w:pPr>
        <w:pStyle w:val="Heading1"/>
      </w:pPr>
      <w:bookmarkStart w:name="_Toc183184345" w:id="181"/>
      <w:bookmarkStart w:name="_Toc8123723" w:id="182"/>
      <w:bookmarkEnd w:id="17"/>
      <w:r>
        <w:t>Procedural Matters</w:t>
      </w:r>
      <w:bookmarkEnd w:id="181"/>
    </w:p>
    <w:p w:rsidRPr="008B175A" w:rsidR="004A1EAD" w:rsidP="004A1EAD" w:rsidRDefault="004A1EAD" w14:paraId="2093123B" w14:textId="5895F991">
      <w:pPr>
        <w:pStyle w:val="Standard"/>
      </w:pPr>
      <w:r w:rsidRPr="008B175A">
        <w:t xml:space="preserve">This decision affirms all rulings made by the </w:t>
      </w:r>
      <w:r w:rsidR="00594FD2">
        <w:t>ALJ</w:t>
      </w:r>
      <w:r w:rsidRPr="008B175A">
        <w:t xml:space="preserve"> and assigned Commissioner in this proceeding. All motions not ruled on are deemed denied.</w:t>
      </w:r>
    </w:p>
    <w:p w:rsidR="005939A5" w:rsidP="005939A5" w:rsidRDefault="008123E7" w14:paraId="452F2B63" w14:textId="0C940DDD">
      <w:pPr>
        <w:pStyle w:val="Heading1"/>
      </w:pPr>
      <w:bookmarkStart w:name="_Toc183184346" w:id="183"/>
      <w:r>
        <w:t xml:space="preserve">Reduction of </w:t>
      </w:r>
      <w:r w:rsidR="00AA08B3">
        <w:t xml:space="preserve">Comment Period </w:t>
      </w:r>
      <w:r w:rsidR="00594FD2">
        <w:br/>
      </w:r>
      <w:r w:rsidR="00AA08B3">
        <w:t xml:space="preserve">and </w:t>
      </w:r>
      <w:r w:rsidR="005939A5">
        <w:t>Comments on Proposed Decision</w:t>
      </w:r>
      <w:bookmarkEnd w:id="182"/>
      <w:bookmarkEnd w:id="183"/>
    </w:p>
    <w:p w:rsidR="0048736D" w:rsidP="00372CC1" w:rsidRDefault="005C58FA" w14:paraId="177F4B68" w14:textId="0D7E75E4">
      <w:pPr>
        <w:pStyle w:val="Standard"/>
      </w:pPr>
      <w:r w:rsidRPr="0008207E">
        <w:t xml:space="preserve">The proposed decision of ALJ </w:t>
      </w:r>
      <w:r w:rsidRPr="0008207E" w:rsidR="00AA08B3">
        <w:t>Justin Regnier</w:t>
      </w:r>
      <w:r>
        <w:t xml:space="preserve"> in this matter was mailed to the parties in accordance with Section 311 of the Public Utilities Code</w:t>
      </w:r>
      <w:r w:rsidR="00953046">
        <w:t>.</w:t>
      </w:r>
      <w:r>
        <w:t xml:space="preserve"> </w:t>
      </w:r>
      <w:r w:rsidRPr="000C19CA" w:rsidR="00A1152F">
        <w:t>In developing the schedule for the proceeding, parties stipulated to reduce the 30</w:t>
      </w:r>
      <w:r w:rsidRPr="000C19CA" w:rsidR="00A1152F">
        <w:noBreakHyphen/>
        <w:t xml:space="preserve">day public review and comment period required by Pub. Util. Code </w:t>
      </w:r>
      <w:r w:rsidRPr="000C19CA" w:rsidR="00A1152F">
        <w:lastRenderedPageBreak/>
        <w:t xml:space="preserve">Section 311 to </w:t>
      </w:r>
      <w:r w:rsidR="00A1152F">
        <w:t>7 days</w:t>
      </w:r>
      <w:r w:rsidRPr="000C19CA" w:rsidR="00A1152F">
        <w:t xml:space="preserve"> for opening comments and </w:t>
      </w:r>
      <w:r w:rsidR="00A1152F">
        <w:t>7 days</w:t>
      </w:r>
      <w:r w:rsidRPr="000C19CA" w:rsidR="00A1152F">
        <w:t xml:space="preserve"> for reply comments.</w:t>
      </w:r>
      <w:r w:rsidR="00A1152F">
        <w:rPr>
          <w:rStyle w:val="FootnoteReference"/>
        </w:rPr>
        <w:footnoteReference w:id="212"/>
      </w:r>
      <w:r w:rsidR="00134967">
        <w:t xml:space="preserve"> C</w:t>
      </w:r>
      <w:r>
        <w:t>omments were allowed under Rule 14.3 of the Commission’s Rules of Practice and Procedure. Comments were filed on</w:t>
      </w:r>
      <w:r w:rsidR="00BD3689">
        <w:t xml:space="preserve"> December 2, 2024 by the following parties: </w:t>
      </w:r>
      <w:r w:rsidR="0049315A">
        <w:t xml:space="preserve">SCE, </w:t>
      </w:r>
      <w:r w:rsidR="00901B4D">
        <w:t>AReM/DACC</w:t>
      </w:r>
      <w:r w:rsidR="00C4332F">
        <w:t>, and CalCCA</w:t>
      </w:r>
      <w:r w:rsidR="0006263A">
        <w:t>. R</w:t>
      </w:r>
      <w:r>
        <w:t xml:space="preserve">eply comments were filed on </w:t>
      </w:r>
      <w:r w:rsidR="0006263A">
        <w:t xml:space="preserve">December 9, 2024, </w:t>
      </w:r>
      <w:r>
        <w:t xml:space="preserve"> by </w:t>
      </w:r>
      <w:r w:rsidR="0006263A">
        <w:t xml:space="preserve">SCE and </w:t>
      </w:r>
      <w:r w:rsidR="009C6CA7">
        <w:t>AReM/DACC</w:t>
      </w:r>
      <w:r w:rsidR="0006263A">
        <w:t>.</w:t>
      </w:r>
      <w:r>
        <w:t>.</w:t>
      </w:r>
      <w:r w:rsidR="0006263A">
        <w:t xml:space="preserve"> </w:t>
      </w:r>
      <w:r w:rsidR="00C80653">
        <w:t xml:space="preserve">I have read and considered all the opening and reply comments; </w:t>
      </w:r>
      <w:r w:rsidR="008D3D7E">
        <w:t>clarifications, corrections, and modifications have been made throughout this decision in response to the comments.</w:t>
      </w:r>
      <w:r w:rsidRPr="00C878D5" w:rsidR="00C878D5">
        <w:t xml:space="preserve"> </w:t>
      </w:r>
      <w:bookmarkStart w:name="_Toc8123724" w:id="184"/>
    </w:p>
    <w:p w:rsidR="005939A5" w:rsidP="0048736D" w:rsidRDefault="005939A5" w14:paraId="7DE7A8FA" w14:textId="6223EE71">
      <w:pPr>
        <w:pStyle w:val="Heading1"/>
      </w:pPr>
      <w:bookmarkStart w:name="_Toc183184347" w:id="185"/>
      <w:r>
        <w:t>Assignment of Proceeding</w:t>
      </w:r>
      <w:bookmarkEnd w:id="184"/>
      <w:bookmarkEnd w:id="185"/>
    </w:p>
    <w:p w:rsidR="005939A5" w:rsidP="006E6574" w:rsidRDefault="002162F5" w14:paraId="3B4A829F" w14:textId="47F4FADD">
      <w:pPr>
        <w:pStyle w:val="Standard"/>
      </w:pPr>
      <w:r>
        <w:t>John Reynolds</w:t>
      </w:r>
      <w:r w:rsidR="005939A5">
        <w:t xml:space="preserve"> is the assigned Commissioner and </w:t>
      </w:r>
      <w:r>
        <w:t>Justin Regnier</w:t>
      </w:r>
      <w:r w:rsidR="005939A5">
        <w:t xml:space="preserve"> is the assigned </w:t>
      </w:r>
      <w:r w:rsidR="00594FD2">
        <w:t>ALJ</w:t>
      </w:r>
      <w:r w:rsidR="005939A5">
        <w:t xml:space="preserve"> in this proceeding.</w:t>
      </w:r>
    </w:p>
    <w:p w:rsidRPr="00454D1A" w:rsidR="001C1CD5" w:rsidP="001C1CD5" w:rsidRDefault="005939A5" w14:paraId="205CCBD4" w14:textId="27D246F0">
      <w:pPr>
        <w:pStyle w:val="Dummy"/>
      </w:pPr>
      <w:bookmarkStart w:name="_Toc8123725" w:id="186"/>
      <w:bookmarkStart w:name="_Toc183184348" w:id="187"/>
      <w:r>
        <w:t>Findings of Fact</w:t>
      </w:r>
      <w:bookmarkEnd w:id="186"/>
      <w:bookmarkEnd w:id="187"/>
    </w:p>
    <w:p w:rsidR="00612AB1" w:rsidP="00612AB1" w:rsidRDefault="00612AB1" w14:paraId="776C3F28" w14:textId="1AADC202">
      <w:pPr>
        <w:pStyle w:val="FoF"/>
        <w:numPr>
          <w:ilvl w:val="0"/>
          <w:numId w:val="38"/>
        </w:numPr>
      </w:pPr>
      <w:r>
        <w:t>SCE’s 2024 total forecast ERRA is $</w:t>
      </w:r>
      <w:r w:rsidR="005B2FF1">
        <w:t>4.637</w:t>
      </w:r>
      <w:r>
        <w:t xml:space="preserve"> billion, which is a decrease of $</w:t>
      </w:r>
      <w:r w:rsidR="005B2FF1">
        <w:t>442.537</w:t>
      </w:r>
      <w:r w:rsidRPr="00973D37">
        <w:t xml:space="preserve"> </w:t>
      </w:r>
      <w:r>
        <w:t>million when compared to rates currently recovered from customers today.</w:t>
      </w:r>
    </w:p>
    <w:p w:rsidRPr="001E2A62" w:rsidR="00612AB1" w:rsidP="00612AB1" w:rsidRDefault="00612AB1" w14:paraId="0EBFCB2F" w14:textId="1B710A37">
      <w:pPr>
        <w:pStyle w:val="FoF"/>
        <w:numPr>
          <w:ilvl w:val="0"/>
          <w:numId w:val="38"/>
        </w:numPr>
      </w:pPr>
      <w:r>
        <w:t>SCE forecasted an increase in total retail electricity sales from a forecasted 8</w:t>
      </w:r>
      <w:r w:rsidR="007A2E8B">
        <w:t>1,758</w:t>
      </w:r>
      <w:r>
        <w:t xml:space="preserve"> GWh in 202</w:t>
      </w:r>
      <w:r w:rsidR="00045D35">
        <w:t>4</w:t>
      </w:r>
      <w:r>
        <w:t xml:space="preserve"> to a forecast of 8</w:t>
      </w:r>
      <w:r w:rsidR="00E9085D">
        <w:t>2</w:t>
      </w:r>
      <w:r>
        <w:t>,</w:t>
      </w:r>
      <w:r w:rsidR="00DB1C03">
        <w:t>901</w:t>
      </w:r>
      <w:r>
        <w:t xml:space="preserve"> GWh in 202</w:t>
      </w:r>
      <w:r w:rsidR="00045D35">
        <w:t>5</w:t>
      </w:r>
      <w:r>
        <w:t>.</w:t>
      </w:r>
    </w:p>
    <w:p w:rsidR="00612AB1" w:rsidP="00612AB1" w:rsidRDefault="00612AB1" w14:paraId="6EE2820B" w14:textId="0A1978AF">
      <w:pPr>
        <w:pStyle w:val="FoF"/>
        <w:numPr>
          <w:ilvl w:val="0"/>
          <w:numId w:val="38"/>
        </w:numPr>
      </w:pPr>
      <w:r>
        <w:t>SCE forecasted a 0.</w:t>
      </w:r>
      <w:r w:rsidR="00DB1C03">
        <w:t>5</w:t>
      </w:r>
      <w:r>
        <w:t xml:space="preserve"> percent increase in its number of customers in 202</w:t>
      </w:r>
      <w:r w:rsidR="00DB1C03">
        <w:t>4</w:t>
      </w:r>
      <w:r>
        <w:t xml:space="preserve"> and</w:t>
      </w:r>
      <w:r w:rsidR="00DB1C03">
        <w:t xml:space="preserve"> </w:t>
      </w:r>
      <w:r w:rsidR="00CE0B59">
        <w:t>a 0.6</w:t>
      </w:r>
      <w:r w:rsidR="00AF06AF">
        <w:t xml:space="preserve"> percent increase in</w:t>
      </w:r>
      <w:r>
        <w:t xml:space="preserve"> 202</w:t>
      </w:r>
      <w:r w:rsidR="00DA206D">
        <w:t>5</w:t>
      </w:r>
      <w:r>
        <w:t>.</w:t>
      </w:r>
    </w:p>
    <w:p w:rsidR="00612AB1" w:rsidP="00612AB1" w:rsidRDefault="00612AB1" w14:paraId="4FCF6343" w14:textId="1689819A">
      <w:pPr>
        <w:pStyle w:val="FoF"/>
        <w:numPr>
          <w:ilvl w:val="0"/>
          <w:numId w:val="38"/>
        </w:numPr>
      </w:pPr>
      <w:r>
        <w:t>SCE’s forecast of utility-owned generation and purchased power contract deliveries in 2024 consisted of 1,16</w:t>
      </w:r>
      <w:r w:rsidR="00AF3D8F">
        <w:t>4</w:t>
      </w:r>
      <w:r>
        <w:t xml:space="preserve"> MW nameplate capacity of hydroelectric power, </w:t>
      </w:r>
      <w:r w:rsidR="000B237C">
        <w:t xml:space="preserve">approximately </w:t>
      </w:r>
      <w:r>
        <w:t>9 MW of nameplate capacity in solar photovoltaic resources, 10,0</w:t>
      </w:r>
      <w:r w:rsidR="006F67AB">
        <w:t>0</w:t>
      </w:r>
      <w:r>
        <w:t xml:space="preserve">7 MW from co-generation and renewable resources, 245 MW of natural gas </w:t>
      </w:r>
      <w:r w:rsidR="00E47A9B">
        <w:t>p</w:t>
      </w:r>
      <w:r w:rsidR="001C1CD5">
        <w:t>eaker</w:t>
      </w:r>
      <w:r>
        <w:t xml:space="preserve"> resources, and </w:t>
      </w:r>
      <w:r w:rsidR="00003E68">
        <w:t xml:space="preserve">approximately </w:t>
      </w:r>
      <w:r>
        <w:t xml:space="preserve">1 </w:t>
      </w:r>
      <w:r w:rsidR="00003E68">
        <w:t>G</w:t>
      </w:r>
      <w:r>
        <w:t xml:space="preserve">W from its Mountainview Generating Station. </w:t>
      </w:r>
    </w:p>
    <w:p w:rsidR="00612AB1" w:rsidP="00612AB1" w:rsidRDefault="00612AB1" w14:paraId="621FEEBC" w14:textId="44BAA4EB">
      <w:pPr>
        <w:pStyle w:val="FoF"/>
        <w:numPr>
          <w:ilvl w:val="0"/>
          <w:numId w:val="38"/>
        </w:numPr>
      </w:pPr>
      <w:r>
        <w:lastRenderedPageBreak/>
        <w:t>SCE holds one (1) inter-utility</w:t>
      </w:r>
      <w:r w:rsidR="002B34CB">
        <w:t xml:space="preserve"> capacity</w:t>
      </w:r>
      <w:r>
        <w:t xml:space="preserve"> contract for 202</w:t>
      </w:r>
      <w:r w:rsidR="002B34CB">
        <w:t>5</w:t>
      </w:r>
      <w:r>
        <w:t xml:space="preserve">, consisting of an entitlement of </w:t>
      </w:r>
      <w:r w:rsidR="006D2B80">
        <w:t>280</w:t>
      </w:r>
      <w:r>
        <w:t xml:space="preserve"> MW of contingent capacity and </w:t>
      </w:r>
      <w:r w:rsidR="005D4F92">
        <w:t>23</w:t>
      </w:r>
      <w:r>
        <w:t>8 GWh of firm energy from the Hoover Dam project.</w:t>
      </w:r>
    </w:p>
    <w:p w:rsidR="00612AB1" w:rsidP="00612AB1" w:rsidRDefault="00612AB1" w14:paraId="7E1683A0" w14:textId="47CFC2FB">
      <w:pPr>
        <w:pStyle w:val="FoF"/>
        <w:numPr>
          <w:ilvl w:val="0"/>
          <w:numId w:val="38"/>
        </w:numPr>
      </w:pPr>
      <w:r w:rsidRPr="00454D1A">
        <w:t>SCE forecast</w:t>
      </w:r>
      <w:r>
        <w:t>ed</w:t>
      </w:r>
      <w:r w:rsidRPr="00454D1A">
        <w:t xml:space="preserve"> costs </w:t>
      </w:r>
      <w:r w:rsidR="005D4F92">
        <w:t>associated with</w:t>
      </w:r>
      <w:r w:rsidRPr="00454D1A">
        <w:t xml:space="preserve"> </w:t>
      </w:r>
      <w:r w:rsidR="005D4F92">
        <w:t>5</w:t>
      </w:r>
      <w:r>
        <w:t xml:space="preserve"> </w:t>
      </w:r>
      <w:r w:rsidRPr="00454D1A">
        <w:t>GWh of energy reductions in 202</w:t>
      </w:r>
      <w:r w:rsidR="005D4F92">
        <w:t>5</w:t>
      </w:r>
      <w:r w:rsidRPr="00454D1A">
        <w:t xml:space="preserve"> to provide economic demand response programs, including the Summer Discount Plan,</w:t>
      </w:r>
      <w:r w:rsidR="005D4F92">
        <w:t xml:space="preserve"> </w:t>
      </w:r>
      <w:r w:rsidRPr="00454D1A" w:rsidR="005D4F92">
        <w:t>Smart Energy Program</w:t>
      </w:r>
      <w:r w:rsidR="005D4F92">
        <w:t xml:space="preserve">, </w:t>
      </w:r>
      <w:r w:rsidR="000D385B">
        <w:t>and</w:t>
      </w:r>
      <w:r w:rsidRPr="00454D1A" w:rsidR="005D4F92">
        <w:t xml:space="preserve"> </w:t>
      </w:r>
      <w:r w:rsidRPr="00454D1A">
        <w:t>Capacity Bidding Program.</w:t>
      </w:r>
    </w:p>
    <w:p w:rsidR="00612AB1" w:rsidP="00612AB1" w:rsidRDefault="00612AB1" w14:paraId="40C48F74" w14:textId="1CCED357">
      <w:pPr>
        <w:pStyle w:val="FoF"/>
        <w:numPr>
          <w:ilvl w:val="0"/>
          <w:numId w:val="35"/>
        </w:numPr>
      </w:pPr>
      <w:r>
        <w:t>SCE forecasted a</w:t>
      </w:r>
      <w:r w:rsidR="003934EF">
        <w:t xml:space="preserve"> revenue requirement of </w:t>
      </w:r>
      <w:r w:rsidR="00FE7C74">
        <w:t xml:space="preserve">$21.610 million resulting in </w:t>
      </w:r>
      <w:r w:rsidR="001C1CD5">
        <w:t>a</w:t>
      </w:r>
      <w:r>
        <w:t xml:space="preserve"> net increase of $</w:t>
      </w:r>
      <w:r w:rsidR="00042DF2">
        <w:t>3.680</w:t>
      </w:r>
      <w:r>
        <w:t xml:space="preserve"> million in procurement-related Public Purpose Program Charge funds to recover (1) behind-the-meter resources associated with its Preferred Resource Pilot #2 contracts; (2) net costs </w:t>
      </w:r>
      <w:r w:rsidRPr="00454D1A">
        <w:t>associated with biomass generation associated with the Tree Mortality Non</w:t>
      </w:r>
      <w:r>
        <w:noBreakHyphen/>
      </w:r>
      <w:r w:rsidRPr="00454D1A">
        <w:t>Bypassable Charge; (3)</w:t>
      </w:r>
      <w:r>
        <w:t> </w:t>
      </w:r>
      <w:r w:rsidRPr="00454D1A">
        <w:t xml:space="preserve">net charges for the BioMAT program; and (4) volumetric electricity service subsidies through the </w:t>
      </w:r>
      <w:r w:rsidR="009378B3">
        <w:t xml:space="preserve">GTSR, </w:t>
      </w:r>
      <w:r w:rsidRPr="00454D1A">
        <w:t>DAC</w:t>
      </w:r>
      <w:r>
        <w:noBreakHyphen/>
      </w:r>
      <w:r w:rsidRPr="00454D1A">
        <w:t>GT and CSGT programs.</w:t>
      </w:r>
    </w:p>
    <w:p w:rsidRPr="00454D1A" w:rsidR="00612AB1" w:rsidP="00612AB1" w:rsidRDefault="00612AB1" w14:paraId="1C47144E" w14:textId="706C644E">
      <w:pPr>
        <w:pStyle w:val="FoF"/>
        <w:numPr>
          <w:ilvl w:val="0"/>
          <w:numId w:val="35"/>
        </w:numPr>
      </w:pPr>
      <w:r w:rsidRPr="00454D1A">
        <w:t>SCE forecast</w:t>
      </w:r>
      <w:r>
        <w:t>ed</w:t>
      </w:r>
      <w:r w:rsidRPr="00454D1A">
        <w:t xml:space="preserve"> </w:t>
      </w:r>
      <w:r>
        <w:t>1</w:t>
      </w:r>
      <w:r w:rsidR="00536EA7">
        <w:t>22</w:t>
      </w:r>
      <w:r>
        <w:t>,</w:t>
      </w:r>
      <w:r w:rsidR="00D85215">
        <w:t>7</w:t>
      </w:r>
      <w:r w:rsidR="001A5AFB">
        <w:t>7</w:t>
      </w:r>
      <w:r w:rsidR="00D85215">
        <w:t>4</w:t>
      </w:r>
      <w:r w:rsidR="001C1CD5">
        <w:t xml:space="preserve"> </w:t>
      </w:r>
      <w:r w:rsidR="006229D8">
        <w:t>M</w:t>
      </w:r>
      <w:r w:rsidRPr="00454D1A">
        <w:t xml:space="preserve">Wh of participation through the </w:t>
      </w:r>
      <w:r w:rsidRPr="0034753E">
        <w:t>Green Tariff Shared Renewable</w:t>
      </w:r>
      <w:r w:rsidR="006431AB">
        <w:t xml:space="preserve"> (GTSR)</w:t>
      </w:r>
      <w:r w:rsidRPr="00454D1A">
        <w:t xml:space="preserve"> program</w:t>
      </w:r>
      <w:r w:rsidR="00050DD4">
        <w:t xml:space="preserve"> and </w:t>
      </w:r>
      <w:r w:rsidR="00DC6631">
        <w:t>122,</w:t>
      </w:r>
      <w:r w:rsidR="003B72E7">
        <w:t>448</w:t>
      </w:r>
      <w:r w:rsidR="00DC6631">
        <w:t xml:space="preserve"> MWh of </w:t>
      </w:r>
      <w:r w:rsidR="00753E13">
        <w:t xml:space="preserve">participation through the </w:t>
      </w:r>
      <w:r w:rsidR="006431AB">
        <w:t>GTSR-</w:t>
      </w:r>
      <w:r w:rsidR="00753E13">
        <w:t>E</w:t>
      </w:r>
      <w:r w:rsidR="0044212C">
        <w:t xml:space="preserve">nhanced </w:t>
      </w:r>
      <w:r w:rsidR="00753E13">
        <w:t>C</w:t>
      </w:r>
      <w:r w:rsidR="0044212C">
        <w:t xml:space="preserve">ommunity </w:t>
      </w:r>
      <w:r w:rsidR="00753E13">
        <w:t>R</w:t>
      </w:r>
      <w:r w:rsidR="0044212C">
        <w:t>enewables program in 2025</w:t>
      </w:r>
      <w:r w:rsidRPr="00454D1A">
        <w:t>.</w:t>
      </w:r>
    </w:p>
    <w:p w:rsidR="00612AB1" w:rsidP="00612AB1" w:rsidRDefault="00612AB1" w14:paraId="6DE2B0F3" w14:textId="0EC48629">
      <w:pPr>
        <w:pStyle w:val="FoF"/>
        <w:numPr>
          <w:ilvl w:val="0"/>
          <w:numId w:val="38"/>
        </w:numPr>
      </w:pPr>
      <w:r w:rsidRPr="00454D1A">
        <w:t>SCE forecast</w:t>
      </w:r>
      <w:r>
        <w:t>ed</w:t>
      </w:r>
      <w:r w:rsidRPr="00454D1A">
        <w:t xml:space="preserve"> $</w:t>
      </w:r>
      <w:r w:rsidR="002861DE">
        <w:t>5.157</w:t>
      </w:r>
      <w:r w:rsidRPr="00454D1A">
        <w:t xml:space="preserve"> million in </w:t>
      </w:r>
      <w:r w:rsidR="007060F0">
        <w:t xml:space="preserve">off-site </w:t>
      </w:r>
      <w:r w:rsidRPr="00454D1A">
        <w:t xml:space="preserve">interim spent nuclear fuel costs </w:t>
      </w:r>
      <w:r w:rsidR="00A34343">
        <w:t>for</w:t>
      </w:r>
      <w:r w:rsidRPr="00454D1A">
        <w:t xml:space="preserve"> SONGS</w:t>
      </w:r>
      <w:r w:rsidR="00387D9F">
        <w:t xml:space="preserve"> </w:t>
      </w:r>
      <w:r w:rsidR="005B0270">
        <w:t>Unit 1 assemblies</w:t>
      </w:r>
      <w:r w:rsidRPr="00454D1A">
        <w:t xml:space="preserve"> in</w:t>
      </w:r>
      <w:r>
        <w:t xml:space="preserve"> 202</w:t>
      </w:r>
      <w:r w:rsidR="005B0270">
        <w:t>5</w:t>
      </w:r>
      <w:r>
        <w:t>.</w:t>
      </w:r>
    </w:p>
    <w:p w:rsidR="00612AB1" w:rsidP="00612AB1" w:rsidRDefault="00612AB1" w14:paraId="2CAB5875" w14:textId="6AC74B22">
      <w:pPr>
        <w:pStyle w:val="FoF"/>
        <w:numPr>
          <w:ilvl w:val="0"/>
          <w:numId w:val="38"/>
        </w:numPr>
      </w:pPr>
      <w:r>
        <w:t>SCE forecasted $29.</w:t>
      </w:r>
      <w:r w:rsidR="005B0270">
        <w:t>2</w:t>
      </w:r>
      <w:r>
        <w:t xml:space="preserve"> million in nuclear fuel expenses, and $0.0</w:t>
      </w:r>
      <w:r w:rsidR="005B0270">
        <w:t>1</w:t>
      </w:r>
      <w:r>
        <w:t xml:space="preserve"> million in net interim spent nuclear fuel expenses at PVNGS in 2024.</w:t>
      </w:r>
    </w:p>
    <w:p w:rsidR="00612AB1" w:rsidP="00612AB1" w:rsidRDefault="00612AB1" w14:paraId="446D55D9" w14:textId="6E6308CE">
      <w:pPr>
        <w:pStyle w:val="FoF"/>
        <w:numPr>
          <w:ilvl w:val="0"/>
          <w:numId w:val="38"/>
        </w:numPr>
      </w:pPr>
      <w:r w:rsidRPr="00454D1A">
        <w:t>SCE forecast</w:t>
      </w:r>
      <w:r>
        <w:t>ed</w:t>
      </w:r>
      <w:r w:rsidRPr="00454D1A">
        <w:t xml:space="preserve"> a </w:t>
      </w:r>
      <w:r>
        <w:t xml:space="preserve">total </w:t>
      </w:r>
      <w:r w:rsidRPr="00454D1A">
        <w:t>cost of $</w:t>
      </w:r>
      <w:r>
        <w:t>9.</w:t>
      </w:r>
      <w:r w:rsidR="00EC2EDD">
        <w:t>007</w:t>
      </w:r>
      <w:r w:rsidRPr="00454D1A">
        <w:t xml:space="preserve"> million </w:t>
      </w:r>
      <w:r w:rsidR="00413192">
        <w:t xml:space="preserve">in fuel costs </w:t>
      </w:r>
      <w:r w:rsidRPr="00454D1A">
        <w:t xml:space="preserve">to provide electricity service to Catalina Island, which includes </w:t>
      </w:r>
      <w:r>
        <w:t>$</w:t>
      </w:r>
      <w:r w:rsidR="00EC2EDD">
        <w:t>7.988</w:t>
      </w:r>
      <w:r w:rsidRPr="00454D1A">
        <w:t> million in diesel fuel and $</w:t>
      </w:r>
      <w:r w:rsidR="00EC2EDD">
        <w:t>1.019</w:t>
      </w:r>
      <w:r w:rsidRPr="00454D1A">
        <w:t> million for propane in 202</w:t>
      </w:r>
      <w:r w:rsidR="00EC2EDD">
        <w:t>5</w:t>
      </w:r>
      <w:r w:rsidRPr="00454D1A">
        <w:t>.</w:t>
      </w:r>
    </w:p>
    <w:p w:rsidRPr="00454D1A" w:rsidR="00612AB1" w:rsidP="00612AB1" w:rsidRDefault="00612AB1" w14:paraId="128AA288" w14:textId="7D08B62A">
      <w:pPr>
        <w:pStyle w:val="FoF"/>
        <w:numPr>
          <w:ilvl w:val="0"/>
          <w:numId w:val="38"/>
        </w:numPr>
      </w:pPr>
      <w:r w:rsidRPr="00454D1A">
        <w:t>SCE forecast</w:t>
      </w:r>
      <w:r>
        <w:t>ed</w:t>
      </w:r>
      <w:r w:rsidRPr="00454D1A">
        <w:t xml:space="preserve"> 202</w:t>
      </w:r>
      <w:r w:rsidR="00AD01CD">
        <w:t>5</w:t>
      </w:r>
      <w:r w:rsidRPr="00454D1A">
        <w:t xml:space="preserve"> hedging costs</w:t>
      </w:r>
      <w:r w:rsidR="002A0632">
        <w:t xml:space="preserve"> </w:t>
      </w:r>
      <w:r w:rsidRPr="00454D1A">
        <w:t>for energy</w:t>
      </w:r>
      <w:r>
        <w:noBreakHyphen/>
      </w:r>
      <w:r w:rsidRPr="00454D1A">
        <w:t>related transaction fees and for hedging SCE’s open energy position in workpapers for 202</w:t>
      </w:r>
      <w:r w:rsidR="002A0632">
        <w:t xml:space="preserve">5 and these costs </w:t>
      </w:r>
      <w:r w:rsidR="002A0632">
        <w:lastRenderedPageBreak/>
        <w:t>were reduced due to a lack of liquidity and its subsequent retirement of option-based hedging</w:t>
      </w:r>
      <w:r w:rsidR="00480174">
        <w:t>.</w:t>
      </w:r>
    </w:p>
    <w:p w:rsidRPr="00454D1A" w:rsidR="00612AB1" w:rsidP="00612AB1" w:rsidRDefault="00612AB1" w14:paraId="6B89F327" w14:textId="4C2262B0">
      <w:pPr>
        <w:pStyle w:val="FoF"/>
        <w:numPr>
          <w:ilvl w:val="0"/>
          <w:numId w:val="38"/>
        </w:numPr>
      </w:pPr>
      <w:r w:rsidRPr="00454D1A">
        <w:t>SCE h</w:t>
      </w:r>
      <w:r>
        <w:t>olds</w:t>
      </w:r>
      <w:r w:rsidRPr="00454D1A">
        <w:t xml:space="preserve"> a $3.35 billion multi</w:t>
      </w:r>
      <w:r>
        <w:noBreakHyphen/>
      </w:r>
      <w:r w:rsidRPr="00454D1A">
        <w:t>year revolving credit facility</w:t>
      </w:r>
      <w:r w:rsidR="005E7DEE">
        <w:t xml:space="preserve"> with a May</w:t>
      </w:r>
      <w:r w:rsidR="00645EF0">
        <w:t> </w:t>
      </w:r>
      <w:r w:rsidR="005E7DEE">
        <w:t>2028 maturity</w:t>
      </w:r>
      <w:r w:rsidRPr="00454D1A">
        <w:t>, also called the “revolver,” to serve short</w:t>
      </w:r>
      <w:r>
        <w:noBreakHyphen/>
      </w:r>
      <w:r w:rsidRPr="00454D1A">
        <w:t>term borrowing requirements.</w:t>
      </w:r>
    </w:p>
    <w:p w:rsidRPr="00454D1A" w:rsidR="00612AB1" w:rsidP="00612AB1" w:rsidRDefault="00612AB1" w14:paraId="2641FE67" w14:textId="7CAB945B">
      <w:pPr>
        <w:pStyle w:val="FoF"/>
        <w:numPr>
          <w:ilvl w:val="0"/>
          <w:numId w:val="38"/>
        </w:numPr>
      </w:pPr>
      <w:r w:rsidRPr="00454D1A">
        <w:t>SCE forecast</w:t>
      </w:r>
      <w:r>
        <w:t>ed</w:t>
      </w:r>
      <w:r w:rsidRPr="00454D1A">
        <w:t xml:space="preserve"> costs associated with the revolving credit facility, including</w:t>
      </w:r>
      <w:r>
        <w:t xml:space="preserve">: </w:t>
      </w:r>
      <w:r w:rsidRPr="00454D1A">
        <w:t>(1) $</w:t>
      </w:r>
      <w:r>
        <w:t>20,000 in</w:t>
      </w:r>
      <w:r w:rsidRPr="00454D1A">
        <w:t xml:space="preserve"> administrative fee</w:t>
      </w:r>
      <w:r>
        <w:t>s</w:t>
      </w:r>
      <w:r w:rsidRPr="00454D1A">
        <w:t>; (2)</w:t>
      </w:r>
      <w:r>
        <w:t> 17.5</w:t>
      </w:r>
      <w:r w:rsidRPr="00454D1A">
        <w:t xml:space="preserve"> basis point annual facility fee; (3)</w:t>
      </w:r>
      <w:r>
        <w:t> 107.5</w:t>
      </w:r>
      <w:r w:rsidRPr="00454D1A">
        <w:t xml:space="preserve"> basis point participation fee on any outstanding letters of credit; (4)</w:t>
      </w:r>
      <w:r>
        <w:t> 20</w:t>
      </w:r>
      <w:r w:rsidRPr="00454D1A">
        <w:t xml:space="preserve"> basis point issuer fee on any letters of credit; and (5) Adjusted Daily Simple Secured Overnight Financing Rate plus </w:t>
      </w:r>
      <w:r>
        <w:t>107.5</w:t>
      </w:r>
      <w:r w:rsidRPr="00454D1A">
        <w:t xml:space="preserve"> basis points borrowing (loan) rate.</w:t>
      </w:r>
    </w:p>
    <w:p w:rsidRPr="00454D1A" w:rsidR="00612AB1" w:rsidP="00F54CB0" w:rsidRDefault="00612AB1" w14:paraId="5063A121" w14:textId="6E456EF0">
      <w:pPr>
        <w:pStyle w:val="FoF"/>
        <w:numPr>
          <w:ilvl w:val="0"/>
          <w:numId w:val="38"/>
        </w:numPr>
      </w:pPr>
      <w:r w:rsidRPr="00454D1A">
        <w:t>SCE forecast</w:t>
      </w:r>
      <w:r>
        <w:t xml:space="preserve">ed </w:t>
      </w:r>
      <w:r w:rsidRPr="00454D1A">
        <w:t>GHG procurement compliance carrying costs for 202</w:t>
      </w:r>
      <w:r>
        <w:t>4</w:t>
      </w:r>
      <w:r w:rsidRPr="00454D1A">
        <w:t>, which SCE estimate</w:t>
      </w:r>
      <w:r>
        <w:t>d</w:t>
      </w:r>
      <w:r w:rsidRPr="00454D1A">
        <w:t xml:space="preserve"> using historical GHG inventory balances and the ERRA</w:t>
      </w:r>
      <w:r>
        <w:t> </w:t>
      </w:r>
      <w:r w:rsidRPr="00454D1A">
        <w:t>BA interest rates in workpapers for 202</w:t>
      </w:r>
      <w:r w:rsidR="00744E85">
        <w:t>5</w:t>
      </w:r>
      <w:r w:rsidRPr="00454D1A">
        <w:t>.</w:t>
      </w:r>
    </w:p>
    <w:p w:rsidRPr="002F290B" w:rsidR="00612AB1" w:rsidP="00612AB1" w:rsidRDefault="00612AB1" w14:paraId="600F7C5C" w14:textId="1C8ED48F">
      <w:pPr>
        <w:pStyle w:val="FoF"/>
        <w:numPr>
          <w:ilvl w:val="0"/>
          <w:numId w:val="38"/>
        </w:numPr>
      </w:pPr>
      <w:r w:rsidRPr="002F290B">
        <w:t>SCE’s 202</w:t>
      </w:r>
      <w:r w:rsidR="00FE3A5D">
        <w:t>5</w:t>
      </w:r>
      <w:r w:rsidRPr="002F290B">
        <w:t xml:space="preserve"> forecast</w:t>
      </w:r>
      <w:r w:rsidR="003D3BB3">
        <w:t>, as modified by the AOU,</w:t>
      </w:r>
      <w:r w:rsidRPr="002F290B">
        <w:t xml:space="preserve"> </w:t>
      </w:r>
      <w:r w:rsidR="003D3BB3">
        <w:t xml:space="preserve">proposes the </w:t>
      </w:r>
      <w:r w:rsidRPr="002F290B">
        <w:t>bundled service customer rates</w:t>
      </w:r>
      <w:r w:rsidR="00AF4C11">
        <w:t xml:space="preserve"> </w:t>
      </w:r>
      <w:r w:rsidR="00106CD6">
        <w:t>detailed in Table 8-1.</w:t>
      </w:r>
    </w:p>
    <w:p w:rsidRPr="002F290B" w:rsidR="00612AB1" w:rsidP="00612AB1" w:rsidRDefault="00612AB1" w14:paraId="4D61793B" w14:textId="32F66907">
      <w:pPr>
        <w:pStyle w:val="FoF"/>
        <w:numPr>
          <w:ilvl w:val="0"/>
          <w:numId w:val="38"/>
        </w:numPr>
      </w:pPr>
      <w:r w:rsidRPr="002F290B">
        <w:t>SCE’s 2024 forecast Generation Service revenue requirement is $</w:t>
      </w:r>
      <w:r w:rsidR="00764A8B">
        <w:t>4.66</w:t>
      </w:r>
      <w:r w:rsidR="006F19EA">
        <w:t>3</w:t>
      </w:r>
      <w:r w:rsidR="00645EF0">
        <w:t> </w:t>
      </w:r>
      <w:r w:rsidRPr="002F290B">
        <w:t xml:space="preserve">billion, which will be allocated in balancing accounts as </w:t>
      </w:r>
      <w:r w:rsidR="00CB382D">
        <w:t>detailed in Table</w:t>
      </w:r>
      <w:r w:rsidR="00645EF0">
        <w:t> </w:t>
      </w:r>
      <w:r w:rsidR="00CB382D">
        <w:t>7-1.</w:t>
      </w:r>
    </w:p>
    <w:p w:rsidRPr="00454D1A" w:rsidR="00612AB1" w:rsidP="00612AB1" w:rsidRDefault="008127B7" w14:paraId="45080C77" w14:textId="17A8E563">
      <w:pPr>
        <w:pStyle w:val="FoF"/>
        <w:numPr>
          <w:ilvl w:val="0"/>
          <w:numId w:val="38"/>
        </w:numPr>
      </w:pPr>
      <w:r>
        <w:t xml:space="preserve">SCE forecasts a </w:t>
      </w:r>
      <w:r w:rsidR="00F2636E">
        <w:t>2025</w:t>
      </w:r>
      <w:r w:rsidRPr="00454D1A" w:rsidR="00612AB1">
        <w:t xml:space="preserve"> </w:t>
      </w:r>
      <w:r w:rsidRPr="002A2B20" w:rsidR="00612AB1">
        <w:t>Green Tariff Shared Renewables</w:t>
      </w:r>
      <w:r w:rsidRPr="00454D1A" w:rsidR="00612AB1">
        <w:t xml:space="preserve"> BA amount of $</w:t>
      </w:r>
      <w:r w:rsidR="00C474B1">
        <w:t>7.132</w:t>
      </w:r>
      <w:r w:rsidRPr="00454D1A" w:rsidR="00612AB1">
        <w:t> million.</w:t>
      </w:r>
    </w:p>
    <w:p w:rsidR="00612AB1" w:rsidP="00612AB1" w:rsidRDefault="00612AB1" w14:paraId="60D2F94F" w14:textId="59A1CAEE">
      <w:pPr>
        <w:pStyle w:val="FoF"/>
        <w:numPr>
          <w:ilvl w:val="0"/>
          <w:numId w:val="38"/>
        </w:numPr>
      </w:pPr>
      <w:r w:rsidRPr="00454D1A">
        <w:t xml:space="preserve">In total, SCE </w:t>
      </w:r>
      <w:r>
        <w:t>forecasted</w:t>
      </w:r>
      <w:r w:rsidRPr="00454D1A">
        <w:t xml:space="preserve"> an overcollection of $</w:t>
      </w:r>
      <w:r w:rsidR="00C474B1">
        <w:t>295</w:t>
      </w:r>
      <w:r>
        <w:t>,000</w:t>
      </w:r>
      <w:r w:rsidRPr="00454D1A">
        <w:t xml:space="preserve"> in the Energy Settlement MA and Litigation Costs TA</w:t>
      </w:r>
      <w:r>
        <w:t xml:space="preserve"> in 202</w:t>
      </w:r>
      <w:r w:rsidR="00C474B1">
        <w:t>4</w:t>
      </w:r>
      <w:r w:rsidRPr="00454D1A">
        <w:t xml:space="preserve">. </w:t>
      </w:r>
    </w:p>
    <w:p w:rsidR="00C026D7" w:rsidP="00C026D7" w:rsidRDefault="00612AB1" w14:paraId="016F7C62" w14:textId="55740200">
      <w:pPr>
        <w:pStyle w:val="FoF"/>
        <w:numPr>
          <w:ilvl w:val="0"/>
          <w:numId w:val="38"/>
        </w:numPr>
      </w:pPr>
      <w:r w:rsidRPr="00454D1A">
        <w:t xml:space="preserve">SCE’s </w:t>
      </w:r>
      <w:r>
        <w:t xml:space="preserve">total </w:t>
      </w:r>
      <w:r w:rsidRPr="00454D1A">
        <w:t>202</w:t>
      </w:r>
      <w:r>
        <w:t>4</w:t>
      </w:r>
      <w:r w:rsidRPr="00454D1A">
        <w:t xml:space="preserve"> forecast Delivery Service revenue requirement is </w:t>
      </w:r>
      <w:r>
        <w:t>negative $2</w:t>
      </w:r>
      <w:r w:rsidR="00C026D7">
        <w:t>5.306</w:t>
      </w:r>
      <w:r>
        <w:t xml:space="preserve"> </w:t>
      </w:r>
      <w:r w:rsidRPr="00454D1A">
        <w:t>million, w</w:t>
      </w:r>
      <w:r w:rsidR="00661D15">
        <w:t xml:space="preserve">ith </w:t>
      </w:r>
      <w:r w:rsidR="00CB382D">
        <w:t>included costs as detailed in Table 7-2.</w:t>
      </w:r>
    </w:p>
    <w:p w:rsidR="00612AB1" w:rsidP="00612AB1" w:rsidRDefault="00612AB1" w14:paraId="1CDD7FCE" w14:textId="56A0DB3C">
      <w:pPr>
        <w:pStyle w:val="FoF"/>
        <w:numPr>
          <w:ilvl w:val="0"/>
          <w:numId w:val="38"/>
        </w:numPr>
      </w:pPr>
      <w:r w:rsidRPr="00454D1A">
        <w:t>SCE forecast</w:t>
      </w:r>
      <w:r>
        <w:t>ed</w:t>
      </w:r>
      <w:r w:rsidRPr="00454D1A">
        <w:t xml:space="preserve"> its 202</w:t>
      </w:r>
      <w:r w:rsidR="00C026D7">
        <w:t>4</w:t>
      </w:r>
      <w:r w:rsidRPr="00454D1A">
        <w:t xml:space="preserve"> GHG allowance revenue using a proxy price of $</w:t>
      </w:r>
      <w:r>
        <w:t>39.36</w:t>
      </w:r>
      <w:r w:rsidRPr="00454D1A">
        <w:t>/MT</w:t>
      </w:r>
      <w:r w:rsidR="00CE142D">
        <w:t xml:space="preserve">, will </w:t>
      </w:r>
      <w:r w:rsidR="007044EF">
        <w:t xml:space="preserve">apply </w:t>
      </w:r>
      <w:r w:rsidR="009D63E3">
        <w:t xml:space="preserve">the proxy price of </w:t>
      </w:r>
      <w:r w:rsidR="008D57C5">
        <w:t xml:space="preserve">$35.72/MT to forecast </w:t>
      </w:r>
      <w:r w:rsidR="0099617A">
        <w:t xml:space="preserve">November 2024 </w:t>
      </w:r>
      <w:r w:rsidR="00F6009D">
        <w:lastRenderedPageBreak/>
        <w:t>allowance revenue, an</w:t>
      </w:r>
      <w:r w:rsidR="00020D16">
        <w:t>d forecasts</w:t>
      </w:r>
      <w:r w:rsidR="00B166DA">
        <w:t xml:space="preserve"> </w:t>
      </w:r>
      <w:r w:rsidR="003E581A">
        <w:t>2025 GHG allowance revenue</w:t>
      </w:r>
      <w:r w:rsidR="00EC09A6">
        <w:t xml:space="preserve"> using a proxy price of</w:t>
      </w:r>
      <w:r w:rsidR="00020D16">
        <w:t xml:space="preserve"> </w:t>
      </w:r>
      <w:r w:rsidR="007827FC">
        <w:t>$</w:t>
      </w:r>
      <w:r w:rsidR="00020D16">
        <w:t>35.46/MT</w:t>
      </w:r>
      <w:r w:rsidRPr="00454D1A">
        <w:t>.</w:t>
      </w:r>
    </w:p>
    <w:p w:rsidRPr="008C7A92" w:rsidR="00612AB1" w:rsidRDefault="00612AB1" w14:paraId="787CC904" w14:textId="4ACBC763">
      <w:pPr>
        <w:pStyle w:val="FoF"/>
        <w:numPr>
          <w:ilvl w:val="0"/>
          <w:numId w:val="35"/>
        </w:numPr>
        <w:ind w:firstLine="547"/>
      </w:pPr>
      <w:r w:rsidRPr="008C7A92">
        <w:t>SCE’s net forecasted revenue proceeds</w:t>
      </w:r>
      <w:r w:rsidR="00BB6AEE">
        <w:t xml:space="preserve"> (including FF&amp;U)</w:t>
      </w:r>
      <w:r w:rsidRPr="008C7A92">
        <w:t xml:space="preserve"> from GHG allowances granted by CARB in 202</w:t>
      </w:r>
      <w:r w:rsidR="001A74F3">
        <w:t>5</w:t>
      </w:r>
      <w:r w:rsidRPr="008C7A92">
        <w:t xml:space="preserve"> is $</w:t>
      </w:r>
      <w:r w:rsidR="00A1402A">
        <w:t>825.968</w:t>
      </w:r>
      <w:r w:rsidRPr="008C7A92">
        <w:t> million.</w:t>
      </w:r>
    </w:p>
    <w:p w:rsidRPr="00454D1A" w:rsidR="00612AB1" w:rsidP="00612AB1" w:rsidRDefault="00612AB1" w14:paraId="66388DB8" w14:textId="199C99BD">
      <w:pPr>
        <w:pStyle w:val="FoF"/>
        <w:numPr>
          <w:ilvl w:val="0"/>
          <w:numId w:val="35"/>
        </w:numPr>
        <w:ind w:firstLine="547"/>
      </w:pPr>
      <w:r w:rsidRPr="00454D1A">
        <w:t>SCE’s 202</w:t>
      </w:r>
      <w:r w:rsidR="00E143C5">
        <w:t>5</w:t>
      </w:r>
      <w:r w:rsidRPr="00454D1A">
        <w:t xml:space="preserve"> forecast administrative and customer outreach expenses to be set aside is $</w:t>
      </w:r>
      <w:r w:rsidR="006C08BA">
        <w:t>868</w:t>
      </w:r>
      <w:r>
        <w:t>,000</w:t>
      </w:r>
      <w:r w:rsidRPr="00454D1A">
        <w:t xml:space="preserve"> including FF&amp;U. </w:t>
      </w:r>
    </w:p>
    <w:p w:rsidR="00612AB1" w:rsidP="00612AB1" w:rsidRDefault="00612AB1" w14:paraId="22A1C202" w14:textId="1B8876D4">
      <w:pPr>
        <w:pStyle w:val="FoF"/>
        <w:numPr>
          <w:ilvl w:val="0"/>
          <w:numId w:val="35"/>
        </w:numPr>
        <w:ind w:firstLine="547"/>
      </w:pPr>
      <w:r w:rsidRPr="00454D1A">
        <w:t>SCE anticipates the IOUs</w:t>
      </w:r>
      <w:r>
        <w:t>’</w:t>
      </w:r>
      <w:r w:rsidRPr="00454D1A">
        <w:t xml:space="preserve"> combined allocation of forecast GHG allowance </w:t>
      </w:r>
      <w:r>
        <w:t>auction proceeds</w:t>
      </w:r>
      <w:r w:rsidRPr="00454D1A">
        <w:t xml:space="preserve"> for 202</w:t>
      </w:r>
      <w:r w:rsidR="00902E81">
        <w:t>5</w:t>
      </w:r>
      <w:r w:rsidRPr="00454D1A">
        <w:t xml:space="preserve"> w</w:t>
      </w:r>
      <w:r>
        <w:t>ill</w:t>
      </w:r>
      <w:r w:rsidRPr="00454D1A">
        <w:t xml:space="preserve"> </w:t>
      </w:r>
      <w:r w:rsidR="00902E81">
        <w:t>total</w:t>
      </w:r>
      <w:r w:rsidRPr="00454D1A">
        <w:t xml:space="preserve"> $1</w:t>
      </w:r>
      <w:r w:rsidR="00902E81">
        <w:t>.893</w:t>
      </w:r>
      <w:r>
        <w:t> b</w:t>
      </w:r>
      <w:r w:rsidRPr="00454D1A">
        <w:t>illion.</w:t>
      </w:r>
    </w:p>
    <w:p w:rsidRPr="00454D1A" w:rsidR="00612AB1" w:rsidP="00612AB1" w:rsidRDefault="00612AB1" w14:paraId="329C8B5D" w14:textId="2B55EC43">
      <w:pPr>
        <w:pStyle w:val="FoF"/>
        <w:numPr>
          <w:ilvl w:val="0"/>
          <w:numId w:val="35"/>
        </w:numPr>
        <w:ind w:firstLine="547"/>
      </w:pPr>
      <w:r w:rsidRPr="00454D1A">
        <w:t xml:space="preserve">SCE’s GHG </w:t>
      </w:r>
      <w:r>
        <w:t xml:space="preserve">allocated </w:t>
      </w:r>
      <w:r w:rsidRPr="00454D1A">
        <w:t>allowance</w:t>
      </w:r>
      <w:r>
        <w:t xml:space="preserve"> auction</w:t>
      </w:r>
      <w:r w:rsidRPr="00454D1A">
        <w:t xml:space="preserve"> </w:t>
      </w:r>
      <w:r>
        <w:t>proceeds</w:t>
      </w:r>
      <w:r w:rsidRPr="00454D1A">
        <w:t xml:space="preserve"> to be set aside for SOMAH program funding in 202</w:t>
      </w:r>
      <w:r w:rsidR="00132A18">
        <w:t>5</w:t>
      </w:r>
      <w:r w:rsidRPr="00454D1A">
        <w:t xml:space="preserve"> is $</w:t>
      </w:r>
      <w:r>
        <w:t>46.528 </w:t>
      </w:r>
      <w:r w:rsidRPr="00454D1A">
        <w:t>million.</w:t>
      </w:r>
    </w:p>
    <w:p w:rsidR="002A19E6" w:rsidP="00612AB1" w:rsidRDefault="00612AB1" w14:paraId="03FD189B" w14:textId="3D34D2C8">
      <w:pPr>
        <w:pStyle w:val="FoF"/>
        <w:numPr>
          <w:ilvl w:val="0"/>
          <w:numId w:val="35"/>
        </w:numPr>
        <w:ind w:firstLine="547"/>
      </w:pPr>
      <w:r w:rsidRPr="00454D1A">
        <w:t xml:space="preserve">SCE </w:t>
      </w:r>
      <w:r w:rsidR="00132A18">
        <w:t>has allocated $4.6 million</w:t>
      </w:r>
      <w:r w:rsidR="00192D4B">
        <w:t xml:space="preserve"> in 2025</w:t>
      </w:r>
      <w:r w:rsidR="00132A18">
        <w:t xml:space="preserve"> to </w:t>
      </w:r>
      <w:r w:rsidR="00BE5B24">
        <w:t>its DAC-SASH program</w:t>
      </w:r>
      <w:r w:rsidR="002A19E6">
        <w:t>.</w:t>
      </w:r>
    </w:p>
    <w:p w:rsidRPr="00454D1A" w:rsidR="000C3BD4" w:rsidP="00612AB1" w:rsidRDefault="002A19E6" w14:paraId="76F41D7E" w14:textId="4A95591F">
      <w:pPr>
        <w:pStyle w:val="FoF"/>
        <w:numPr>
          <w:ilvl w:val="0"/>
          <w:numId w:val="35"/>
        </w:numPr>
        <w:ind w:firstLine="547"/>
      </w:pPr>
      <w:r>
        <w:t xml:space="preserve">SCE </w:t>
      </w:r>
      <w:r w:rsidR="00192D4B">
        <w:t>has allocated $16</w:t>
      </w:r>
      <w:r w:rsidR="000449A1">
        <w:t>,490</w:t>
      </w:r>
      <w:r w:rsidR="00550CAF">
        <w:t xml:space="preserve"> in </w:t>
      </w:r>
      <w:r w:rsidR="00F70AE2">
        <w:t>2025</w:t>
      </w:r>
      <w:r w:rsidR="009607CE">
        <w:t xml:space="preserve"> for</w:t>
      </w:r>
      <w:r w:rsidRPr="00454D1A" w:rsidR="00612AB1">
        <w:t xml:space="preserve"> its DAC</w:t>
      </w:r>
      <w:r w:rsidR="00612AB1">
        <w:noBreakHyphen/>
      </w:r>
      <w:r w:rsidRPr="00454D1A" w:rsidR="00612AB1">
        <w:t>GT and CSGT programs</w:t>
      </w:r>
      <w:r w:rsidR="00F70AE2">
        <w:t xml:space="preserve">, to be </w:t>
      </w:r>
      <w:r w:rsidR="00F2647B">
        <w:t>recovered from its public purpose rate component.</w:t>
      </w:r>
    </w:p>
    <w:p w:rsidRPr="00454D1A" w:rsidR="00612AB1" w:rsidP="00E47A9B" w:rsidRDefault="00612AB1" w14:paraId="6EB19CA9" w14:textId="0BC73B86">
      <w:pPr>
        <w:pStyle w:val="FoF"/>
        <w:numPr>
          <w:ilvl w:val="0"/>
          <w:numId w:val="35"/>
        </w:numPr>
        <w:ind w:firstLine="547"/>
      </w:pPr>
      <w:r w:rsidRPr="00454D1A">
        <w:t>CPA’s total 202</w:t>
      </w:r>
      <w:r>
        <w:t>4</w:t>
      </w:r>
      <w:r w:rsidRPr="00454D1A">
        <w:t xml:space="preserve"> program forecast for its DAC</w:t>
      </w:r>
      <w:r>
        <w:noBreakHyphen/>
      </w:r>
      <w:r w:rsidRPr="00454D1A">
        <w:t xml:space="preserve">GT and CSGT programs includes a </w:t>
      </w:r>
      <w:r w:rsidR="004914DF">
        <w:t>funding request of $4.074 million</w:t>
      </w:r>
      <w:r w:rsidR="008B2256">
        <w:t xml:space="preserve"> for 2025; the above market generation portion of $1.127 million will be funded through GHG allowance revenue, with the remainder of $2.947 million recovered through PPP funds</w:t>
      </w:r>
      <w:r w:rsidRPr="00454D1A">
        <w:t xml:space="preserve">. </w:t>
      </w:r>
    </w:p>
    <w:p w:rsidRPr="00454D1A" w:rsidR="00612AB1" w:rsidP="00612AB1" w:rsidRDefault="00930465" w14:paraId="2ED3FD0D" w14:textId="1C74EA89">
      <w:pPr>
        <w:pStyle w:val="FoF"/>
        <w:numPr>
          <w:ilvl w:val="0"/>
          <w:numId w:val="35"/>
        </w:numPr>
        <w:ind w:firstLine="547"/>
      </w:pPr>
      <w:r>
        <w:t>CalChoice</w:t>
      </w:r>
      <w:r w:rsidRPr="00930465">
        <w:t xml:space="preserve"> demonstrated surplus funding through 2025 and therefore will not require any GHG or public purpose funding. </w:t>
      </w:r>
    </w:p>
    <w:p w:rsidRPr="00454D1A" w:rsidR="00612AB1" w:rsidP="00612AB1" w:rsidRDefault="00612AB1" w14:paraId="159FA6BB" w14:textId="44C36A06">
      <w:pPr>
        <w:pStyle w:val="FoF"/>
        <w:numPr>
          <w:ilvl w:val="0"/>
          <w:numId w:val="35"/>
        </w:numPr>
        <w:ind w:firstLine="547"/>
      </w:pPr>
      <w:r w:rsidRPr="00454D1A">
        <w:t xml:space="preserve">SCE </w:t>
      </w:r>
      <w:r>
        <w:t>has been previously authorized to allocate $20.4 million</w:t>
      </w:r>
      <w:r w:rsidRPr="00454D1A">
        <w:t xml:space="preserve"> to implement the CEOP </w:t>
      </w:r>
      <w:r>
        <w:t>and is not requesting additional funding in 202</w:t>
      </w:r>
      <w:r w:rsidR="007B207B">
        <w:t>5</w:t>
      </w:r>
      <w:r w:rsidRPr="00454D1A">
        <w:t>.</w:t>
      </w:r>
    </w:p>
    <w:p w:rsidRPr="00454D1A" w:rsidR="00612AB1" w:rsidP="00612AB1" w:rsidRDefault="00612AB1" w14:paraId="28CC0098" w14:textId="751714CB">
      <w:pPr>
        <w:pStyle w:val="FoF"/>
        <w:numPr>
          <w:ilvl w:val="0"/>
          <w:numId w:val="35"/>
        </w:numPr>
        <w:ind w:firstLine="547"/>
      </w:pPr>
      <w:r w:rsidRPr="00454D1A">
        <w:t>SCE’s 202</w:t>
      </w:r>
      <w:r>
        <w:t>4</w:t>
      </w:r>
      <w:r w:rsidRPr="00454D1A">
        <w:t xml:space="preserve"> forecast EITE customer return is $</w:t>
      </w:r>
      <w:r>
        <w:t>58.</w:t>
      </w:r>
      <w:r w:rsidR="00E81E74">
        <w:t>1</w:t>
      </w:r>
      <w:r>
        <w:t>83</w:t>
      </w:r>
      <w:r w:rsidRPr="00454D1A">
        <w:t> million.</w:t>
      </w:r>
    </w:p>
    <w:p w:rsidR="00612AB1" w:rsidP="00612AB1" w:rsidRDefault="00612AB1" w14:paraId="353F8496" w14:textId="37CC261B">
      <w:pPr>
        <w:pStyle w:val="FoF"/>
        <w:numPr>
          <w:ilvl w:val="0"/>
          <w:numId w:val="35"/>
        </w:numPr>
        <w:ind w:firstLine="547"/>
      </w:pPr>
      <w:r w:rsidRPr="00454D1A">
        <w:t>SCE’s 202</w:t>
      </w:r>
      <w:r w:rsidR="00DB6CC7">
        <w:t>5</w:t>
      </w:r>
      <w:r w:rsidRPr="00454D1A">
        <w:t xml:space="preserve"> forecast semi</w:t>
      </w:r>
      <w:r>
        <w:noBreakHyphen/>
      </w:r>
      <w:r w:rsidRPr="00454D1A">
        <w:t>annual California Climate Credit is $</w:t>
      </w:r>
      <w:r w:rsidR="00E81E74">
        <w:t>56</w:t>
      </w:r>
      <w:r>
        <w:t>.00</w:t>
      </w:r>
      <w:r w:rsidRPr="00454D1A">
        <w:t xml:space="preserve"> per eligible residential and small commercial account, based on a forecast</w:t>
      </w:r>
      <w:r>
        <w:t xml:space="preserve"> </w:t>
      </w:r>
      <w:r w:rsidRPr="00454D1A">
        <w:t xml:space="preserve">of </w:t>
      </w:r>
      <w:r>
        <w:t>5,2</w:t>
      </w:r>
      <w:r w:rsidR="00F57E04">
        <w:t>00</w:t>
      </w:r>
      <w:r>
        <w:t>,</w:t>
      </w:r>
      <w:r w:rsidR="00F57E04">
        <w:t>294</w:t>
      </w:r>
      <w:r w:rsidRPr="00454D1A">
        <w:t xml:space="preserve"> eligible recipients.</w:t>
      </w:r>
    </w:p>
    <w:p w:rsidR="008F6065" w:rsidP="00612AB1" w:rsidRDefault="004B27D0" w14:paraId="221AF5A0" w14:textId="0AF480CF">
      <w:pPr>
        <w:pStyle w:val="FoF"/>
        <w:numPr>
          <w:ilvl w:val="0"/>
          <w:numId w:val="35"/>
        </w:numPr>
        <w:ind w:firstLine="547"/>
      </w:pPr>
      <w:r>
        <w:lastRenderedPageBreak/>
        <w:t xml:space="preserve">SCE’s 2025 California Climate Credit is significantly below the 2024 credit of $86 </w:t>
      </w:r>
      <w:r w:rsidR="00867273">
        <w:t xml:space="preserve">and </w:t>
      </w:r>
      <w:r w:rsidR="00D85291">
        <w:t xml:space="preserve">the May forecast </w:t>
      </w:r>
      <w:r w:rsidR="00867273">
        <w:t>for 2024 of $</w:t>
      </w:r>
      <w:r w:rsidR="00D93AC9">
        <w:t>92.</w:t>
      </w:r>
    </w:p>
    <w:p w:rsidR="00612AB1" w:rsidP="00612AB1" w:rsidRDefault="00612AB1" w14:paraId="635DE633" w14:textId="58E35D63">
      <w:pPr>
        <w:pStyle w:val="FoF"/>
        <w:numPr>
          <w:ilvl w:val="0"/>
          <w:numId w:val="37"/>
        </w:numPr>
      </w:pPr>
      <w:r w:rsidRPr="00454D1A">
        <w:t>For 202</w:t>
      </w:r>
      <w:r w:rsidR="0056717D">
        <w:t>5</w:t>
      </w:r>
      <w:r w:rsidRPr="00454D1A">
        <w:t>, CTC costs are as follows</w:t>
      </w:r>
      <w:r>
        <w:t>:</w:t>
      </w:r>
      <w:r w:rsidRPr="0056717D" w:rsidR="0056717D">
        <w:t xml:space="preserve"> (1) -$0.00061/kWh for Domestic (D); 2)</w:t>
      </w:r>
      <w:r w:rsidR="00DF0CB0">
        <w:t> </w:t>
      </w:r>
      <w:r w:rsidRPr="0056717D" w:rsidR="0056717D">
        <w:t xml:space="preserve"> -$0.00056/kWh for Street Lighting customers;   (3) -$0.00046 for TC 1, TOU GS 2 and Standby Sec; (4) -$0.00045 for TOU PA 2; (5) -$0.00044 for TOU GS 3 and TOU PA 3; (6) -$0.00043 for TOU GS 1, TOU 8 Sec, and Standby Pri; (7) -$0.00042 for TOU 8 Pri; (8) -$0.00040 for TOU 8 Sub and Standby Sub. customers of all vintages</w:t>
      </w:r>
      <w:r w:rsidRPr="003C1797">
        <w:t>.</w:t>
      </w:r>
    </w:p>
    <w:p w:rsidR="00612AB1" w:rsidP="00612AB1" w:rsidRDefault="00612AB1" w14:paraId="24550BD8" w14:textId="302B7EF9">
      <w:pPr>
        <w:pStyle w:val="FoF"/>
        <w:numPr>
          <w:ilvl w:val="0"/>
          <w:numId w:val="37"/>
        </w:numPr>
      </w:pPr>
      <w:r>
        <w:t>For 202</w:t>
      </w:r>
      <w:r w:rsidR="0056717D">
        <w:t>5</w:t>
      </w:r>
      <w:r>
        <w:t>, the SCE Wildfire Non-Bypassable Charge will be the latest Commission-approved value for all customer classes in all vintages.</w:t>
      </w:r>
    </w:p>
    <w:p w:rsidRPr="00454D1A" w:rsidR="000E1755" w:rsidP="000E1755" w:rsidRDefault="00612AB1" w14:paraId="7E333C8D" w14:textId="2CFB3CA5">
      <w:pPr>
        <w:pStyle w:val="FoF"/>
        <w:numPr>
          <w:ilvl w:val="0"/>
          <w:numId w:val="37"/>
        </w:numPr>
      </w:pPr>
      <w:r>
        <w:t>SCE’s forecasted 202</w:t>
      </w:r>
      <w:r w:rsidR="004E0951">
        <w:t>5</w:t>
      </w:r>
      <w:r>
        <w:t xml:space="preserve"> PCIA revenue requirement is as </w:t>
      </w:r>
      <w:r w:rsidR="00695F79">
        <w:t>detailed in Table 7</w:t>
      </w:r>
      <w:r w:rsidRPr="005A3413" w:rsidR="005A3413">
        <w:noBreakHyphen/>
      </w:r>
      <w:r w:rsidR="00695F79">
        <w:t>3.</w:t>
      </w:r>
    </w:p>
    <w:p w:rsidR="00612AB1" w:rsidP="00612AB1" w:rsidRDefault="00612AB1" w14:paraId="2C189D1B" w14:textId="25D6162E">
      <w:pPr>
        <w:pStyle w:val="FoF"/>
        <w:numPr>
          <w:ilvl w:val="0"/>
          <w:numId w:val="37"/>
        </w:numPr>
      </w:pPr>
      <w:r>
        <w:t>SCE’s forecasted 202</w:t>
      </w:r>
      <w:r w:rsidR="00161CE5">
        <w:t>5</w:t>
      </w:r>
      <w:r>
        <w:t xml:space="preserve"> PCIA rates by vintage are as </w:t>
      </w:r>
      <w:r w:rsidR="00106CD6">
        <w:t>detailed in Table 9-1.</w:t>
      </w:r>
    </w:p>
    <w:p w:rsidR="00612AB1" w:rsidP="00612AB1" w:rsidRDefault="00612AB1" w14:paraId="334FB865" w14:textId="0956771A">
      <w:pPr>
        <w:pStyle w:val="FoF"/>
        <w:numPr>
          <w:ilvl w:val="0"/>
          <w:numId w:val="38"/>
        </w:numPr>
      </w:pPr>
      <w:r w:rsidRPr="00454D1A">
        <w:t>Challenges to facts supporting SCE’s proposed 202</w:t>
      </w:r>
      <w:r w:rsidR="005F3F5C">
        <w:t>5</w:t>
      </w:r>
      <w:r w:rsidRPr="00454D1A">
        <w:t xml:space="preserve"> forecast of </w:t>
      </w:r>
      <w:r>
        <w:t xml:space="preserve">F&amp;PP </w:t>
      </w:r>
      <w:r w:rsidRPr="00454D1A">
        <w:t xml:space="preserve">prices; natural gas prices; electricity prices; GHG costs and proceeds; demand response costs; </w:t>
      </w:r>
      <w:r>
        <w:t xml:space="preserve">and </w:t>
      </w:r>
      <w:r w:rsidRPr="00454D1A">
        <w:t>bundled customer electric sales and year</w:t>
      </w:r>
      <w:r>
        <w:noBreakHyphen/>
      </w:r>
      <w:r w:rsidRPr="00454D1A">
        <w:t xml:space="preserve">end balancing accounts </w:t>
      </w:r>
      <w:r>
        <w:t>were</w:t>
      </w:r>
      <w:r w:rsidRPr="00454D1A">
        <w:t xml:space="preserve"> waived by parties in this proceeding by virtue of stipulation to waive evidentiary hearing.</w:t>
      </w:r>
    </w:p>
    <w:p w:rsidR="000C7258" w:rsidP="001F0FD9" w:rsidRDefault="00CB60BA" w14:paraId="55547F0D" w14:textId="77DE3AF3">
      <w:pPr>
        <w:pStyle w:val="OP"/>
        <w:numPr>
          <w:ilvl w:val="0"/>
          <w:numId w:val="38"/>
        </w:numPr>
      </w:pPr>
      <w:r w:rsidRPr="001F0FD9">
        <w:t xml:space="preserve">As referenced in the </w:t>
      </w:r>
      <w:r w:rsidRPr="001F0FD9" w:rsidR="00FF7789">
        <w:t>AOU</w:t>
      </w:r>
      <w:r w:rsidRPr="001F0FD9">
        <w:t xml:space="preserve">, Energy Division issued the MPB calculations for the RA </w:t>
      </w:r>
      <w:r w:rsidR="00657F02">
        <w:t>MPB</w:t>
      </w:r>
      <w:r w:rsidRPr="001F0FD9" w:rsidR="00657F02">
        <w:t xml:space="preserve"> </w:t>
      </w:r>
      <w:r w:rsidRPr="001F0FD9">
        <w:t>on October 4, 2024</w:t>
      </w:r>
      <w:r w:rsidRPr="001F0FD9" w:rsidR="00B74F21">
        <w:t>,</w:t>
      </w:r>
      <w:r w:rsidRPr="001F0FD9">
        <w:t xml:space="preserve"> and noted anomalies in the MPBs, including low transaction volumes relative to overall size of the portfolio, the inclusion of swap and affiliate transactions, and the nearly threefold increase in the System RA MPB. </w:t>
      </w:r>
    </w:p>
    <w:p w:rsidR="005939A5" w:rsidP="005939A5" w:rsidRDefault="005939A5" w14:paraId="6C80384E" w14:textId="77777777">
      <w:pPr>
        <w:pStyle w:val="Dummy"/>
      </w:pPr>
      <w:bookmarkStart w:name="_Toc8123726" w:id="188"/>
      <w:bookmarkStart w:name="_Toc183184349" w:id="189"/>
      <w:r>
        <w:t>Conclusions of Law</w:t>
      </w:r>
      <w:bookmarkEnd w:id="188"/>
      <w:bookmarkEnd w:id="189"/>
    </w:p>
    <w:p w:rsidRPr="00454D1A" w:rsidR="00811736" w:rsidP="00594FD2" w:rsidRDefault="00811736" w14:paraId="18216B73" w14:textId="31630821">
      <w:pPr>
        <w:pStyle w:val="CoL"/>
        <w:ind w:firstLine="450"/>
      </w:pPr>
      <w:r w:rsidRPr="00454D1A">
        <w:t>SCE’s</w:t>
      </w:r>
      <w:r>
        <w:t xml:space="preserve"> 202</w:t>
      </w:r>
      <w:r w:rsidR="005F3F5C">
        <w:t>5</w:t>
      </w:r>
      <w:r w:rsidRPr="00454D1A">
        <w:t xml:space="preserve"> forecast</w:t>
      </w:r>
      <w:r>
        <w:t xml:space="preserve">, </w:t>
      </w:r>
      <w:r w:rsidRPr="00415892">
        <w:t xml:space="preserve">as modified in this </w:t>
      </w:r>
      <w:r>
        <w:t>Decision,</w:t>
      </w:r>
      <w:r w:rsidRPr="00454D1A">
        <w:t xml:space="preserve"> of F&amp;PP prices; natural gas prices; electricity prices; GHG costs and proceeds; demand response costs; </w:t>
      </w:r>
      <w:r>
        <w:lastRenderedPageBreak/>
        <w:t xml:space="preserve">and </w:t>
      </w:r>
      <w:r w:rsidRPr="00454D1A">
        <w:t>bundled customer electric sales and year</w:t>
      </w:r>
      <w:r>
        <w:noBreakHyphen/>
      </w:r>
      <w:r w:rsidRPr="00454D1A">
        <w:t>end balancing account balances are reasonable.</w:t>
      </w:r>
    </w:p>
    <w:p w:rsidRPr="00025E00" w:rsidR="00811736" w:rsidP="00594FD2" w:rsidRDefault="00811736" w14:paraId="5523CC4E" w14:textId="06CA89A4">
      <w:pPr>
        <w:pStyle w:val="CoL"/>
        <w:ind w:firstLine="450"/>
      </w:pPr>
      <w:r w:rsidRPr="00454D1A">
        <w:t>SCE’s proposed</w:t>
      </w:r>
      <w:r>
        <w:t xml:space="preserve"> 202</w:t>
      </w:r>
      <w:r w:rsidR="005F3F5C">
        <w:t>5</w:t>
      </w:r>
      <w:r w:rsidRPr="00454D1A">
        <w:t xml:space="preserve"> cost responsibility surcharges</w:t>
      </w:r>
      <w:r>
        <w:t xml:space="preserve"> </w:t>
      </w:r>
      <w:r w:rsidRPr="00025E00">
        <w:t>are reasonable</w:t>
      </w:r>
      <w:r>
        <w:t xml:space="preserve"> and should be approved</w:t>
      </w:r>
      <w:r w:rsidRPr="00025E00">
        <w:t>.</w:t>
      </w:r>
    </w:p>
    <w:p w:rsidR="00811736" w:rsidP="00594FD2" w:rsidRDefault="00811736" w14:paraId="5961A8A5" w14:textId="2E19E1E0">
      <w:pPr>
        <w:pStyle w:val="CoL"/>
        <w:ind w:firstLine="450"/>
      </w:pPr>
      <w:r w:rsidRPr="00454D1A">
        <w:t xml:space="preserve">SCE </w:t>
      </w:r>
      <w:r>
        <w:t>should</w:t>
      </w:r>
      <w:r w:rsidRPr="00454D1A">
        <w:t xml:space="preserve"> implement the revenue requirement adopted in this proceeding, as updated to reflect </w:t>
      </w:r>
      <w:r>
        <w:t>October – November 202</w:t>
      </w:r>
      <w:r w:rsidR="005F3F5C">
        <w:t>4</w:t>
      </w:r>
      <w:r>
        <w:t xml:space="preserve"> actuals and forecasts for</w:t>
      </w:r>
      <w:r w:rsidR="0033106A">
        <w:t xml:space="preserve"> November –</w:t>
      </w:r>
      <w:r>
        <w:t xml:space="preserve"> December 202</w:t>
      </w:r>
      <w:r w:rsidR="005F3F5C">
        <w:t>4</w:t>
      </w:r>
      <w:r w:rsidRPr="00454D1A">
        <w:t xml:space="preserve">, in its </w:t>
      </w:r>
      <w:r>
        <w:t>advice letter for rates to be effective starting</w:t>
      </w:r>
      <w:r w:rsidRPr="00454D1A">
        <w:t xml:space="preserve"> January</w:t>
      </w:r>
      <w:r>
        <w:t> </w:t>
      </w:r>
      <w:r w:rsidRPr="00454D1A">
        <w:t>1,</w:t>
      </w:r>
      <w:r>
        <w:t> </w:t>
      </w:r>
      <w:r w:rsidRPr="00454D1A">
        <w:t>202</w:t>
      </w:r>
      <w:r w:rsidR="005F3F5C">
        <w:t>5</w:t>
      </w:r>
      <w:r>
        <w:t>.</w:t>
      </w:r>
    </w:p>
    <w:p w:rsidRPr="00454D1A" w:rsidR="00811736" w:rsidP="00594FD2" w:rsidRDefault="00811736" w14:paraId="51C4D79D" w14:textId="77777777">
      <w:pPr>
        <w:pStyle w:val="CoL"/>
        <w:ind w:firstLine="450"/>
      </w:pPr>
      <w:r w:rsidRPr="002D5264">
        <w:t>A</w:t>
      </w:r>
      <w:r>
        <w:t xml:space="preserve">dvice </w:t>
      </w:r>
      <w:r w:rsidRPr="002D5264">
        <w:t>L</w:t>
      </w:r>
      <w:r>
        <w:t>etter</w:t>
      </w:r>
      <w:r w:rsidRPr="002D5264">
        <w:t>s</w:t>
      </w:r>
      <w:r w:rsidRPr="00454D1A">
        <w:t xml:space="preserve"> to implement changed tariff sheets in accordance with this </w:t>
      </w:r>
      <w:r>
        <w:t>Decision</w:t>
      </w:r>
      <w:r w:rsidRPr="00454D1A">
        <w:t xml:space="preserve"> should be filed as Tier</w:t>
      </w:r>
      <w:r>
        <w:t> </w:t>
      </w:r>
      <w:r w:rsidRPr="00454D1A">
        <w:t xml:space="preserve">1 </w:t>
      </w:r>
      <w:r w:rsidRPr="002D5264">
        <w:t>A</w:t>
      </w:r>
      <w:r>
        <w:t xml:space="preserve">dvice </w:t>
      </w:r>
      <w:r w:rsidRPr="002D5264">
        <w:t>L</w:t>
      </w:r>
      <w:r>
        <w:t>etter</w:t>
      </w:r>
      <w:r w:rsidRPr="002D5264">
        <w:t>s</w:t>
      </w:r>
      <w:r w:rsidRPr="00454D1A">
        <w:t>.</w:t>
      </w:r>
    </w:p>
    <w:p w:rsidR="00811736" w:rsidP="00594FD2" w:rsidRDefault="00811736" w14:paraId="07907895" w14:textId="2C61EB57">
      <w:pPr>
        <w:pStyle w:val="CoL"/>
        <w:ind w:firstLine="450"/>
      </w:pPr>
      <w:r w:rsidRPr="00454D1A">
        <w:t>All rulings issued by the assigned Commissioner and the assigned ALJ should be confirmed.</w:t>
      </w:r>
      <w:r>
        <w:t xml:space="preserve"> </w:t>
      </w:r>
    </w:p>
    <w:p w:rsidRPr="00454D1A" w:rsidR="00811736" w:rsidP="00594FD2" w:rsidRDefault="00811736" w14:paraId="49BFFC8F" w14:textId="6376C5A5">
      <w:pPr>
        <w:pStyle w:val="CoL"/>
        <w:ind w:firstLine="450"/>
      </w:pPr>
      <w:r>
        <w:t>The Commission orders adopted in D.2</w:t>
      </w:r>
      <w:r w:rsidR="00957D84">
        <w:t>4</w:t>
      </w:r>
      <w:r>
        <w:t>-0</w:t>
      </w:r>
      <w:r w:rsidR="00957D84">
        <w:t>8</w:t>
      </w:r>
      <w:r>
        <w:t>-01</w:t>
      </w:r>
      <w:r w:rsidR="00957D84">
        <w:t>5</w:t>
      </w:r>
      <w:r>
        <w:t>, authorizing SCE’s 202</w:t>
      </w:r>
      <w:r w:rsidR="00957D84">
        <w:t>4</w:t>
      </w:r>
      <w:r>
        <w:t xml:space="preserve"> ERRA Trigger Application (A.2</w:t>
      </w:r>
      <w:r w:rsidR="00957D84">
        <w:t>4</w:t>
      </w:r>
      <w:r>
        <w:t>-0</w:t>
      </w:r>
      <w:r w:rsidR="00957D84">
        <w:t>5</w:t>
      </w:r>
      <w:r>
        <w:t>-02</w:t>
      </w:r>
      <w:r w:rsidR="00957D84">
        <w:t>5</w:t>
      </w:r>
      <w:r>
        <w:t>) are unchanged by this Decision.</w:t>
      </w:r>
    </w:p>
    <w:p w:rsidR="00811736" w:rsidP="00594FD2" w:rsidRDefault="00811736" w14:paraId="6548DE0D" w14:textId="77777777">
      <w:pPr>
        <w:pStyle w:val="CoL"/>
        <w:ind w:firstLine="450"/>
      </w:pPr>
      <w:r w:rsidRPr="00454D1A">
        <w:t>All motions not specifically addressed herein or previously addressed by the assigned Commissioner or ALJ, should be denied.</w:t>
      </w:r>
    </w:p>
    <w:p w:rsidRPr="001E2A62" w:rsidR="008F143D" w:rsidP="00594FD2" w:rsidRDefault="00811736" w14:paraId="594631A8" w14:textId="2560219D">
      <w:pPr>
        <w:pStyle w:val="CoL"/>
        <w:ind w:firstLine="450"/>
      </w:pPr>
      <w:r>
        <w:t>Application 2</w:t>
      </w:r>
      <w:r w:rsidR="009A30AB">
        <w:t>4</w:t>
      </w:r>
      <w:r>
        <w:t>-0</w:t>
      </w:r>
      <w:r w:rsidR="009A30AB">
        <w:t>5</w:t>
      </w:r>
      <w:r>
        <w:t>-00</w:t>
      </w:r>
      <w:r w:rsidR="009A30AB">
        <w:t>7</w:t>
      </w:r>
      <w:r>
        <w:t xml:space="preserve"> should</w:t>
      </w:r>
      <w:r w:rsidR="00127A9D">
        <w:t xml:space="preserve"> be closed.</w:t>
      </w:r>
    </w:p>
    <w:p w:rsidR="00BB0243" w:rsidP="000A6E05" w:rsidRDefault="005939A5" w14:paraId="74EBD404" w14:textId="46F82924">
      <w:pPr>
        <w:pStyle w:val="Mainex"/>
      </w:pPr>
      <w:bookmarkStart w:name="_Toc183184350" w:id="190"/>
      <w:r>
        <w:t>O</w:t>
      </w:r>
      <w:r w:rsidR="00722850">
        <w:t>RDER</w:t>
      </w:r>
      <w:bookmarkEnd w:id="190"/>
    </w:p>
    <w:p w:rsidR="00BB0243" w:rsidP="000A6E05" w:rsidRDefault="00BB0243" w14:paraId="1631A36E" w14:textId="77777777">
      <w:pPr>
        <w:keepNext/>
      </w:pPr>
      <w:r w:rsidRPr="00BB0243">
        <w:rPr>
          <w:b/>
        </w:rPr>
        <w:t>IT IS ORDERED</w:t>
      </w:r>
      <w:r>
        <w:t xml:space="preserve"> that:</w:t>
      </w:r>
    </w:p>
    <w:p w:rsidRPr="00BC6A1A" w:rsidR="00E06B3B" w:rsidP="00E06B3B" w:rsidRDefault="00E06B3B" w14:paraId="515EC653" w14:textId="2C1A8938">
      <w:pPr>
        <w:pStyle w:val="OP"/>
        <w:ind w:firstLine="360"/>
      </w:pPr>
      <w:r w:rsidRPr="00BC6A1A">
        <w:t>Southern California Edison Company is authorized to recover a total 202</w:t>
      </w:r>
      <w:r w:rsidR="00C73E5D">
        <w:t>5</w:t>
      </w:r>
      <w:r w:rsidRPr="00BC6A1A">
        <w:t xml:space="preserve"> Energy Resource Recovery Account electric procurement cost revenue requirement forecast of $</w:t>
      </w:r>
      <w:r w:rsidR="002F0F8E">
        <w:t>4</w:t>
      </w:r>
      <w:r w:rsidR="009B701B">
        <w:t>,</w:t>
      </w:r>
      <w:r w:rsidR="00F62211">
        <w:t>637</w:t>
      </w:r>
      <w:r w:rsidR="00453789">
        <w:t>.329</w:t>
      </w:r>
      <w:r w:rsidRPr="00BC6A1A">
        <w:t xml:space="preserve"> </w:t>
      </w:r>
      <w:r w:rsidR="00453789">
        <w:t>m</w:t>
      </w:r>
      <w:r w:rsidRPr="00BC6A1A">
        <w:t>illion, consisting of both a generation service component and a delivery service component.</w:t>
      </w:r>
    </w:p>
    <w:p w:rsidRPr="00BC6A1A" w:rsidR="00E06B3B" w:rsidP="00E06B3B" w:rsidRDefault="00E06B3B" w14:paraId="3BEB452E" w14:textId="2582847F">
      <w:pPr>
        <w:pStyle w:val="OP"/>
        <w:ind w:firstLine="360"/>
      </w:pPr>
      <w:r w:rsidRPr="00BC6A1A">
        <w:t>Within Southern California Edison Company’s (SCE) 202</w:t>
      </w:r>
      <w:r w:rsidR="00A875A0">
        <w:t>5</w:t>
      </w:r>
      <w:r w:rsidRPr="00BC6A1A">
        <w:t xml:space="preserve"> generation service revenue requirement of $</w:t>
      </w:r>
      <w:r w:rsidR="00F26D99">
        <w:t>4</w:t>
      </w:r>
      <w:r w:rsidR="00A647A3">
        <w:t>,</w:t>
      </w:r>
      <w:r w:rsidR="00F26D99">
        <w:t>66</w:t>
      </w:r>
      <w:r w:rsidR="00A647A3">
        <w:t>2.635</w:t>
      </w:r>
      <w:r w:rsidRPr="00BC6A1A">
        <w:t xml:space="preserve"> </w:t>
      </w:r>
      <w:r w:rsidR="00A647A3">
        <w:t>m</w:t>
      </w:r>
      <w:r w:rsidRPr="00BC6A1A">
        <w:t>illion, SCE is authorized to recover a total of $4</w:t>
      </w:r>
      <w:r w:rsidR="001C1CD5">
        <w:t>,</w:t>
      </w:r>
      <w:r w:rsidR="00E66C97">
        <w:t>085</w:t>
      </w:r>
      <w:r w:rsidR="001C1CD5">
        <w:t>.</w:t>
      </w:r>
      <w:r w:rsidR="00A875A0">
        <w:t>868</w:t>
      </w:r>
      <w:r w:rsidRPr="00BC6A1A" w:rsidR="00E66C97">
        <w:t xml:space="preserve"> </w:t>
      </w:r>
      <w:r w:rsidR="00A875A0">
        <w:t>m</w:t>
      </w:r>
      <w:r w:rsidRPr="00BC6A1A">
        <w:t xml:space="preserve">illion in fuel and purchased power costs and transfer the </w:t>
      </w:r>
      <w:r w:rsidRPr="00BC6A1A">
        <w:lastRenderedPageBreak/>
        <w:t xml:space="preserve">following </w:t>
      </w:r>
      <w:r w:rsidR="00A875A0">
        <w:t xml:space="preserve">2024 </w:t>
      </w:r>
      <w:r w:rsidRPr="00BC6A1A">
        <w:t>account balances: (1) </w:t>
      </w:r>
      <w:r w:rsidR="00A875A0">
        <w:t>-</w:t>
      </w:r>
      <w:r w:rsidRPr="00BC6A1A">
        <w:t>$</w:t>
      </w:r>
      <w:r w:rsidR="002C7842">
        <w:t>10</w:t>
      </w:r>
      <w:r w:rsidR="00287AD2">
        <w:t>.152</w:t>
      </w:r>
      <w:r w:rsidRPr="00BC6A1A">
        <w:t> million from the Energy Resource Recovery Account Balancing Account (BA); (2) $</w:t>
      </w:r>
      <w:r w:rsidR="00287AD2">
        <w:t>587.214</w:t>
      </w:r>
      <w:r w:rsidRPr="00BC6A1A">
        <w:t> million from the Portfolio Allocation BA; and (3) </w:t>
      </w:r>
      <w:r w:rsidRPr="00BC6A1A">
        <w:noBreakHyphen/>
        <w:t>$</w:t>
      </w:r>
      <w:r w:rsidR="00932255">
        <w:t>295</w:t>
      </w:r>
      <w:r w:rsidRPr="00BC6A1A">
        <w:t>,000 from the Energy Settlement Memorandum Account.</w:t>
      </w:r>
    </w:p>
    <w:p w:rsidRPr="00BC6A1A" w:rsidR="00E06B3B" w:rsidP="00E06B3B" w:rsidRDefault="00E06B3B" w14:paraId="4BC9C62F" w14:textId="54E45B56">
      <w:pPr>
        <w:pStyle w:val="OP"/>
        <w:ind w:firstLine="360"/>
      </w:pPr>
      <w:r w:rsidRPr="00BC6A1A">
        <w:t>Within Southern California Edison Company’s (SCE) 202</w:t>
      </w:r>
      <w:r w:rsidR="00932255">
        <w:t>5</w:t>
      </w:r>
      <w:r w:rsidRPr="00BC6A1A">
        <w:t xml:space="preserve"> delivery service revenue requirement of negative $2</w:t>
      </w:r>
      <w:r w:rsidR="00932255">
        <w:t>5</w:t>
      </w:r>
      <w:r w:rsidRPr="00BC6A1A">
        <w:t>.</w:t>
      </w:r>
      <w:r w:rsidR="00932255">
        <w:t>306</w:t>
      </w:r>
      <w:r w:rsidRPr="00BC6A1A">
        <w:t> million, SCE is authorized to recover the following: (1) $4</w:t>
      </w:r>
      <w:r w:rsidR="00932255">
        <w:t>57.467</w:t>
      </w:r>
      <w:r w:rsidRPr="00BC6A1A">
        <w:t> million for the New System Generation and System Reliability fuel and purchase power contracts; (2) $</w:t>
      </w:r>
      <w:r w:rsidR="00932255">
        <w:t>5.157</w:t>
      </w:r>
      <w:r w:rsidRPr="00BC6A1A">
        <w:t> million in spent nuclear fuel costs; (3) </w:t>
      </w:r>
      <w:r w:rsidR="00932255">
        <w:t>negative</w:t>
      </w:r>
      <w:r w:rsidR="00127A9D">
        <w:t xml:space="preserve"> </w:t>
      </w:r>
      <w:r w:rsidRPr="00BC6A1A">
        <w:t>$</w:t>
      </w:r>
      <w:r w:rsidR="001D3667">
        <w:t>19.169</w:t>
      </w:r>
      <w:r w:rsidRPr="00BC6A1A">
        <w:t> million for forecast Base Revenue Requirement Balancing Account — Distribution fuel and purchased power costs; (4) </w:t>
      </w:r>
      <w:r w:rsidR="001D3667">
        <w:t>negative</w:t>
      </w:r>
      <w:r w:rsidR="00D322F5">
        <w:t xml:space="preserve"> </w:t>
      </w:r>
      <w:r w:rsidRPr="00BC6A1A">
        <w:t>$</w:t>
      </w:r>
      <w:r w:rsidR="001D3667">
        <w:t>641.624</w:t>
      </w:r>
      <w:r w:rsidRPr="00BC6A1A">
        <w:t xml:space="preserve"> million customer return of greenhouse gas allowance proceeds; (5) $</w:t>
      </w:r>
      <w:r w:rsidR="001D3667">
        <w:t>5.341</w:t>
      </w:r>
      <w:r w:rsidRPr="00BC6A1A">
        <w:t> million for the Public Purpose Program Charge, which includes the Tree</w:t>
      </w:r>
      <w:r w:rsidRPr="00BC6A1A">
        <w:noBreakHyphen/>
        <w:t>Mortality Non</w:t>
      </w:r>
      <w:r w:rsidRPr="00BC6A1A">
        <w:noBreakHyphen/>
        <w:t>Bypassable Charge, SCE’s Preferred Resources Pilot #2, Bioenergy Market Adjusting Tariff Non</w:t>
      </w:r>
      <w:r w:rsidRPr="00BC6A1A">
        <w:noBreakHyphen/>
        <w:t>Bypassable Charge, and a portion of the Disadvantaged Communities — Green Tariff and Community Solar Green Tariff program funding which provides volumetric subsidies to qualifying customer classes</w:t>
      </w:r>
      <w:r w:rsidR="001F0A9A">
        <w:t xml:space="preserve">; and (6) </w:t>
      </w:r>
      <w:r w:rsidR="00AB6D32">
        <w:t>$</w:t>
      </w:r>
      <w:r w:rsidR="001F0A9A">
        <w:t>1.558 milli</w:t>
      </w:r>
      <w:r w:rsidR="00E8342A">
        <w:t>o</w:t>
      </w:r>
      <w:r w:rsidR="001F0A9A">
        <w:t>n</w:t>
      </w:r>
      <w:r w:rsidR="00E8342A">
        <w:t xml:space="preserve"> in </w:t>
      </w:r>
      <w:r w:rsidR="00AB6D32">
        <w:t>Modified Cost Allocation Mechanism</w:t>
      </w:r>
      <w:r w:rsidR="00A017D9">
        <w:t xml:space="preserve"> fuel and power pur</w:t>
      </w:r>
      <w:r w:rsidR="00AB6D32">
        <w:t>chase costs</w:t>
      </w:r>
      <w:r w:rsidRPr="00BC6A1A">
        <w:t xml:space="preserve">. </w:t>
      </w:r>
    </w:p>
    <w:p w:rsidRPr="00BC6A1A" w:rsidR="00E06B3B" w:rsidP="00E06B3B" w:rsidRDefault="00E06B3B" w14:paraId="16C4D610" w14:textId="6A637A47">
      <w:pPr>
        <w:pStyle w:val="OP"/>
        <w:ind w:firstLine="360"/>
      </w:pPr>
      <w:r w:rsidRPr="00BC6A1A">
        <w:t>Southern California Edison Company is authorized to transfer the following account balances: (1) a $</w:t>
      </w:r>
      <w:r w:rsidR="004878AB">
        <w:t>146.846</w:t>
      </w:r>
      <w:r w:rsidRPr="00BC6A1A">
        <w:t> million 202</w:t>
      </w:r>
      <w:r w:rsidR="00B66005">
        <w:t>4</w:t>
      </w:r>
      <w:r w:rsidRPr="00BC6A1A">
        <w:t xml:space="preserve"> year</w:t>
      </w:r>
      <w:r w:rsidRPr="00BC6A1A">
        <w:noBreakHyphen/>
        <w:t>end balance in the New System Generation Balancing Account (BA); (2) $1</w:t>
      </w:r>
      <w:r w:rsidR="004878AB">
        <w:t>9.110</w:t>
      </w:r>
      <w:r w:rsidRPr="00BC6A1A">
        <w:t> million in the 202</w:t>
      </w:r>
      <w:r w:rsidR="004878AB">
        <w:t>4</w:t>
      </w:r>
      <w:r w:rsidRPr="00BC6A1A">
        <w:t xml:space="preserve"> year</w:t>
      </w:r>
      <w:r w:rsidRPr="00BC6A1A">
        <w:noBreakHyphen/>
        <w:t>end balance for the Tree Mortality Non</w:t>
      </w:r>
      <w:r w:rsidRPr="00BC6A1A">
        <w:noBreakHyphen/>
        <w:t>Bypassable Charge BA; and (3) </w:t>
      </w:r>
      <w:r w:rsidR="008433C1">
        <w:t xml:space="preserve">negative </w:t>
      </w:r>
      <w:r w:rsidRPr="00BC6A1A">
        <w:t>$</w:t>
      </w:r>
      <w:r w:rsidR="00E90E7D">
        <w:t>2.</w:t>
      </w:r>
      <w:r w:rsidR="00734E33">
        <w:t>842</w:t>
      </w:r>
      <w:r w:rsidRPr="00BC6A1A">
        <w:t xml:space="preserve"> million in the 202</w:t>
      </w:r>
      <w:r w:rsidR="00E46CE7">
        <w:t>4</w:t>
      </w:r>
      <w:r w:rsidRPr="00BC6A1A">
        <w:t xml:space="preserve"> year</w:t>
      </w:r>
      <w:r w:rsidRPr="00BC6A1A">
        <w:noBreakHyphen/>
        <w:t>end BioMAT Non</w:t>
      </w:r>
      <w:r w:rsidRPr="00BC6A1A">
        <w:noBreakHyphen/>
        <w:t xml:space="preserve">Bypassable Charge BA. </w:t>
      </w:r>
    </w:p>
    <w:p w:rsidRPr="00BC6A1A" w:rsidR="00E06B3B" w:rsidP="00E06B3B" w:rsidRDefault="00E06B3B" w14:paraId="0C384803" w14:textId="1B21B456">
      <w:pPr>
        <w:pStyle w:val="OP"/>
        <w:ind w:firstLine="360"/>
      </w:pPr>
      <w:r w:rsidRPr="00BC6A1A">
        <w:t>Southern California Edison Company is authorized to reconcile its 202</w:t>
      </w:r>
      <w:r w:rsidR="00AB6D32">
        <w:t>5</w:t>
      </w:r>
      <w:r w:rsidRPr="00BC6A1A">
        <w:t xml:space="preserve"> greenhouse gas (GHG) costs, revenues and requirements as follows:  (1) recover </w:t>
      </w:r>
      <w:r w:rsidRPr="00BC6A1A">
        <w:lastRenderedPageBreak/>
        <w:t>a revenue requirement to cover the actual interest and forecasted carrying costs associated with its GHG Cap</w:t>
      </w:r>
      <w:r w:rsidRPr="00BC6A1A">
        <w:noBreakHyphen/>
        <w:t>and</w:t>
      </w:r>
      <w:r w:rsidRPr="00BC6A1A">
        <w:noBreakHyphen/>
        <w:t>Trade compliance; and (2) distribute $</w:t>
      </w:r>
      <w:r w:rsidR="00821E4E">
        <w:t>641.624</w:t>
      </w:r>
      <w:r w:rsidRPr="00BC6A1A">
        <w:t> million in forecast 202</w:t>
      </w:r>
      <w:r w:rsidR="00821E4E">
        <w:t>5</w:t>
      </w:r>
      <w:r w:rsidRPr="00BC6A1A">
        <w:t xml:space="preserve"> GHG allowance auction proceeds to its customers, with $</w:t>
      </w:r>
      <w:r w:rsidR="00821E4E">
        <w:t>55.936</w:t>
      </w:r>
      <w:r w:rsidRPr="00BC6A1A">
        <w:t> million set aside for clean energy and energy efficiency projects, and $</w:t>
      </w:r>
      <w:r w:rsidR="00563478">
        <w:t>868</w:t>
      </w:r>
      <w:r w:rsidRPr="00BC6A1A">
        <w:t xml:space="preserve">,000 set aside for outreach and administrative expenses. </w:t>
      </w:r>
    </w:p>
    <w:p w:rsidRPr="00BC6A1A" w:rsidR="00E06B3B" w:rsidP="00E06B3B" w:rsidRDefault="00E06B3B" w14:paraId="662F52AF" w14:textId="7710038E">
      <w:pPr>
        <w:pStyle w:val="OP"/>
        <w:ind w:firstLine="360"/>
      </w:pPr>
      <w:r w:rsidRPr="00BC6A1A">
        <w:t>Southern California Edison Company shall return $</w:t>
      </w:r>
      <w:r w:rsidR="0082409F">
        <w:t>583.441</w:t>
      </w:r>
      <w:r w:rsidRPr="00BC6A1A">
        <w:t xml:space="preserve"> million in greenhouse gas allowance auction revenues to residential and small commercial customers through the forecasted amount of $</w:t>
      </w:r>
      <w:r w:rsidR="0082409F">
        <w:t>5</w:t>
      </w:r>
      <w:r w:rsidRPr="00BC6A1A">
        <w:t>6.00 in April and October 202</w:t>
      </w:r>
      <w:r w:rsidR="0082409F">
        <w:t>5</w:t>
      </w:r>
      <w:r w:rsidRPr="00BC6A1A">
        <w:t xml:space="preserve"> for the California Climate Credit program.</w:t>
      </w:r>
    </w:p>
    <w:p w:rsidRPr="00FE5EB8" w:rsidR="00E06B3B" w:rsidP="00E06B3B" w:rsidRDefault="00E06B3B" w14:paraId="4083FB3C" w14:textId="4E0B0D18">
      <w:pPr>
        <w:pStyle w:val="OP"/>
        <w:ind w:firstLine="360"/>
      </w:pPr>
      <w:r w:rsidRPr="00FE5EB8">
        <w:t>Southern California Edison Company shall return a forecast of $58.</w:t>
      </w:r>
      <w:r w:rsidR="0082409F">
        <w:t>183</w:t>
      </w:r>
      <w:r w:rsidRPr="00FE5EB8">
        <w:t> million in greenhouse gas allowance auction revenues to its Emissions</w:t>
      </w:r>
      <w:r w:rsidRPr="00FE5EB8">
        <w:noBreakHyphen/>
        <w:t>Intensive and Trade</w:t>
      </w:r>
      <w:r w:rsidRPr="00FE5EB8">
        <w:noBreakHyphen/>
        <w:t>Exposed customers in April 202</w:t>
      </w:r>
      <w:r w:rsidR="0082409F">
        <w:t>5</w:t>
      </w:r>
      <w:r w:rsidRPr="00FE5EB8">
        <w:t>.</w:t>
      </w:r>
    </w:p>
    <w:p w:rsidRPr="00FE5EB8" w:rsidR="00E06B3B" w:rsidP="00594FD2" w:rsidRDefault="00E06B3B" w14:paraId="0D634796" w14:textId="2AABA4BD">
      <w:pPr>
        <w:pStyle w:val="OP"/>
        <w:ind w:firstLine="360"/>
      </w:pPr>
      <w:r w:rsidRPr="00FE5EB8">
        <w:t>Southern California Edison Company (SCE) shall file a Tier 1 Advice Letter and revised tariff sheets within 30 days of the issuance of this Decision to implement this Decision. The Advice Letter shall include supporting documentation for:</w:t>
      </w:r>
    </w:p>
    <w:p w:rsidRPr="00454D1A" w:rsidR="00E06B3B" w:rsidP="00E06B3B" w:rsidRDefault="00E06B3B" w14:paraId="34BE0F5F" w14:textId="743DC343">
      <w:pPr>
        <w:pStyle w:val="BlockQuoteH033"/>
        <w:numPr>
          <w:ilvl w:val="0"/>
          <w:numId w:val="40"/>
        </w:numPr>
        <w:ind w:left="1195" w:hanging="475"/>
      </w:pPr>
      <w:r w:rsidRPr="00454D1A">
        <w:t>Residential rate schedules (including master</w:t>
      </w:r>
      <w:r>
        <w:noBreakHyphen/>
      </w:r>
      <w:r w:rsidRPr="00454D1A">
        <w:t>metered rate schedules) to include the authorized 202</w:t>
      </w:r>
      <w:r w:rsidR="00CC479E">
        <w:t>5</w:t>
      </w:r>
      <w:r w:rsidRPr="00454D1A">
        <w:t xml:space="preserve"> Climate Credit amount;</w:t>
      </w:r>
    </w:p>
    <w:p w:rsidRPr="00454D1A" w:rsidR="00E06B3B" w:rsidP="00E06B3B" w:rsidRDefault="00E06B3B" w14:paraId="7A608D18" w14:textId="1E5C589B">
      <w:pPr>
        <w:pStyle w:val="BlockQuoteH033"/>
        <w:numPr>
          <w:ilvl w:val="0"/>
          <w:numId w:val="40"/>
        </w:numPr>
        <w:ind w:left="1195" w:hanging="475"/>
      </w:pPr>
      <w:r w:rsidRPr="00454D1A">
        <w:t>Small business rate schedules to include the authorized 202</w:t>
      </w:r>
      <w:r w:rsidR="00292EAF">
        <w:t>5</w:t>
      </w:r>
      <w:r w:rsidRPr="00454D1A">
        <w:t xml:space="preserve"> Climate Credit amount; </w:t>
      </w:r>
    </w:p>
    <w:p w:rsidRPr="00454D1A" w:rsidR="00E06B3B" w:rsidP="00E06B3B" w:rsidRDefault="00E06B3B" w14:paraId="6511CCE6" w14:textId="46EE0C1D">
      <w:pPr>
        <w:pStyle w:val="BlockQuoteH033"/>
        <w:numPr>
          <w:ilvl w:val="0"/>
          <w:numId w:val="40"/>
        </w:numPr>
        <w:ind w:left="1195" w:hanging="475"/>
      </w:pPr>
      <w:r w:rsidRPr="00454D1A">
        <w:t xml:space="preserve">The </w:t>
      </w:r>
      <w:r>
        <w:t>updated November 202</w:t>
      </w:r>
      <w:r w:rsidR="00000943">
        <w:t>4</w:t>
      </w:r>
      <w:r w:rsidRPr="00454D1A">
        <w:t xml:space="preserve"> </w:t>
      </w:r>
      <w:r>
        <w:t xml:space="preserve">revenue requirement </w:t>
      </w:r>
      <w:r w:rsidRPr="00454D1A">
        <w:t>actuals</w:t>
      </w:r>
      <w:r>
        <w:t xml:space="preserve"> and forecasts for November and/or December 202</w:t>
      </w:r>
      <w:r w:rsidR="00000943">
        <w:t>4</w:t>
      </w:r>
      <w:r>
        <w:t>, depending on the availability of November revenue requirement actuals at the time of the Advice Letter filing</w:t>
      </w:r>
      <w:r w:rsidRPr="00454D1A">
        <w:t>; and</w:t>
      </w:r>
    </w:p>
    <w:p w:rsidRPr="00454D1A" w:rsidR="00E06B3B" w:rsidP="00E06B3B" w:rsidRDefault="00E06B3B" w14:paraId="76EE8511" w14:textId="77777777">
      <w:pPr>
        <w:pStyle w:val="BlockQuoteH033"/>
        <w:numPr>
          <w:ilvl w:val="0"/>
          <w:numId w:val="40"/>
        </w:numPr>
        <w:ind w:left="1195" w:hanging="475"/>
      </w:pPr>
      <w:r>
        <w:t xml:space="preserve">The usage of Renewable Energy Certificates banked in or after 2019 for 2024 Renewables Portfolio Standard compliance for SCE’s bundled customers. </w:t>
      </w:r>
    </w:p>
    <w:p w:rsidR="00E06B3B" w:rsidP="00076167" w:rsidRDefault="00E06B3B" w14:paraId="4BC3E363" w14:textId="4969C8AB">
      <w:pPr>
        <w:pStyle w:val="OP"/>
        <w:ind w:firstLine="450"/>
      </w:pPr>
      <w:r>
        <w:lastRenderedPageBreak/>
        <w:t>Southern California Edison Company must file a separate Tier 1 Consolidated Revenue Requirement and Rate Change Advice Letter no later than December 31, 202</w:t>
      </w:r>
      <w:r w:rsidR="0095309A">
        <w:t>4</w:t>
      </w:r>
      <w:r>
        <w:t>, pursuant to Resolution E-5217. This Tier 1 Advice Letter must contain tariff sheet revisions as necessary to implement the rate changes authorized in this Decision.</w:t>
      </w:r>
    </w:p>
    <w:p w:rsidRPr="00454D1A" w:rsidR="00E06B3B" w:rsidP="00594FD2" w:rsidRDefault="00E06B3B" w14:paraId="3F817FFA" w14:textId="6D9BEE0E">
      <w:pPr>
        <w:pStyle w:val="OP"/>
        <w:ind w:firstLine="450"/>
      </w:pPr>
      <w:r w:rsidRPr="00454D1A">
        <w:t xml:space="preserve">All rulings issued by the assigned Commissioner and </w:t>
      </w:r>
      <w:r w:rsidRPr="00301A04">
        <w:t xml:space="preserve">Administrative Law Judge </w:t>
      </w:r>
      <w:r w:rsidRPr="00454D1A">
        <w:t>(</w:t>
      </w:r>
      <w:r w:rsidRPr="00301A04">
        <w:t>ALJ</w:t>
      </w:r>
      <w:r w:rsidRPr="00454D1A">
        <w:t xml:space="preserve">) </w:t>
      </w:r>
      <w:r>
        <w:t>associated with Application (A.) 2</w:t>
      </w:r>
      <w:r w:rsidR="009C0949">
        <w:t>4</w:t>
      </w:r>
      <w:r>
        <w:t>-0</w:t>
      </w:r>
      <w:r w:rsidR="009C0949">
        <w:t>5</w:t>
      </w:r>
      <w:r>
        <w:t>-00</w:t>
      </w:r>
      <w:r w:rsidR="009C0949">
        <w:t>7</w:t>
      </w:r>
      <w:r>
        <w:t xml:space="preserve"> </w:t>
      </w:r>
      <w:r w:rsidRPr="00454D1A">
        <w:t xml:space="preserve">are affirmed herein; and all motions </w:t>
      </w:r>
      <w:r>
        <w:t>associated with A.2</w:t>
      </w:r>
      <w:r w:rsidR="0095309A">
        <w:t>4</w:t>
      </w:r>
      <w:r>
        <w:t>-0</w:t>
      </w:r>
      <w:r w:rsidR="0095309A">
        <w:t>5</w:t>
      </w:r>
      <w:r>
        <w:t>-00</w:t>
      </w:r>
      <w:r w:rsidR="0095309A">
        <w:t>7</w:t>
      </w:r>
      <w:r>
        <w:t xml:space="preserve"> </w:t>
      </w:r>
      <w:r w:rsidRPr="00454D1A">
        <w:t>not specifically addressed herein or previously addressed by the assigned Commissioner or ALJ, are denied.</w:t>
      </w:r>
    </w:p>
    <w:p w:rsidRPr="00454D1A" w:rsidR="00E06B3B" w:rsidP="006A641E" w:rsidRDefault="00E06B3B" w14:paraId="661766C5" w14:textId="561E2E15">
      <w:pPr>
        <w:pStyle w:val="OP"/>
        <w:ind w:firstLine="446"/>
      </w:pPr>
      <w:r w:rsidRPr="00301A04">
        <w:t>Application</w:t>
      </w:r>
      <w:r w:rsidRPr="00454D1A">
        <w:t xml:space="preserve"> </w:t>
      </w:r>
      <w:r>
        <w:t>2</w:t>
      </w:r>
      <w:r w:rsidR="009C0949">
        <w:t>4</w:t>
      </w:r>
      <w:r>
        <w:t>-0</w:t>
      </w:r>
      <w:r w:rsidR="009C0949">
        <w:t>5</w:t>
      </w:r>
      <w:r>
        <w:t>-0</w:t>
      </w:r>
      <w:r w:rsidR="009C0949">
        <w:t xml:space="preserve">07 is </w:t>
      </w:r>
      <w:r w:rsidR="00594FD2">
        <w:t>c</w:t>
      </w:r>
      <w:r w:rsidR="009C0949">
        <w:t>losed.</w:t>
      </w:r>
    </w:p>
    <w:p w:rsidR="008F0116" w:rsidP="008F0116" w:rsidRDefault="008F0116" w14:paraId="57BCAF7E" w14:textId="77777777">
      <w:r>
        <w:t>This order is effective today.</w:t>
      </w:r>
    </w:p>
    <w:p w:rsidR="00AE1AD3" w:rsidP="00AE1AD3" w:rsidRDefault="008F0116" w14:paraId="7786C778" w14:textId="77777777">
      <w:r>
        <w:t xml:space="preserve">Dated </w:t>
      </w:r>
      <w:r>
        <w:rPr>
          <w:u w:val="single"/>
        </w:rPr>
        <w:tab/>
      </w:r>
      <w:r>
        <w:rPr>
          <w:u w:val="single"/>
        </w:rPr>
        <w:tab/>
      </w:r>
      <w:r>
        <w:rPr>
          <w:u w:val="single"/>
        </w:rPr>
        <w:tab/>
      </w:r>
      <w:r>
        <w:rPr>
          <w:u w:val="single"/>
        </w:rPr>
        <w:tab/>
      </w:r>
      <w:r>
        <w:rPr>
          <w:u w:val="single"/>
        </w:rPr>
        <w:tab/>
      </w:r>
      <w:r>
        <w:t>, at San Francisco, California</w:t>
      </w:r>
      <w:r w:rsidRPr="00AE1AD3" w:rsidR="00AE1AD3">
        <w:t xml:space="preserve"> </w:t>
      </w:r>
    </w:p>
    <w:p w:rsidR="00AE1AD3" w:rsidP="00AE1AD3" w:rsidRDefault="00AE1AD3" w14:paraId="69BBDFE8" w14:textId="77777777"/>
    <w:sectPr w:rsidR="00AE1AD3" w:rsidSect="00F77344">
      <w:headerReference w:type="default" r:id="rId14"/>
      <w:footerReference w:type="default" r:id="rId15"/>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B1030" w14:textId="77777777" w:rsidR="00CB2D9F" w:rsidRDefault="00CB2D9F" w:rsidP="0098138E">
      <w:pPr>
        <w:spacing w:line="240" w:lineRule="auto"/>
      </w:pPr>
      <w:r>
        <w:separator/>
      </w:r>
    </w:p>
  </w:endnote>
  <w:endnote w:type="continuationSeparator" w:id="0">
    <w:p w14:paraId="360CEB86" w14:textId="77777777" w:rsidR="00CB2D9F" w:rsidRDefault="00CB2D9F" w:rsidP="0098138E">
      <w:pPr>
        <w:spacing w:line="240" w:lineRule="auto"/>
      </w:pPr>
      <w:r>
        <w:continuationSeparator/>
      </w:r>
    </w:p>
  </w:endnote>
  <w:endnote w:type="continuationNotice" w:id="1">
    <w:p w14:paraId="24C75EC1" w14:textId="77777777" w:rsidR="00CB2D9F" w:rsidRDefault="00CB2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E049" w14:textId="477D6BD1" w:rsidR="00F77344" w:rsidRDefault="00327C62" w:rsidP="00F77344">
    <w:pPr>
      <w:pStyle w:val="Footer"/>
      <w:ind w:firstLine="0"/>
    </w:pPr>
    <w:r w:rsidRPr="00327C62">
      <w:rPr>
        <w:sz w:val="16"/>
        <w:szCs w:val="16"/>
      </w:rPr>
      <w:t>549415334</w:t>
    </w:r>
    <w:r w:rsidR="00F77344">
      <w:tab/>
      <w:t xml:space="preserve">- </w:t>
    </w:r>
    <w:r w:rsidR="00F77344">
      <w:fldChar w:fldCharType="begin"/>
    </w:r>
    <w:r w:rsidR="00F77344">
      <w:instrText xml:space="preserve"> PAGE   \* MERGEFORMAT </w:instrText>
    </w:r>
    <w:r w:rsidR="00F77344">
      <w:fldChar w:fldCharType="separate"/>
    </w:r>
    <w:r w:rsidR="00F77344">
      <w:rPr>
        <w:noProof/>
      </w:rPr>
      <w:t>1</w:t>
    </w:r>
    <w:r w:rsidR="00F77344">
      <w:rPr>
        <w:noProof/>
      </w:rPr>
      <w:fldChar w:fldCharType="end"/>
    </w:r>
    <w:r w:rsidR="00F77344">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AB51"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9DEF"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7CD97" w14:textId="77777777" w:rsidR="00CB2D9F" w:rsidRDefault="00CB2D9F" w:rsidP="00DF58E7">
      <w:pPr>
        <w:spacing w:line="240" w:lineRule="auto"/>
        <w:ind w:firstLine="0"/>
      </w:pPr>
      <w:r>
        <w:separator/>
      </w:r>
    </w:p>
  </w:footnote>
  <w:footnote w:type="continuationSeparator" w:id="0">
    <w:p w14:paraId="2D0DAC90" w14:textId="77777777" w:rsidR="00CB2D9F" w:rsidRDefault="00CB2D9F" w:rsidP="00DF58E7">
      <w:pPr>
        <w:spacing w:line="240" w:lineRule="auto"/>
        <w:ind w:firstLine="0"/>
      </w:pPr>
      <w:r>
        <w:continuationSeparator/>
      </w:r>
    </w:p>
  </w:footnote>
  <w:footnote w:type="continuationNotice" w:id="1">
    <w:p w14:paraId="5DA69717" w14:textId="77777777" w:rsidR="00CB2D9F" w:rsidRPr="00DF58E7" w:rsidRDefault="00CB2D9F" w:rsidP="00DF58E7">
      <w:pPr>
        <w:spacing w:line="240" w:lineRule="auto"/>
        <w:ind w:firstLine="0"/>
        <w:jc w:val="right"/>
        <w:rPr>
          <w:i/>
          <w:sz w:val="22"/>
        </w:rPr>
      </w:pPr>
      <w:r w:rsidRPr="00DF58E7">
        <w:rPr>
          <w:i/>
          <w:sz w:val="22"/>
        </w:rPr>
        <w:t>Footnote continued on next page.</w:t>
      </w:r>
    </w:p>
  </w:footnote>
  <w:footnote w:id="2">
    <w:p w14:paraId="6F5B2A51" w14:textId="6F8C27E9" w:rsidR="00731CFB" w:rsidRPr="00894444" w:rsidRDefault="00731CFB" w:rsidP="00731CFB">
      <w:pPr>
        <w:pStyle w:val="FootnoteText"/>
      </w:pPr>
      <w:r w:rsidRPr="00894444">
        <w:rPr>
          <w:rStyle w:val="FootnoteReference"/>
        </w:rPr>
        <w:footnoteRef/>
      </w:r>
      <w:r w:rsidRPr="00894444">
        <w:t xml:space="preserve"> Exhibit SCE-09</w:t>
      </w:r>
      <w:r w:rsidR="00DE57E7" w:rsidRPr="00894444">
        <w:t xml:space="preserve"> at </w:t>
      </w:r>
      <w:r w:rsidR="00E85688" w:rsidRPr="00894444">
        <w:t>15, Table II-3</w:t>
      </w:r>
      <w:r w:rsidRPr="00894444">
        <w:t>.</w:t>
      </w:r>
    </w:p>
  </w:footnote>
  <w:footnote w:id="3">
    <w:p w14:paraId="17734530" w14:textId="6947BF83" w:rsidR="001C595D" w:rsidRPr="00894444" w:rsidRDefault="001C595D" w:rsidP="00731CFB">
      <w:pPr>
        <w:pStyle w:val="FootnoteText"/>
      </w:pPr>
      <w:r w:rsidRPr="00894444">
        <w:rPr>
          <w:rStyle w:val="FootnoteReference"/>
        </w:rPr>
        <w:footnoteRef/>
      </w:r>
      <w:r w:rsidRPr="00894444">
        <w:t xml:space="preserve"> The 2024 ERRA Forecast revenue requirement was authorized in D.23-11-096 and implemented in rates on January 1, </w:t>
      </w:r>
      <w:r w:rsidR="00D70755" w:rsidRPr="00894444">
        <w:t>2024,</w:t>
      </w:r>
      <w:r w:rsidRPr="00894444">
        <w:t xml:space="preserve"> via Advice Letter 5175-E.</w:t>
      </w:r>
    </w:p>
  </w:footnote>
  <w:footnote w:id="4">
    <w:p w14:paraId="36902CB7" w14:textId="2E1C63B9" w:rsidR="003F09CF" w:rsidRPr="00894444" w:rsidRDefault="003F09CF">
      <w:pPr>
        <w:pStyle w:val="FootnoteText"/>
        <w:rPr>
          <w:lang w:val="en-ZW"/>
        </w:rPr>
      </w:pPr>
      <w:r w:rsidRPr="00894444">
        <w:rPr>
          <w:rStyle w:val="FootnoteReference"/>
        </w:rPr>
        <w:footnoteRef/>
      </w:r>
      <w:r w:rsidRPr="00894444">
        <w:t xml:space="preserve"> </w:t>
      </w:r>
      <w:r w:rsidR="00894444" w:rsidRPr="00894444">
        <w:t>Exhibit SCE-09 at 15, Table II-3 lines 3-5.</w:t>
      </w:r>
    </w:p>
  </w:footnote>
  <w:footnote w:id="5">
    <w:p w14:paraId="0B002BBB" w14:textId="77777777" w:rsidR="00D30CFA" w:rsidRDefault="00D30CFA" w:rsidP="00731CFB">
      <w:pPr>
        <w:pStyle w:val="FootnoteText"/>
      </w:pPr>
      <w:r w:rsidRPr="00894444">
        <w:rPr>
          <w:rStyle w:val="FootnoteReference"/>
        </w:rPr>
        <w:footnoteRef/>
      </w:r>
      <w:r w:rsidRPr="00894444">
        <w:t xml:space="preserve"> Reflects three-year amortization adjustment pursuant to Resolution E-5240.</w:t>
      </w:r>
    </w:p>
  </w:footnote>
  <w:footnote w:id="6">
    <w:p w14:paraId="05DC06A0" w14:textId="1682D8DB" w:rsidR="003E475C" w:rsidRPr="00E75708" w:rsidRDefault="003E475C">
      <w:pPr>
        <w:pStyle w:val="FootnoteText"/>
        <w:rPr>
          <w:i/>
          <w:iCs/>
          <w:lang w:val="en-ZW"/>
        </w:rPr>
      </w:pPr>
      <w:r w:rsidRPr="00E75708">
        <w:rPr>
          <w:rStyle w:val="FootnoteReference"/>
          <w:i/>
          <w:iCs/>
        </w:rPr>
        <w:footnoteRef/>
      </w:r>
      <w:r w:rsidRPr="00E75708">
        <w:rPr>
          <w:i/>
          <w:iCs/>
        </w:rPr>
        <w:t xml:space="preserve"> </w:t>
      </w:r>
      <w:r w:rsidR="0061269F" w:rsidRPr="00EA5982">
        <w:t>D.12-12-033</w:t>
      </w:r>
      <w:r w:rsidR="0054010D">
        <w:t xml:space="preserve"> OP 3</w:t>
      </w:r>
      <w:r w:rsidR="0061269F" w:rsidRPr="00EA5982">
        <w:t>; D.14-10-033</w:t>
      </w:r>
      <w:r w:rsidR="00671DD8">
        <w:t xml:space="preserve"> at 5</w:t>
      </w:r>
      <w:r w:rsidR="0061269F" w:rsidRPr="00EA5982">
        <w:t>.</w:t>
      </w:r>
      <w:r w:rsidR="0061269F" w:rsidRPr="0061269F">
        <w:rPr>
          <w:i/>
          <w:iCs/>
        </w:rPr>
        <w:t xml:space="preserve"> </w:t>
      </w:r>
    </w:p>
  </w:footnote>
  <w:footnote w:id="7">
    <w:p w14:paraId="5E9EA1A0" w14:textId="63C1E19B" w:rsidR="00BF28C3" w:rsidRPr="00BF28C3" w:rsidRDefault="00BF28C3">
      <w:pPr>
        <w:pStyle w:val="FootnoteText"/>
        <w:rPr>
          <w:lang w:val="en-ZW"/>
        </w:rPr>
      </w:pPr>
      <w:r>
        <w:rPr>
          <w:rStyle w:val="FootnoteReference"/>
        </w:rPr>
        <w:footnoteRef/>
      </w:r>
      <w:r>
        <w:t xml:space="preserve"> </w:t>
      </w:r>
      <w:r>
        <w:rPr>
          <w:lang w:val="en-ZW"/>
        </w:rPr>
        <w:t>A</w:t>
      </w:r>
      <w:r w:rsidR="00F55D40">
        <w:rPr>
          <w:lang w:val="en-ZW"/>
        </w:rPr>
        <w:t xml:space="preserve">pplication </w:t>
      </w:r>
      <w:r>
        <w:rPr>
          <w:lang w:val="en-ZW"/>
        </w:rPr>
        <w:t>24-05-007 at 1-2.</w:t>
      </w:r>
    </w:p>
  </w:footnote>
  <w:footnote w:id="8">
    <w:p w14:paraId="7ABFC774" w14:textId="62B6279C" w:rsidR="003A642A" w:rsidRPr="003A642A" w:rsidRDefault="003A642A">
      <w:pPr>
        <w:pStyle w:val="FootnoteText"/>
        <w:rPr>
          <w:lang w:val="en-ZW"/>
        </w:rPr>
      </w:pPr>
      <w:r>
        <w:rPr>
          <w:rStyle w:val="FootnoteReference"/>
        </w:rPr>
        <w:footnoteRef/>
      </w:r>
      <w:r>
        <w:t xml:space="preserve"> </w:t>
      </w:r>
      <w:r>
        <w:rPr>
          <w:lang w:val="en-ZW"/>
        </w:rPr>
        <w:t>Exhibit SCE-09</w:t>
      </w:r>
      <w:r w:rsidR="003E49DF">
        <w:rPr>
          <w:lang w:val="en-ZW"/>
        </w:rPr>
        <w:t xml:space="preserve"> at 6.</w:t>
      </w:r>
    </w:p>
  </w:footnote>
  <w:footnote w:id="9">
    <w:p w14:paraId="18B88331" w14:textId="2D9D1E6E" w:rsidR="006A7F9A" w:rsidRPr="00EC5956" w:rsidRDefault="006A7F9A">
      <w:pPr>
        <w:pStyle w:val="FootnoteText"/>
      </w:pPr>
      <w:r>
        <w:rPr>
          <w:rStyle w:val="FootnoteReference"/>
        </w:rPr>
        <w:footnoteRef/>
      </w:r>
      <w:r>
        <w:t xml:space="preserve"> </w:t>
      </w:r>
      <w:r w:rsidR="00BE45EF">
        <w:t>D.</w:t>
      </w:r>
      <w:r w:rsidR="00F91EE1">
        <w:t>22-01-023 Ordering Paragraph 1 dictates that these values be released by October 1 or the following business day</w:t>
      </w:r>
      <w:r>
        <w:rPr>
          <w:lang w:val="en-ZW"/>
        </w:rPr>
        <w:t>.</w:t>
      </w:r>
    </w:p>
  </w:footnote>
  <w:footnote w:id="10">
    <w:p w14:paraId="383D15AB" w14:textId="1D351EC3" w:rsidR="002E1C4F" w:rsidRDefault="002E1C4F">
      <w:pPr>
        <w:pStyle w:val="FootnoteText"/>
      </w:pPr>
      <w:r>
        <w:rPr>
          <w:rStyle w:val="FootnoteReference"/>
        </w:rPr>
        <w:footnoteRef/>
      </w:r>
      <w:r>
        <w:t xml:space="preserve"> SCE’s October 14, 2024 response to ruling at 2.</w:t>
      </w:r>
    </w:p>
  </w:footnote>
  <w:footnote w:id="11">
    <w:p w14:paraId="2ED2F568" w14:textId="61AD5970" w:rsidR="002A20DD" w:rsidRDefault="002A20DD">
      <w:pPr>
        <w:pStyle w:val="FootnoteText"/>
      </w:pPr>
      <w:r>
        <w:rPr>
          <w:rStyle w:val="FootnoteReference"/>
        </w:rPr>
        <w:footnoteRef/>
      </w:r>
      <w:r>
        <w:t xml:space="preserve"> SCE’s </w:t>
      </w:r>
      <w:r w:rsidR="000E1191">
        <w:t>October 14</w:t>
      </w:r>
      <w:r w:rsidR="00C97428">
        <w:t>,</w:t>
      </w:r>
      <w:r w:rsidR="009D043E">
        <w:t xml:space="preserve"> 2024</w:t>
      </w:r>
      <w:r w:rsidR="000E1191">
        <w:t xml:space="preserve"> </w:t>
      </w:r>
      <w:r>
        <w:t xml:space="preserve">response to ruling at </w:t>
      </w:r>
      <w:r w:rsidR="007358A6">
        <w:t>5 and footnote 8.</w:t>
      </w:r>
    </w:p>
  </w:footnote>
  <w:footnote w:id="12">
    <w:p w14:paraId="6208E9C6" w14:textId="79C9A860" w:rsidR="008A533B" w:rsidRPr="00B8680F" w:rsidRDefault="008A533B" w:rsidP="008A533B">
      <w:pPr>
        <w:pStyle w:val="FootnoteText"/>
        <w:rPr>
          <w:lang w:val="en-ZW"/>
        </w:rPr>
      </w:pPr>
      <w:r>
        <w:rPr>
          <w:rStyle w:val="FootnoteReference"/>
        </w:rPr>
        <w:footnoteRef/>
      </w:r>
      <w:r>
        <w:t xml:space="preserve"> </w:t>
      </w:r>
      <w:r w:rsidR="005165A7" w:rsidRPr="00187611">
        <w:t xml:space="preserve">Exhibit </w:t>
      </w:r>
      <w:r w:rsidR="005165A7" w:rsidRPr="00C97428">
        <w:t>SCE-09 at 15, Table II-3</w:t>
      </w:r>
      <w:r w:rsidR="00EB187E">
        <w:t>, sum of lines 2-4, 12, 16, 19, 23</w:t>
      </w:r>
      <w:r w:rsidRPr="00C97428">
        <w:rPr>
          <w:lang w:val="en-ZW"/>
        </w:rPr>
        <w:t>.</w:t>
      </w:r>
    </w:p>
  </w:footnote>
  <w:footnote w:id="13">
    <w:p w14:paraId="401B0A02" w14:textId="0A2759FD" w:rsidR="00072884" w:rsidRPr="00DA5298" w:rsidRDefault="00072884">
      <w:pPr>
        <w:pStyle w:val="FootnoteText"/>
      </w:pPr>
      <w:r>
        <w:rPr>
          <w:rStyle w:val="FootnoteReference"/>
        </w:rPr>
        <w:footnoteRef/>
      </w:r>
      <w:r>
        <w:t xml:space="preserve"> </w:t>
      </w:r>
      <w:r>
        <w:rPr>
          <w:lang w:val="en-ZW"/>
        </w:rPr>
        <w:t>D.2</w:t>
      </w:r>
      <w:r w:rsidR="00DC66A9">
        <w:rPr>
          <w:lang w:val="en-ZW"/>
        </w:rPr>
        <w:t>3-11-0</w:t>
      </w:r>
      <w:r w:rsidR="004D26E2">
        <w:rPr>
          <w:lang w:val="en-ZW"/>
        </w:rPr>
        <w:t>94 at 4</w:t>
      </w:r>
      <w:r w:rsidR="00FB2467">
        <w:rPr>
          <w:lang w:val="en-ZW"/>
        </w:rPr>
        <w:t>, (</w:t>
      </w:r>
      <w:r w:rsidR="00467FA2">
        <w:rPr>
          <w:lang w:val="en-ZW"/>
        </w:rPr>
        <w:t>$</w:t>
      </w:r>
      <w:r w:rsidR="00FB2467">
        <w:rPr>
          <w:lang w:val="en-ZW"/>
        </w:rPr>
        <w:t>4,</w:t>
      </w:r>
      <w:r w:rsidR="00EC164F">
        <w:rPr>
          <w:lang w:val="en-ZW"/>
        </w:rPr>
        <w:t>536,223</w:t>
      </w:r>
      <w:r w:rsidR="00FB2467">
        <w:rPr>
          <w:lang w:val="en-ZW"/>
        </w:rPr>
        <w:t>/</w:t>
      </w:r>
      <w:r w:rsidR="00467FA2">
        <w:rPr>
          <w:lang w:val="en-ZW"/>
        </w:rPr>
        <w:t>$5,118,545 = 0.8</w:t>
      </w:r>
      <w:r w:rsidR="00EC164F">
        <w:rPr>
          <w:lang w:val="en-ZW"/>
        </w:rPr>
        <w:t>9</w:t>
      </w:r>
      <w:r w:rsidR="00467FA2">
        <w:rPr>
          <w:lang w:val="en-ZW"/>
        </w:rPr>
        <w:t>)</w:t>
      </w:r>
      <w:r w:rsidR="001C1CD5">
        <w:rPr>
          <w:lang w:val="en-ZW"/>
        </w:rPr>
        <w:t>.</w:t>
      </w:r>
    </w:p>
  </w:footnote>
  <w:footnote w:id="14">
    <w:p w14:paraId="08327A32" w14:textId="648EFFF0" w:rsidR="00467FA2" w:rsidRDefault="00467FA2">
      <w:pPr>
        <w:pStyle w:val="FootnoteText"/>
      </w:pPr>
      <w:r>
        <w:rPr>
          <w:rStyle w:val="FootnoteReference"/>
        </w:rPr>
        <w:footnoteRef/>
      </w:r>
      <w:r>
        <w:t xml:space="preserve"> </w:t>
      </w:r>
      <w:r w:rsidR="00B0061E">
        <w:t>Exhibit SCE-09 at 6.</w:t>
      </w:r>
    </w:p>
  </w:footnote>
  <w:footnote w:id="15">
    <w:p w14:paraId="0795E686" w14:textId="6F18374B" w:rsidR="00F039D6" w:rsidRDefault="00F039D6">
      <w:pPr>
        <w:pStyle w:val="FootnoteText"/>
      </w:pPr>
      <w:r>
        <w:rPr>
          <w:rStyle w:val="FootnoteReference"/>
        </w:rPr>
        <w:footnoteRef/>
      </w:r>
      <w:r>
        <w:t xml:space="preserve"> </w:t>
      </w:r>
      <w:r w:rsidRPr="00187611">
        <w:t xml:space="preserve">Exhibit </w:t>
      </w:r>
      <w:r w:rsidRPr="00774B36">
        <w:t>SCE-09 at 18.</w:t>
      </w:r>
    </w:p>
  </w:footnote>
  <w:footnote w:id="16">
    <w:p w14:paraId="74427FC2" w14:textId="2EBD8549" w:rsidR="00A745FA" w:rsidRPr="00A745FA" w:rsidRDefault="00A745FA">
      <w:pPr>
        <w:pStyle w:val="FootnoteText"/>
        <w:rPr>
          <w:lang w:val="en-ZW"/>
        </w:rPr>
      </w:pPr>
      <w:r>
        <w:rPr>
          <w:rStyle w:val="FootnoteReference"/>
        </w:rPr>
        <w:footnoteRef/>
      </w:r>
      <w:r>
        <w:t xml:space="preserve"> </w:t>
      </w:r>
      <w:r w:rsidR="009B4046">
        <w:t>Exhibit SCE-06 at 1</w:t>
      </w:r>
      <w:r w:rsidR="00E844C0">
        <w:t>8</w:t>
      </w:r>
      <w:r w:rsidR="009B4046">
        <w:t>.</w:t>
      </w:r>
    </w:p>
  </w:footnote>
  <w:footnote w:id="17">
    <w:p w14:paraId="6206AF82" w14:textId="510C089A" w:rsidR="00CF2A21" w:rsidRPr="00CF2A21" w:rsidRDefault="00CF2A21">
      <w:pPr>
        <w:pStyle w:val="FootnoteText"/>
        <w:rPr>
          <w:lang w:val="en-ZW"/>
        </w:rPr>
      </w:pPr>
      <w:r>
        <w:rPr>
          <w:rStyle w:val="FootnoteReference"/>
        </w:rPr>
        <w:footnoteRef/>
      </w:r>
      <w:r>
        <w:t xml:space="preserve"> Exhibit SCE-0</w:t>
      </w:r>
      <w:r w:rsidR="00E02C23">
        <w:t>9</w:t>
      </w:r>
      <w:r>
        <w:t xml:space="preserve"> at 1</w:t>
      </w:r>
      <w:r w:rsidR="00E02C23">
        <w:t>9</w:t>
      </w:r>
      <w:r>
        <w:t>.</w:t>
      </w:r>
    </w:p>
  </w:footnote>
  <w:footnote w:id="18">
    <w:p w14:paraId="50B7D1C4" w14:textId="7FA0C86B" w:rsidR="00D94526" w:rsidRPr="00E313F0" w:rsidRDefault="00D94526">
      <w:pPr>
        <w:pStyle w:val="FootnoteText"/>
      </w:pPr>
      <w:r>
        <w:rPr>
          <w:rStyle w:val="FootnoteReference"/>
        </w:rPr>
        <w:footnoteRef/>
      </w:r>
      <w:r>
        <w:t xml:space="preserve"> Exhibit SCE-01 at 19.</w:t>
      </w:r>
    </w:p>
  </w:footnote>
  <w:footnote w:id="19">
    <w:p w14:paraId="3A7C7CB6" w14:textId="6634D9CB" w:rsidR="00C05BD1" w:rsidRPr="00C05BD1" w:rsidRDefault="00C05BD1">
      <w:pPr>
        <w:pStyle w:val="FootnoteText"/>
        <w:rPr>
          <w:lang w:val="en-ZW"/>
        </w:rPr>
      </w:pPr>
      <w:r>
        <w:rPr>
          <w:rStyle w:val="FootnoteReference"/>
        </w:rPr>
        <w:footnoteRef/>
      </w:r>
      <w:r>
        <w:t xml:space="preserve"> Exhibit SCE-01 at 24.</w:t>
      </w:r>
    </w:p>
  </w:footnote>
  <w:footnote w:id="20">
    <w:p w14:paraId="6F6125FE" w14:textId="2FC721E2" w:rsidR="00D65697" w:rsidRPr="00D65697" w:rsidRDefault="00D65697">
      <w:pPr>
        <w:pStyle w:val="FootnoteText"/>
        <w:rPr>
          <w:lang w:val="en-ZW"/>
        </w:rPr>
      </w:pPr>
      <w:r>
        <w:rPr>
          <w:rStyle w:val="FootnoteReference"/>
        </w:rPr>
        <w:footnoteRef/>
      </w:r>
      <w:r>
        <w:t xml:space="preserve"> </w:t>
      </w:r>
      <w:r w:rsidR="00B1154F" w:rsidRPr="00B1154F">
        <w:t>D.21-03-051, OPs 1 and 2.</w:t>
      </w:r>
    </w:p>
  </w:footnote>
  <w:footnote w:id="21">
    <w:p w14:paraId="59457ED2" w14:textId="4D3B1153" w:rsidR="00E175E9" w:rsidRPr="00E175E9" w:rsidRDefault="00E175E9">
      <w:pPr>
        <w:pStyle w:val="FootnoteText"/>
        <w:rPr>
          <w:lang w:val="en-ZW"/>
        </w:rPr>
      </w:pPr>
      <w:r>
        <w:rPr>
          <w:rStyle w:val="FootnoteReference"/>
        </w:rPr>
        <w:footnoteRef/>
      </w:r>
      <w:r>
        <w:t xml:space="preserve"> Exhibit SCE-01 at 14</w:t>
      </w:r>
      <w:r w:rsidR="00457C8A">
        <w:t xml:space="preserve"> and footnote 26.</w:t>
      </w:r>
      <w:r w:rsidR="005F3E15">
        <w:t xml:space="preserve"> The NEM adjustment is 4.5 percent for retail sales and 5.7 percent for bundled sales.</w:t>
      </w:r>
    </w:p>
  </w:footnote>
  <w:footnote w:id="22">
    <w:p w14:paraId="025FA2C0" w14:textId="690931F3" w:rsidR="00EB0F10" w:rsidRPr="00EB0F10" w:rsidRDefault="00EB0F10">
      <w:pPr>
        <w:pStyle w:val="FootnoteText"/>
        <w:rPr>
          <w:lang w:val="en-ZW"/>
        </w:rPr>
      </w:pPr>
      <w:r>
        <w:rPr>
          <w:rStyle w:val="FootnoteReference"/>
        </w:rPr>
        <w:footnoteRef/>
      </w:r>
      <w:r>
        <w:t xml:space="preserve"> Exhibit SCE-01 at 28.</w:t>
      </w:r>
    </w:p>
  </w:footnote>
  <w:footnote w:id="23">
    <w:p w14:paraId="28B29F20" w14:textId="61E035B0" w:rsidR="00B45A48" w:rsidRDefault="00B45A48">
      <w:pPr>
        <w:pStyle w:val="FootnoteText"/>
      </w:pPr>
      <w:r>
        <w:rPr>
          <w:rStyle w:val="FootnoteReference"/>
        </w:rPr>
        <w:footnoteRef/>
      </w:r>
      <w:r>
        <w:t xml:space="preserve"> Exhibit SCE-0</w:t>
      </w:r>
      <w:r w:rsidR="00403121">
        <w:t>9</w:t>
      </w:r>
      <w:r>
        <w:t xml:space="preserve"> at</w:t>
      </w:r>
      <w:r w:rsidR="00661728">
        <w:t xml:space="preserve"> 2</w:t>
      </w:r>
      <w:r w:rsidR="00403121">
        <w:t>6</w:t>
      </w:r>
      <w:r w:rsidR="00661728">
        <w:t>.</w:t>
      </w:r>
    </w:p>
  </w:footnote>
  <w:footnote w:id="24">
    <w:p w14:paraId="2A38E573" w14:textId="629A8792" w:rsidR="003B4C62" w:rsidRPr="003B4C62" w:rsidRDefault="003B4C62">
      <w:pPr>
        <w:pStyle w:val="FootnoteText"/>
        <w:rPr>
          <w:lang w:val="en-ZW"/>
        </w:rPr>
      </w:pPr>
      <w:r>
        <w:rPr>
          <w:rStyle w:val="FootnoteReference"/>
        </w:rPr>
        <w:footnoteRef/>
      </w:r>
      <w:r>
        <w:t xml:space="preserve"> </w:t>
      </w:r>
      <w:r w:rsidR="00661728">
        <w:t>Exhibit SCE-09 at 25</w:t>
      </w:r>
      <w:r>
        <w:rPr>
          <w:lang w:val="en-ZW"/>
        </w:rPr>
        <w:t>.</w:t>
      </w:r>
    </w:p>
  </w:footnote>
  <w:footnote w:id="25">
    <w:p w14:paraId="633AD660" w14:textId="02DAA718" w:rsidR="00C63CC8" w:rsidRDefault="00C63CC8" w:rsidP="00C63CC8">
      <w:pPr>
        <w:pStyle w:val="FootnoteText"/>
      </w:pPr>
      <w:r>
        <w:rPr>
          <w:rStyle w:val="FootnoteReference"/>
        </w:rPr>
        <w:footnoteRef/>
      </w:r>
      <w:r>
        <w:t xml:space="preserve"> Exhibit SCE-09 at 26.</w:t>
      </w:r>
    </w:p>
  </w:footnote>
  <w:footnote w:id="26">
    <w:p w14:paraId="0EA070D2" w14:textId="7A6891BC" w:rsidR="009663D6" w:rsidRDefault="009663D6" w:rsidP="009663D6">
      <w:pPr>
        <w:pStyle w:val="FootnoteText"/>
      </w:pPr>
      <w:r>
        <w:rPr>
          <w:rStyle w:val="FootnoteReference"/>
        </w:rPr>
        <w:footnoteRef/>
      </w:r>
      <w:r>
        <w:t xml:space="preserve"> Exhibit SCE-01 at 38.</w:t>
      </w:r>
    </w:p>
  </w:footnote>
  <w:footnote w:id="27">
    <w:p w14:paraId="725DE12C" w14:textId="3F97FEB9" w:rsidR="001C1CD5" w:rsidRDefault="001C1CD5">
      <w:pPr>
        <w:pStyle w:val="FootnoteText"/>
      </w:pPr>
      <w:r>
        <w:rPr>
          <w:rStyle w:val="FootnoteReference"/>
        </w:rPr>
        <w:footnoteRef/>
      </w:r>
      <w:r>
        <w:t xml:space="preserve"> </w:t>
      </w:r>
      <w:r w:rsidR="00934CA0">
        <w:t xml:space="preserve">Exhibit </w:t>
      </w:r>
      <w:r w:rsidR="007E5128">
        <w:t>SCE-09 at 35</w:t>
      </w:r>
      <w:r>
        <w:t xml:space="preserve">. </w:t>
      </w:r>
    </w:p>
  </w:footnote>
  <w:footnote w:id="28">
    <w:p w14:paraId="1C070D9F" w14:textId="69A5BB66" w:rsidR="00197553" w:rsidRPr="001309A9" w:rsidRDefault="00197553" w:rsidP="00197553">
      <w:pPr>
        <w:pStyle w:val="FootnoteText"/>
        <w:rPr>
          <w:i/>
          <w:iCs/>
        </w:rPr>
      </w:pPr>
      <w:r>
        <w:rPr>
          <w:rStyle w:val="FootnoteReference"/>
        </w:rPr>
        <w:footnoteRef/>
      </w:r>
      <w:r>
        <w:t xml:space="preserve"> </w:t>
      </w:r>
      <w:r w:rsidR="007C0773">
        <w:t>Exhibit SCE-01 at 38.</w:t>
      </w:r>
    </w:p>
  </w:footnote>
  <w:footnote w:id="29">
    <w:p w14:paraId="39ACAF66" w14:textId="0F097EBC" w:rsidR="00D20885" w:rsidRPr="00A932C7" w:rsidRDefault="00D20885">
      <w:pPr>
        <w:pStyle w:val="FootnoteText"/>
      </w:pPr>
      <w:r>
        <w:rPr>
          <w:rStyle w:val="FootnoteReference"/>
        </w:rPr>
        <w:footnoteRef/>
      </w:r>
      <w:r>
        <w:t xml:space="preserve"> </w:t>
      </w:r>
      <w:r>
        <w:rPr>
          <w:lang w:val="en-ZW"/>
        </w:rPr>
        <w:t>A.24-08-012 and A.</w:t>
      </w:r>
      <w:r w:rsidR="00180E04">
        <w:rPr>
          <w:lang w:val="en-ZW"/>
        </w:rPr>
        <w:t>24-09-008.</w:t>
      </w:r>
    </w:p>
  </w:footnote>
  <w:footnote w:id="30">
    <w:p w14:paraId="4E2AF136" w14:textId="59C61297" w:rsidR="00864240" w:rsidRDefault="00864240">
      <w:pPr>
        <w:pStyle w:val="FootnoteText"/>
      </w:pPr>
      <w:r>
        <w:rPr>
          <w:rStyle w:val="FootnoteReference"/>
        </w:rPr>
        <w:footnoteRef/>
      </w:r>
      <w:r>
        <w:t xml:space="preserve"> </w:t>
      </w:r>
      <w:r w:rsidR="00AE1C69">
        <w:t xml:space="preserve">Exhibit </w:t>
      </w:r>
      <w:r w:rsidR="00B82A68">
        <w:t>SCE-09 at 36.</w:t>
      </w:r>
    </w:p>
  </w:footnote>
  <w:footnote w:id="31">
    <w:p w14:paraId="135FB783" w14:textId="58F579DD" w:rsidR="00B82A68" w:rsidRPr="00DB67F8" w:rsidRDefault="00B82A68" w:rsidP="00B82A68">
      <w:pPr>
        <w:pStyle w:val="FootnoteText"/>
      </w:pPr>
      <w:r>
        <w:rPr>
          <w:rStyle w:val="FootnoteReference"/>
        </w:rPr>
        <w:footnoteRef/>
      </w:r>
      <w:r>
        <w:t xml:space="preserve"> </w:t>
      </w:r>
      <w:r w:rsidR="00AE1C69">
        <w:t xml:space="preserve">Exhibit </w:t>
      </w:r>
      <w:r>
        <w:rPr>
          <w:lang w:val="en-ZW"/>
        </w:rPr>
        <w:t>SCE-09 at 37.</w:t>
      </w:r>
    </w:p>
  </w:footnote>
  <w:footnote w:id="32">
    <w:p w14:paraId="74338406" w14:textId="2B2DEE4D" w:rsidR="00E17422" w:rsidRPr="00DB67F8" w:rsidRDefault="00E17422">
      <w:pPr>
        <w:pStyle w:val="FootnoteText"/>
      </w:pPr>
      <w:r>
        <w:rPr>
          <w:rStyle w:val="FootnoteReference"/>
        </w:rPr>
        <w:footnoteRef/>
      </w:r>
      <w:r>
        <w:t xml:space="preserve"> </w:t>
      </w:r>
      <w:r>
        <w:rPr>
          <w:lang w:val="en-ZW"/>
        </w:rPr>
        <w:t>D</w:t>
      </w:r>
      <w:r w:rsidR="00CD7C44">
        <w:rPr>
          <w:lang w:val="en-ZW"/>
        </w:rPr>
        <w:t>.23-11-</w:t>
      </w:r>
      <w:r w:rsidR="00DB67F8">
        <w:rPr>
          <w:lang w:val="en-ZW"/>
        </w:rPr>
        <w:t>094</w:t>
      </w:r>
      <w:r w:rsidR="007A0794">
        <w:rPr>
          <w:lang w:val="en-ZW"/>
        </w:rPr>
        <w:t xml:space="preserve"> at </w:t>
      </w:r>
      <w:r w:rsidR="005157FB">
        <w:rPr>
          <w:lang w:val="en-ZW"/>
        </w:rPr>
        <w:t>20</w:t>
      </w:r>
      <w:r w:rsidR="00DB67F8">
        <w:rPr>
          <w:lang w:val="en-ZW"/>
        </w:rPr>
        <w:t>.</w:t>
      </w:r>
    </w:p>
  </w:footnote>
  <w:footnote w:id="33">
    <w:p w14:paraId="614B9B3E" w14:textId="75A5383A" w:rsidR="007361CF" w:rsidRDefault="007361CF" w:rsidP="007361CF">
      <w:pPr>
        <w:pStyle w:val="FootnoteText"/>
      </w:pPr>
      <w:r>
        <w:rPr>
          <w:rStyle w:val="FootnoteReference"/>
        </w:rPr>
        <w:footnoteRef/>
      </w:r>
      <w:r>
        <w:t xml:space="preserve"> Exhibit SCE-0</w:t>
      </w:r>
      <w:r w:rsidR="00B67289">
        <w:t>1</w:t>
      </w:r>
      <w:r>
        <w:t xml:space="preserve"> at 3</w:t>
      </w:r>
      <w:r w:rsidR="000D5ED4">
        <w:t>9</w:t>
      </w:r>
      <w:r>
        <w:t>.</w:t>
      </w:r>
    </w:p>
  </w:footnote>
  <w:footnote w:id="34">
    <w:p w14:paraId="2C8F7B15" w14:textId="5CDC2DFC" w:rsidR="007361CF" w:rsidRPr="004F3B3C" w:rsidRDefault="007361CF" w:rsidP="007361CF">
      <w:pPr>
        <w:pStyle w:val="FootnoteText"/>
      </w:pPr>
      <w:r>
        <w:rPr>
          <w:rStyle w:val="FootnoteReference"/>
        </w:rPr>
        <w:footnoteRef/>
      </w:r>
      <w:r>
        <w:t xml:space="preserve"> Exhibit SCE-01 at 3</w:t>
      </w:r>
      <w:r w:rsidR="00CA0503">
        <w:t>9</w:t>
      </w:r>
      <w:r>
        <w:t>.</w:t>
      </w:r>
    </w:p>
  </w:footnote>
  <w:footnote w:id="35">
    <w:p w14:paraId="7C5964A1" w14:textId="630B48C3" w:rsidR="007361CF" w:rsidRDefault="007361CF" w:rsidP="007361CF">
      <w:pPr>
        <w:pStyle w:val="FootnoteText"/>
      </w:pPr>
      <w:r>
        <w:rPr>
          <w:rStyle w:val="FootnoteReference"/>
        </w:rPr>
        <w:footnoteRef/>
      </w:r>
      <w:r>
        <w:t xml:space="preserve"> Exhibit SCE-01 at 4</w:t>
      </w:r>
      <w:r w:rsidR="003E0BAA">
        <w:t>3</w:t>
      </w:r>
      <w:r>
        <w:t>.</w:t>
      </w:r>
    </w:p>
  </w:footnote>
  <w:footnote w:id="36">
    <w:p w14:paraId="0C76694E" w14:textId="3DE8B05C" w:rsidR="007361CF" w:rsidRDefault="007361CF" w:rsidP="007361CF">
      <w:pPr>
        <w:pStyle w:val="FootnoteText"/>
      </w:pPr>
      <w:r>
        <w:rPr>
          <w:rStyle w:val="FootnoteReference"/>
        </w:rPr>
        <w:footnoteRef/>
      </w:r>
      <w:r>
        <w:t xml:space="preserve"> Exhibit SCE-0</w:t>
      </w:r>
      <w:r w:rsidR="00EB37D5">
        <w:t>9</w:t>
      </w:r>
      <w:r>
        <w:t xml:space="preserve"> at</w:t>
      </w:r>
      <w:r w:rsidR="00757005">
        <w:t xml:space="preserve"> 3</w:t>
      </w:r>
      <w:r w:rsidR="00EB37D5">
        <w:t>9</w:t>
      </w:r>
      <w:r w:rsidR="00046F40">
        <w:t>,</w:t>
      </w:r>
      <w:r w:rsidR="006F67AB">
        <w:t xml:space="preserve"> </w:t>
      </w:r>
      <w:r w:rsidR="00046F40">
        <w:t>Table IV-11</w:t>
      </w:r>
      <w:r>
        <w:t>.</w:t>
      </w:r>
    </w:p>
  </w:footnote>
  <w:footnote w:id="37">
    <w:p w14:paraId="35B28FB5" w14:textId="1600B99A" w:rsidR="007361CF" w:rsidRDefault="007361CF" w:rsidP="007361CF">
      <w:pPr>
        <w:pStyle w:val="FootnoteText"/>
      </w:pPr>
      <w:r>
        <w:rPr>
          <w:rStyle w:val="FootnoteReference"/>
        </w:rPr>
        <w:footnoteRef/>
      </w:r>
      <w:r>
        <w:t xml:space="preserve"> Exhibit SCE-0</w:t>
      </w:r>
      <w:r w:rsidR="002D5424">
        <w:t>1</w:t>
      </w:r>
      <w:r>
        <w:t xml:space="preserve"> at </w:t>
      </w:r>
      <w:r w:rsidR="002D5424">
        <w:t>43</w:t>
      </w:r>
      <w:r>
        <w:t xml:space="preserve"> – </w:t>
      </w:r>
      <w:r w:rsidR="002D5424">
        <w:t>45</w:t>
      </w:r>
      <w:r>
        <w:t>.</w:t>
      </w:r>
    </w:p>
  </w:footnote>
  <w:footnote w:id="38">
    <w:p w14:paraId="1E3FD957" w14:textId="67A01FEC" w:rsidR="007361CF" w:rsidRDefault="007361CF" w:rsidP="007361CF">
      <w:pPr>
        <w:pStyle w:val="FootnoteText"/>
      </w:pPr>
      <w:r>
        <w:rPr>
          <w:rStyle w:val="FootnoteReference"/>
        </w:rPr>
        <w:footnoteRef/>
      </w:r>
      <w:r>
        <w:t xml:space="preserve"> </w:t>
      </w:r>
      <w:r w:rsidR="00055327">
        <w:t xml:space="preserve">Exhibit SCE-01C at 45; </w:t>
      </w:r>
      <w:r>
        <w:t xml:space="preserve">The Commission ordered SCE to build up to 250 MW of black-start capable, dispatchable generation capacity within its service area through an August 15, 2006 Assigned Commissioner’s Ruling. </w:t>
      </w:r>
    </w:p>
  </w:footnote>
  <w:footnote w:id="39">
    <w:p w14:paraId="12819621" w14:textId="6030A7EB" w:rsidR="007361CF" w:rsidRDefault="007361CF" w:rsidP="007361CF">
      <w:pPr>
        <w:pStyle w:val="FootnoteText"/>
      </w:pPr>
      <w:r>
        <w:rPr>
          <w:rStyle w:val="FootnoteReference"/>
        </w:rPr>
        <w:footnoteRef/>
      </w:r>
      <w:r>
        <w:t xml:space="preserve"> Exhibit SCE-01 at 4</w:t>
      </w:r>
      <w:r w:rsidR="000241AE">
        <w:t>5</w:t>
      </w:r>
      <w:r>
        <w:t>.</w:t>
      </w:r>
    </w:p>
  </w:footnote>
  <w:footnote w:id="40">
    <w:p w14:paraId="10693A52" w14:textId="1B700CD7" w:rsidR="007361CF" w:rsidRPr="00F33236" w:rsidRDefault="007361CF" w:rsidP="007361CF">
      <w:pPr>
        <w:pStyle w:val="FootnoteText"/>
        <w:rPr>
          <w:highlight w:val="yellow"/>
        </w:rPr>
      </w:pPr>
      <w:r>
        <w:rPr>
          <w:rStyle w:val="FootnoteReference"/>
        </w:rPr>
        <w:footnoteRef/>
      </w:r>
      <w:r>
        <w:t xml:space="preserve"> </w:t>
      </w:r>
      <w:r w:rsidRPr="00916C8E">
        <w:t xml:space="preserve">Exhibit SCE-06 at </w:t>
      </w:r>
      <w:r w:rsidR="00210884" w:rsidRPr="00916C8E">
        <w:t>42</w:t>
      </w:r>
      <w:r w:rsidRPr="00916C8E">
        <w:t>.</w:t>
      </w:r>
    </w:p>
  </w:footnote>
  <w:footnote w:id="41">
    <w:p w14:paraId="0CD757AA" w14:textId="41AF2C36" w:rsidR="00830AE4" w:rsidRPr="00FA6C6E" w:rsidRDefault="00830AE4">
      <w:pPr>
        <w:pStyle w:val="FootnoteText"/>
      </w:pPr>
      <w:r>
        <w:rPr>
          <w:rStyle w:val="FootnoteReference"/>
        </w:rPr>
        <w:footnoteRef/>
      </w:r>
      <w:r>
        <w:t xml:space="preserve"> </w:t>
      </w:r>
      <w:r>
        <w:rPr>
          <w:lang w:val="en-ZW"/>
        </w:rPr>
        <w:t>D.23-11-09</w:t>
      </w:r>
      <w:r w:rsidR="005C2BE8">
        <w:rPr>
          <w:lang w:val="en-ZW"/>
        </w:rPr>
        <w:t>4</w:t>
      </w:r>
      <w:r>
        <w:rPr>
          <w:lang w:val="en-ZW"/>
        </w:rPr>
        <w:t xml:space="preserve"> </w:t>
      </w:r>
      <w:r w:rsidR="002468DA">
        <w:rPr>
          <w:lang w:val="en-ZW"/>
        </w:rPr>
        <w:t>OP</w:t>
      </w:r>
      <w:r w:rsidR="00701A49">
        <w:rPr>
          <w:lang w:val="en-ZW"/>
        </w:rPr>
        <w:t xml:space="preserve"> 5.</w:t>
      </w:r>
      <w:r w:rsidR="002468DA">
        <w:rPr>
          <w:lang w:val="en-ZW"/>
        </w:rPr>
        <w:t xml:space="preserve"> </w:t>
      </w:r>
    </w:p>
  </w:footnote>
  <w:footnote w:id="42">
    <w:p w14:paraId="772970BA" w14:textId="1FC5D0C4" w:rsidR="001260BD" w:rsidRPr="00895D75" w:rsidRDefault="001260BD" w:rsidP="001260BD">
      <w:pPr>
        <w:pStyle w:val="FootnoteText"/>
        <w:rPr>
          <w:lang w:val="en-ZW"/>
        </w:rPr>
      </w:pPr>
      <w:r>
        <w:rPr>
          <w:rStyle w:val="FootnoteReference"/>
        </w:rPr>
        <w:footnoteRef/>
      </w:r>
      <w:r>
        <w:t xml:space="preserve"> </w:t>
      </w:r>
      <w:r>
        <w:rPr>
          <w:lang w:val="en-ZW"/>
        </w:rPr>
        <w:t>Exhibit SCE-01 at 30.</w:t>
      </w:r>
    </w:p>
  </w:footnote>
  <w:footnote w:id="43">
    <w:p w14:paraId="5522A5BE" w14:textId="291FF739" w:rsidR="001260BD" w:rsidRPr="00E75708" w:rsidRDefault="001260BD">
      <w:pPr>
        <w:pStyle w:val="FootnoteText"/>
        <w:rPr>
          <w:lang w:val="en-ZW"/>
        </w:rPr>
      </w:pPr>
      <w:r>
        <w:rPr>
          <w:rStyle w:val="FootnoteReference"/>
        </w:rPr>
        <w:footnoteRef/>
      </w:r>
      <w:r>
        <w:t xml:space="preserve"> </w:t>
      </w:r>
      <w:r>
        <w:rPr>
          <w:lang w:val="en-ZW"/>
        </w:rPr>
        <w:t>Exhibit SCE-0</w:t>
      </w:r>
      <w:r w:rsidR="00CF05E3">
        <w:rPr>
          <w:lang w:val="en-ZW"/>
        </w:rPr>
        <w:t>9</w:t>
      </w:r>
      <w:r>
        <w:rPr>
          <w:lang w:val="en-ZW"/>
        </w:rPr>
        <w:t xml:space="preserve"> at </w:t>
      </w:r>
      <w:r w:rsidR="00B14660">
        <w:rPr>
          <w:lang w:val="en-ZW"/>
        </w:rPr>
        <w:t>2</w:t>
      </w:r>
      <w:r w:rsidR="00CF05E3">
        <w:rPr>
          <w:lang w:val="en-ZW"/>
        </w:rPr>
        <w:t>9.</w:t>
      </w:r>
    </w:p>
  </w:footnote>
  <w:footnote w:id="44">
    <w:p w14:paraId="48464B8D" w14:textId="27750CFA" w:rsidR="00023E77" w:rsidRDefault="00023E77">
      <w:pPr>
        <w:pStyle w:val="FootnoteText"/>
      </w:pPr>
      <w:r>
        <w:rPr>
          <w:rStyle w:val="FootnoteReference"/>
        </w:rPr>
        <w:footnoteRef/>
      </w:r>
      <w:r>
        <w:t xml:space="preserve"> </w:t>
      </w:r>
      <w:r w:rsidR="00691373">
        <w:t xml:space="preserve">Exhibit </w:t>
      </w:r>
      <w:r>
        <w:t>SCE-09 at 62.</w:t>
      </w:r>
    </w:p>
  </w:footnote>
  <w:footnote w:id="45">
    <w:p w14:paraId="0A43E576" w14:textId="41E9DC36" w:rsidR="006631EF" w:rsidRPr="00636883" w:rsidRDefault="006631EF" w:rsidP="006631EF">
      <w:pPr>
        <w:pStyle w:val="FootnoteText"/>
      </w:pPr>
      <w:r>
        <w:rPr>
          <w:rStyle w:val="FootnoteReference"/>
        </w:rPr>
        <w:footnoteRef/>
      </w:r>
      <w:r>
        <w:t xml:space="preserve"> Exhibit SCE-0</w:t>
      </w:r>
      <w:r w:rsidR="00C80127">
        <w:t>1</w:t>
      </w:r>
      <w:r>
        <w:t xml:space="preserve"> at </w:t>
      </w:r>
      <w:r w:rsidR="0036717D">
        <w:t>61-63</w:t>
      </w:r>
      <w:r>
        <w:t xml:space="preserve"> and Table IV-1</w:t>
      </w:r>
      <w:r w:rsidR="0036717D">
        <w:t>6</w:t>
      </w:r>
      <w:r>
        <w:t>.</w:t>
      </w:r>
    </w:p>
  </w:footnote>
  <w:footnote w:id="46">
    <w:p w14:paraId="69C6A746" w14:textId="43B1CA80" w:rsidR="006631EF" w:rsidRDefault="006631EF" w:rsidP="006631EF">
      <w:pPr>
        <w:pStyle w:val="FootnoteText"/>
      </w:pPr>
      <w:r>
        <w:rPr>
          <w:rStyle w:val="FootnoteReference"/>
        </w:rPr>
        <w:footnoteRef/>
      </w:r>
      <w:r>
        <w:t xml:space="preserve"> Exhibit SCE-0</w:t>
      </w:r>
      <w:r w:rsidR="00A261C0">
        <w:t>9</w:t>
      </w:r>
      <w:r>
        <w:t xml:space="preserve"> at </w:t>
      </w:r>
      <w:r w:rsidR="00A261C0">
        <w:t>65-66</w:t>
      </w:r>
      <w:r>
        <w:t>.</w:t>
      </w:r>
    </w:p>
  </w:footnote>
  <w:footnote w:id="47">
    <w:p w14:paraId="55091EC3" w14:textId="03A0FFC4" w:rsidR="00113E6B" w:rsidRDefault="00113E6B" w:rsidP="00113E6B">
      <w:pPr>
        <w:pStyle w:val="FootnoteText"/>
      </w:pPr>
      <w:r>
        <w:rPr>
          <w:rStyle w:val="FootnoteReference"/>
        </w:rPr>
        <w:footnoteRef/>
      </w:r>
      <w:r>
        <w:t xml:space="preserve"> Exhibit SCE-0</w:t>
      </w:r>
      <w:r w:rsidR="00875C1D">
        <w:t>1</w:t>
      </w:r>
      <w:r>
        <w:t xml:space="preserve"> at 4</w:t>
      </w:r>
      <w:r w:rsidR="00F33236">
        <w:t>8</w:t>
      </w:r>
      <w:r>
        <w:t>.</w:t>
      </w:r>
    </w:p>
  </w:footnote>
  <w:footnote w:id="48">
    <w:p w14:paraId="645CA3CA" w14:textId="5280AA11" w:rsidR="00D51519" w:rsidRPr="00D51519" w:rsidRDefault="00D51519">
      <w:pPr>
        <w:pStyle w:val="FootnoteText"/>
      </w:pPr>
      <w:r>
        <w:rPr>
          <w:rStyle w:val="FootnoteReference"/>
        </w:rPr>
        <w:footnoteRef/>
      </w:r>
      <w:r>
        <w:t xml:space="preserve"> </w:t>
      </w:r>
      <w:r>
        <w:rPr>
          <w:lang w:val="en-ZW"/>
        </w:rPr>
        <w:t>Exhibit SCE-06 at 45.</w:t>
      </w:r>
    </w:p>
  </w:footnote>
  <w:footnote w:id="49">
    <w:p w14:paraId="72163CDB" w14:textId="2D09256D" w:rsidR="007E5B69" w:rsidRPr="00BF02B2" w:rsidRDefault="007E5B69">
      <w:pPr>
        <w:pStyle w:val="FootnoteText"/>
      </w:pPr>
      <w:r w:rsidRPr="00BF02B2">
        <w:rPr>
          <w:rStyle w:val="FootnoteReference"/>
        </w:rPr>
        <w:footnoteRef/>
      </w:r>
      <w:r w:rsidRPr="00BF02B2">
        <w:t xml:space="preserve"> Exhibit SCE-01 at 47, table IV-14.</w:t>
      </w:r>
    </w:p>
  </w:footnote>
  <w:footnote w:id="50">
    <w:p w14:paraId="66949915" w14:textId="2C939DDE" w:rsidR="00323E1C" w:rsidRPr="00BF02B2" w:rsidRDefault="00323E1C">
      <w:pPr>
        <w:pStyle w:val="FootnoteText"/>
      </w:pPr>
      <w:r w:rsidRPr="00BF02B2">
        <w:rPr>
          <w:rStyle w:val="FootnoteReference"/>
        </w:rPr>
        <w:footnoteRef/>
      </w:r>
      <w:r w:rsidRPr="00BF02B2">
        <w:t xml:space="preserve"> Exhibit SCE-01 at 46, footnote 51.</w:t>
      </w:r>
    </w:p>
  </w:footnote>
  <w:footnote w:id="51">
    <w:p w14:paraId="7C4942B8" w14:textId="7B43F30C" w:rsidR="00DB428A" w:rsidRPr="00BF02B2" w:rsidRDefault="00DB428A">
      <w:pPr>
        <w:pStyle w:val="FootnoteText"/>
      </w:pPr>
      <w:r w:rsidRPr="00BF02B2">
        <w:rPr>
          <w:rStyle w:val="FootnoteReference"/>
        </w:rPr>
        <w:footnoteRef/>
      </w:r>
      <w:r w:rsidRPr="00BF02B2">
        <w:t xml:space="preserve"> Exhibit SCE-01 at 46, footnote </w:t>
      </w:r>
      <w:r w:rsidR="00671317" w:rsidRPr="00BF02B2">
        <w:t>50.</w:t>
      </w:r>
    </w:p>
  </w:footnote>
  <w:footnote w:id="52">
    <w:p w14:paraId="3D49442B" w14:textId="0F510CE6" w:rsidR="00A92E46" w:rsidRPr="008B7ABC" w:rsidRDefault="00A92E46">
      <w:pPr>
        <w:pStyle w:val="FootnoteText"/>
        <w:rPr>
          <w:highlight w:val="yellow"/>
        </w:rPr>
      </w:pPr>
      <w:r w:rsidRPr="00BF02B2">
        <w:rPr>
          <w:rStyle w:val="FootnoteReference"/>
        </w:rPr>
        <w:footnoteRef/>
      </w:r>
      <w:r w:rsidRPr="00BF02B2">
        <w:t xml:space="preserve"> </w:t>
      </w:r>
      <w:r w:rsidRPr="00023D1A">
        <w:t>Exhibit SCE-06 at 57</w:t>
      </w:r>
      <w:r w:rsidR="00E90ECA" w:rsidRPr="00023D1A">
        <w:t>.</w:t>
      </w:r>
    </w:p>
  </w:footnote>
  <w:footnote w:id="53">
    <w:p w14:paraId="28D97FB5" w14:textId="6C0E5E45" w:rsidR="00E90ECA" w:rsidRDefault="00E90ECA">
      <w:pPr>
        <w:pStyle w:val="FootnoteText"/>
      </w:pPr>
      <w:r w:rsidRPr="007A4880">
        <w:rPr>
          <w:rStyle w:val="FootnoteReference"/>
        </w:rPr>
        <w:footnoteRef/>
      </w:r>
      <w:r w:rsidRPr="007A4880">
        <w:t xml:space="preserve"> Exhibit SCE-06 </w:t>
      </w:r>
      <w:r w:rsidRPr="00C336D3">
        <w:t>at 59-60.</w:t>
      </w:r>
    </w:p>
  </w:footnote>
  <w:footnote w:id="54">
    <w:p w14:paraId="3F071097" w14:textId="11FD6254" w:rsidR="00CF2EA9" w:rsidRDefault="00CF2EA9">
      <w:pPr>
        <w:pStyle w:val="FootnoteText"/>
      </w:pPr>
      <w:r>
        <w:rPr>
          <w:rStyle w:val="FootnoteReference"/>
        </w:rPr>
        <w:footnoteRef/>
      </w:r>
      <w:r>
        <w:t xml:space="preserve"> </w:t>
      </w:r>
      <w:r w:rsidRPr="00AA74D1">
        <w:t>Exhibit SCE-06 at 59.</w:t>
      </w:r>
    </w:p>
  </w:footnote>
  <w:footnote w:id="55">
    <w:p w14:paraId="08F072C6" w14:textId="6306AA79" w:rsidR="007361CF" w:rsidRDefault="007361CF" w:rsidP="007361CF">
      <w:pPr>
        <w:pStyle w:val="FootnoteText"/>
      </w:pPr>
      <w:r>
        <w:rPr>
          <w:rStyle w:val="FootnoteReference"/>
        </w:rPr>
        <w:footnoteRef/>
      </w:r>
      <w:r>
        <w:t xml:space="preserve"> Exhibit SCE-0</w:t>
      </w:r>
      <w:r w:rsidR="00FF4A3E">
        <w:t>1</w:t>
      </w:r>
      <w:r>
        <w:t xml:space="preserve"> at 4</w:t>
      </w:r>
      <w:r w:rsidR="00FF4A3E">
        <w:t>7-48</w:t>
      </w:r>
      <w:r>
        <w:t>.</w:t>
      </w:r>
    </w:p>
  </w:footnote>
  <w:footnote w:id="56">
    <w:p w14:paraId="5874FBA1" w14:textId="260F3F57" w:rsidR="007361CF" w:rsidRPr="00681B48" w:rsidRDefault="007361CF" w:rsidP="007361CF">
      <w:pPr>
        <w:pStyle w:val="FootnoteText"/>
      </w:pPr>
      <w:r>
        <w:rPr>
          <w:rStyle w:val="FootnoteReference"/>
        </w:rPr>
        <w:footnoteRef/>
      </w:r>
      <w:r>
        <w:t xml:space="preserve"> Exhibit SCE-0</w:t>
      </w:r>
      <w:r w:rsidR="00B94B1C">
        <w:t>1</w:t>
      </w:r>
      <w:r>
        <w:t xml:space="preserve"> at 4</w:t>
      </w:r>
      <w:r w:rsidR="00B94B1C">
        <w:t>9</w:t>
      </w:r>
      <w:r>
        <w:t>.</w:t>
      </w:r>
    </w:p>
  </w:footnote>
  <w:footnote w:id="57">
    <w:p w14:paraId="1AE63A4B" w14:textId="39C6E3A1" w:rsidR="007361CF" w:rsidRDefault="007361CF" w:rsidP="007361CF">
      <w:pPr>
        <w:pStyle w:val="FootnoteText"/>
      </w:pPr>
      <w:r>
        <w:rPr>
          <w:rStyle w:val="FootnoteReference"/>
        </w:rPr>
        <w:footnoteRef/>
      </w:r>
      <w:r>
        <w:t xml:space="preserve"> Exhibit SCE-01 at 4</w:t>
      </w:r>
      <w:r w:rsidR="00DE3E24">
        <w:t>9</w:t>
      </w:r>
      <w:r>
        <w:t>.</w:t>
      </w:r>
    </w:p>
  </w:footnote>
  <w:footnote w:id="58">
    <w:p w14:paraId="0D5703ED" w14:textId="765C73BF" w:rsidR="007361CF" w:rsidRDefault="007361CF" w:rsidP="007361CF">
      <w:pPr>
        <w:pStyle w:val="FootnoteText"/>
      </w:pPr>
      <w:r>
        <w:rPr>
          <w:rStyle w:val="FootnoteReference"/>
        </w:rPr>
        <w:footnoteRef/>
      </w:r>
      <w:r>
        <w:t xml:space="preserve"> </w:t>
      </w:r>
      <w:r w:rsidRPr="00841B5E">
        <w:t>Exhibit SCE-06 at 4</w:t>
      </w:r>
      <w:r w:rsidR="00841B5E" w:rsidRPr="00841B5E">
        <w:t>7</w:t>
      </w:r>
      <w:r w:rsidRPr="00841B5E">
        <w:t>.</w:t>
      </w:r>
    </w:p>
  </w:footnote>
  <w:footnote w:id="59">
    <w:p w14:paraId="5E3E42CF" w14:textId="77777777" w:rsidR="007361CF" w:rsidRDefault="007361CF" w:rsidP="007361CF">
      <w:pPr>
        <w:pStyle w:val="FootnoteText"/>
      </w:pPr>
      <w:r>
        <w:rPr>
          <w:rStyle w:val="FootnoteReference"/>
        </w:rPr>
        <w:footnoteRef/>
      </w:r>
      <w:r>
        <w:t xml:space="preserve"> D.21-06-035 required at least 11,500 MW of additional net qualifying capacity (NQC) to be procured by all of the LSEs subject to the Commission’s integrated resource planning (IRP) authority. SCE’s portion of that capacity is 4,052 MW: 705 MW online by August 1, 2023; 2,114 MW by June 1, 2024; 529 MW by June 1, 2025, and 705 MW of long lead time resources by 2026. </w:t>
      </w:r>
    </w:p>
  </w:footnote>
  <w:footnote w:id="60">
    <w:p w14:paraId="4B39C204" w14:textId="1C473029" w:rsidR="004A6BDD" w:rsidRDefault="004A6BDD">
      <w:pPr>
        <w:pStyle w:val="FootnoteText"/>
      </w:pPr>
      <w:r>
        <w:rPr>
          <w:rStyle w:val="FootnoteReference"/>
        </w:rPr>
        <w:footnoteRef/>
      </w:r>
      <w:r>
        <w:t xml:space="preserve"> Exhibit SCE-06 at 50.</w:t>
      </w:r>
    </w:p>
  </w:footnote>
  <w:footnote w:id="61">
    <w:p w14:paraId="54CB8031" w14:textId="596FAC0E" w:rsidR="00994784" w:rsidRDefault="00994784">
      <w:pPr>
        <w:pStyle w:val="FootnoteText"/>
      </w:pPr>
      <w:r>
        <w:rPr>
          <w:rStyle w:val="FootnoteReference"/>
        </w:rPr>
        <w:footnoteRef/>
      </w:r>
      <w:r>
        <w:t xml:space="preserve"> Exhibit SCE-0</w:t>
      </w:r>
      <w:r w:rsidR="00392E15">
        <w:t>9</w:t>
      </w:r>
      <w:r>
        <w:t xml:space="preserve"> at 5</w:t>
      </w:r>
      <w:r w:rsidR="00392E15">
        <w:t>2</w:t>
      </w:r>
      <w:r>
        <w:t>.</w:t>
      </w:r>
    </w:p>
  </w:footnote>
  <w:footnote w:id="62">
    <w:p w14:paraId="16A6C32E" w14:textId="35BA7DB9" w:rsidR="00467E53" w:rsidRDefault="00467E53">
      <w:pPr>
        <w:pStyle w:val="FootnoteText"/>
      </w:pPr>
      <w:r>
        <w:rPr>
          <w:rStyle w:val="FootnoteReference"/>
        </w:rPr>
        <w:footnoteRef/>
      </w:r>
      <w:r>
        <w:t xml:space="preserve"> Exhibit SCE-09 at 54</w:t>
      </w:r>
      <w:r w:rsidR="00AA74D1">
        <w:t>.</w:t>
      </w:r>
    </w:p>
  </w:footnote>
  <w:footnote w:id="63">
    <w:p w14:paraId="1174FEC9" w14:textId="21543B31" w:rsidR="00AF1A1B" w:rsidRDefault="00AF1A1B">
      <w:pPr>
        <w:pStyle w:val="FootnoteText"/>
      </w:pPr>
      <w:r>
        <w:rPr>
          <w:rStyle w:val="FootnoteReference"/>
        </w:rPr>
        <w:footnoteRef/>
      </w:r>
      <w:r>
        <w:t xml:space="preserve"> SCE O</w:t>
      </w:r>
      <w:r w:rsidR="00AA74D1">
        <w:t xml:space="preserve">pening </w:t>
      </w:r>
      <w:r>
        <w:t>B</w:t>
      </w:r>
      <w:r w:rsidR="00AA74D1">
        <w:t>rief</w:t>
      </w:r>
      <w:r>
        <w:t xml:space="preserve"> at 15.</w:t>
      </w:r>
    </w:p>
  </w:footnote>
  <w:footnote w:id="64">
    <w:p w14:paraId="6331298C" w14:textId="33C76BA5" w:rsidR="00512B6A" w:rsidRDefault="00512B6A" w:rsidP="00512B6A">
      <w:pPr>
        <w:pStyle w:val="FootnoteText"/>
      </w:pPr>
      <w:r w:rsidRPr="28FD45A9">
        <w:rPr>
          <w:rStyle w:val="FootnoteReference"/>
        </w:rPr>
        <w:footnoteRef/>
      </w:r>
      <w:r>
        <w:t xml:space="preserve"> Decision 18-10-019, </w:t>
      </w:r>
      <w:r w:rsidRPr="00AE649D">
        <w:rPr>
          <w:rFonts w:eastAsiaTheme="minorEastAsia"/>
          <w:i/>
          <w:iCs/>
          <w:kern w:val="2"/>
          <w:sz w:val="20"/>
          <w:lang w:eastAsia="zh-CN"/>
          <w14:ligatures w14:val="standardContextual"/>
        </w:rPr>
        <w:t>Decision Modifying the Power Charge Indifference Adjustment Methodology</w:t>
      </w:r>
      <w:r>
        <w:t>, at 7</w:t>
      </w:r>
      <w:r w:rsidR="00D75E48">
        <w:t>4</w:t>
      </w:r>
      <w:r>
        <w:t>. Issued in Rulemaking (</w:t>
      </w:r>
      <w:r w:rsidRPr="28FD45A9">
        <w:t>R.) 17-06-026</w:t>
      </w:r>
    </w:p>
  </w:footnote>
  <w:footnote w:id="65">
    <w:p w14:paraId="3240D475" w14:textId="2ED2F7C0" w:rsidR="007361CF" w:rsidRDefault="007361CF" w:rsidP="007361CF">
      <w:pPr>
        <w:pStyle w:val="FootnoteText"/>
      </w:pPr>
      <w:r>
        <w:rPr>
          <w:rStyle w:val="FootnoteReference"/>
        </w:rPr>
        <w:footnoteRef/>
      </w:r>
      <w:r>
        <w:t xml:space="preserve"> Exhibit SCE-01 at </w:t>
      </w:r>
      <w:r w:rsidR="00695A8C">
        <w:t>54-55</w:t>
      </w:r>
      <w:r>
        <w:t>.</w:t>
      </w:r>
    </w:p>
  </w:footnote>
  <w:footnote w:id="66">
    <w:p w14:paraId="1CB8AA23" w14:textId="3C5A5452" w:rsidR="001C5990" w:rsidRDefault="001C5990" w:rsidP="000868BC">
      <w:pPr>
        <w:pStyle w:val="FootnoteText"/>
      </w:pPr>
      <w:r>
        <w:rPr>
          <w:rStyle w:val="FootnoteReference"/>
        </w:rPr>
        <w:footnoteRef/>
      </w:r>
      <w:r>
        <w:t xml:space="preserve"> </w:t>
      </w:r>
      <w:r w:rsidR="00E71627">
        <w:t>Exhibit SCE-01 at 55</w:t>
      </w:r>
      <w:r w:rsidR="00A07B2A">
        <w:t xml:space="preserve">; SCE includes the following </w:t>
      </w:r>
      <w:r>
        <w:t>Preferred Resources</w:t>
      </w:r>
      <w:r w:rsidR="000D40BA">
        <w:t>:</w:t>
      </w:r>
      <w:r>
        <w:t xml:space="preserve"> </w:t>
      </w:r>
      <w:r w:rsidR="000868BC">
        <w:t>Demand Response, Renewable Distributed Generation, Energy Storage, Renewable Distributed Generation paired with Energy Storage and Permanent Load Shifting</w:t>
      </w:r>
      <w:r w:rsidR="00A07B2A">
        <w:t>.</w:t>
      </w:r>
    </w:p>
  </w:footnote>
  <w:footnote w:id="67">
    <w:p w14:paraId="7363BBD5" w14:textId="348F3452" w:rsidR="001C5990" w:rsidRDefault="001C5990" w:rsidP="001C5990">
      <w:pPr>
        <w:pStyle w:val="FootnoteText"/>
      </w:pPr>
      <w:r>
        <w:rPr>
          <w:rStyle w:val="FootnoteReference"/>
        </w:rPr>
        <w:footnoteRef/>
      </w:r>
      <w:r>
        <w:t xml:space="preserve"> </w:t>
      </w:r>
      <w:r w:rsidRPr="00A61D4A">
        <w:rPr>
          <w:color w:val="000000" w:themeColor="text1"/>
        </w:rPr>
        <w:t>Exhibit SCE-0</w:t>
      </w:r>
      <w:r w:rsidR="00261DEE" w:rsidRPr="00A61D4A">
        <w:rPr>
          <w:color w:val="000000" w:themeColor="text1"/>
        </w:rPr>
        <w:t>1</w:t>
      </w:r>
      <w:r w:rsidRPr="00A61D4A">
        <w:rPr>
          <w:color w:val="000000" w:themeColor="text1"/>
        </w:rPr>
        <w:t xml:space="preserve"> at </w:t>
      </w:r>
      <w:r w:rsidR="00261DEE" w:rsidRPr="00A61D4A">
        <w:rPr>
          <w:color w:val="000000" w:themeColor="text1"/>
        </w:rPr>
        <w:t>56</w:t>
      </w:r>
      <w:r w:rsidRPr="00A61D4A">
        <w:rPr>
          <w:color w:val="000000" w:themeColor="text1"/>
        </w:rPr>
        <w:t xml:space="preserve"> and footnote </w:t>
      </w:r>
      <w:r w:rsidR="00A61D4A" w:rsidRPr="00A61D4A">
        <w:rPr>
          <w:color w:val="000000" w:themeColor="text1"/>
        </w:rPr>
        <w:t>6</w:t>
      </w:r>
      <w:r w:rsidRPr="00A61D4A">
        <w:rPr>
          <w:color w:val="000000" w:themeColor="text1"/>
        </w:rPr>
        <w:t>2.</w:t>
      </w:r>
    </w:p>
  </w:footnote>
  <w:footnote w:id="68">
    <w:p w14:paraId="5429C048" w14:textId="4D139603" w:rsidR="001C5990" w:rsidRPr="00090D2E" w:rsidRDefault="001C5990" w:rsidP="001C5990">
      <w:pPr>
        <w:pStyle w:val="FootnoteText"/>
      </w:pPr>
      <w:r>
        <w:rPr>
          <w:rStyle w:val="FootnoteReference"/>
        </w:rPr>
        <w:footnoteRef/>
      </w:r>
      <w:r>
        <w:t xml:space="preserve"> Exhibit SCE-0</w:t>
      </w:r>
      <w:r w:rsidR="00FE71C2">
        <w:t>9</w:t>
      </w:r>
      <w:r>
        <w:t xml:space="preserve"> at 12</w:t>
      </w:r>
      <w:r w:rsidR="005A43B2">
        <w:t>4</w:t>
      </w:r>
      <w:r w:rsidR="00E85786">
        <w:t>.</w:t>
      </w:r>
    </w:p>
  </w:footnote>
  <w:footnote w:id="69">
    <w:p w14:paraId="60C26531" w14:textId="69C5BDD3" w:rsidR="001C5990" w:rsidRDefault="001C5990" w:rsidP="001C5990">
      <w:pPr>
        <w:pStyle w:val="FootnoteText"/>
      </w:pPr>
      <w:r>
        <w:rPr>
          <w:rStyle w:val="FootnoteReference"/>
        </w:rPr>
        <w:footnoteRef/>
      </w:r>
      <w:r>
        <w:t xml:space="preserve"> Exhibit SCE-0</w:t>
      </w:r>
      <w:r w:rsidR="00F50DFA">
        <w:t>1</w:t>
      </w:r>
      <w:r>
        <w:t xml:space="preserve"> at 1</w:t>
      </w:r>
      <w:r w:rsidR="00F50DFA">
        <w:t>23</w:t>
      </w:r>
      <w:r>
        <w:t>.</w:t>
      </w:r>
    </w:p>
  </w:footnote>
  <w:footnote w:id="70">
    <w:p w14:paraId="2682A543" w14:textId="3B1925DC" w:rsidR="00E72CEF" w:rsidRDefault="00E72CEF">
      <w:pPr>
        <w:pStyle w:val="FootnoteText"/>
      </w:pPr>
      <w:r>
        <w:rPr>
          <w:rStyle w:val="FootnoteReference"/>
        </w:rPr>
        <w:footnoteRef/>
      </w:r>
      <w:r>
        <w:t xml:space="preserve"> Exhibit SCE-0</w:t>
      </w:r>
      <w:r w:rsidR="00906870">
        <w:t>9</w:t>
      </w:r>
      <w:r>
        <w:t xml:space="preserve"> at 126</w:t>
      </w:r>
      <w:r w:rsidR="001C1CD5">
        <w:t>.</w:t>
      </w:r>
    </w:p>
  </w:footnote>
  <w:footnote w:id="71">
    <w:p w14:paraId="73EB0718" w14:textId="428F4AB0" w:rsidR="00C8595D" w:rsidRDefault="00C8595D">
      <w:pPr>
        <w:pStyle w:val="FootnoteText"/>
      </w:pPr>
      <w:r>
        <w:rPr>
          <w:rStyle w:val="FootnoteReference"/>
        </w:rPr>
        <w:footnoteRef/>
      </w:r>
      <w:r>
        <w:t xml:space="preserve"> </w:t>
      </w:r>
      <w:r w:rsidR="002C01B8">
        <w:t>D.</w:t>
      </w:r>
      <w:r w:rsidR="00077AAA">
        <w:t>24-05-065 Ordering Paragraph 5(b).</w:t>
      </w:r>
    </w:p>
  </w:footnote>
  <w:footnote w:id="72">
    <w:p w14:paraId="10461776" w14:textId="0759E525" w:rsidR="005F7667" w:rsidRPr="00E75708" w:rsidRDefault="005F7667">
      <w:pPr>
        <w:pStyle w:val="FootnoteText"/>
        <w:rPr>
          <w:lang w:val="en-ZW"/>
        </w:rPr>
      </w:pPr>
      <w:r>
        <w:rPr>
          <w:rStyle w:val="FootnoteReference"/>
        </w:rPr>
        <w:footnoteRef/>
      </w:r>
      <w:r>
        <w:t xml:space="preserve"> </w:t>
      </w:r>
      <w:r>
        <w:rPr>
          <w:lang w:val="en-ZW"/>
        </w:rPr>
        <w:t>Exhibit SCE-0</w:t>
      </w:r>
      <w:r w:rsidR="00511DC1">
        <w:rPr>
          <w:lang w:val="en-ZW"/>
        </w:rPr>
        <w:t>9</w:t>
      </w:r>
      <w:r>
        <w:rPr>
          <w:lang w:val="en-ZW"/>
        </w:rPr>
        <w:t xml:space="preserve"> at 5</w:t>
      </w:r>
      <w:r w:rsidR="00511DC1">
        <w:rPr>
          <w:lang w:val="en-ZW"/>
        </w:rPr>
        <w:t>7</w:t>
      </w:r>
      <w:r>
        <w:rPr>
          <w:lang w:val="en-ZW"/>
        </w:rPr>
        <w:t>.</w:t>
      </w:r>
    </w:p>
  </w:footnote>
  <w:footnote w:id="73">
    <w:p w14:paraId="1AA8D53A" w14:textId="58B37BC7" w:rsidR="000A0858" w:rsidRDefault="000A0858">
      <w:pPr>
        <w:pStyle w:val="FootnoteText"/>
      </w:pPr>
      <w:r>
        <w:rPr>
          <w:rStyle w:val="FootnoteReference"/>
        </w:rPr>
        <w:footnoteRef/>
      </w:r>
      <w:r w:rsidR="00A86298">
        <w:t xml:space="preserve"> Exhibit SCE-09 a</w:t>
      </w:r>
      <w:r>
        <w:t>t 56</w:t>
      </w:r>
      <w:r w:rsidR="00A86298">
        <w:t>.</w:t>
      </w:r>
    </w:p>
  </w:footnote>
  <w:footnote w:id="74">
    <w:p w14:paraId="25015023" w14:textId="2D35C90E" w:rsidR="002861DE" w:rsidRPr="00753E13" w:rsidRDefault="002861DE" w:rsidP="002861DE">
      <w:pPr>
        <w:pStyle w:val="FootnoteText"/>
      </w:pPr>
      <w:r>
        <w:rPr>
          <w:rStyle w:val="FootnoteReference"/>
        </w:rPr>
        <w:footnoteRef/>
      </w:r>
      <w:r>
        <w:t xml:space="preserve"> </w:t>
      </w:r>
      <w:r>
        <w:rPr>
          <w:lang w:val="en-ZW"/>
        </w:rPr>
        <w:t>Exhibit SCE-09 at 58</w:t>
      </w:r>
      <w:r w:rsidR="000022A3">
        <w:rPr>
          <w:lang w:val="en-ZW"/>
        </w:rPr>
        <w:t>.</w:t>
      </w:r>
    </w:p>
  </w:footnote>
  <w:footnote w:id="75">
    <w:p w14:paraId="2CDF424C" w14:textId="2A436390" w:rsidR="00DC4700" w:rsidRDefault="00DC4700">
      <w:pPr>
        <w:pStyle w:val="FootnoteText"/>
      </w:pPr>
      <w:r>
        <w:rPr>
          <w:rStyle w:val="FootnoteReference"/>
        </w:rPr>
        <w:footnoteRef/>
      </w:r>
      <w:r>
        <w:t xml:space="preserve"> D.23-11-094 OP 10 lists 2024 </w:t>
      </w:r>
      <w:r w:rsidR="00C81EB7">
        <w:t xml:space="preserve">GTSR participation as </w:t>
      </w:r>
      <w:r w:rsidR="00081310">
        <w:t>171,</w:t>
      </w:r>
      <w:r w:rsidR="002861DE">
        <w:t>220 MWh.</w:t>
      </w:r>
    </w:p>
  </w:footnote>
  <w:footnote w:id="76">
    <w:p w14:paraId="58B3577B" w14:textId="2DCBD7F8" w:rsidR="00592EB2" w:rsidRPr="00E75708" w:rsidRDefault="00592EB2">
      <w:pPr>
        <w:pStyle w:val="FootnoteText"/>
        <w:rPr>
          <w:lang w:val="en-ZW"/>
        </w:rPr>
      </w:pPr>
      <w:r>
        <w:rPr>
          <w:rStyle w:val="FootnoteReference"/>
        </w:rPr>
        <w:footnoteRef/>
      </w:r>
      <w:r>
        <w:t xml:space="preserve"> </w:t>
      </w:r>
      <w:r>
        <w:rPr>
          <w:lang w:val="en-ZW"/>
        </w:rPr>
        <w:t>Exhibit SCE-0</w:t>
      </w:r>
      <w:r w:rsidR="00F411FB">
        <w:rPr>
          <w:lang w:val="en-ZW"/>
        </w:rPr>
        <w:t>9</w:t>
      </w:r>
      <w:r>
        <w:rPr>
          <w:lang w:val="en-ZW"/>
        </w:rPr>
        <w:t xml:space="preserve"> at 5</w:t>
      </w:r>
      <w:r w:rsidR="009C752F">
        <w:rPr>
          <w:lang w:val="en-ZW"/>
        </w:rPr>
        <w:t>8</w:t>
      </w:r>
      <w:r>
        <w:rPr>
          <w:lang w:val="en-ZW"/>
        </w:rPr>
        <w:t>.</w:t>
      </w:r>
    </w:p>
  </w:footnote>
  <w:footnote w:id="77">
    <w:p w14:paraId="40E6DFA4" w14:textId="55AD0B22" w:rsidR="00F41AE4" w:rsidRDefault="00F41AE4">
      <w:pPr>
        <w:pStyle w:val="FootnoteText"/>
      </w:pPr>
      <w:r>
        <w:rPr>
          <w:rStyle w:val="FootnoteReference"/>
        </w:rPr>
        <w:footnoteRef/>
      </w:r>
      <w:r>
        <w:t xml:space="preserve"> Exhibit SCE-09 at </w:t>
      </w:r>
      <w:r w:rsidR="003871B0">
        <w:t>58.</w:t>
      </w:r>
    </w:p>
  </w:footnote>
  <w:footnote w:id="78">
    <w:p w14:paraId="3C28949C" w14:textId="0D2A3A0C" w:rsidR="00F6466E" w:rsidRPr="0044294D" w:rsidRDefault="00F6466E" w:rsidP="00F6466E">
      <w:pPr>
        <w:pStyle w:val="FootnoteText"/>
      </w:pPr>
      <w:r>
        <w:rPr>
          <w:rStyle w:val="FootnoteReference"/>
        </w:rPr>
        <w:footnoteRef/>
      </w:r>
      <w:r>
        <w:t xml:space="preserve"> Exhibit SCE-0</w:t>
      </w:r>
      <w:r w:rsidR="003871B0">
        <w:t>9</w:t>
      </w:r>
      <w:r>
        <w:t xml:space="preserve"> at </w:t>
      </w:r>
      <w:r w:rsidR="00865399">
        <w:t>127</w:t>
      </w:r>
      <w:r>
        <w:t xml:space="preserve">. </w:t>
      </w:r>
    </w:p>
  </w:footnote>
  <w:footnote w:id="79">
    <w:p w14:paraId="111F38BE" w14:textId="365A24CF" w:rsidR="00FB5381" w:rsidRDefault="00FB5381">
      <w:pPr>
        <w:pStyle w:val="FootnoteText"/>
      </w:pPr>
      <w:r>
        <w:rPr>
          <w:rStyle w:val="FootnoteReference"/>
        </w:rPr>
        <w:footnoteRef/>
      </w:r>
      <w:r>
        <w:t xml:space="preserve"> Exhibit SCE-09</w:t>
      </w:r>
      <w:r w:rsidR="006818E2">
        <w:t xml:space="preserve"> </w:t>
      </w:r>
      <w:r>
        <w:t>at 66.</w:t>
      </w:r>
    </w:p>
  </w:footnote>
  <w:footnote w:id="80">
    <w:p w14:paraId="0BDD2471" w14:textId="7A031C65" w:rsidR="00F6466E" w:rsidRPr="000E7554" w:rsidRDefault="00F6466E" w:rsidP="00F6466E">
      <w:pPr>
        <w:pStyle w:val="FootnoteText"/>
      </w:pPr>
      <w:r>
        <w:rPr>
          <w:rStyle w:val="FootnoteReference"/>
        </w:rPr>
        <w:footnoteRef/>
      </w:r>
      <w:r>
        <w:t xml:space="preserve"> Exhibit SCE-0</w:t>
      </w:r>
      <w:r w:rsidR="00DE1CB7">
        <w:t>9</w:t>
      </w:r>
      <w:r>
        <w:t xml:space="preserve"> at </w:t>
      </w:r>
      <w:r w:rsidR="002267CB">
        <w:t>6</w:t>
      </w:r>
      <w:r w:rsidR="00DE1CB7">
        <w:t>6</w:t>
      </w:r>
      <w:r>
        <w:t>.</w:t>
      </w:r>
    </w:p>
  </w:footnote>
  <w:footnote w:id="81">
    <w:p w14:paraId="045852EA" w14:textId="3163BE1B" w:rsidR="002F793F" w:rsidRPr="006F50D6" w:rsidRDefault="002F793F" w:rsidP="002F793F">
      <w:pPr>
        <w:pStyle w:val="FootnoteText"/>
        <w:rPr>
          <w:rFonts w:ascii="TimesNewRomanPSMT" w:hAnsi="TimesNewRomanPSMT" w:cs="TimesNewRomanPSMT"/>
        </w:rPr>
      </w:pPr>
      <w:r>
        <w:rPr>
          <w:rStyle w:val="FootnoteReference"/>
        </w:rPr>
        <w:footnoteRef/>
      </w:r>
      <w:r>
        <w:t xml:space="preserve"> </w:t>
      </w:r>
      <w:r w:rsidR="00CD2368" w:rsidRPr="006F50D6">
        <w:rPr>
          <w:rStyle w:val="FootnoteTextChar"/>
          <w:szCs w:val="22"/>
        </w:rPr>
        <w:t>Exhibit SCE-</w:t>
      </w:r>
      <w:r w:rsidR="00CD2368">
        <w:rPr>
          <w:rStyle w:val="FootnoteTextChar"/>
          <w:szCs w:val="22"/>
        </w:rPr>
        <w:t>01 at 66.</w:t>
      </w:r>
    </w:p>
  </w:footnote>
  <w:footnote w:id="82">
    <w:p w14:paraId="4B717E00" w14:textId="619C7946" w:rsidR="002F793F" w:rsidRDefault="002F793F" w:rsidP="002F793F">
      <w:pPr>
        <w:pStyle w:val="FootnoteText"/>
      </w:pPr>
      <w:r>
        <w:rPr>
          <w:rStyle w:val="FootnoteReference"/>
        </w:rPr>
        <w:footnoteRef/>
      </w:r>
      <w:r>
        <w:t xml:space="preserve"> Exhibit SCE-01 at 6</w:t>
      </w:r>
      <w:r w:rsidR="00781B05">
        <w:t>6-67</w:t>
      </w:r>
      <w:r>
        <w:t>.</w:t>
      </w:r>
    </w:p>
  </w:footnote>
  <w:footnote w:id="83">
    <w:p w14:paraId="46947332" w14:textId="5BA765F5" w:rsidR="00037F5D" w:rsidRPr="00E75708" w:rsidRDefault="00037F5D">
      <w:pPr>
        <w:pStyle w:val="FootnoteText"/>
        <w:rPr>
          <w:lang w:val="en-ZW"/>
        </w:rPr>
      </w:pPr>
      <w:r>
        <w:rPr>
          <w:rStyle w:val="FootnoteReference"/>
        </w:rPr>
        <w:footnoteRef/>
      </w:r>
      <w:r>
        <w:t xml:space="preserve"> </w:t>
      </w:r>
      <w:r w:rsidR="00EF65F0">
        <w:t>Exhibit SCE-06 at 67.</w:t>
      </w:r>
    </w:p>
  </w:footnote>
  <w:footnote w:id="84">
    <w:p w14:paraId="5BFB992B" w14:textId="27B3B51D" w:rsidR="002F793F" w:rsidRDefault="002F793F" w:rsidP="002F793F">
      <w:pPr>
        <w:pStyle w:val="FootnoteText"/>
      </w:pPr>
      <w:r>
        <w:rPr>
          <w:rStyle w:val="FootnoteReference"/>
        </w:rPr>
        <w:footnoteRef/>
      </w:r>
      <w:r>
        <w:t xml:space="preserve"> Exhibit SCE-01 at 61 and Table IV-8.</w:t>
      </w:r>
    </w:p>
  </w:footnote>
  <w:footnote w:id="85">
    <w:p w14:paraId="4C738663" w14:textId="2D11340C" w:rsidR="00B83395" w:rsidRDefault="00B83395">
      <w:pPr>
        <w:pStyle w:val="FootnoteText"/>
      </w:pPr>
      <w:r>
        <w:rPr>
          <w:rStyle w:val="FootnoteReference"/>
        </w:rPr>
        <w:footnoteRef/>
      </w:r>
      <w:r>
        <w:t xml:space="preserve"> </w:t>
      </w:r>
      <w:r w:rsidR="0016412F">
        <w:t>Exhibit SCE-09 at 9 and 81.</w:t>
      </w:r>
    </w:p>
  </w:footnote>
  <w:footnote w:id="86">
    <w:p w14:paraId="459678AE" w14:textId="3F2CC821" w:rsidR="00441793" w:rsidRDefault="00441793" w:rsidP="00441793">
      <w:pPr>
        <w:pStyle w:val="FootnoteText"/>
      </w:pPr>
      <w:r>
        <w:rPr>
          <w:rStyle w:val="FootnoteReference"/>
        </w:rPr>
        <w:footnoteRef/>
      </w:r>
      <w:r>
        <w:t xml:space="preserve"> Exhibit SCE-09 at 81.</w:t>
      </w:r>
    </w:p>
  </w:footnote>
  <w:footnote w:id="87">
    <w:p w14:paraId="0E8B0250" w14:textId="5A5ACD81" w:rsidR="00E614EA" w:rsidRPr="00D958F2" w:rsidRDefault="00E614EA" w:rsidP="00E614EA">
      <w:pPr>
        <w:pStyle w:val="FootnoteText"/>
      </w:pPr>
      <w:r>
        <w:rPr>
          <w:rStyle w:val="FootnoteReference"/>
        </w:rPr>
        <w:footnoteRef/>
      </w:r>
      <w:r>
        <w:t xml:space="preserve"> </w:t>
      </w:r>
      <w:r w:rsidRPr="00D958F2">
        <w:t>Exhibit SCE-0</w:t>
      </w:r>
      <w:r w:rsidR="00A85DAE" w:rsidRPr="00D839D5">
        <w:t>9</w:t>
      </w:r>
      <w:r w:rsidRPr="00D958F2">
        <w:t xml:space="preserve"> at </w:t>
      </w:r>
      <w:r w:rsidR="00A85DAE" w:rsidRPr="00D839D5">
        <w:t>82</w:t>
      </w:r>
      <w:r w:rsidRPr="00D958F2">
        <w:t>. These gas transportation contracts do not have any fixed components, so the charges will vary by month.</w:t>
      </w:r>
    </w:p>
  </w:footnote>
  <w:footnote w:id="88">
    <w:p w14:paraId="72D7522B" w14:textId="04F5964D" w:rsidR="004A32E8" w:rsidRPr="00D958F2" w:rsidRDefault="004A32E8">
      <w:pPr>
        <w:pStyle w:val="FootnoteText"/>
        <w:rPr>
          <w:lang w:val="en-ZW"/>
        </w:rPr>
      </w:pPr>
      <w:r w:rsidRPr="00D958F2">
        <w:rPr>
          <w:rStyle w:val="FootnoteReference"/>
        </w:rPr>
        <w:footnoteRef/>
      </w:r>
      <w:r w:rsidR="00B40C51">
        <w:t xml:space="preserve"> </w:t>
      </w:r>
      <w:r w:rsidR="00B40C51" w:rsidRPr="00D958F2">
        <w:t>Exhibit</w:t>
      </w:r>
      <w:r w:rsidR="00B40C51">
        <w:t xml:space="preserve"> </w:t>
      </w:r>
      <w:r w:rsidRPr="00D958F2">
        <w:rPr>
          <w:lang w:val="en-ZW"/>
        </w:rPr>
        <w:t>SCE-0</w:t>
      </w:r>
      <w:r w:rsidR="00C71349" w:rsidRPr="00D839D5">
        <w:rPr>
          <w:lang w:val="en-ZW"/>
        </w:rPr>
        <w:t>9</w:t>
      </w:r>
      <w:r w:rsidRPr="00D958F2">
        <w:rPr>
          <w:lang w:val="en-ZW"/>
        </w:rPr>
        <w:t xml:space="preserve"> at </w:t>
      </w:r>
      <w:r w:rsidR="006E23C7" w:rsidRPr="00D958F2">
        <w:rPr>
          <w:lang w:val="en-ZW"/>
        </w:rPr>
        <w:t>8</w:t>
      </w:r>
      <w:r w:rsidR="00C71349" w:rsidRPr="00D839D5">
        <w:rPr>
          <w:lang w:val="en-ZW"/>
        </w:rPr>
        <w:t>2</w:t>
      </w:r>
      <w:r w:rsidRPr="00D958F2">
        <w:rPr>
          <w:lang w:val="en-ZW"/>
        </w:rPr>
        <w:t>.</w:t>
      </w:r>
    </w:p>
  </w:footnote>
  <w:footnote w:id="89">
    <w:p w14:paraId="05E46320" w14:textId="6F96F6B2" w:rsidR="00E614EA" w:rsidRPr="00D958F2" w:rsidRDefault="00E614EA" w:rsidP="00E614EA">
      <w:pPr>
        <w:pStyle w:val="FootnoteText"/>
      </w:pPr>
      <w:r w:rsidRPr="00D958F2">
        <w:rPr>
          <w:rStyle w:val="FootnoteReference"/>
        </w:rPr>
        <w:footnoteRef/>
      </w:r>
      <w:r w:rsidRPr="00D958F2">
        <w:t xml:space="preserve"> Exhibit SCE-0</w:t>
      </w:r>
      <w:r w:rsidR="00577D9B" w:rsidRPr="00D839D5">
        <w:t>9</w:t>
      </w:r>
      <w:r w:rsidRPr="00D958F2">
        <w:t xml:space="preserve"> at 8</w:t>
      </w:r>
      <w:r w:rsidR="00577D9B" w:rsidRPr="00D839D5">
        <w:t>2</w:t>
      </w:r>
      <w:r w:rsidRPr="00D958F2">
        <w:t>. These rates and SCE’s forecasted costs reflect Southern California Gas Company’s Rate Schedule G-BTS2.</w:t>
      </w:r>
    </w:p>
  </w:footnote>
  <w:footnote w:id="90">
    <w:p w14:paraId="18E5C725" w14:textId="45C0DF05" w:rsidR="002B0580" w:rsidRPr="00C969CE" w:rsidRDefault="002B0580" w:rsidP="00DA32E8">
      <w:pPr>
        <w:pStyle w:val="FootnoteText"/>
      </w:pPr>
      <w:r w:rsidRPr="00D958F2">
        <w:rPr>
          <w:rStyle w:val="FootnoteReference"/>
        </w:rPr>
        <w:footnoteRef/>
      </w:r>
      <w:r w:rsidRPr="00D958F2">
        <w:t xml:space="preserve"> </w:t>
      </w:r>
      <w:r w:rsidRPr="00D958F2">
        <w:rPr>
          <w:lang w:val="en-ZW"/>
        </w:rPr>
        <w:t>SCE-0</w:t>
      </w:r>
      <w:r w:rsidR="00C71349" w:rsidRPr="00D839D5">
        <w:rPr>
          <w:lang w:val="en-ZW"/>
        </w:rPr>
        <w:t>9</w:t>
      </w:r>
      <w:r w:rsidRPr="00D958F2">
        <w:rPr>
          <w:lang w:val="en-ZW"/>
        </w:rPr>
        <w:t xml:space="preserve"> at </w:t>
      </w:r>
      <w:r w:rsidR="00DB2F04" w:rsidRPr="00D958F2">
        <w:rPr>
          <w:lang w:val="en-ZW"/>
        </w:rPr>
        <w:t>8</w:t>
      </w:r>
      <w:r w:rsidR="00C71349" w:rsidRPr="00D839D5">
        <w:rPr>
          <w:lang w:val="en-ZW"/>
        </w:rPr>
        <w:t>3</w:t>
      </w:r>
      <w:r w:rsidRPr="00D958F2">
        <w:rPr>
          <w:lang w:val="en-ZW"/>
        </w:rPr>
        <w:t xml:space="preserve">.  SCE has pro-rated the cost </w:t>
      </w:r>
      <w:r w:rsidR="00DA32E8" w:rsidRPr="00D958F2">
        <w:rPr>
          <w:lang w:val="en-ZW"/>
        </w:rPr>
        <w:t>of t</w:t>
      </w:r>
      <w:r w:rsidRPr="00D958F2">
        <w:rPr>
          <w:lang w:val="en-ZW"/>
        </w:rPr>
        <w:t>his contract</w:t>
      </w:r>
      <w:r w:rsidR="004E57C7">
        <w:rPr>
          <w:lang w:val="en-ZW"/>
        </w:rPr>
        <w:t xml:space="preserve"> to</w:t>
      </w:r>
      <w:r w:rsidR="00DA32E8" w:rsidRPr="00D958F2">
        <w:rPr>
          <w:lang w:val="en-ZW"/>
        </w:rPr>
        <w:t xml:space="preserve"> the ERRA BA, PABA, and NSGBA based on the cost-share of each cost recovery mechanism.</w:t>
      </w:r>
      <w:r>
        <w:rPr>
          <w:lang w:val="en-ZW"/>
        </w:rPr>
        <w:t xml:space="preserve"> </w:t>
      </w:r>
    </w:p>
  </w:footnote>
  <w:footnote w:id="91">
    <w:p w14:paraId="110819E9" w14:textId="6C709F69" w:rsidR="00901E53" w:rsidRDefault="00901E53">
      <w:pPr>
        <w:pStyle w:val="FootnoteText"/>
      </w:pPr>
      <w:r>
        <w:rPr>
          <w:rStyle w:val="FootnoteReference"/>
        </w:rPr>
        <w:footnoteRef/>
      </w:r>
      <w:r>
        <w:t xml:space="preserve"> Exhibit SCE-09 at 84.</w:t>
      </w:r>
    </w:p>
  </w:footnote>
  <w:footnote w:id="92">
    <w:p w14:paraId="25BB6E9C" w14:textId="37447291" w:rsidR="00E614EA" w:rsidRDefault="00E614EA" w:rsidP="00E614EA">
      <w:pPr>
        <w:pStyle w:val="FootnoteText"/>
      </w:pPr>
      <w:r>
        <w:rPr>
          <w:rStyle w:val="FootnoteReference"/>
        </w:rPr>
        <w:footnoteRef/>
      </w:r>
      <w:r>
        <w:t xml:space="preserve"> Exhibit SCE-0</w:t>
      </w:r>
      <w:r w:rsidR="00F15898">
        <w:t>9</w:t>
      </w:r>
      <w:r>
        <w:t xml:space="preserve"> at 8</w:t>
      </w:r>
      <w:r w:rsidR="00F15898">
        <w:t>6</w:t>
      </w:r>
      <w:r>
        <w:t>.</w:t>
      </w:r>
    </w:p>
  </w:footnote>
  <w:footnote w:id="93">
    <w:p w14:paraId="228F220D" w14:textId="26747100" w:rsidR="00E614EA" w:rsidRPr="00DC4C1C" w:rsidRDefault="00E614EA" w:rsidP="00E614EA">
      <w:pPr>
        <w:pStyle w:val="FootnoteText"/>
      </w:pPr>
      <w:r>
        <w:rPr>
          <w:rStyle w:val="FootnoteReference"/>
        </w:rPr>
        <w:footnoteRef/>
      </w:r>
      <w:r>
        <w:t xml:space="preserve"> Exhibit SCE-0</w:t>
      </w:r>
      <w:r w:rsidR="00F15898">
        <w:t>9</w:t>
      </w:r>
      <w:r>
        <w:rPr>
          <w:i/>
          <w:iCs/>
        </w:rPr>
        <w:t xml:space="preserve"> </w:t>
      </w:r>
      <w:r>
        <w:t xml:space="preserve">at </w:t>
      </w:r>
      <w:r w:rsidR="00863DAC">
        <w:t>8</w:t>
      </w:r>
      <w:r w:rsidR="00F15898">
        <w:t>6</w:t>
      </w:r>
      <w:r>
        <w:t>.</w:t>
      </w:r>
    </w:p>
  </w:footnote>
  <w:footnote w:id="94">
    <w:p w14:paraId="1DD1AF69" w14:textId="77777777" w:rsidR="00AA4A90" w:rsidRDefault="00AA4A90" w:rsidP="00AA4A90">
      <w:pPr>
        <w:pStyle w:val="FootnoteText"/>
      </w:pPr>
      <w:r>
        <w:rPr>
          <w:rStyle w:val="FootnoteReference"/>
        </w:rPr>
        <w:footnoteRef/>
      </w:r>
      <w:r>
        <w:t xml:space="preserve"> D.14-10-033 was modified by D.15-01.024 and D.15-07-001. </w:t>
      </w:r>
      <w:r w:rsidRPr="004D6BD3">
        <w:t>Previously, the variables included Recorded and Forecast Volumetric Residential Return.</w:t>
      </w:r>
      <w:r>
        <w:t xml:space="preserve"> </w:t>
      </w:r>
      <w:r w:rsidRPr="004D6BD3">
        <w:t>However, in D.15</w:t>
      </w:r>
      <w:r>
        <w:noBreakHyphen/>
      </w:r>
      <w:r w:rsidRPr="004D6BD3">
        <w:t>07</w:t>
      </w:r>
      <w:r>
        <w:noBreakHyphen/>
      </w:r>
      <w:r w:rsidRPr="004D6BD3">
        <w:t>001, the Commission concluded that “The IOUs 2016 ERRA Forecast Filings should reflect that the residential volumetric GHG rate offset will be eliminated in 2016.”</w:t>
      </w:r>
    </w:p>
  </w:footnote>
  <w:footnote w:id="95">
    <w:p w14:paraId="10431701" w14:textId="2A825CD7" w:rsidR="00AA4A90" w:rsidRPr="006E4C5B" w:rsidRDefault="00AA4A90" w:rsidP="00AA4A90">
      <w:pPr>
        <w:pStyle w:val="FootnoteText"/>
      </w:pPr>
      <w:r>
        <w:rPr>
          <w:rStyle w:val="FootnoteReference"/>
        </w:rPr>
        <w:footnoteRef/>
      </w:r>
      <w:r>
        <w:t xml:space="preserve"> D.21-08-026 at 3 and Ordering Paragraph 12.</w:t>
      </w:r>
    </w:p>
  </w:footnote>
  <w:footnote w:id="96">
    <w:p w14:paraId="13EE7745" w14:textId="77777777" w:rsidR="00E505D3" w:rsidRDefault="00E505D3" w:rsidP="00E505D3">
      <w:pPr>
        <w:pStyle w:val="FootnoteText"/>
      </w:pPr>
      <w:r>
        <w:rPr>
          <w:rStyle w:val="FootnoteReference"/>
        </w:rPr>
        <w:footnoteRef/>
      </w:r>
      <w:r>
        <w:t xml:space="preserve"> GHG emissions are measured in carbon dioxide equivalent (CO</w:t>
      </w:r>
      <w:r w:rsidRPr="00B01DEC">
        <w:rPr>
          <w:vertAlign w:val="subscript"/>
        </w:rPr>
        <w:t>2</w:t>
      </w:r>
      <w:r>
        <w:t>e).</w:t>
      </w:r>
    </w:p>
  </w:footnote>
  <w:footnote w:id="97">
    <w:p w14:paraId="4021CA1D" w14:textId="5C1FE710" w:rsidR="002C1137" w:rsidRDefault="002C1137" w:rsidP="002C1137">
      <w:pPr>
        <w:pStyle w:val="FootnoteText"/>
      </w:pPr>
      <w:r>
        <w:rPr>
          <w:rStyle w:val="FootnoteReference"/>
        </w:rPr>
        <w:footnoteRef/>
      </w:r>
      <w:r>
        <w:t xml:space="preserve"> Exhibit SCE-0</w:t>
      </w:r>
      <w:r w:rsidR="006978B9">
        <w:t>9</w:t>
      </w:r>
      <w:r>
        <w:t xml:space="preserve"> at 6</w:t>
      </w:r>
      <w:r w:rsidR="006978B9">
        <w:t>9</w:t>
      </w:r>
      <w:r w:rsidR="003C6639">
        <w:t>, 77</w:t>
      </w:r>
      <w:r>
        <w:t>.</w:t>
      </w:r>
    </w:p>
  </w:footnote>
  <w:footnote w:id="98">
    <w:p w14:paraId="40FFF2CC" w14:textId="77D00C71" w:rsidR="00DB7846" w:rsidRDefault="00DB7846">
      <w:pPr>
        <w:pStyle w:val="FootnoteText"/>
      </w:pPr>
      <w:r>
        <w:rPr>
          <w:rStyle w:val="FootnoteReference"/>
        </w:rPr>
        <w:footnoteRef/>
      </w:r>
      <w:r>
        <w:t xml:space="preserve"> Exhibit SCE-09 at 90.</w:t>
      </w:r>
    </w:p>
  </w:footnote>
  <w:footnote w:id="99">
    <w:p w14:paraId="3517604F" w14:textId="0856376C" w:rsidR="00902E81" w:rsidRDefault="00902E81">
      <w:pPr>
        <w:pStyle w:val="FootnoteText"/>
      </w:pPr>
      <w:r>
        <w:rPr>
          <w:rStyle w:val="FootnoteReference"/>
        </w:rPr>
        <w:footnoteRef/>
      </w:r>
      <w:r>
        <w:t xml:space="preserve"> </w:t>
      </w:r>
      <w:r w:rsidR="004C7D7D">
        <w:t>Exhibit SCE-09 at 97 and Table VII-32.</w:t>
      </w:r>
    </w:p>
  </w:footnote>
  <w:footnote w:id="100">
    <w:p w14:paraId="1FC8EAFD" w14:textId="1C45384A" w:rsidR="00FD7CA0" w:rsidRDefault="00FD7CA0" w:rsidP="00FD7CA0">
      <w:pPr>
        <w:pStyle w:val="FootnoteText"/>
      </w:pPr>
      <w:r>
        <w:rPr>
          <w:rStyle w:val="FootnoteReference"/>
        </w:rPr>
        <w:footnoteRef/>
      </w:r>
      <w:r>
        <w:t xml:space="preserve"> Exhibit SCE-09 at 102.</w:t>
      </w:r>
    </w:p>
  </w:footnote>
  <w:footnote w:id="101">
    <w:p w14:paraId="392827EC" w14:textId="37F8F839" w:rsidR="00FD110D" w:rsidRDefault="00FD110D" w:rsidP="00FD110D">
      <w:pPr>
        <w:pStyle w:val="FootnoteText"/>
      </w:pPr>
      <w:r>
        <w:rPr>
          <w:rStyle w:val="FootnoteReference"/>
        </w:rPr>
        <w:footnoteRef/>
      </w:r>
      <w:r>
        <w:t xml:space="preserve"> Exhibit SCE-09 at 103, Table VII-34 line 7.</w:t>
      </w:r>
    </w:p>
  </w:footnote>
  <w:footnote w:id="102">
    <w:p w14:paraId="5490559C" w14:textId="0465A14C" w:rsidR="00FD110D" w:rsidRDefault="00FD110D" w:rsidP="00FD110D">
      <w:pPr>
        <w:pStyle w:val="FootnoteText"/>
      </w:pPr>
      <w:r>
        <w:rPr>
          <w:rStyle w:val="FootnoteReference"/>
        </w:rPr>
        <w:footnoteRef/>
      </w:r>
      <w:r>
        <w:t xml:space="preserve"> Exhibit SCE-01 at 87-88.</w:t>
      </w:r>
    </w:p>
  </w:footnote>
  <w:footnote w:id="103">
    <w:p w14:paraId="4120C358" w14:textId="309C2152" w:rsidR="000E1D37" w:rsidRDefault="000E1D37" w:rsidP="000E1D37">
      <w:pPr>
        <w:pStyle w:val="FootnoteText"/>
      </w:pPr>
      <w:r>
        <w:rPr>
          <w:rStyle w:val="FootnoteReference"/>
        </w:rPr>
        <w:footnoteRef/>
      </w:r>
      <w:r>
        <w:t xml:space="preserve"> </w:t>
      </w:r>
      <w:r w:rsidR="006F4890">
        <w:t>Exhibit SCE-09 at 103, Table VII-34</w:t>
      </w:r>
      <w:r>
        <w:t>.</w:t>
      </w:r>
    </w:p>
  </w:footnote>
  <w:footnote w:id="104">
    <w:p w14:paraId="063BB1EA" w14:textId="50FC7B87" w:rsidR="00441D79" w:rsidRDefault="00441D79" w:rsidP="00441D79">
      <w:pPr>
        <w:pStyle w:val="FootnoteText"/>
      </w:pPr>
      <w:r>
        <w:rPr>
          <w:rStyle w:val="FootnoteReference"/>
        </w:rPr>
        <w:footnoteRef/>
      </w:r>
      <w:r>
        <w:t xml:space="preserve"> </w:t>
      </w:r>
      <w:r w:rsidR="00A01127">
        <w:t xml:space="preserve">Exhibit SCE-09 at 103, Table VII-34 line </w:t>
      </w:r>
      <w:r w:rsidR="00AE365F">
        <w:t>17.</w:t>
      </w:r>
      <w:r>
        <w:t xml:space="preserve"> </w:t>
      </w:r>
    </w:p>
  </w:footnote>
  <w:footnote w:id="105">
    <w:p w14:paraId="1A783890" w14:textId="6965CC3C" w:rsidR="00441D79" w:rsidRDefault="00441D79" w:rsidP="00441D79">
      <w:pPr>
        <w:pStyle w:val="FootnoteText"/>
      </w:pPr>
      <w:r>
        <w:rPr>
          <w:rStyle w:val="FootnoteReference"/>
        </w:rPr>
        <w:footnoteRef/>
      </w:r>
      <w:r>
        <w:t xml:space="preserve"> D.17</w:t>
      </w:r>
      <w:r>
        <w:noBreakHyphen/>
        <w:t>12</w:t>
      </w:r>
      <w:r>
        <w:noBreakHyphen/>
        <w:t xml:space="preserve">022 </w:t>
      </w:r>
      <w:r w:rsidR="00D24519">
        <w:t xml:space="preserve">at </w:t>
      </w:r>
      <w:r>
        <w:t>OP 4 and OP 7.</w:t>
      </w:r>
    </w:p>
  </w:footnote>
  <w:footnote w:id="106">
    <w:p w14:paraId="111EB047" w14:textId="2B924C42" w:rsidR="00441D79" w:rsidRDefault="00441D79" w:rsidP="00441D79">
      <w:pPr>
        <w:pStyle w:val="FootnoteText"/>
      </w:pPr>
      <w:r>
        <w:rPr>
          <w:rStyle w:val="FootnoteReference"/>
        </w:rPr>
        <w:footnoteRef/>
      </w:r>
      <w:r>
        <w:t xml:space="preserve"> The SOMAH program funding is allocated on a fiscal year basis while the Forecast revenue requirement is set for the calendar year, in this case 202</w:t>
      </w:r>
      <w:r w:rsidR="0087178A">
        <w:t>5</w:t>
      </w:r>
      <w:r>
        <w:t>.</w:t>
      </w:r>
    </w:p>
  </w:footnote>
  <w:footnote w:id="107">
    <w:p w14:paraId="615D3D9A" w14:textId="77777777" w:rsidR="00441D79" w:rsidRDefault="00441D79" w:rsidP="00441D79">
      <w:pPr>
        <w:pStyle w:val="FootnoteText"/>
      </w:pPr>
      <w:r>
        <w:rPr>
          <w:rStyle w:val="FootnoteReference"/>
        </w:rPr>
        <w:footnoteRef/>
      </w:r>
      <w:r>
        <w:t xml:space="preserve"> D.22</w:t>
      </w:r>
      <w:r>
        <w:noBreakHyphen/>
        <w:t>09</w:t>
      </w:r>
      <w:r>
        <w:noBreakHyphen/>
        <w:t>009 Table 1.</w:t>
      </w:r>
    </w:p>
  </w:footnote>
  <w:footnote w:id="108">
    <w:p w14:paraId="5111246C" w14:textId="77777777" w:rsidR="00441D79" w:rsidRDefault="00441D79" w:rsidP="00441D79">
      <w:pPr>
        <w:pStyle w:val="FootnoteText"/>
      </w:pPr>
      <w:r>
        <w:rPr>
          <w:rStyle w:val="FootnoteReference"/>
        </w:rPr>
        <w:footnoteRef/>
      </w:r>
      <w:r>
        <w:t xml:space="preserve"> D.22</w:t>
      </w:r>
      <w:r>
        <w:noBreakHyphen/>
        <w:t>09</w:t>
      </w:r>
      <w:r>
        <w:noBreakHyphen/>
        <w:t>009 OP 3.</w:t>
      </w:r>
    </w:p>
  </w:footnote>
  <w:footnote w:id="109">
    <w:p w14:paraId="19AF1728" w14:textId="3CCB36C2" w:rsidR="00441D79" w:rsidRPr="00D13895" w:rsidRDefault="00441D79" w:rsidP="00441D79">
      <w:pPr>
        <w:pStyle w:val="FootnoteText"/>
      </w:pPr>
      <w:r>
        <w:rPr>
          <w:rStyle w:val="FootnoteReference"/>
        </w:rPr>
        <w:footnoteRef/>
      </w:r>
      <w:r>
        <w:t xml:space="preserve"> Exhibit SCE-0</w:t>
      </w:r>
      <w:r w:rsidR="00510B1B">
        <w:t>9</w:t>
      </w:r>
      <w:r>
        <w:t xml:space="preserve"> at </w:t>
      </w:r>
      <w:r w:rsidR="0021712E">
        <w:t>9</w:t>
      </w:r>
      <w:r w:rsidR="00CB4572">
        <w:t>7</w:t>
      </w:r>
      <w:r>
        <w:t xml:space="preserve">. </w:t>
      </w:r>
      <w:r>
        <w:rPr>
          <w:i/>
          <w:iCs/>
        </w:rPr>
        <w:t>See</w:t>
      </w:r>
      <w:r>
        <w:t xml:space="preserve"> Advice Letter </w:t>
      </w:r>
      <w:r w:rsidR="008E3D18">
        <w:t>5241-E</w:t>
      </w:r>
      <w:r>
        <w:t>, filed pursuant to OP 4 of D.22-09-009.</w:t>
      </w:r>
    </w:p>
  </w:footnote>
  <w:footnote w:id="110">
    <w:p w14:paraId="7540F9CC" w14:textId="3CA75A30" w:rsidR="00441D79" w:rsidRDefault="00441D79" w:rsidP="00441D79">
      <w:pPr>
        <w:pStyle w:val="FootnoteText"/>
      </w:pPr>
      <w:r>
        <w:rPr>
          <w:rStyle w:val="FootnoteReference"/>
        </w:rPr>
        <w:footnoteRef/>
      </w:r>
      <w:r>
        <w:t xml:space="preserve"> Exhibit SCE-0</w:t>
      </w:r>
      <w:r w:rsidR="00B92ED1">
        <w:t>9</w:t>
      </w:r>
      <w:r>
        <w:t xml:space="preserve"> at 9</w:t>
      </w:r>
      <w:r w:rsidR="001B4B0D">
        <w:t>9</w:t>
      </w:r>
      <w:r>
        <w:t>.</w:t>
      </w:r>
    </w:p>
  </w:footnote>
  <w:footnote w:id="111">
    <w:p w14:paraId="11B87791" w14:textId="77777777" w:rsidR="008B56B9" w:rsidRDefault="008B56B9" w:rsidP="008B56B9">
      <w:pPr>
        <w:pStyle w:val="FootnoteText"/>
      </w:pPr>
      <w:r>
        <w:rPr>
          <w:rStyle w:val="FootnoteReference"/>
        </w:rPr>
        <w:footnoteRef/>
      </w:r>
      <w:r>
        <w:t xml:space="preserve"> SCE AL 5329-E at 6.</w:t>
      </w:r>
    </w:p>
  </w:footnote>
  <w:footnote w:id="112">
    <w:p w14:paraId="303BAF97" w14:textId="5AE1624B" w:rsidR="009B5463" w:rsidRDefault="009B5463">
      <w:pPr>
        <w:pStyle w:val="FootnoteText"/>
      </w:pPr>
      <w:r>
        <w:rPr>
          <w:rStyle w:val="FootnoteReference"/>
        </w:rPr>
        <w:footnoteRef/>
      </w:r>
      <w:r>
        <w:t xml:space="preserve"> Exhibit SCE-0</w:t>
      </w:r>
      <w:r w:rsidR="00EE04B9">
        <w:t>9</w:t>
      </w:r>
      <w:r>
        <w:t xml:space="preserve"> at </w:t>
      </w:r>
      <w:r w:rsidR="00EE04B9">
        <w:t>100</w:t>
      </w:r>
      <w:r>
        <w:t>.</w:t>
      </w:r>
    </w:p>
  </w:footnote>
  <w:footnote w:id="113">
    <w:p w14:paraId="5FE6EE57" w14:textId="261BB5FB" w:rsidR="00FF14E1" w:rsidRDefault="00FF14E1" w:rsidP="00FF14E1">
      <w:pPr>
        <w:pStyle w:val="FootnoteText"/>
      </w:pPr>
      <w:r>
        <w:rPr>
          <w:rStyle w:val="FootnoteReference"/>
        </w:rPr>
        <w:footnoteRef/>
      </w:r>
      <w:r>
        <w:t xml:space="preserve"> CPA AL </w:t>
      </w:r>
      <w:r w:rsidR="00E227AE">
        <w:t>00</w:t>
      </w:r>
      <w:r>
        <w:t>29-E at 3-4.</w:t>
      </w:r>
    </w:p>
  </w:footnote>
  <w:footnote w:id="114">
    <w:p w14:paraId="0979BDA5" w14:textId="5E00CB17" w:rsidR="00637994" w:rsidRDefault="00637994">
      <w:pPr>
        <w:pStyle w:val="FootnoteText"/>
      </w:pPr>
      <w:r>
        <w:rPr>
          <w:rStyle w:val="FootnoteReference"/>
        </w:rPr>
        <w:footnoteRef/>
      </w:r>
      <w:r>
        <w:t xml:space="preserve"> Exhibit SCE-0</w:t>
      </w:r>
      <w:r w:rsidR="00BB4ADB">
        <w:t>9</w:t>
      </w:r>
      <w:r>
        <w:t xml:space="preserve"> at 100.</w:t>
      </w:r>
    </w:p>
  </w:footnote>
  <w:footnote w:id="115">
    <w:p w14:paraId="5DFEEE77" w14:textId="07A9A8B4" w:rsidR="002005F8" w:rsidRDefault="002005F8">
      <w:pPr>
        <w:pStyle w:val="FootnoteText"/>
      </w:pPr>
      <w:r>
        <w:rPr>
          <w:rStyle w:val="FootnoteReference"/>
        </w:rPr>
        <w:footnoteRef/>
      </w:r>
      <w:r>
        <w:t xml:space="preserve"> Exhibit SCE-0</w:t>
      </w:r>
      <w:r w:rsidR="007226F1">
        <w:t>9</w:t>
      </w:r>
      <w:r>
        <w:t xml:space="preserve"> at 10</w:t>
      </w:r>
      <w:r w:rsidR="007226F1">
        <w:t>1</w:t>
      </w:r>
      <w:r>
        <w:t>.</w:t>
      </w:r>
    </w:p>
  </w:footnote>
  <w:footnote w:id="116">
    <w:p w14:paraId="5340F6EB" w14:textId="77777777" w:rsidR="00441D79" w:rsidRDefault="00441D79" w:rsidP="00441D79">
      <w:pPr>
        <w:pStyle w:val="FootnoteText"/>
      </w:pPr>
      <w:r>
        <w:rPr>
          <w:rStyle w:val="FootnoteReference"/>
        </w:rPr>
        <w:footnoteRef/>
      </w:r>
      <w:r>
        <w:t xml:space="preserve"> D.20-12-035 at 39.</w:t>
      </w:r>
    </w:p>
  </w:footnote>
  <w:footnote w:id="117">
    <w:p w14:paraId="7E4D7487" w14:textId="29AE0C1E" w:rsidR="00441D79" w:rsidRDefault="00441D79" w:rsidP="00441D79">
      <w:pPr>
        <w:pStyle w:val="FootnoteText"/>
      </w:pPr>
      <w:r>
        <w:rPr>
          <w:rStyle w:val="FootnoteReference"/>
        </w:rPr>
        <w:footnoteRef/>
      </w:r>
      <w:r>
        <w:t xml:space="preserve"> Exhibit SCE-0</w:t>
      </w:r>
      <w:r w:rsidR="00470D62">
        <w:t>9</w:t>
      </w:r>
      <w:r>
        <w:t xml:space="preserve"> at </w:t>
      </w:r>
      <w:r w:rsidR="00470D62">
        <w:t>101</w:t>
      </w:r>
      <w:r>
        <w:t>.</w:t>
      </w:r>
    </w:p>
  </w:footnote>
  <w:footnote w:id="118">
    <w:p w14:paraId="5F9E3CA2" w14:textId="34B21AA0" w:rsidR="00FD110D" w:rsidRDefault="00FD110D" w:rsidP="00FD110D">
      <w:pPr>
        <w:pStyle w:val="FootnoteText"/>
      </w:pPr>
      <w:r>
        <w:rPr>
          <w:rStyle w:val="FootnoteReference"/>
        </w:rPr>
        <w:footnoteRef/>
      </w:r>
      <w:r>
        <w:t xml:space="preserve"> Exhibit SCE-09 at 103, Table VII-34 line 24.</w:t>
      </w:r>
    </w:p>
  </w:footnote>
  <w:footnote w:id="119">
    <w:p w14:paraId="54890351" w14:textId="0761A548" w:rsidR="00FD110D" w:rsidRDefault="00FD110D" w:rsidP="00FD110D">
      <w:pPr>
        <w:pStyle w:val="FootnoteText"/>
      </w:pPr>
      <w:r>
        <w:rPr>
          <w:rStyle w:val="FootnoteReference"/>
        </w:rPr>
        <w:footnoteRef/>
      </w:r>
      <w:r>
        <w:t xml:space="preserve"> Exhibit SCE-09 at 90.</w:t>
      </w:r>
    </w:p>
  </w:footnote>
  <w:footnote w:id="120">
    <w:p w14:paraId="0D02B9E7" w14:textId="10360BBD" w:rsidR="00787CBA" w:rsidRDefault="00787CBA">
      <w:pPr>
        <w:pStyle w:val="FootnoteText"/>
      </w:pPr>
      <w:r>
        <w:rPr>
          <w:rStyle w:val="FootnoteReference"/>
        </w:rPr>
        <w:footnoteRef/>
      </w:r>
      <w:r>
        <w:t xml:space="preserve"> D.23-11-</w:t>
      </w:r>
      <w:r w:rsidR="00635853">
        <w:t>094</w:t>
      </w:r>
      <w:r>
        <w:t xml:space="preserve"> at </w:t>
      </w:r>
      <w:r w:rsidR="00632702">
        <w:t>3.</w:t>
      </w:r>
    </w:p>
  </w:footnote>
  <w:footnote w:id="121">
    <w:p w14:paraId="689C8FCA" w14:textId="047D31C6" w:rsidR="00682CFE" w:rsidRDefault="00682CFE">
      <w:pPr>
        <w:pStyle w:val="FootnoteText"/>
      </w:pPr>
      <w:r>
        <w:rPr>
          <w:rStyle w:val="FootnoteReference"/>
        </w:rPr>
        <w:footnoteRef/>
      </w:r>
      <w:r>
        <w:t xml:space="preserve"> A.24-05-007 at 2.</w:t>
      </w:r>
    </w:p>
  </w:footnote>
  <w:footnote w:id="122">
    <w:p w14:paraId="27512CEB" w14:textId="5EDEF0BC" w:rsidR="00FD110D" w:rsidRDefault="00FD110D" w:rsidP="00FD110D">
      <w:pPr>
        <w:pStyle w:val="FootnoteText"/>
      </w:pPr>
      <w:r>
        <w:rPr>
          <w:rStyle w:val="FootnoteReference"/>
        </w:rPr>
        <w:footnoteRef/>
      </w:r>
      <w:r>
        <w:t xml:space="preserve"> Exhibit SCE-09 at 103, Table VII-34 line 23.</w:t>
      </w:r>
    </w:p>
  </w:footnote>
  <w:footnote w:id="123">
    <w:p w14:paraId="740E0416" w14:textId="271F5230" w:rsidR="00830E3D" w:rsidRDefault="00830E3D">
      <w:pPr>
        <w:pStyle w:val="FootnoteText"/>
      </w:pPr>
      <w:r>
        <w:rPr>
          <w:rStyle w:val="FootnoteReference"/>
        </w:rPr>
        <w:footnoteRef/>
      </w:r>
      <w:r>
        <w:t xml:space="preserve"> Exhibit </w:t>
      </w:r>
      <w:r w:rsidR="000B0735">
        <w:t>SCE-</w:t>
      </w:r>
      <w:r>
        <w:t>09</w:t>
      </w:r>
      <w:r w:rsidR="000B0735">
        <w:t xml:space="preserve"> at 1</w:t>
      </w:r>
      <w:r w:rsidR="00D95772">
        <w:t>5</w:t>
      </w:r>
      <w:r w:rsidR="000B0735">
        <w:t>.</w:t>
      </w:r>
    </w:p>
  </w:footnote>
  <w:footnote w:id="124">
    <w:p w14:paraId="18BB24EA" w14:textId="03471D1A" w:rsidR="003742BA" w:rsidRDefault="003742BA" w:rsidP="003742BA">
      <w:pPr>
        <w:pStyle w:val="FootnoteText"/>
      </w:pPr>
      <w:r w:rsidRPr="005A6933">
        <w:rPr>
          <w:rStyle w:val="FootnoteReference"/>
        </w:rPr>
        <w:footnoteRef/>
      </w:r>
      <w:r>
        <w:t xml:space="preserve"> Exhibit SCE</w:t>
      </w:r>
      <w:r>
        <w:noBreakHyphen/>
        <w:t>09 at 106, Table V-III-36</w:t>
      </w:r>
      <w:r w:rsidR="00FB6C74">
        <w:t>.</w:t>
      </w:r>
    </w:p>
  </w:footnote>
  <w:footnote w:id="125">
    <w:p w14:paraId="7E1F5813" w14:textId="77777777" w:rsidR="00AF5D13" w:rsidRDefault="00AF5D13" w:rsidP="00AF5D13">
      <w:pPr>
        <w:pStyle w:val="FootnoteText"/>
      </w:pPr>
      <w:r>
        <w:rPr>
          <w:rStyle w:val="FootnoteReference"/>
        </w:rPr>
        <w:footnoteRef/>
      </w:r>
      <w:r>
        <w:t xml:space="preserve"> SCE’s ERRA BA was established in D.02-10-062, effective January 1, 2003.</w:t>
      </w:r>
    </w:p>
  </w:footnote>
  <w:footnote w:id="126">
    <w:p w14:paraId="7F14A60D" w14:textId="3F610843" w:rsidR="00AA2063" w:rsidRDefault="00AA2063" w:rsidP="00AA2063">
      <w:pPr>
        <w:pStyle w:val="FootnoteText"/>
      </w:pPr>
      <w:r>
        <w:rPr>
          <w:rStyle w:val="FootnoteReference"/>
        </w:rPr>
        <w:footnoteRef/>
      </w:r>
      <w:r>
        <w:t xml:space="preserve"> </w:t>
      </w:r>
      <w:r w:rsidR="00D24519" w:rsidRPr="00D958F2">
        <w:t xml:space="preserve">Exhibit </w:t>
      </w:r>
      <w:r>
        <w:t xml:space="preserve">SCE-09 at </w:t>
      </w:r>
      <w:r w:rsidR="003E30F4">
        <w:t>15</w:t>
      </w:r>
      <w:r w:rsidR="00FB6C74">
        <w:t>.</w:t>
      </w:r>
    </w:p>
  </w:footnote>
  <w:footnote w:id="127">
    <w:p w14:paraId="1382C50B" w14:textId="244A9E5E" w:rsidR="00AF5D13" w:rsidRDefault="00AF5D13" w:rsidP="00AF5D13">
      <w:pPr>
        <w:pStyle w:val="FootnoteText"/>
      </w:pPr>
      <w:r>
        <w:rPr>
          <w:rStyle w:val="FootnoteReference"/>
        </w:rPr>
        <w:footnoteRef/>
      </w:r>
      <w:r>
        <w:t xml:space="preserve"> </w:t>
      </w:r>
      <w:r w:rsidRPr="00431E15">
        <w:t>Exhibit SCE-0</w:t>
      </w:r>
      <w:r w:rsidR="00535D78" w:rsidRPr="00431E15">
        <w:t>1</w:t>
      </w:r>
      <w:r w:rsidRPr="00431E15">
        <w:t xml:space="preserve"> at</w:t>
      </w:r>
      <w:r w:rsidR="00535D78" w:rsidRPr="00431E15">
        <w:t xml:space="preserve"> 112</w:t>
      </w:r>
      <w:r w:rsidR="00431E15" w:rsidRPr="00431E15">
        <w:t>;</w:t>
      </w:r>
      <w:r w:rsidR="00431E15">
        <w:t xml:space="preserve"> Exhibit SCE-09C at 15 and table II-3.</w:t>
      </w:r>
    </w:p>
  </w:footnote>
  <w:footnote w:id="128">
    <w:p w14:paraId="169105EA" w14:textId="6D40E374" w:rsidR="0054590F" w:rsidRDefault="0054590F">
      <w:pPr>
        <w:pStyle w:val="FootnoteText"/>
      </w:pPr>
      <w:r>
        <w:rPr>
          <w:rStyle w:val="FootnoteReference"/>
        </w:rPr>
        <w:footnoteRef/>
      </w:r>
      <w:r>
        <w:t xml:space="preserve"> </w:t>
      </w:r>
      <w:r w:rsidR="00755559">
        <w:t>Exhibit SCE-09, Appendix A at A-1.</w:t>
      </w:r>
    </w:p>
  </w:footnote>
  <w:footnote w:id="129">
    <w:p w14:paraId="51E7CC43" w14:textId="3697B337" w:rsidR="00AF5D13" w:rsidRDefault="00AF5D13" w:rsidP="00AF5D13">
      <w:pPr>
        <w:pStyle w:val="FootnoteText"/>
      </w:pPr>
      <w:r>
        <w:rPr>
          <w:rStyle w:val="FootnoteReference"/>
        </w:rPr>
        <w:footnoteRef/>
      </w:r>
      <w:r>
        <w:t xml:space="preserve"> Pursuant to D.18-10-019 Ordering Paragraph 1 and page 42, the above-market costs of the CTC- and PCIA-eligible resources are defined as the actual costs less (1) actual revenues received through bilateral transactions</w:t>
      </w:r>
      <w:r w:rsidR="00EE4104">
        <w:t>,</w:t>
      </w:r>
      <w:r>
        <w:t xml:space="preserve"> (2) actual energy and ancillary services revenues</w:t>
      </w:r>
      <w:r w:rsidR="00EE4104">
        <w:t xml:space="preserve">, </w:t>
      </w:r>
      <w:r>
        <w:br/>
        <w:t>(3) actual retained RPS value</w:t>
      </w:r>
      <w:r w:rsidR="00EE4104">
        <w:t>,</w:t>
      </w:r>
      <w:r>
        <w:t xml:space="preserve"> and (4) actual retained RA value.</w:t>
      </w:r>
    </w:p>
  </w:footnote>
  <w:footnote w:id="130">
    <w:p w14:paraId="7571D6A3" w14:textId="22B3FE00" w:rsidR="009D4AE8" w:rsidRDefault="009D4AE8" w:rsidP="009D4AE8">
      <w:pPr>
        <w:pStyle w:val="FootnoteText"/>
      </w:pPr>
      <w:r>
        <w:rPr>
          <w:rStyle w:val="FootnoteReference"/>
        </w:rPr>
        <w:footnoteRef/>
      </w:r>
      <w:r>
        <w:t xml:space="preserve"> Exhibit SCE-09 at 1</w:t>
      </w:r>
      <w:r w:rsidR="0034552C">
        <w:t>5</w:t>
      </w:r>
      <w:r>
        <w:t>.</w:t>
      </w:r>
    </w:p>
  </w:footnote>
  <w:footnote w:id="131">
    <w:p w14:paraId="79BBCA00" w14:textId="528530B7" w:rsidR="00EE4104" w:rsidRDefault="00EE4104">
      <w:pPr>
        <w:pStyle w:val="FootnoteText"/>
      </w:pPr>
      <w:r>
        <w:rPr>
          <w:rStyle w:val="FootnoteReference"/>
        </w:rPr>
        <w:footnoteRef/>
      </w:r>
      <w:r>
        <w:t xml:space="preserve"> Exhibit SCE-09 at 114.</w:t>
      </w:r>
    </w:p>
  </w:footnote>
  <w:footnote w:id="132">
    <w:p w14:paraId="25835019" w14:textId="7A42C4C1" w:rsidR="006743B1" w:rsidRDefault="006743B1">
      <w:pPr>
        <w:pStyle w:val="FootnoteText"/>
      </w:pPr>
      <w:r>
        <w:rPr>
          <w:rStyle w:val="FootnoteReference"/>
        </w:rPr>
        <w:footnoteRef/>
      </w:r>
      <w:r>
        <w:t xml:space="preserve"> Exhibit SCE-09 at 114.</w:t>
      </w:r>
    </w:p>
  </w:footnote>
  <w:footnote w:id="133">
    <w:p w14:paraId="26455B9B" w14:textId="56A8E4AD" w:rsidR="00F72A7E" w:rsidRPr="00273D97" w:rsidRDefault="00F72A7E" w:rsidP="00F72A7E">
      <w:pPr>
        <w:pStyle w:val="FootnoteText"/>
      </w:pPr>
      <w:r>
        <w:rPr>
          <w:rStyle w:val="FootnoteReference"/>
        </w:rPr>
        <w:footnoteRef/>
      </w:r>
      <w:r>
        <w:t xml:space="preserve"> Exhibit SCE-0</w:t>
      </w:r>
      <w:r w:rsidR="00B100A7">
        <w:t>9</w:t>
      </w:r>
      <w:r>
        <w:t xml:space="preserve"> at </w:t>
      </w:r>
      <w:r w:rsidR="00B100A7">
        <w:t>115</w:t>
      </w:r>
      <w:r>
        <w:t>.</w:t>
      </w:r>
    </w:p>
  </w:footnote>
  <w:footnote w:id="134">
    <w:p w14:paraId="513669CE" w14:textId="5D1C4D19" w:rsidR="00AF5D13" w:rsidRDefault="00AF5D13" w:rsidP="00AF5D13">
      <w:pPr>
        <w:pStyle w:val="FootnoteText"/>
      </w:pPr>
      <w:r>
        <w:rPr>
          <w:rStyle w:val="FootnoteReference"/>
        </w:rPr>
        <w:footnoteRef/>
      </w:r>
      <w:r>
        <w:t xml:space="preserve"> GHG allowance revenues and associated costs are discussed further </w:t>
      </w:r>
      <w:r w:rsidRPr="00601A27">
        <w:t xml:space="preserve">in Section </w:t>
      </w:r>
      <w:r w:rsidR="00601A27" w:rsidRPr="00601A27">
        <w:t>6</w:t>
      </w:r>
      <w:r>
        <w:t>.</w:t>
      </w:r>
    </w:p>
  </w:footnote>
  <w:footnote w:id="135">
    <w:p w14:paraId="2F85DA0B" w14:textId="2859AEC5" w:rsidR="00AF5D13" w:rsidRDefault="00AF5D13" w:rsidP="00AF5D13">
      <w:pPr>
        <w:pStyle w:val="FootnoteText"/>
      </w:pPr>
      <w:r>
        <w:rPr>
          <w:rStyle w:val="FootnoteReference"/>
        </w:rPr>
        <w:footnoteRef/>
      </w:r>
      <w:r>
        <w:t xml:space="preserve"> Exhibit SCE-0</w:t>
      </w:r>
      <w:r w:rsidR="00335CA5">
        <w:t>9</w:t>
      </w:r>
      <w:r>
        <w:t xml:space="preserve"> at 1</w:t>
      </w:r>
      <w:r w:rsidR="00335CA5">
        <w:t>15</w:t>
      </w:r>
      <w:r>
        <w:t>.</w:t>
      </w:r>
    </w:p>
  </w:footnote>
  <w:footnote w:id="136">
    <w:p w14:paraId="3D0A9DD4" w14:textId="72F5CFFF" w:rsidR="00AF5D13" w:rsidRPr="00C8307C" w:rsidRDefault="00AF5D13" w:rsidP="00AF5D13">
      <w:pPr>
        <w:pStyle w:val="FootnoteText"/>
      </w:pPr>
      <w:r>
        <w:rPr>
          <w:rStyle w:val="FootnoteReference"/>
        </w:rPr>
        <w:footnoteRef/>
      </w:r>
      <w:r>
        <w:t xml:space="preserve"> Exhibit SCE</w:t>
      </w:r>
      <w:r>
        <w:noBreakHyphen/>
      </w:r>
      <w:r w:rsidRPr="008F01DB">
        <w:t>0</w:t>
      </w:r>
      <w:r w:rsidR="00EB19EB">
        <w:t>9</w:t>
      </w:r>
      <w:r>
        <w:t xml:space="preserve"> at </w:t>
      </w:r>
      <w:r w:rsidR="00EB19EB">
        <w:t xml:space="preserve">106 </w:t>
      </w:r>
      <w:r>
        <w:t>and Table VIII-3</w:t>
      </w:r>
      <w:r w:rsidR="00CE70F3">
        <w:t>6.</w:t>
      </w:r>
    </w:p>
  </w:footnote>
  <w:footnote w:id="137">
    <w:p w14:paraId="5B55B2F1" w14:textId="77777777" w:rsidR="00AF5D13" w:rsidRDefault="00AF5D13" w:rsidP="00AF5D13">
      <w:pPr>
        <w:pStyle w:val="FootnoteText"/>
      </w:pPr>
      <w:r>
        <w:rPr>
          <w:rStyle w:val="FootnoteReference"/>
        </w:rPr>
        <w:footnoteRef/>
      </w:r>
      <w:r>
        <w:t xml:space="preserve"> </w:t>
      </w:r>
      <w:r w:rsidRPr="00534D8E">
        <w:t xml:space="preserve">Estimate includes </w:t>
      </w:r>
      <w:r>
        <w:t xml:space="preserve">indirect </w:t>
      </w:r>
      <w:r w:rsidRPr="00534D8E">
        <w:t>GHG costs.</w:t>
      </w:r>
    </w:p>
  </w:footnote>
  <w:footnote w:id="138">
    <w:p w14:paraId="01BEBB18" w14:textId="77777777" w:rsidR="00AF5D13" w:rsidRDefault="00AF5D13" w:rsidP="00AF5D13">
      <w:pPr>
        <w:pStyle w:val="FootnoteText"/>
      </w:pPr>
      <w:r>
        <w:rPr>
          <w:rStyle w:val="FootnoteReference"/>
        </w:rPr>
        <w:footnoteRef/>
      </w:r>
      <w:r>
        <w:t xml:space="preserve"> D.11-05-005 at 6-7 and OP 17.</w:t>
      </w:r>
    </w:p>
  </w:footnote>
  <w:footnote w:id="139">
    <w:p w14:paraId="0F9BF8E4" w14:textId="08D3B111" w:rsidR="00AF5D13" w:rsidRDefault="00AF5D13" w:rsidP="00AF5D13">
      <w:pPr>
        <w:pStyle w:val="FootnoteText"/>
      </w:pPr>
      <w:r>
        <w:rPr>
          <w:rStyle w:val="FootnoteReference"/>
        </w:rPr>
        <w:footnoteRef/>
      </w:r>
      <w:r>
        <w:t xml:space="preserve"> Exhibit SCE-02 at 5-6 and Exhibit SCE-06 at 111-112.</w:t>
      </w:r>
    </w:p>
  </w:footnote>
  <w:footnote w:id="140">
    <w:p w14:paraId="79CA82D7" w14:textId="5F56A3E1" w:rsidR="00C15F9D" w:rsidRPr="00C15F9D" w:rsidRDefault="00C15F9D">
      <w:pPr>
        <w:pStyle w:val="FootnoteText"/>
        <w:rPr>
          <w:lang w:val="en-ZW"/>
        </w:rPr>
      </w:pPr>
      <w:r>
        <w:rPr>
          <w:rStyle w:val="FootnoteReference"/>
        </w:rPr>
        <w:footnoteRef/>
      </w:r>
      <w:r>
        <w:t xml:space="preserve"> </w:t>
      </w:r>
      <w:r>
        <w:rPr>
          <w:lang w:val="en-ZW"/>
        </w:rPr>
        <w:t>D.23-06-029 at OP 7.</w:t>
      </w:r>
    </w:p>
  </w:footnote>
  <w:footnote w:id="141">
    <w:p w14:paraId="601CB35B" w14:textId="1850F100" w:rsidR="009C1348" w:rsidRPr="00003C2E" w:rsidRDefault="009C1348">
      <w:pPr>
        <w:pStyle w:val="FootnoteText"/>
      </w:pPr>
      <w:r>
        <w:rPr>
          <w:rStyle w:val="FootnoteReference"/>
        </w:rPr>
        <w:footnoteRef/>
      </w:r>
      <w:r>
        <w:t xml:space="preserve"> </w:t>
      </w:r>
      <w:r>
        <w:rPr>
          <w:lang w:val="en-ZW"/>
        </w:rPr>
        <w:t>Exhibit SCE-09 at 123.</w:t>
      </w:r>
    </w:p>
  </w:footnote>
  <w:footnote w:id="142">
    <w:p w14:paraId="35442F5E" w14:textId="7AEA922F" w:rsidR="00837499" w:rsidRPr="00AF2C37" w:rsidRDefault="00837499" w:rsidP="00837499">
      <w:pPr>
        <w:pStyle w:val="FootnoteText"/>
        <w:rPr>
          <w:lang w:val="en-ZW"/>
        </w:rPr>
      </w:pPr>
      <w:r>
        <w:rPr>
          <w:rStyle w:val="FootnoteReference"/>
        </w:rPr>
        <w:footnoteRef/>
      </w:r>
      <w:r>
        <w:t xml:space="preserve"> </w:t>
      </w:r>
      <w:r>
        <w:rPr>
          <w:lang w:val="en-ZW"/>
        </w:rPr>
        <w:t>Exhibit SCE-09 at 124.</w:t>
      </w:r>
    </w:p>
  </w:footnote>
  <w:footnote w:id="143">
    <w:p w14:paraId="5A9F4659" w14:textId="665BE38B" w:rsidR="00CA06D2" w:rsidRPr="00003C2E" w:rsidRDefault="00CA06D2">
      <w:pPr>
        <w:pStyle w:val="FootnoteText"/>
      </w:pPr>
      <w:r>
        <w:rPr>
          <w:rStyle w:val="FootnoteReference"/>
        </w:rPr>
        <w:footnoteRef/>
      </w:r>
      <w:r>
        <w:t xml:space="preserve"> </w:t>
      </w:r>
      <w:r w:rsidR="00F9460C">
        <w:t xml:space="preserve">Exhibit SCE-09 at </w:t>
      </w:r>
      <w:r w:rsidR="000F5BC5">
        <w:t>15</w:t>
      </w:r>
      <w:r w:rsidR="00F9460C">
        <w:t xml:space="preserve"> and </w:t>
      </w:r>
      <w:r>
        <w:rPr>
          <w:lang w:val="en-ZW"/>
        </w:rPr>
        <w:t xml:space="preserve">Table II-3 at line </w:t>
      </w:r>
      <w:r w:rsidR="00F9460C">
        <w:rPr>
          <w:lang w:val="en-ZW"/>
        </w:rPr>
        <w:t>28</w:t>
      </w:r>
      <w:r w:rsidR="00DA578A">
        <w:rPr>
          <w:lang w:val="en-ZW"/>
        </w:rPr>
        <w:t>.</w:t>
      </w:r>
    </w:p>
  </w:footnote>
  <w:footnote w:id="144">
    <w:p w14:paraId="1A8DB891" w14:textId="22B45FD9" w:rsidR="003D0AB9" w:rsidRDefault="003D0AB9">
      <w:pPr>
        <w:pStyle w:val="FootnoteText"/>
      </w:pPr>
      <w:r>
        <w:rPr>
          <w:rStyle w:val="FootnoteReference"/>
        </w:rPr>
        <w:footnoteRef/>
      </w:r>
      <w:r>
        <w:t xml:space="preserve"> Exhibit</w:t>
      </w:r>
      <w:r w:rsidR="00DA6AEE">
        <w:t xml:space="preserve"> SCE-09 at 126.</w:t>
      </w:r>
    </w:p>
  </w:footnote>
  <w:footnote w:id="145">
    <w:p w14:paraId="3A302A7E" w14:textId="3C478DFA" w:rsidR="00FF59F0" w:rsidRPr="00E4043F" w:rsidRDefault="00FF59F0" w:rsidP="00FF59F0">
      <w:pPr>
        <w:pStyle w:val="FootnoteText"/>
        <w:rPr>
          <w:lang w:val="en-ZW"/>
        </w:rPr>
      </w:pPr>
      <w:r>
        <w:rPr>
          <w:rStyle w:val="FootnoteReference"/>
        </w:rPr>
        <w:footnoteRef/>
      </w:r>
      <w:r>
        <w:t xml:space="preserve"> Exhibit SCE-09 at </w:t>
      </w:r>
      <w:r w:rsidR="00856BED">
        <w:t>15</w:t>
      </w:r>
      <w:r>
        <w:t xml:space="preserve"> and </w:t>
      </w:r>
      <w:r>
        <w:rPr>
          <w:lang w:val="en-ZW"/>
        </w:rPr>
        <w:t>Table II-3 at line 2</w:t>
      </w:r>
      <w:r w:rsidR="004B135D">
        <w:rPr>
          <w:lang w:val="en-ZW"/>
        </w:rPr>
        <w:t>9</w:t>
      </w:r>
      <w:r w:rsidR="00DA578A">
        <w:rPr>
          <w:lang w:val="en-ZW"/>
        </w:rPr>
        <w:t>.</w:t>
      </w:r>
    </w:p>
  </w:footnote>
  <w:footnote w:id="146">
    <w:p w14:paraId="7007E693" w14:textId="51C029C0" w:rsidR="00505AA1" w:rsidRPr="00B164C2" w:rsidRDefault="00505AA1">
      <w:pPr>
        <w:pStyle w:val="FootnoteText"/>
        <w:rPr>
          <w:highlight w:val="yellow"/>
        </w:rPr>
      </w:pPr>
      <w:r>
        <w:rPr>
          <w:rStyle w:val="FootnoteReference"/>
        </w:rPr>
        <w:footnoteRef/>
      </w:r>
      <w:r>
        <w:t xml:space="preserve"> </w:t>
      </w:r>
      <w:r w:rsidR="007D04D3">
        <w:t xml:space="preserve">D.22-03-034 </w:t>
      </w:r>
      <w:r w:rsidR="006E7F56">
        <w:t>OP 19</w:t>
      </w:r>
    </w:p>
  </w:footnote>
  <w:footnote w:id="147">
    <w:p w14:paraId="38A87D95" w14:textId="4C380F89" w:rsidR="00D23863" w:rsidRDefault="00D23863">
      <w:pPr>
        <w:pStyle w:val="FootnoteText"/>
      </w:pPr>
      <w:r w:rsidRPr="00DD3712">
        <w:rPr>
          <w:rStyle w:val="FootnoteReference"/>
        </w:rPr>
        <w:footnoteRef/>
      </w:r>
      <w:r w:rsidRPr="00DD3712">
        <w:t xml:space="preserve"> </w:t>
      </w:r>
      <w:r w:rsidR="00DD3712" w:rsidRPr="00DD3712">
        <w:t>D</w:t>
      </w:r>
      <w:r w:rsidR="00DD3712">
        <w:t>.23-06-029 FoF7</w:t>
      </w:r>
    </w:p>
  </w:footnote>
  <w:footnote w:id="148">
    <w:p w14:paraId="78AE8503" w14:textId="77777777" w:rsidR="00AF5D13" w:rsidRDefault="00AF5D13" w:rsidP="00AF5D13">
      <w:pPr>
        <w:pStyle w:val="FootnoteText"/>
      </w:pPr>
      <w:r>
        <w:rPr>
          <w:rStyle w:val="FootnoteReference"/>
        </w:rPr>
        <w:footnoteRef/>
      </w:r>
      <w:r>
        <w:t xml:space="preserve"> D.20-06-002 OP 17 and Exhibit SCE-07C at 1.</w:t>
      </w:r>
    </w:p>
  </w:footnote>
  <w:footnote w:id="149">
    <w:p w14:paraId="5A31CD35" w14:textId="1BF18F5B" w:rsidR="00AF5D13" w:rsidRDefault="00AF5D13" w:rsidP="00AF5D13">
      <w:pPr>
        <w:pStyle w:val="FootnoteText"/>
      </w:pPr>
      <w:r>
        <w:rPr>
          <w:rStyle w:val="FootnoteReference"/>
        </w:rPr>
        <w:footnoteRef/>
      </w:r>
      <w:r>
        <w:t xml:space="preserve"> Exhibit SCE-07 at </w:t>
      </w:r>
      <w:r w:rsidR="00FA0486">
        <w:t>7-</w:t>
      </w:r>
      <w:r w:rsidR="00DF6EFA">
        <w:t>10</w:t>
      </w:r>
      <w:r>
        <w:t>.</w:t>
      </w:r>
    </w:p>
  </w:footnote>
  <w:footnote w:id="150">
    <w:p w14:paraId="09A8D1F2" w14:textId="31F85414" w:rsidR="00790624" w:rsidRPr="00790624" w:rsidRDefault="00790624">
      <w:pPr>
        <w:pStyle w:val="FootnoteText"/>
      </w:pPr>
      <w:r>
        <w:rPr>
          <w:rStyle w:val="FootnoteReference"/>
        </w:rPr>
        <w:footnoteRef/>
      </w:r>
      <w:r>
        <w:t xml:space="preserve"> Exhibit SCE-07 at 6.</w:t>
      </w:r>
    </w:p>
  </w:footnote>
  <w:footnote w:id="151">
    <w:p w14:paraId="439A53AE" w14:textId="77777777" w:rsidR="00AF5D13" w:rsidRDefault="00AF5D13" w:rsidP="00AF5D13">
      <w:pPr>
        <w:pStyle w:val="FootnoteText"/>
      </w:pPr>
      <w:r>
        <w:rPr>
          <w:rStyle w:val="FootnoteReference"/>
        </w:rPr>
        <w:footnoteRef/>
      </w:r>
      <w:r>
        <w:t xml:space="preserve"> Exhibit SCE-02C at 7, Exhibit SCE-07C at 8.</w:t>
      </w:r>
    </w:p>
  </w:footnote>
  <w:footnote w:id="152">
    <w:p w14:paraId="264BBA59" w14:textId="70B178E2" w:rsidR="000E1D77" w:rsidRDefault="000E1D77">
      <w:pPr>
        <w:pStyle w:val="FootnoteText"/>
      </w:pPr>
      <w:r>
        <w:rPr>
          <w:rStyle w:val="FootnoteReference"/>
        </w:rPr>
        <w:footnoteRef/>
      </w:r>
      <w:r>
        <w:t xml:space="preserve"> Exhibit SCE-07C at 12.</w:t>
      </w:r>
    </w:p>
  </w:footnote>
  <w:footnote w:id="153">
    <w:p w14:paraId="1289037E" w14:textId="302D853F" w:rsidR="00AF5D13" w:rsidRPr="002A0867" w:rsidRDefault="00AF5D13" w:rsidP="00AF5D13">
      <w:pPr>
        <w:pStyle w:val="FootnoteText"/>
      </w:pPr>
      <w:r>
        <w:rPr>
          <w:rStyle w:val="FootnoteReference"/>
        </w:rPr>
        <w:footnoteRef/>
      </w:r>
      <w:r>
        <w:t xml:space="preserve"> The Commission adopted the Cost Responsibility Surcharge Indifference Charge in D.02</w:t>
      </w:r>
      <w:r>
        <w:noBreakHyphen/>
        <w:t>11</w:t>
      </w:r>
      <w:r>
        <w:noBreakHyphen/>
        <w:t>022, as modified by D.03</w:t>
      </w:r>
      <w:r>
        <w:noBreakHyphen/>
        <w:t>07</w:t>
      </w:r>
      <w:r>
        <w:noBreakHyphen/>
        <w:t>030, D.06</w:t>
      </w:r>
      <w:r>
        <w:noBreakHyphen/>
        <w:t>07</w:t>
      </w:r>
      <w:r>
        <w:noBreakHyphen/>
        <w:t>030, D.08</w:t>
      </w:r>
      <w:r>
        <w:noBreakHyphen/>
        <w:t>09</w:t>
      </w:r>
      <w:r>
        <w:noBreakHyphen/>
        <w:t>012, D.11</w:t>
      </w:r>
      <w:r>
        <w:noBreakHyphen/>
        <w:t>12</w:t>
      </w:r>
      <w:r>
        <w:noBreakHyphen/>
        <w:t>018, Resolution E</w:t>
      </w:r>
      <w:r>
        <w:noBreakHyphen/>
        <w:t>4475, D.18</w:t>
      </w:r>
      <w:r>
        <w:noBreakHyphen/>
        <w:t>10</w:t>
      </w:r>
      <w:r>
        <w:noBreakHyphen/>
        <w:t>019 and D.19</w:t>
      </w:r>
      <w:r>
        <w:noBreakHyphen/>
        <w:t>10</w:t>
      </w:r>
      <w:r>
        <w:noBreakHyphen/>
        <w:t>001, and D.21</w:t>
      </w:r>
      <w:r>
        <w:noBreakHyphen/>
      </w:r>
      <w:r w:rsidRPr="002A0867">
        <w:t>03</w:t>
      </w:r>
      <w:r w:rsidRPr="002A0867">
        <w:noBreakHyphen/>
        <w:t>051</w:t>
      </w:r>
      <w:r w:rsidR="006C7ADD" w:rsidRPr="002A0867">
        <w:t xml:space="preserve"> and</w:t>
      </w:r>
      <w:r w:rsidR="002A0867" w:rsidRPr="002A0867">
        <w:t xml:space="preserve"> D.23-06-006</w:t>
      </w:r>
      <w:r w:rsidR="008D357D">
        <w:t>.</w:t>
      </w:r>
    </w:p>
  </w:footnote>
  <w:footnote w:id="154">
    <w:p w14:paraId="040AAA37" w14:textId="79BC7F70" w:rsidR="00CD359A" w:rsidRPr="002D3CE7" w:rsidRDefault="00CD359A">
      <w:pPr>
        <w:pStyle w:val="FootnoteText"/>
      </w:pPr>
      <w:r>
        <w:rPr>
          <w:rStyle w:val="FootnoteReference"/>
        </w:rPr>
        <w:footnoteRef/>
      </w:r>
      <w:r>
        <w:t xml:space="preserve"> </w:t>
      </w:r>
      <w:r w:rsidR="00FF4CC5">
        <w:rPr>
          <w:lang w:val="en-ZW"/>
        </w:rPr>
        <w:t>D.18-10-019 at 14.</w:t>
      </w:r>
    </w:p>
  </w:footnote>
  <w:footnote w:id="155">
    <w:p w14:paraId="6B2A6631" w14:textId="693A2980" w:rsidR="00972132" w:rsidRPr="002D3CE7" w:rsidRDefault="00972132">
      <w:pPr>
        <w:pStyle w:val="FootnoteText"/>
      </w:pPr>
      <w:r>
        <w:rPr>
          <w:rStyle w:val="FootnoteReference"/>
        </w:rPr>
        <w:footnoteRef/>
      </w:r>
      <w:r>
        <w:t xml:space="preserve"> </w:t>
      </w:r>
      <w:r>
        <w:rPr>
          <w:lang w:val="en-ZW"/>
        </w:rPr>
        <w:t>Exhibit SCE-09 at 145</w:t>
      </w:r>
      <w:r w:rsidR="009920B0">
        <w:rPr>
          <w:lang w:val="en-ZW"/>
        </w:rPr>
        <w:t>.</w:t>
      </w:r>
    </w:p>
  </w:footnote>
  <w:footnote w:id="156">
    <w:p w14:paraId="448598D9" w14:textId="72723886" w:rsidR="00C01FFE" w:rsidRPr="002D3CE7" w:rsidRDefault="00C01FFE">
      <w:pPr>
        <w:pStyle w:val="FootnoteText"/>
      </w:pPr>
      <w:r>
        <w:rPr>
          <w:rStyle w:val="FootnoteReference"/>
        </w:rPr>
        <w:footnoteRef/>
      </w:r>
      <w:r>
        <w:t xml:space="preserve"> </w:t>
      </w:r>
      <w:r w:rsidR="00347FA1">
        <w:rPr>
          <w:lang w:val="en-ZW"/>
        </w:rPr>
        <w:t xml:space="preserve">The March 27, 2024 Scoping Memo </w:t>
      </w:r>
      <w:r w:rsidR="00817692">
        <w:rPr>
          <w:lang w:val="en-ZW"/>
        </w:rPr>
        <w:t>anticipates a decision in the first quarter of 2025.</w:t>
      </w:r>
    </w:p>
  </w:footnote>
  <w:footnote w:id="157">
    <w:p w14:paraId="20F8F2CF" w14:textId="5601DDBD" w:rsidR="00817692" w:rsidRPr="002D3CE7" w:rsidRDefault="00817692">
      <w:pPr>
        <w:pStyle w:val="FootnoteText"/>
      </w:pPr>
      <w:r>
        <w:rPr>
          <w:rStyle w:val="FootnoteReference"/>
        </w:rPr>
        <w:footnoteRef/>
      </w:r>
      <w:r>
        <w:t xml:space="preserve"> </w:t>
      </w:r>
      <w:r>
        <w:rPr>
          <w:lang w:val="en-ZW"/>
        </w:rPr>
        <w:t>Exhibit SCE-09 at 146.</w:t>
      </w:r>
    </w:p>
  </w:footnote>
  <w:footnote w:id="158">
    <w:p w14:paraId="61479B66" w14:textId="6BC5C2C2" w:rsidR="00106720" w:rsidRDefault="00106720" w:rsidP="00106720">
      <w:pPr>
        <w:pStyle w:val="FootnoteText"/>
      </w:pPr>
      <w:r>
        <w:rPr>
          <w:rStyle w:val="FootnoteReference"/>
        </w:rPr>
        <w:footnoteRef/>
      </w:r>
      <w:r>
        <w:t xml:space="preserve"> Exhibit SCE-0</w:t>
      </w:r>
      <w:r w:rsidR="00974E53">
        <w:t>9</w:t>
      </w:r>
      <w:r>
        <w:t xml:space="preserve"> Appendix B</w:t>
      </w:r>
      <w:r w:rsidR="00234B09">
        <w:t xml:space="preserve"> at B-8</w:t>
      </w:r>
      <w:r>
        <w:t>.</w:t>
      </w:r>
    </w:p>
  </w:footnote>
  <w:footnote w:id="159">
    <w:p w14:paraId="0D763BAE" w14:textId="77777777" w:rsidR="002B6B59" w:rsidRDefault="002B6B59" w:rsidP="002B6B59">
      <w:pPr>
        <w:pStyle w:val="FootnoteText"/>
      </w:pPr>
      <w:r>
        <w:rPr>
          <w:rStyle w:val="FootnoteReference"/>
        </w:rPr>
        <w:footnoteRef/>
      </w:r>
      <w:r>
        <w:t xml:space="preserve"> </w:t>
      </w:r>
      <w:r w:rsidRPr="00454D1A">
        <w:t>For example, 20</w:t>
      </w:r>
      <w:r>
        <w:t>20</w:t>
      </w:r>
      <w:r w:rsidRPr="00454D1A">
        <w:t xml:space="preserve"> vintage departing load customers are those who departed SCE’s bundled customer service between July</w:t>
      </w:r>
      <w:r>
        <w:t> </w:t>
      </w:r>
      <w:r w:rsidRPr="00454D1A">
        <w:t>1,</w:t>
      </w:r>
      <w:r>
        <w:t> </w:t>
      </w:r>
      <w:r w:rsidRPr="00454D1A">
        <w:t>20</w:t>
      </w:r>
      <w:r>
        <w:t>20,</w:t>
      </w:r>
      <w:r w:rsidRPr="00454D1A">
        <w:t xml:space="preserve"> and June</w:t>
      </w:r>
      <w:r>
        <w:t> </w:t>
      </w:r>
      <w:r w:rsidRPr="00454D1A">
        <w:t>30,</w:t>
      </w:r>
      <w:r>
        <w:t> </w:t>
      </w:r>
      <w:r w:rsidRPr="00454D1A">
        <w:t>202</w:t>
      </w:r>
      <w:r>
        <w:t>1</w:t>
      </w:r>
      <w:r w:rsidRPr="00454D1A">
        <w:t>. SCE’s vintages include 2001</w:t>
      </w:r>
      <w:r>
        <w:noBreakHyphen/>
      </w:r>
      <w:r w:rsidRPr="00454D1A">
        <w:t>2003, 2004</w:t>
      </w:r>
      <w:r>
        <w:noBreakHyphen/>
      </w:r>
      <w:r w:rsidRPr="00454D1A">
        <w:t>2008, and annually starting in 2009</w:t>
      </w:r>
      <w:r>
        <w:t>.</w:t>
      </w:r>
    </w:p>
  </w:footnote>
  <w:footnote w:id="160">
    <w:p w14:paraId="2077B750" w14:textId="554007AC" w:rsidR="0054429B" w:rsidRPr="00853B3C" w:rsidRDefault="0054429B" w:rsidP="0054429B">
      <w:pPr>
        <w:pStyle w:val="FootnoteText"/>
        <w:rPr>
          <w:i/>
          <w:iCs/>
        </w:rPr>
      </w:pPr>
      <w:r>
        <w:rPr>
          <w:rStyle w:val="FootnoteReference"/>
        </w:rPr>
        <w:footnoteRef/>
      </w:r>
      <w:r>
        <w:t xml:space="preserve"> </w:t>
      </w:r>
      <w:r w:rsidRPr="00853B3C">
        <w:t>D.21-03-015</w:t>
      </w:r>
      <w:r>
        <w:rPr>
          <w:i/>
          <w:iCs/>
        </w:rPr>
        <w:t>.</w:t>
      </w:r>
    </w:p>
  </w:footnote>
  <w:footnote w:id="161">
    <w:p w14:paraId="2153C391" w14:textId="17E8E945" w:rsidR="0054429B" w:rsidRDefault="0054429B">
      <w:pPr>
        <w:pStyle w:val="FootnoteText"/>
      </w:pPr>
      <w:r>
        <w:rPr>
          <w:rStyle w:val="FootnoteReference"/>
        </w:rPr>
        <w:footnoteRef/>
      </w:r>
      <w:r>
        <w:t xml:space="preserve"> </w:t>
      </w:r>
      <w:r w:rsidR="001D281D">
        <w:t>SCE-09 Appendix B at B-4.</w:t>
      </w:r>
    </w:p>
  </w:footnote>
  <w:footnote w:id="162">
    <w:p w14:paraId="4F50A8F7" w14:textId="5E4C3224" w:rsidR="002B6B59" w:rsidRDefault="002B6B59" w:rsidP="002B6B59">
      <w:pPr>
        <w:pStyle w:val="FootnoteText"/>
      </w:pPr>
      <w:r>
        <w:rPr>
          <w:rStyle w:val="FootnoteReference"/>
        </w:rPr>
        <w:footnoteRef/>
      </w:r>
      <w:r>
        <w:t xml:space="preserve"> SCE’s final revenue requirement and its associated PCIA rates will be updated in its Advice</w:t>
      </w:r>
      <w:r w:rsidR="00FA6ACD">
        <w:t> </w:t>
      </w:r>
      <w:r>
        <w:t>Letter implementing this Decision.</w:t>
      </w:r>
    </w:p>
  </w:footnote>
  <w:footnote w:id="163">
    <w:p w14:paraId="646EE6FE" w14:textId="5A08F202" w:rsidR="002B6B59" w:rsidRDefault="002B6B59" w:rsidP="002B6B59">
      <w:pPr>
        <w:pStyle w:val="FootnoteText"/>
      </w:pPr>
      <w:r>
        <w:rPr>
          <w:rStyle w:val="FootnoteReference"/>
        </w:rPr>
        <w:footnoteRef/>
      </w:r>
      <w:r>
        <w:t xml:space="preserve"> </w:t>
      </w:r>
      <w:r w:rsidR="004B0549">
        <w:t>Exhibit</w:t>
      </w:r>
      <w:r w:rsidR="00011DDA">
        <w:t xml:space="preserve"> SCE-09 at 129 and Table IX-43</w:t>
      </w:r>
      <w:r>
        <w:t>.</w:t>
      </w:r>
    </w:p>
  </w:footnote>
  <w:footnote w:id="164">
    <w:p w14:paraId="7227B257" w14:textId="04D2CB22" w:rsidR="008F4F67" w:rsidRDefault="008F4F67">
      <w:pPr>
        <w:pStyle w:val="FootnoteText"/>
      </w:pPr>
      <w:r>
        <w:rPr>
          <w:rStyle w:val="FootnoteReference"/>
        </w:rPr>
        <w:footnoteRef/>
      </w:r>
      <w:r>
        <w:t xml:space="preserve"> Exhibit SCE-09 at 131-132.</w:t>
      </w:r>
    </w:p>
  </w:footnote>
  <w:footnote w:id="165">
    <w:p w14:paraId="1F117593" w14:textId="032CD8AC" w:rsidR="009D5FA3" w:rsidRDefault="009D5FA3">
      <w:pPr>
        <w:pStyle w:val="FootnoteText"/>
      </w:pPr>
      <w:r>
        <w:rPr>
          <w:rStyle w:val="FootnoteReference"/>
        </w:rPr>
        <w:footnoteRef/>
      </w:r>
      <w:r>
        <w:t xml:space="preserve"> Exhibit SCE-09 at </w:t>
      </w:r>
      <w:r w:rsidR="00B0663C">
        <w:t>129 and Table IX-43. Exhibit SCE-11C at 128</w:t>
      </w:r>
      <w:r w:rsidR="00B0663C" w:rsidRPr="00B0663C">
        <w:t xml:space="preserve"> </w:t>
      </w:r>
      <w:r w:rsidR="00B0663C">
        <w:t>and Table IX-43.</w:t>
      </w:r>
    </w:p>
  </w:footnote>
  <w:footnote w:id="166">
    <w:p w14:paraId="48C01766" w14:textId="695F9746" w:rsidR="0076746C" w:rsidRPr="00D34B53" w:rsidRDefault="0076746C" w:rsidP="0076746C">
      <w:pPr>
        <w:pStyle w:val="FootnoteText"/>
      </w:pPr>
      <w:r>
        <w:rPr>
          <w:rStyle w:val="FootnoteReference"/>
        </w:rPr>
        <w:footnoteRef/>
      </w:r>
      <w:r>
        <w:t xml:space="preserve"> </w:t>
      </w:r>
      <w:r>
        <w:rPr>
          <w:lang w:val="en-ZW"/>
        </w:rPr>
        <w:t>Exhibit SCE-09 at 132.</w:t>
      </w:r>
    </w:p>
  </w:footnote>
  <w:footnote w:id="167">
    <w:p w14:paraId="0C3CDEDB" w14:textId="758598B3" w:rsidR="00394CA6" w:rsidRDefault="00394CA6">
      <w:pPr>
        <w:pStyle w:val="FootnoteText"/>
      </w:pPr>
      <w:r>
        <w:rPr>
          <w:rStyle w:val="FootnoteReference"/>
        </w:rPr>
        <w:footnoteRef/>
      </w:r>
      <w:r>
        <w:t xml:space="preserve"> Exhibit SCE-09 at 132.</w:t>
      </w:r>
    </w:p>
  </w:footnote>
  <w:footnote w:id="168">
    <w:p w14:paraId="1549D6D1" w14:textId="68036673" w:rsidR="003D3DD9" w:rsidRPr="002D3CE7" w:rsidRDefault="003D3DD9" w:rsidP="003D3DD9">
      <w:pPr>
        <w:pStyle w:val="FootnoteText"/>
      </w:pPr>
      <w:r>
        <w:rPr>
          <w:rStyle w:val="FootnoteReference"/>
        </w:rPr>
        <w:footnoteRef/>
      </w:r>
      <w:r>
        <w:t xml:space="preserve"> </w:t>
      </w:r>
      <w:r>
        <w:rPr>
          <w:lang w:val="en-ZW"/>
        </w:rPr>
        <w:t>Exhibit SCE-09 at 128.</w:t>
      </w:r>
    </w:p>
  </w:footnote>
  <w:footnote w:id="169">
    <w:p w14:paraId="4CC2DEFA" w14:textId="15D26A75" w:rsidR="003D3DD9" w:rsidRPr="002D3CE7" w:rsidRDefault="003D3DD9" w:rsidP="003D3DD9">
      <w:pPr>
        <w:pStyle w:val="FootnoteText"/>
      </w:pPr>
      <w:r>
        <w:rPr>
          <w:rStyle w:val="FootnoteReference"/>
        </w:rPr>
        <w:footnoteRef/>
      </w:r>
      <w:r>
        <w:t xml:space="preserve"> </w:t>
      </w:r>
      <w:r>
        <w:rPr>
          <w:lang w:val="en-ZW"/>
        </w:rPr>
        <w:t>Exhibit SCE-09 at 129 and table IX-43.</w:t>
      </w:r>
    </w:p>
  </w:footnote>
  <w:footnote w:id="170">
    <w:p w14:paraId="6AF0E87F" w14:textId="4A311D10" w:rsidR="003D3DD9" w:rsidRPr="002D3CE7" w:rsidRDefault="003D3DD9" w:rsidP="003D3DD9">
      <w:pPr>
        <w:pStyle w:val="FootnoteText"/>
      </w:pPr>
      <w:r>
        <w:rPr>
          <w:rStyle w:val="FootnoteReference"/>
        </w:rPr>
        <w:footnoteRef/>
      </w:r>
      <w:r>
        <w:t xml:space="preserve"> </w:t>
      </w:r>
      <w:r>
        <w:rPr>
          <w:lang w:val="en-ZW"/>
        </w:rPr>
        <w:t>Exhibit SCE-09 at 129 and table IX-43, Exhibit SCE-11C at 128 and table IX-43.</w:t>
      </w:r>
    </w:p>
  </w:footnote>
  <w:footnote w:id="171">
    <w:p w14:paraId="7BE826B6" w14:textId="10EDD307" w:rsidR="00A02454" w:rsidRPr="00D34B53" w:rsidRDefault="00A02454" w:rsidP="00A02454">
      <w:pPr>
        <w:pStyle w:val="FootnoteText"/>
      </w:pPr>
      <w:r>
        <w:rPr>
          <w:rStyle w:val="FootnoteReference"/>
        </w:rPr>
        <w:footnoteRef/>
      </w:r>
      <w:r>
        <w:t xml:space="preserve"> </w:t>
      </w:r>
      <w:r>
        <w:rPr>
          <w:lang w:val="en-ZW"/>
        </w:rPr>
        <w:t>Exhibit SCE-09 at 133-135.</w:t>
      </w:r>
    </w:p>
  </w:footnote>
  <w:footnote w:id="172">
    <w:p w14:paraId="52525C85" w14:textId="339D91BF" w:rsidR="00D00B4E" w:rsidRPr="002D3CE7" w:rsidRDefault="00D00B4E">
      <w:pPr>
        <w:pStyle w:val="FootnoteText"/>
      </w:pPr>
      <w:r>
        <w:rPr>
          <w:rStyle w:val="FootnoteReference"/>
        </w:rPr>
        <w:footnoteRef/>
      </w:r>
      <w:r>
        <w:t xml:space="preserve"> </w:t>
      </w:r>
      <w:r>
        <w:rPr>
          <w:lang w:val="en-ZW"/>
        </w:rPr>
        <w:t>Exhibit SCE-09 at 138-139.</w:t>
      </w:r>
    </w:p>
  </w:footnote>
  <w:footnote w:id="173">
    <w:p w14:paraId="289F409B" w14:textId="40336F47" w:rsidR="00CD5DC2" w:rsidRPr="002D3CE7" w:rsidRDefault="00CD5DC2">
      <w:pPr>
        <w:pStyle w:val="FootnoteText"/>
      </w:pPr>
      <w:r>
        <w:rPr>
          <w:rStyle w:val="FootnoteReference"/>
        </w:rPr>
        <w:footnoteRef/>
      </w:r>
      <w:r>
        <w:t xml:space="preserve"> </w:t>
      </w:r>
      <w:r>
        <w:rPr>
          <w:lang w:val="en-ZW"/>
        </w:rPr>
        <w:t xml:space="preserve">Exhibit </w:t>
      </w:r>
      <w:r w:rsidR="00717801">
        <w:rPr>
          <w:lang w:val="en-ZW"/>
        </w:rPr>
        <w:t>SCE-09 at 140-141.</w:t>
      </w:r>
    </w:p>
  </w:footnote>
  <w:footnote w:id="174">
    <w:p w14:paraId="2C79174A" w14:textId="6CB32103" w:rsidR="00141A28" w:rsidRDefault="00141A28">
      <w:pPr>
        <w:pStyle w:val="FootnoteText"/>
      </w:pPr>
      <w:r>
        <w:rPr>
          <w:rStyle w:val="FootnoteReference"/>
        </w:rPr>
        <w:footnoteRef/>
      </w:r>
      <w:r>
        <w:t xml:space="preserve"> SCE Opening Brief at </w:t>
      </w:r>
      <w:r w:rsidR="00EF1F36">
        <w:t>9-10.</w:t>
      </w:r>
    </w:p>
  </w:footnote>
  <w:footnote w:id="175">
    <w:p w14:paraId="776C2FB0" w14:textId="511E99EB" w:rsidR="000B0D14" w:rsidRPr="002D3CE7" w:rsidRDefault="000B0D14">
      <w:pPr>
        <w:pStyle w:val="FootnoteText"/>
      </w:pPr>
      <w:r>
        <w:rPr>
          <w:rStyle w:val="FootnoteReference"/>
        </w:rPr>
        <w:footnoteRef/>
      </w:r>
      <w:r>
        <w:t xml:space="preserve"> </w:t>
      </w:r>
      <w:r>
        <w:rPr>
          <w:lang w:val="en-ZW"/>
        </w:rPr>
        <w:t>Exhibit SCE-09 at 142.</w:t>
      </w:r>
    </w:p>
  </w:footnote>
  <w:footnote w:id="176">
    <w:p w14:paraId="5A655759" w14:textId="532273AA" w:rsidR="00761AA7" w:rsidRDefault="00761AA7">
      <w:pPr>
        <w:pStyle w:val="FootnoteText"/>
      </w:pPr>
      <w:r>
        <w:rPr>
          <w:rStyle w:val="FootnoteReference"/>
        </w:rPr>
        <w:footnoteRef/>
      </w:r>
      <w:r>
        <w:t xml:space="preserve"> Exhibit SCE-09 at Attachment A</w:t>
      </w:r>
      <w:r w:rsidR="008823FA">
        <w:t xml:space="preserve"> at A-2</w:t>
      </w:r>
      <w:r w:rsidR="00466633">
        <w:t>.</w:t>
      </w:r>
    </w:p>
  </w:footnote>
  <w:footnote w:id="177">
    <w:p w14:paraId="2D103535" w14:textId="72451C00" w:rsidR="00291D22" w:rsidRDefault="00291D22" w:rsidP="00291D22">
      <w:pPr>
        <w:pStyle w:val="FootnoteText"/>
      </w:pPr>
      <w:r>
        <w:rPr>
          <w:rStyle w:val="FootnoteReference"/>
        </w:rPr>
        <w:footnoteRef/>
      </w:r>
      <w:r>
        <w:t xml:space="preserve"> </w:t>
      </w:r>
      <w:r w:rsidR="005F4828">
        <w:t xml:space="preserve">SCE Opening brief at </w:t>
      </w:r>
      <w:r w:rsidR="002719B2">
        <w:t>12;</w:t>
      </w:r>
      <w:r w:rsidR="00C43663">
        <w:t xml:space="preserve"> CalCCA Opening brief at </w:t>
      </w:r>
      <w:r w:rsidR="00E04690">
        <w:t>iii-iv, 13-25.</w:t>
      </w:r>
    </w:p>
  </w:footnote>
  <w:footnote w:id="178">
    <w:p w14:paraId="59891DBA" w14:textId="095EEBDA" w:rsidR="001D0F92" w:rsidRDefault="001D0F92">
      <w:pPr>
        <w:pStyle w:val="FootnoteText"/>
      </w:pPr>
      <w:r>
        <w:rPr>
          <w:rStyle w:val="FootnoteReference"/>
        </w:rPr>
        <w:footnoteRef/>
      </w:r>
      <w:r>
        <w:t xml:space="preserve"> </w:t>
      </w:r>
      <w:r w:rsidR="00483526">
        <w:t xml:space="preserve">See Scoping Memo in A.13-05-015 </w:t>
      </w:r>
      <w:r w:rsidR="00483526" w:rsidRPr="00625273">
        <w:t>at 3</w:t>
      </w:r>
      <w:r w:rsidR="000A5580" w:rsidRPr="00625273">
        <w:t>; D.</w:t>
      </w:r>
      <w:r w:rsidR="000A5580">
        <w:t>18-01-009 at 1</w:t>
      </w:r>
      <w:r w:rsidR="004D599F">
        <w:t>0</w:t>
      </w:r>
      <w:r w:rsidR="00AB3D32">
        <w:t>.</w:t>
      </w:r>
    </w:p>
  </w:footnote>
  <w:footnote w:id="179">
    <w:p w14:paraId="1C5D946C" w14:textId="723A9A97" w:rsidR="008028CE" w:rsidRDefault="008028CE">
      <w:pPr>
        <w:pStyle w:val="FootnoteText"/>
      </w:pPr>
      <w:r>
        <w:rPr>
          <w:rStyle w:val="FootnoteReference"/>
        </w:rPr>
        <w:footnoteRef/>
      </w:r>
      <w:r>
        <w:t xml:space="preserve"> Assigned ALJ’s October 8</w:t>
      </w:r>
      <w:r w:rsidR="00A11713">
        <w:t>, 2024 ruling requesting party comment on procedural mechanisms at 3</w:t>
      </w:r>
      <w:r w:rsidR="00C010CF">
        <w:t>.</w:t>
      </w:r>
    </w:p>
  </w:footnote>
  <w:footnote w:id="180">
    <w:p w14:paraId="31368D4D" w14:textId="722275A6" w:rsidR="00C01A72" w:rsidRDefault="00C01A72">
      <w:pPr>
        <w:pStyle w:val="FootnoteText"/>
      </w:pPr>
      <w:r>
        <w:rPr>
          <w:rStyle w:val="FootnoteReference"/>
        </w:rPr>
        <w:footnoteRef/>
      </w:r>
      <w:r>
        <w:t xml:space="preserve"> </w:t>
      </w:r>
      <w:r w:rsidR="004F0654">
        <w:t>AReM and DACC comm</w:t>
      </w:r>
      <w:r w:rsidR="0025428D">
        <w:t>ents on SCE’s</w:t>
      </w:r>
      <w:r w:rsidR="000C1909">
        <w:t xml:space="preserve"> Revised ERRA October Update</w:t>
      </w:r>
      <w:r w:rsidR="0025428D">
        <w:t xml:space="preserve"> at 4</w:t>
      </w:r>
      <w:r w:rsidR="00DA578A">
        <w:t>.</w:t>
      </w:r>
    </w:p>
  </w:footnote>
  <w:footnote w:id="181">
    <w:p w14:paraId="2C6D1671" w14:textId="54E613ED" w:rsidR="006B52B3" w:rsidRDefault="006B52B3">
      <w:pPr>
        <w:pStyle w:val="FootnoteText"/>
      </w:pPr>
      <w:r>
        <w:rPr>
          <w:rStyle w:val="FootnoteReference"/>
        </w:rPr>
        <w:footnoteRef/>
      </w:r>
      <w:r>
        <w:t xml:space="preserve"> Exhibit SCE-01 at 11.</w:t>
      </w:r>
    </w:p>
  </w:footnote>
  <w:footnote w:id="182">
    <w:p w14:paraId="61D5EDE5" w14:textId="77777777" w:rsidR="00291D22" w:rsidRDefault="00291D22" w:rsidP="00291D22">
      <w:pPr>
        <w:pStyle w:val="FootnoteText"/>
      </w:pPr>
      <w:r>
        <w:rPr>
          <w:rStyle w:val="FootnoteReference"/>
        </w:rPr>
        <w:footnoteRef/>
      </w:r>
      <w:r>
        <w:t xml:space="preserve"> Exhibit CalCCA-01 at 2 and 12.</w:t>
      </w:r>
    </w:p>
  </w:footnote>
  <w:footnote w:id="183">
    <w:p w14:paraId="7E2C2452" w14:textId="7B6F93FC" w:rsidR="00C908B2" w:rsidRDefault="00C908B2">
      <w:pPr>
        <w:pStyle w:val="FootnoteText"/>
      </w:pPr>
      <w:r>
        <w:rPr>
          <w:rStyle w:val="FootnoteReference"/>
        </w:rPr>
        <w:footnoteRef/>
      </w:r>
      <w:r>
        <w:t xml:space="preserve"> SCE </w:t>
      </w:r>
      <w:r w:rsidR="00485CD1">
        <w:t>Opening Brief</w:t>
      </w:r>
      <w:r>
        <w:t xml:space="preserve"> at 30.</w:t>
      </w:r>
    </w:p>
  </w:footnote>
  <w:footnote w:id="184">
    <w:p w14:paraId="67145A82" w14:textId="77777777" w:rsidR="00291D22" w:rsidRDefault="00291D22" w:rsidP="00291D22">
      <w:pPr>
        <w:pStyle w:val="FootnoteText"/>
      </w:pPr>
      <w:r>
        <w:rPr>
          <w:rStyle w:val="FootnoteReference"/>
        </w:rPr>
        <w:footnoteRef/>
      </w:r>
      <w:r>
        <w:t xml:space="preserve"> Exhibit SCE-05 at 3.</w:t>
      </w:r>
    </w:p>
  </w:footnote>
  <w:footnote w:id="185">
    <w:p w14:paraId="09E21204" w14:textId="4BC5C20F" w:rsidR="00485CD1" w:rsidRDefault="00485CD1">
      <w:pPr>
        <w:pStyle w:val="FootnoteText"/>
      </w:pPr>
      <w:r>
        <w:rPr>
          <w:rStyle w:val="FootnoteReference"/>
        </w:rPr>
        <w:footnoteRef/>
      </w:r>
      <w:r>
        <w:t xml:space="preserve"> SCE Opening Brief at 33.</w:t>
      </w:r>
    </w:p>
  </w:footnote>
  <w:footnote w:id="186">
    <w:p w14:paraId="295560BB" w14:textId="28D0E7FA" w:rsidR="00873419" w:rsidRDefault="00873419">
      <w:pPr>
        <w:pStyle w:val="FootnoteText"/>
      </w:pPr>
      <w:r>
        <w:rPr>
          <w:rStyle w:val="FootnoteReference"/>
        </w:rPr>
        <w:footnoteRef/>
      </w:r>
      <w:r>
        <w:t xml:space="preserve"> </w:t>
      </w:r>
      <w:r w:rsidR="009A70C9">
        <w:t>Exhibit SCE-04</w:t>
      </w:r>
      <w:r w:rsidR="00B76148">
        <w:t xml:space="preserve"> at 8-10; </w:t>
      </w:r>
      <w:r>
        <w:t>SCE O</w:t>
      </w:r>
      <w:r w:rsidR="00EA0E8D">
        <w:t xml:space="preserve">pening </w:t>
      </w:r>
      <w:r>
        <w:t>B</w:t>
      </w:r>
      <w:r w:rsidR="00EA0E8D">
        <w:t>rief</w:t>
      </w:r>
      <w:r>
        <w:t xml:space="preserve"> at 28</w:t>
      </w:r>
      <w:r w:rsidR="009D4F2B">
        <w:t>-9</w:t>
      </w:r>
      <w:r w:rsidR="006C0645">
        <w:t>.</w:t>
      </w:r>
    </w:p>
  </w:footnote>
  <w:footnote w:id="187">
    <w:p w14:paraId="12E111C9" w14:textId="6024D9D9" w:rsidR="00291D22" w:rsidRDefault="00291D22" w:rsidP="00291D22">
      <w:pPr>
        <w:pStyle w:val="FootnoteText"/>
      </w:pPr>
      <w:r>
        <w:rPr>
          <w:rStyle w:val="FootnoteReference"/>
        </w:rPr>
        <w:footnoteRef/>
      </w:r>
      <w:r>
        <w:t xml:space="preserve"> </w:t>
      </w:r>
      <w:r w:rsidR="00B76148">
        <w:t xml:space="preserve">Exhibit SCE-04 at </w:t>
      </w:r>
      <w:r w:rsidR="006C0645">
        <w:t xml:space="preserve">8; </w:t>
      </w:r>
      <w:r w:rsidR="00980817">
        <w:t xml:space="preserve">Exhibit </w:t>
      </w:r>
      <w:r>
        <w:t>CalCCA</w:t>
      </w:r>
      <w:r w:rsidR="00980817">
        <w:t xml:space="preserve">-01 at </w:t>
      </w:r>
      <w:r w:rsidR="00D0017F">
        <w:t>13 and footnote 32.</w:t>
      </w:r>
    </w:p>
  </w:footnote>
  <w:footnote w:id="188">
    <w:p w14:paraId="13CE915E" w14:textId="6B9D02A2" w:rsidR="00B7781F" w:rsidRDefault="00B7781F">
      <w:pPr>
        <w:pStyle w:val="FootnoteText"/>
      </w:pPr>
      <w:r>
        <w:rPr>
          <w:rStyle w:val="FootnoteReference"/>
        </w:rPr>
        <w:footnoteRef/>
      </w:r>
      <w:r>
        <w:t xml:space="preserve"> C</w:t>
      </w:r>
      <w:r w:rsidR="0083473A">
        <w:t>a</w:t>
      </w:r>
      <w:r>
        <w:t xml:space="preserve">lCCA </w:t>
      </w:r>
      <w:r w:rsidR="002229DE">
        <w:t>R</w:t>
      </w:r>
      <w:r w:rsidR="0083473A">
        <w:t xml:space="preserve">eply </w:t>
      </w:r>
      <w:r w:rsidR="002229DE">
        <w:t>B</w:t>
      </w:r>
      <w:r w:rsidR="0083473A">
        <w:t>rief</w:t>
      </w:r>
      <w:r w:rsidR="002229DE">
        <w:t xml:space="preserve"> at 13.</w:t>
      </w:r>
    </w:p>
  </w:footnote>
  <w:footnote w:id="189">
    <w:p w14:paraId="33D2C16D" w14:textId="48A502D7" w:rsidR="00305564" w:rsidRDefault="00305564">
      <w:pPr>
        <w:pStyle w:val="FootnoteText"/>
      </w:pPr>
      <w:r>
        <w:rPr>
          <w:rStyle w:val="FootnoteReference"/>
        </w:rPr>
        <w:footnoteRef/>
      </w:r>
      <w:r>
        <w:t xml:space="preserve"> Exhibit CalCCA-01 at 11</w:t>
      </w:r>
      <w:r w:rsidR="00DA578A">
        <w:t>.</w:t>
      </w:r>
    </w:p>
  </w:footnote>
  <w:footnote w:id="190">
    <w:p w14:paraId="5D751FEC" w14:textId="559C7600" w:rsidR="00453C1B" w:rsidRDefault="00453C1B">
      <w:pPr>
        <w:pStyle w:val="FootnoteText"/>
      </w:pPr>
      <w:r>
        <w:rPr>
          <w:rStyle w:val="FootnoteReference"/>
        </w:rPr>
        <w:footnoteRef/>
      </w:r>
      <w:r>
        <w:t xml:space="preserve"> </w:t>
      </w:r>
      <w:r w:rsidR="00700D5E">
        <w:t xml:space="preserve">CalCCA </w:t>
      </w:r>
      <w:r w:rsidR="00A80A02">
        <w:t xml:space="preserve">Opening Brief </w:t>
      </w:r>
      <w:r w:rsidR="00700D5E">
        <w:t>at 28.</w:t>
      </w:r>
    </w:p>
  </w:footnote>
  <w:footnote w:id="191">
    <w:p w14:paraId="5F73F65A" w14:textId="5BC046DC" w:rsidR="00291D22" w:rsidRPr="00D34B53" w:rsidRDefault="00291D22" w:rsidP="00291D22">
      <w:pPr>
        <w:pStyle w:val="FootnoteText"/>
      </w:pPr>
      <w:r>
        <w:rPr>
          <w:rStyle w:val="FootnoteReference"/>
        </w:rPr>
        <w:footnoteRef/>
      </w:r>
      <w:r>
        <w:t xml:space="preserve"> </w:t>
      </w:r>
      <w:r>
        <w:rPr>
          <w:lang w:val="en-ZW"/>
        </w:rPr>
        <w:t>Exhibit SCE-09 at 2</w:t>
      </w:r>
      <w:r w:rsidR="006215D1">
        <w:rPr>
          <w:lang w:val="en-ZW"/>
        </w:rPr>
        <w:t>;</w:t>
      </w:r>
      <w:r>
        <w:rPr>
          <w:lang w:val="en-ZW"/>
        </w:rPr>
        <w:t xml:space="preserve"> Exhibit SCE-11 at 2</w:t>
      </w:r>
      <w:r w:rsidR="006215D1">
        <w:rPr>
          <w:lang w:val="en-ZW"/>
        </w:rPr>
        <w:t xml:space="preserve">; SCE OB at </w:t>
      </w:r>
      <w:r w:rsidR="00D23B45">
        <w:rPr>
          <w:lang w:val="en-ZW"/>
        </w:rPr>
        <w:t>14</w:t>
      </w:r>
      <w:r w:rsidR="000D1ABC">
        <w:rPr>
          <w:lang w:val="en-ZW"/>
        </w:rPr>
        <w:t xml:space="preserve">; Exhibit SCE-01 at </w:t>
      </w:r>
      <w:r w:rsidR="00312FED">
        <w:rPr>
          <w:lang w:val="en-ZW"/>
        </w:rPr>
        <w:t>34</w:t>
      </w:r>
      <w:r w:rsidR="00DA578A">
        <w:rPr>
          <w:lang w:val="en-ZW"/>
        </w:rPr>
        <w:t>.</w:t>
      </w:r>
    </w:p>
  </w:footnote>
  <w:footnote w:id="192">
    <w:p w14:paraId="48AF1EB4" w14:textId="53B0E85C" w:rsidR="005B58FD" w:rsidRDefault="005B58FD">
      <w:pPr>
        <w:pStyle w:val="FootnoteText"/>
      </w:pPr>
      <w:r>
        <w:rPr>
          <w:rStyle w:val="FootnoteReference"/>
        </w:rPr>
        <w:footnoteRef/>
      </w:r>
      <w:r>
        <w:t xml:space="preserve"> </w:t>
      </w:r>
      <w:r w:rsidR="00412B36">
        <w:t>CalCCA Opening Brief at 24.</w:t>
      </w:r>
    </w:p>
  </w:footnote>
  <w:footnote w:id="193">
    <w:p w14:paraId="5B26BCC5" w14:textId="5D40F785" w:rsidR="0069313B" w:rsidRDefault="0069313B">
      <w:pPr>
        <w:pStyle w:val="FootnoteText"/>
      </w:pPr>
      <w:r>
        <w:rPr>
          <w:rStyle w:val="FootnoteReference"/>
        </w:rPr>
        <w:footnoteRef/>
      </w:r>
      <w:r>
        <w:t xml:space="preserve"> </w:t>
      </w:r>
      <w:r w:rsidR="00B046A7">
        <w:t xml:space="preserve">CalCCA </w:t>
      </w:r>
      <w:r w:rsidR="00A80A02">
        <w:t xml:space="preserve">Opening Brief </w:t>
      </w:r>
      <w:r w:rsidR="00B046A7">
        <w:t>at iv.</w:t>
      </w:r>
    </w:p>
  </w:footnote>
  <w:footnote w:id="194">
    <w:p w14:paraId="1693A469" w14:textId="30CF9BCC" w:rsidR="00285F2E" w:rsidRDefault="00285F2E">
      <w:pPr>
        <w:pStyle w:val="FootnoteText"/>
      </w:pPr>
      <w:r>
        <w:rPr>
          <w:rStyle w:val="FootnoteReference"/>
        </w:rPr>
        <w:footnoteRef/>
      </w:r>
      <w:r>
        <w:t xml:space="preserve"> CalCCA </w:t>
      </w:r>
      <w:r w:rsidR="00A80A02">
        <w:t xml:space="preserve">Opening Brief </w:t>
      </w:r>
      <w:r>
        <w:t>at 16.</w:t>
      </w:r>
    </w:p>
  </w:footnote>
  <w:footnote w:id="195">
    <w:p w14:paraId="00C6B35D" w14:textId="158617E8" w:rsidR="00261354" w:rsidRDefault="00261354">
      <w:pPr>
        <w:pStyle w:val="FootnoteText"/>
      </w:pPr>
      <w:r>
        <w:rPr>
          <w:rStyle w:val="FootnoteReference"/>
        </w:rPr>
        <w:footnoteRef/>
      </w:r>
      <w:r>
        <w:t xml:space="preserve"> </w:t>
      </w:r>
      <w:r w:rsidR="00600181">
        <w:t>SCE Opening Brief at 22 and 23.</w:t>
      </w:r>
    </w:p>
  </w:footnote>
  <w:footnote w:id="196">
    <w:p w14:paraId="3CCC9C32" w14:textId="40286142" w:rsidR="00FE557A" w:rsidRDefault="00FE557A">
      <w:pPr>
        <w:pStyle w:val="FootnoteText"/>
      </w:pPr>
      <w:r>
        <w:rPr>
          <w:rStyle w:val="FootnoteReference"/>
        </w:rPr>
        <w:footnoteRef/>
      </w:r>
      <w:r>
        <w:t xml:space="preserve"> D.18-</w:t>
      </w:r>
      <w:r w:rsidR="000E767D">
        <w:t>10-019 at 73-74.</w:t>
      </w:r>
    </w:p>
  </w:footnote>
  <w:footnote w:id="197">
    <w:p w14:paraId="0B4739FC" w14:textId="60822971" w:rsidR="00493505" w:rsidRDefault="00493505">
      <w:pPr>
        <w:pStyle w:val="FootnoteText"/>
      </w:pPr>
      <w:r>
        <w:rPr>
          <w:rStyle w:val="FootnoteReference"/>
        </w:rPr>
        <w:footnoteRef/>
      </w:r>
      <w:r>
        <w:t xml:space="preserve"> Exhibit SCE-01 at </w:t>
      </w:r>
      <w:r w:rsidR="008B1A8B">
        <w:t>23-27.</w:t>
      </w:r>
    </w:p>
  </w:footnote>
  <w:footnote w:id="198">
    <w:p w14:paraId="0158C196" w14:textId="7F449A06" w:rsidR="00D904C7" w:rsidRDefault="00D904C7">
      <w:pPr>
        <w:pStyle w:val="FootnoteText"/>
      </w:pPr>
      <w:r>
        <w:rPr>
          <w:rStyle w:val="FootnoteReference"/>
        </w:rPr>
        <w:footnoteRef/>
      </w:r>
      <w:r>
        <w:t xml:space="preserve"> Exhibit SCE-05 at 2-9</w:t>
      </w:r>
      <w:r w:rsidR="006F790F">
        <w:t>.</w:t>
      </w:r>
    </w:p>
  </w:footnote>
  <w:footnote w:id="199">
    <w:p w14:paraId="0FE05406" w14:textId="7B6AFF63" w:rsidR="009041E4" w:rsidRDefault="009041E4">
      <w:pPr>
        <w:pStyle w:val="FootnoteText"/>
      </w:pPr>
      <w:r>
        <w:rPr>
          <w:rStyle w:val="FootnoteReference"/>
        </w:rPr>
        <w:footnoteRef/>
      </w:r>
      <w:r>
        <w:t xml:space="preserve"> SCE Opening Brief at </w:t>
      </w:r>
      <w:r w:rsidR="00143796">
        <w:t>33.</w:t>
      </w:r>
    </w:p>
  </w:footnote>
  <w:footnote w:id="200">
    <w:p w14:paraId="52CCA405" w14:textId="6B152FE4" w:rsidR="00DA7E94" w:rsidRDefault="00DA7E94">
      <w:pPr>
        <w:pStyle w:val="FootnoteText"/>
      </w:pPr>
      <w:r>
        <w:rPr>
          <w:rStyle w:val="FootnoteReference"/>
        </w:rPr>
        <w:footnoteRef/>
      </w:r>
      <w:r>
        <w:t xml:space="preserve"> SCE Opening Brief at 33-3</w:t>
      </w:r>
      <w:r w:rsidR="00A00701">
        <w:t>7.</w:t>
      </w:r>
    </w:p>
  </w:footnote>
  <w:footnote w:id="201">
    <w:p w14:paraId="5F69AE3C" w14:textId="41E842D1" w:rsidR="000B6DAB" w:rsidRDefault="000B6DAB">
      <w:pPr>
        <w:pStyle w:val="FootnoteText"/>
      </w:pPr>
      <w:r>
        <w:rPr>
          <w:rStyle w:val="FootnoteReference"/>
        </w:rPr>
        <w:footnoteRef/>
      </w:r>
      <w:r>
        <w:t xml:space="preserve"> </w:t>
      </w:r>
      <w:r w:rsidR="003B22F4">
        <w:t xml:space="preserve">SCE reply brief at </w:t>
      </w:r>
      <w:r w:rsidR="00A977F4">
        <w:t xml:space="preserve">1-2; </w:t>
      </w:r>
      <w:r w:rsidR="00DA7E94">
        <w:t>CalCCA reply brief at 2.</w:t>
      </w:r>
    </w:p>
  </w:footnote>
  <w:footnote w:id="202">
    <w:p w14:paraId="1405562D" w14:textId="03149723" w:rsidR="00C464E0" w:rsidRDefault="00C464E0">
      <w:pPr>
        <w:pStyle w:val="FootnoteText"/>
      </w:pPr>
      <w:r>
        <w:rPr>
          <w:rStyle w:val="FootnoteReference"/>
        </w:rPr>
        <w:footnoteRef/>
      </w:r>
      <w:r>
        <w:t xml:space="preserve"> </w:t>
      </w:r>
      <w:r w:rsidR="003A4544">
        <w:t xml:space="preserve">Energy Division’s October 4, 2024 Addendum to the </w:t>
      </w:r>
      <w:r w:rsidR="00671A12">
        <w:t>Market Price Benchmark Calculations.</w:t>
      </w:r>
    </w:p>
  </w:footnote>
  <w:footnote w:id="203">
    <w:p w14:paraId="7EBECC95" w14:textId="27FDDF37" w:rsidR="00291D22" w:rsidRPr="00EC723D" w:rsidRDefault="00291D22" w:rsidP="00291D22">
      <w:pPr>
        <w:pStyle w:val="FootnoteText"/>
      </w:pPr>
      <w:r>
        <w:rPr>
          <w:rStyle w:val="FootnoteReference"/>
        </w:rPr>
        <w:footnoteRef/>
      </w:r>
      <w:r>
        <w:t xml:space="preserve"> </w:t>
      </w:r>
      <w:r>
        <w:rPr>
          <w:lang w:val="en-ZW"/>
        </w:rPr>
        <w:t>“Brown Power” is now referred to as Energy Index. This value is reliant upon</w:t>
      </w:r>
      <w:r w:rsidR="00DA578A">
        <w:rPr>
          <w:lang w:val="en-ZW"/>
        </w:rPr>
        <w:t xml:space="preserve"> </w:t>
      </w:r>
      <w:r>
        <w:rPr>
          <w:lang w:val="en-ZW"/>
        </w:rPr>
        <w:t>the Energy Index MPB.</w:t>
      </w:r>
    </w:p>
  </w:footnote>
  <w:footnote w:id="204">
    <w:p w14:paraId="78BB73ED" w14:textId="77777777" w:rsidR="00291D22" w:rsidRPr="00EC723D" w:rsidRDefault="00291D22" w:rsidP="00291D22">
      <w:pPr>
        <w:pStyle w:val="FootnoteText"/>
      </w:pPr>
      <w:r>
        <w:rPr>
          <w:rStyle w:val="FootnoteReference"/>
        </w:rPr>
        <w:footnoteRef/>
      </w:r>
      <w:r>
        <w:t xml:space="preserve"> </w:t>
      </w:r>
      <w:r>
        <w:rPr>
          <w:lang w:val="en-ZW"/>
        </w:rPr>
        <w:t>Exhibit CalCCA-01 at 38-41.</w:t>
      </w:r>
    </w:p>
  </w:footnote>
  <w:footnote w:id="205">
    <w:p w14:paraId="1BF1772B" w14:textId="5C734C74" w:rsidR="00CB388C" w:rsidRDefault="00CB388C">
      <w:pPr>
        <w:pStyle w:val="FootnoteText"/>
      </w:pPr>
      <w:r>
        <w:rPr>
          <w:rStyle w:val="FootnoteReference"/>
        </w:rPr>
        <w:footnoteRef/>
      </w:r>
      <w:r>
        <w:t xml:space="preserve"> </w:t>
      </w:r>
      <w:r w:rsidR="00691CEE">
        <w:t xml:space="preserve">SCE </w:t>
      </w:r>
      <w:r w:rsidR="00836129">
        <w:t>O</w:t>
      </w:r>
      <w:r w:rsidR="00691CEE">
        <w:t xml:space="preserve">pening </w:t>
      </w:r>
      <w:r w:rsidR="00836129">
        <w:t>B</w:t>
      </w:r>
      <w:r w:rsidR="00691CEE">
        <w:t>rief at 16.</w:t>
      </w:r>
    </w:p>
  </w:footnote>
  <w:footnote w:id="206">
    <w:p w14:paraId="3AC19A3C" w14:textId="77777777" w:rsidR="00846A84" w:rsidRDefault="00846A84" w:rsidP="00846A84">
      <w:pPr>
        <w:pStyle w:val="FootnoteText"/>
      </w:pPr>
      <w:r>
        <w:rPr>
          <w:rStyle w:val="FootnoteReference"/>
        </w:rPr>
        <w:footnoteRef/>
      </w:r>
      <w:r>
        <w:t xml:space="preserve"> Exhibits SCE-09 at 128 and footnote 144.</w:t>
      </w:r>
    </w:p>
  </w:footnote>
  <w:footnote w:id="207">
    <w:p w14:paraId="129A2865" w14:textId="7832F9E1" w:rsidR="00210B38" w:rsidRDefault="00210B38" w:rsidP="00663244">
      <w:pPr>
        <w:pStyle w:val="FootnoteText"/>
      </w:pPr>
      <w:r>
        <w:rPr>
          <w:rStyle w:val="FootnoteReference"/>
        </w:rPr>
        <w:footnoteRef/>
      </w:r>
      <w:r>
        <w:t xml:space="preserve"> </w:t>
      </w:r>
      <w:r w:rsidR="00A358E5">
        <w:t>SCE</w:t>
      </w:r>
      <w:r w:rsidR="00030AA1">
        <w:t xml:space="preserve"> October 14, 2024,</w:t>
      </w:r>
      <w:r w:rsidR="00A358E5">
        <w:t xml:space="preserve"> comments on ruling regarding procedural mechanisms at </w:t>
      </w:r>
      <w:r w:rsidR="00030AA1">
        <w:t>2</w:t>
      </w:r>
      <w:r w:rsidR="0074167E">
        <w:t xml:space="preserve"> and </w:t>
      </w:r>
      <w:r w:rsidR="00663244">
        <w:t xml:space="preserve">footnote 2 </w:t>
      </w:r>
      <w:r w:rsidR="007D6D21">
        <w:t>- SCE notes that s</w:t>
      </w:r>
      <w:r w:rsidR="007D6D21" w:rsidRPr="00663244">
        <w:t>uch issues include consideration of whether the existing PCIA methodology is working as intended</w:t>
      </w:r>
      <w:r w:rsidR="007D6D21">
        <w:t xml:space="preserve"> </w:t>
      </w:r>
      <w:r w:rsidR="007D6D21" w:rsidRPr="00663244">
        <w:t>or if a different approach (and interim tracking mechanisms for potential future true-ups to ensure</w:t>
      </w:r>
      <w:r w:rsidR="007D6D21">
        <w:t xml:space="preserve"> </w:t>
      </w:r>
      <w:r w:rsidR="007D6D21" w:rsidRPr="00663244">
        <w:t>customer indifference) is warranted, potential modifications to the PCIA methodology to account for</w:t>
      </w:r>
      <w:r w:rsidR="007D6D21">
        <w:t xml:space="preserve"> </w:t>
      </w:r>
      <w:r w:rsidR="007D6D21" w:rsidRPr="00663244">
        <w:t>RA slice of day (SOD) implementation, and potential changes to the trigger mechanism applicable to</w:t>
      </w:r>
      <w:r w:rsidR="007D6D21">
        <w:t xml:space="preserve"> </w:t>
      </w:r>
      <w:r w:rsidR="007D6D21" w:rsidRPr="00663244">
        <w:t>bundled service customer generation rates to additionally include changes to departing load customer</w:t>
      </w:r>
      <w:r w:rsidR="007D6D21">
        <w:t xml:space="preserve"> </w:t>
      </w:r>
      <w:r w:rsidR="007D6D21" w:rsidRPr="00663244">
        <w:t>PCIA rates.</w:t>
      </w:r>
    </w:p>
  </w:footnote>
  <w:footnote w:id="208">
    <w:p w14:paraId="1C93272C" w14:textId="0CF06F1B" w:rsidR="00940C0D" w:rsidRDefault="00940C0D">
      <w:pPr>
        <w:pStyle w:val="FootnoteText"/>
      </w:pPr>
      <w:r>
        <w:rPr>
          <w:rStyle w:val="FootnoteReference"/>
        </w:rPr>
        <w:footnoteRef/>
      </w:r>
      <w:r>
        <w:t xml:space="preserve"> Exhibit CalCCA-01 at 13.</w:t>
      </w:r>
    </w:p>
  </w:footnote>
  <w:footnote w:id="209">
    <w:p w14:paraId="79044A98" w14:textId="38E3C471" w:rsidR="007652C9" w:rsidRDefault="007652C9">
      <w:pPr>
        <w:pStyle w:val="FootnoteText"/>
      </w:pPr>
      <w:r>
        <w:rPr>
          <w:rStyle w:val="FootnoteReference"/>
        </w:rPr>
        <w:footnoteRef/>
      </w:r>
      <w:r>
        <w:t xml:space="preserve"> </w:t>
      </w:r>
      <w:r w:rsidR="001B5FBD">
        <w:t xml:space="preserve">AReM and DACC comments on SCE’s Revised ERRA October Update at </w:t>
      </w:r>
      <w:r w:rsidR="00D82183">
        <w:t>4-6.</w:t>
      </w:r>
    </w:p>
  </w:footnote>
  <w:footnote w:id="210">
    <w:p w14:paraId="4AFDE468" w14:textId="586EB654" w:rsidR="0076326E" w:rsidRPr="0076326E" w:rsidRDefault="0076326E" w:rsidP="00504449">
      <w:pPr>
        <w:pStyle w:val="FootnoteText"/>
        <w:rPr>
          <w:lang w:val="en-ZW"/>
        </w:rPr>
      </w:pPr>
      <w:r>
        <w:rPr>
          <w:rStyle w:val="FootnoteReference"/>
        </w:rPr>
        <w:footnoteRef/>
      </w:r>
      <w:r>
        <w:t xml:space="preserve"> </w:t>
      </w:r>
      <w:r w:rsidR="00504449">
        <w:t>Re Pacific Bell, D.87-12-067, p. 25, 27 CPUC 2d 1, 22. See also Universal Studios Inc. v. Southern California Edison Co., D.04-04-074, p 32, 2004 Cal. PUC LEXIS 173; Re Golden State Water Co., D.07-11-037, p. 101, 2007 Cal. PUC LEXIS 648</w:t>
      </w:r>
    </w:p>
  </w:footnote>
  <w:footnote w:id="211">
    <w:p w14:paraId="7D7EF879" w14:textId="4227993D" w:rsidR="002F3B49" w:rsidRDefault="002F3B49" w:rsidP="002F3B49">
      <w:pPr>
        <w:pStyle w:val="FootnoteText"/>
      </w:pPr>
      <w:r>
        <w:rPr>
          <w:rStyle w:val="FootnoteReference"/>
        </w:rPr>
        <w:footnoteRef/>
      </w:r>
      <w:r>
        <w:t xml:space="preserve"> If SCE’s November 202</w:t>
      </w:r>
      <w:r w:rsidR="006B1D3B">
        <w:t>4</w:t>
      </w:r>
      <w:r>
        <w:t xml:space="preserve"> actual numbers are not available at the time the utility files its implementation advice letter, it may use November 202</w:t>
      </w:r>
      <w:r w:rsidR="006B1D3B">
        <w:t>4</w:t>
      </w:r>
      <w:r>
        <w:t xml:space="preserve"> forecasts.</w:t>
      </w:r>
    </w:p>
  </w:footnote>
  <w:footnote w:id="212">
    <w:p w14:paraId="0941959A" w14:textId="77F8E0D6" w:rsidR="00A1152F" w:rsidRDefault="00A1152F" w:rsidP="00A1152F">
      <w:pPr>
        <w:pStyle w:val="FootnoteText"/>
      </w:pPr>
      <w:r>
        <w:rPr>
          <w:rStyle w:val="FootnoteReference"/>
        </w:rPr>
        <w:footnoteRef/>
      </w:r>
      <w:r>
        <w:t xml:space="preserve"> The reduced comment period on the proposed decision </w:t>
      </w:r>
      <w:r w:rsidR="000E296B">
        <w:t xml:space="preserve">was articulated in the </w:t>
      </w:r>
      <w:r w:rsidR="00645EF0">
        <w:t>a</w:t>
      </w:r>
      <w:r w:rsidR="000E296B">
        <w:t>ssigned ALJ ruling of September 1</w:t>
      </w:r>
      <w:r w:rsidR="002B1196">
        <w:t>6, 2024</w:t>
      </w:r>
      <w:r w:rsidR="00C71E7F">
        <w:t>,</w:t>
      </w:r>
      <w:r w:rsidR="002B1196">
        <w:t xml:space="preserve"> and </w:t>
      </w:r>
      <w:r w:rsidR="000E296B">
        <w:t>affirmed in the September</w:t>
      </w:r>
      <w:r w:rsidR="002B1196">
        <w:t xml:space="preserve"> 23, 2024 joint </w:t>
      </w:r>
      <w:r w:rsidR="00645EF0">
        <w:t>PHC</w:t>
      </w:r>
      <w:r w:rsidR="00C51099">
        <w:t xml:space="preserve"> </w:t>
      </w:r>
      <w:r w:rsidR="002B1196">
        <w:t>statement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29A9" w14:textId="2E3EB329" w:rsidR="00E23CBB" w:rsidRDefault="008F2876" w:rsidP="00327C62">
    <w:pPr>
      <w:pStyle w:val="Header"/>
      <w:tabs>
        <w:tab w:val="clear" w:pos="4680"/>
        <w:tab w:val="left" w:pos="5271"/>
      </w:tabs>
      <w:ind w:firstLine="0"/>
      <w:rPr>
        <w:b/>
      </w:rPr>
    </w:pPr>
    <w:r>
      <w:t>A.24-05-007</w:t>
    </w:r>
    <w:r w:rsidR="00E23CBB">
      <w:t xml:space="preserve"> </w:t>
    </w:r>
    <w:r>
      <w:t>ALJ</w:t>
    </w:r>
    <w:r w:rsidR="00E23CBB">
      <w:t>/</w:t>
    </w:r>
    <w:r>
      <w:t>JR7</w:t>
    </w:r>
    <w:r w:rsidR="00E23CBB">
      <w:t>/</w:t>
    </w:r>
    <w:r w:rsidR="00F77344">
      <w:t>avs</w:t>
    </w:r>
    <w:r w:rsidR="00E23CBB">
      <w:tab/>
    </w:r>
    <w:r w:rsidR="00327C62">
      <w:tab/>
    </w:r>
    <w:r w:rsidR="00E23CBB">
      <w:rPr>
        <w:b/>
      </w:rPr>
      <w:t>PROPOSED DECISION</w:t>
    </w:r>
    <w:r w:rsidR="00327C62">
      <w:rPr>
        <w:b/>
      </w:rPr>
      <w:t xml:space="preserve"> (REV. 1)</w:t>
    </w:r>
  </w:p>
  <w:p w14:paraId="549BB0DB" w14:textId="77777777" w:rsidR="00F77344" w:rsidRDefault="00F77344" w:rsidP="00B3087D">
    <w:pPr>
      <w:pStyle w:val="Header"/>
      <w:tabs>
        <w:tab w:val="clear" w:pos="4680"/>
      </w:tabs>
      <w:ind w:firstLine="0"/>
      <w:rPr>
        <w:iCs/>
      </w:rPr>
    </w:pPr>
  </w:p>
  <w:p w14:paraId="730E5508" w14:textId="77777777" w:rsidR="00F77344" w:rsidRPr="00F77344" w:rsidRDefault="00F77344" w:rsidP="00B3087D">
    <w:pPr>
      <w:pStyle w:val="Header"/>
      <w:tabs>
        <w:tab w:val="clear" w:pos="4680"/>
      </w:tabs>
      <w:ind w:firstLine="0"/>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36B5" w14:textId="56FFAECD" w:rsidR="00FE2351" w:rsidRDefault="00EC13FC" w:rsidP="00EE4315">
    <w:pPr>
      <w:pStyle w:val="Header"/>
      <w:tabs>
        <w:tab w:val="clear" w:pos="4680"/>
      </w:tabs>
      <w:ind w:firstLine="0"/>
      <w:rPr>
        <w:b/>
      </w:rPr>
    </w:pPr>
    <w:r>
      <w:t>A.24-05-007</w:t>
    </w:r>
    <w:r w:rsidR="00FE2351">
      <w:t xml:space="preserve"> </w:t>
    </w:r>
    <w:r w:rsidR="002662EA">
      <w:t>ALJ</w:t>
    </w:r>
    <w:r w:rsidR="00FE2351">
      <w:t>/</w:t>
    </w:r>
    <w:r w:rsidR="002662EA">
      <w:t>JR7</w:t>
    </w:r>
    <w:r w:rsidR="00FE2351">
      <w:t>/</w:t>
    </w:r>
    <w:r w:rsidR="00F77344">
      <w:t>avs</w:t>
    </w:r>
    <w:r w:rsidR="00FE2351">
      <w:tab/>
    </w:r>
    <w:r w:rsidR="00FE2351">
      <w:rPr>
        <w:b/>
      </w:rPr>
      <w:t>PROPOSED DECISION</w:t>
    </w:r>
    <w:r w:rsidR="00E24263">
      <w:rPr>
        <w:b/>
      </w:rPr>
      <w:t xml:space="preserve"> (REV. 1)</w:t>
    </w:r>
  </w:p>
  <w:p w14:paraId="4D12F12D" w14:textId="77777777" w:rsidR="00F77344" w:rsidRDefault="00F77344" w:rsidP="00B3087D">
    <w:pPr>
      <w:pStyle w:val="Header"/>
      <w:tabs>
        <w:tab w:val="clear" w:pos="4680"/>
      </w:tabs>
      <w:ind w:firstLine="0"/>
      <w:rPr>
        <w:iCs/>
      </w:rPr>
    </w:pPr>
  </w:p>
  <w:p w14:paraId="28469758" w14:textId="77777777" w:rsidR="00F77344" w:rsidRPr="00F77344" w:rsidRDefault="00F77344" w:rsidP="00B3087D">
    <w:pPr>
      <w:pStyle w:val="Header"/>
      <w:tabs>
        <w:tab w:val="clear" w:pos="4680"/>
      </w:tabs>
      <w:ind w:firstLine="0"/>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5D4A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442155"/>
    <w:multiLevelType w:val="multilevel"/>
    <w:tmpl w:val="4CF24068"/>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bullet"/>
      <w:lvlText w:val=""/>
      <w:lvlJc w:val="left"/>
      <w:pPr>
        <w:ind w:left="1080" w:hanging="360"/>
      </w:pPr>
      <w:rPr>
        <w:rFonts w:ascii="Symbol" w:hAnsi="Symbol"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0FD50044"/>
    <w:multiLevelType w:val="hybridMultilevel"/>
    <w:tmpl w:val="678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18F4A5AC"/>
    <w:numStyleLink w:val="FoFCoLOP"/>
  </w:abstractNum>
  <w:abstractNum w:abstractNumId="6"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0038F"/>
    <w:multiLevelType w:val="multilevel"/>
    <w:tmpl w:val="3C526EDE"/>
    <w:numStyleLink w:val="Headings"/>
  </w:abstractNum>
  <w:abstractNum w:abstractNumId="8" w15:restartNumberingAfterBreak="0">
    <w:nsid w:val="1DF9218B"/>
    <w:multiLevelType w:val="hybridMultilevel"/>
    <w:tmpl w:val="3E0EF3BC"/>
    <w:lvl w:ilvl="0" w:tplc="1C32110C">
      <w:start w:val="1"/>
      <w:numFmt w:val="decimal"/>
      <w:lvlText w:val="%1."/>
      <w:lvlJc w:val="left"/>
      <w:pPr>
        <w:ind w:left="720" w:hanging="360"/>
      </w:pPr>
      <w:rPr>
        <w:rFonts w:ascii="Book Antiqua" w:eastAsia="Times New Roman" w:hAnsi="Book Antiqua" w:cs="Times New Roman"/>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E2242C9"/>
    <w:multiLevelType w:val="multilevel"/>
    <w:tmpl w:val="3C526EDE"/>
    <w:numStyleLink w:val="Headings"/>
  </w:abstractNum>
  <w:abstractNum w:abstractNumId="10" w15:restartNumberingAfterBreak="0">
    <w:nsid w:val="21FB58FE"/>
    <w:multiLevelType w:val="multilevel"/>
    <w:tmpl w:val="3C526EDE"/>
    <w:numStyleLink w:val="Headings"/>
  </w:abstractNum>
  <w:abstractNum w:abstractNumId="11" w15:restartNumberingAfterBreak="0">
    <w:nsid w:val="22A36D19"/>
    <w:multiLevelType w:val="hybridMultilevel"/>
    <w:tmpl w:val="672E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663A0"/>
    <w:multiLevelType w:val="multilevel"/>
    <w:tmpl w:val="3C526EDE"/>
    <w:numStyleLink w:val="Headings"/>
  </w:abstractNum>
  <w:abstractNum w:abstractNumId="13" w15:restartNumberingAfterBreak="0">
    <w:nsid w:val="2B8124D7"/>
    <w:multiLevelType w:val="multilevel"/>
    <w:tmpl w:val="3C526EDE"/>
    <w:numStyleLink w:val="Headings"/>
  </w:abstractNum>
  <w:abstractNum w:abstractNumId="14" w15:restartNumberingAfterBreak="0">
    <w:nsid w:val="2E442112"/>
    <w:multiLevelType w:val="hybridMultilevel"/>
    <w:tmpl w:val="C85C22F4"/>
    <w:lvl w:ilvl="0" w:tplc="CDE0B276">
      <w:start w:val="1"/>
      <w:numFmt w:val="decimal"/>
      <w:lvlText w:val="%1."/>
      <w:lvlJc w:val="left"/>
      <w:pPr>
        <w:ind w:left="720" w:hanging="360"/>
      </w:pPr>
      <w:rPr>
        <w:rFonts w:ascii="Book Antiqua" w:eastAsia="Times New Roman" w:hAnsi="Book Antiqua"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B62A35"/>
    <w:multiLevelType w:val="hybridMultilevel"/>
    <w:tmpl w:val="FB3E1B3A"/>
    <w:lvl w:ilvl="0" w:tplc="7F38E8D0">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7" w15:restartNumberingAfterBreak="0">
    <w:nsid w:val="35710ABE"/>
    <w:multiLevelType w:val="hybridMultilevel"/>
    <w:tmpl w:val="FFFFFFFF"/>
    <w:lvl w:ilvl="0" w:tplc="C85A9792">
      <w:start w:val="1"/>
      <w:numFmt w:val="bullet"/>
      <w:lvlText w:val=""/>
      <w:lvlJc w:val="left"/>
      <w:pPr>
        <w:ind w:left="720" w:hanging="360"/>
      </w:pPr>
      <w:rPr>
        <w:rFonts w:ascii="Symbol" w:hAnsi="Symbol" w:hint="default"/>
      </w:rPr>
    </w:lvl>
    <w:lvl w:ilvl="1" w:tplc="3BEC1AA8">
      <w:start w:val="1"/>
      <w:numFmt w:val="bullet"/>
      <w:lvlText w:val="o"/>
      <w:lvlJc w:val="left"/>
      <w:pPr>
        <w:ind w:left="1440" w:hanging="360"/>
      </w:pPr>
      <w:rPr>
        <w:rFonts w:ascii="Courier New" w:hAnsi="Courier New" w:hint="default"/>
      </w:rPr>
    </w:lvl>
    <w:lvl w:ilvl="2" w:tplc="10C2326A">
      <w:start w:val="1"/>
      <w:numFmt w:val="bullet"/>
      <w:lvlText w:val=""/>
      <w:lvlJc w:val="left"/>
      <w:pPr>
        <w:ind w:left="2160" w:hanging="360"/>
      </w:pPr>
      <w:rPr>
        <w:rFonts w:ascii="Wingdings" w:hAnsi="Wingdings" w:hint="default"/>
      </w:rPr>
    </w:lvl>
    <w:lvl w:ilvl="3" w:tplc="8E32B744">
      <w:start w:val="1"/>
      <w:numFmt w:val="bullet"/>
      <w:lvlText w:val=""/>
      <w:lvlJc w:val="left"/>
      <w:pPr>
        <w:ind w:left="2880" w:hanging="360"/>
      </w:pPr>
      <w:rPr>
        <w:rFonts w:ascii="Symbol" w:hAnsi="Symbol" w:hint="default"/>
      </w:rPr>
    </w:lvl>
    <w:lvl w:ilvl="4" w:tplc="60DAFE24">
      <w:start w:val="1"/>
      <w:numFmt w:val="bullet"/>
      <w:lvlText w:val="o"/>
      <w:lvlJc w:val="left"/>
      <w:pPr>
        <w:ind w:left="3600" w:hanging="360"/>
      </w:pPr>
      <w:rPr>
        <w:rFonts w:ascii="Courier New" w:hAnsi="Courier New" w:hint="default"/>
      </w:rPr>
    </w:lvl>
    <w:lvl w:ilvl="5" w:tplc="496071C6">
      <w:start w:val="1"/>
      <w:numFmt w:val="bullet"/>
      <w:lvlText w:val=""/>
      <w:lvlJc w:val="left"/>
      <w:pPr>
        <w:ind w:left="4320" w:hanging="360"/>
      </w:pPr>
      <w:rPr>
        <w:rFonts w:ascii="Wingdings" w:hAnsi="Wingdings" w:hint="default"/>
      </w:rPr>
    </w:lvl>
    <w:lvl w:ilvl="6" w:tplc="459AB278">
      <w:start w:val="1"/>
      <w:numFmt w:val="bullet"/>
      <w:lvlText w:val=""/>
      <w:lvlJc w:val="left"/>
      <w:pPr>
        <w:ind w:left="5040" w:hanging="360"/>
      </w:pPr>
      <w:rPr>
        <w:rFonts w:ascii="Symbol" w:hAnsi="Symbol" w:hint="default"/>
      </w:rPr>
    </w:lvl>
    <w:lvl w:ilvl="7" w:tplc="29BA0B8A">
      <w:start w:val="1"/>
      <w:numFmt w:val="bullet"/>
      <w:lvlText w:val="o"/>
      <w:lvlJc w:val="left"/>
      <w:pPr>
        <w:ind w:left="5760" w:hanging="360"/>
      </w:pPr>
      <w:rPr>
        <w:rFonts w:ascii="Courier New" w:hAnsi="Courier New" w:hint="default"/>
      </w:rPr>
    </w:lvl>
    <w:lvl w:ilvl="8" w:tplc="25C2EEB2">
      <w:start w:val="1"/>
      <w:numFmt w:val="bullet"/>
      <w:lvlText w:val=""/>
      <w:lvlJc w:val="left"/>
      <w:pPr>
        <w:ind w:left="6480" w:hanging="360"/>
      </w:pPr>
      <w:rPr>
        <w:rFonts w:ascii="Wingdings" w:hAnsi="Wingdings" w:hint="default"/>
      </w:rPr>
    </w:lvl>
  </w:abstractNum>
  <w:abstractNum w:abstractNumId="18" w15:restartNumberingAfterBreak="0">
    <w:nsid w:val="36EF1C98"/>
    <w:multiLevelType w:val="hybridMultilevel"/>
    <w:tmpl w:val="63228338"/>
    <w:lvl w:ilvl="0" w:tplc="F126F52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25B"/>
    <w:multiLevelType w:val="hybridMultilevel"/>
    <w:tmpl w:val="6D640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C13966"/>
    <w:multiLevelType w:val="hybridMultilevel"/>
    <w:tmpl w:val="6654F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6C36ED"/>
    <w:multiLevelType w:val="hybridMultilevel"/>
    <w:tmpl w:val="E4D4599A"/>
    <w:lvl w:ilvl="0" w:tplc="D11EE49E">
      <w:start w:val="1"/>
      <w:numFmt w:val="lowerLetter"/>
      <w:lvlText w:val="(%1)"/>
      <w:lvlJc w:val="left"/>
      <w:pPr>
        <w:ind w:left="1440" w:hanging="360"/>
      </w:pPr>
      <w:rPr>
        <w:rFonts w:ascii="Book Antiqua" w:eastAsiaTheme="minorHAnsi"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D125A3"/>
    <w:multiLevelType w:val="hybridMultilevel"/>
    <w:tmpl w:val="EBDAA32E"/>
    <w:lvl w:ilvl="0" w:tplc="C172EC40">
      <w:start w:val="2025"/>
      <w:numFmt w:val="bullet"/>
      <w:lvlText w:val="-"/>
      <w:lvlJc w:val="left"/>
      <w:pPr>
        <w:ind w:left="924" w:hanging="360"/>
      </w:pPr>
      <w:rPr>
        <w:rFonts w:ascii="Book Antiqua" w:eastAsiaTheme="minorHAnsi" w:hAnsi="Book Antiqua" w:cstheme="minorBidi"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9D042D7"/>
    <w:multiLevelType w:val="multilevel"/>
    <w:tmpl w:val="18F4A5AC"/>
    <w:numStyleLink w:val="FoFCoLOP"/>
  </w:abstractNum>
  <w:abstractNum w:abstractNumId="24" w15:restartNumberingAfterBreak="0">
    <w:nsid w:val="5A9E2171"/>
    <w:multiLevelType w:val="multilevel"/>
    <w:tmpl w:val="3C526EDE"/>
    <w:numStyleLink w:val="Headings"/>
  </w:abstractNum>
  <w:abstractNum w:abstractNumId="25" w15:restartNumberingAfterBreak="0">
    <w:nsid w:val="61A25780"/>
    <w:multiLevelType w:val="multilevel"/>
    <w:tmpl w:val="3C526EDE"/>
    <w:numStyleLink w:val="Headings"/>
  </w:abstractNum>
  <w:abstractNum w:abstractNumId="26" w15:restartNumberingAfterBreak="0">
    <w:nsid w:val="66FA61C5"/>
    <w:multiLevelType w:val="hybridMultilevel"/>
    <w:tmpl w:val="EAD0B294"/>
    <w:lvl w:ilvl="0" w:tplc="7B865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523609"/>
    <w:multiLevelType w:val="hybridMultilevel"/>
    <w:tmpl w:val="07441B1A"/>
    <w:lvl w:ilvl="0" w:tplc="82B862CE">
      <w:start w:val="2025"/>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FA5A3C"/>
    <w:multiLevelType w:val="hybridMultilevel"/>
    <w:tmpl w:val="BFC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A0AFE"/>
    <w:multiLevelType w:val="multilevel"/>
    <w:tmpl w:val="18F4A5AC"/>
    <w:numStyleLink w:val="FoFCoLOP"/>
  </w:abstractNum>
  <w:abstractNum w:abstractNumId="31" w15:restartNumberingAfterBreak="0">
    <w:nsid w:val="78B058FA"/>
    <w:multiLevelType w:val="hybridMultilevel"/>
    <w:tmpl w:val="3E0EF3BC"/>
    <w:lvl w:ilvl="0" w:tplc="FFFFFFFF">
      <w:start w:val="1"/>
      <w:numFmt w:val="decimal"/>
      <w:lvlText w:val="%1."/>
      <w:lvlJc w:val="left"/>
      <w:pPr>
        <w:ind w:left="720" w:hanging="360"/>
      </w:pPr>
      <w:rPr>
        <w:rFonts w:ascii="Book Antiqua" w:eastAsia="Times New Roman" w:hAnsi="Book Antiqua" w:cs="Times New Roman"/>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A4201A1"/>
    <w:multiLevelType w:val="hybridMultilevel"/>
    <w:tmpl w:val="840E9F90"/>
    <w:lvl w:ilvl="0" w:tplc="D65E8AFA">
      <w:start w:val="1"/>
      <w:numFmt w:val="decimal"/>
      <w:lvlText w:val="%1."/>
      <w:lvlJc w:val="left"/>
      <w:pPr>
        <w:ind w:left="720" w:hanging="360"/>
      </w:pPr>
      <w:rPr>
        <w:rFonts w:ascii="Book Antiqua" w:eastAsia="Times New Roman" w:hAnsi="Book Antiqua"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FF47FAE"/>
    <w:multiLevelType w:val="hybridMultilevel"/>
    <w:tmpl w:val="E0D298A4"/>
    <w:lvl w:ilvl="0" w:tplc="5AA01406">
      <w:start w:val="1"/>
      <w:numFmt w:val="decimal"/>
      <w:lvlText w:val="%1."/>
      <w:lvlJc w:val="left"/>
      <w:pPr>
        <w:ind w:left="720" w:hanging="360"/>
      </w:pPr>
      <w:rPr>
        <w:rFonts w:ascii="Book Antiqua" w:eastAsia="Times New Roman" w:hAnsi="Book Antiqua"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4526949">
    <w:abstractNumId w:val="24"/>
  </w:num>
  <w:num w:numId="2" w16cid:durableId="140774137">
    <w:abstractNumId w:val="4"/>
  </w:num>
  <w:num w:numId="3" w16cid:durableId="1898543446">
    <w:abstractNumId w:val="23"/>
  </w:num>
  <w:num w:numId="4" w16cid:durableId="701521005">
    <w:abstractNumId w:val="5"/>
    <w:lvlOverride w:ilvl="0">
      <w:lvl w:ilvl="0">
        <w:start w:val="1"/>
        <w:numFmt w:val="decimal"/>
        <w:pStyle w:val="CoL"/>
        <w:lvlText w:val="%1."/>
        <w:lvlJc w:val="right"/>
        <w:pPr>
          <w:ind w:left="-540" w:firstLine="540"/>
        </w:pPr>
        <w:rPr>
          <w:rFonts w:hint="default"/>
        </w:rPr>
      </w:lvl>
    </w:lvlOverride>
  </w:num>
  <w:num w:numId="5" w16cid:durableId="2017029027">
    <w:abstractNumId w:val="30"/>
    <w:lvlOverride w:ilvl="0">
      <w:lvl w:ilvl="0">
        <w:start w:val="1"/>
        <w:numFmt w:val="decimal"/>
        <w:pStyle w:val="OP"/>
        <w:lvlText w:val="%1."/>
        <w:lvlJc w:val="right"/>
        <w:pPr>
          <w:ind w:left="0" w:firstLine="540"/>
        </w:pPr>
        <w:rPr>
          <w:rFonts w:hint="default"/>
        </w:rPr>
      </w:lvl>
    </w:lvlOverride>
  </w:num>
  <w:num w:numId="6" w16cid:durableId="973756952">
    <w:abstractNumId w:val="16"/>
  </w:num>
  <w:num w:numId="7" w16cid:durableId="827667741">
    <w:abstractNumId w:val="9"/>
  </w:num>
  <w:num w:numId="8" w16cid:durableId="1760327020">
    <w:abstractNumId w:val="28"/>
  </w:num>
  <w:num w:numId="9" w16cid:durableId="816924040">
    <w:abstractNumId w:val="1"/>
  </w:num>
  <w:num w:numId="10" w16cid:durableId="1817916489">
    <w:abstractNumId w:val="7"/>
  </w:num>
  <w:num w:numId="11" w16cid:durableId="291985460">
    <w:abstractNumId w:val="10"/>
  </w:num>
  <w:num w:numId="12" w16cid:durableId="467941983">
    <w:abstractNumId w:val="6"/>
  </w:num>
  <w:num w:numId="13" w16cid:durableId="712996464">
    <w:abstractNumId w:val="12"/>
  </w:num>
  <w:num w:numId="14" w16cid:durableId="1303778653">
    <w:abstractNumId w:val="13"/>
  </w:num>
  <w:num w:numId="15" w16cid:durableId="1714382259">
    <w:abstractNumId w:val="25"/>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16" w16cid:durableId="548107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25"/>
  </w:num>
  <w:num w:numId="18" w16cid:durableId="18509423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8769429">
    <w:abstractNumId w:val="14"/>
  </w:num>
  <w:num w:numId="20" w16cid:durableId="1048188047">
    <w:abstractNumId w:val="32"/>
  </w:num>
  <w:num w:numId="21" w16cid:durableId="1949656278">
    <w:abstractNumId w:val="8"/>
  </w:num>
  <w:num w:numId="22" w16cid:durableId="1097217704">
    <w:abstractNumId w:val="33"/>
  </w:num>
  <w:num w:numId="23" w16cid:durableId="546726103">
    <w:abstractNumId w:val="14"/>
  </w:num>
  <w:num w:numId="24" w16cid:durableId="2084133834">
    <w:abstractNumId w:val="2"/>
  </w:num>
  <w:num w:numId="25" w16cid:durableId="211381797">
    <w:abstractNumId w:val="19"/>
  </w:num>
  <w:num w:numId="26" w16cid:durableId="70003047">
    <w:abstractNumId w:val="29"/>
  </w:num>
  <w:num w:numId="27" w16cid:durableId="1702823040">
    <w:abstractNumId w:val="3"/>
  </w:num>
  <w:num w:numId="28" w16cid:durableId="1609581641">
    <w:abstractNumId w:val="25"/>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29" w16cid:durableId="839541287">
    <w:abstractNumId w:val="26"/>
  </w:num>
  <w:num w:numId="30" w16cid:durableId="753163698">
    <w:abstractNumId w:val="15"/>
  </w:num>
  <w:num w:numId="31" w16cid:durableId="368460148">
    <w:abstractNumId w:val="27"/>
  </w:num>
  <w:num w:numId="32" w16cid:durableId="1908882724">
    <w:abstractNumId w:val="22"/>
  </w:num>
  <w:num w:numId="33" w16cid:durableId="1140079351">
    <w:abstractNumId w:val="31"/>
  </w:num>
  <w:num w:numId="34" w16cid:durableId="1212380753">
    <w:abstractNumId w:val="0"/>
  </w:num>
  <w:num w:numId="35" w16cid:durableId="37093876">
    <w:abstractNumId w:val="23"/>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36" w16cid:durableId="197932819">
    <w:abstractNumId w:val="11"/>
  </w:num>
  <w:num w:numId="37" w16cid:durableId="1592201371">
    <w:abstractNumId w:val="23"/>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38" w16cid:durableId="779448448">
    <w:abstractNumId w:val="23"/>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39" w16cid:durableId="695540849">
    <w:abstractNumId w:val="20"/>
  </w:num>
  <w:num w:numId="40" w16cid:durableId="749739010">
    <w:abstractNumId w:val="21"/>
  </w:num>
  <w:num w:numId="41" w16cid:durableId="1281452367">
    <w:abstractNumId w:val="18"/>
  </w:num>
  <w:num w:numId="42" w16cid:durableId="1795439228">
    <w:abstractNumId w:val="23"/>
    <w:lvlOverride w:ilvl="0">
      <w:startOverride w:val="1"/>
      <w:lvl w:ilvl="0">
        <w:start w:val="1"/>
        <w:numFmt w:val="decimal"/>
        <w:pStyle w:val="FoF"/>
        <w:lvlText w:val="%1."/>
        <w:lvlJc w:val="right"/>
        <w:pPr>
          <w:ind w:left="0" w:firstLine="540"/>
        </w:pPr>
        <w:rPr>
          <w:rFonts w:hint="default"/>
        </w:r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43" w16cid:durableId="23214063">
    <w:abstractNumId w:val="23"/>
    <w:lvlOverride w:ilvl="0">
      <w:lvl w:ilvl="0">
        <w:start w:val="1"/>
        <w:numFmt w:val="decimal"/>
        <w:pStyle w:val="FoF"/>
        <w:lvlText w:val="%1."/>
        <w:lvlJc w:val="right"/>
        <w:pPr>
          <w:ind w:left="0" w:firstLine="540"/>
        </w:pPr>
        <w:rPr>
          <w:rFonts w:hint="default"/>
          <w:color w:val="auto"/>
        </w:rPr>
      </w:lvl>
    </w:lvlOverride>
  </w:num>
  <w:num w:numId="44" w16cid:durableId="114145859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68"/>
    <w:rsid w:val="0000004A"/>
    <w:rsid w:val="00000230"/>
    <w:rsid w:val="00000718"/>
    <w:rsid w:val="00000943"/>
    <w:rsid w:val="00000F6A"/>
    <w:rsid w:val="000022A3"/>
    <w:rsid w:val="000022C9"/>
    <w:rsid w:val="00002691"/>
    <w:rsid w:val="00002DB6"/>
    <w:rsid w:val="00003120"/>
    <w:rsid w:val="00003610"/>
    <w:rsid w:val="00003C2E"/>
    <w:rsid w:val="00003DD0"/>
    <w:rsid w:val="00003E68"/>
    <w:rsid w:val="0000422D"/>
    <w:rsid w:val="0000523C"/>
    <w:rsid w:val="0000559F"/>
    <w:rsid w:val="00006081"/>
    <w:rsid w:val="000060E4"/>
    <w:rsid w:val="000063BB"/>
    <w:rsid w:val="00006A30"/>
    <w:rsid w:val="00007F03"/>
    <w:rsid w:val="00010D11"/>
    <w:rsid w:val="00010E68"/>
    <w:rsid w:val="00011AED"/>
    <w:rsid w:val="00011DDA"/>
    <w:rsid w:val="000123E0"/>
    <w:rsid w:val="00012F7A"/>
    <w:rsid w:val="0001360F"/>
    <w:rsid w:val="00014630"/>
    <w:rsid w:val="000166F7"/>
    <w:rsid w:val="000170A3"/>
    <w:rsid w:val="00017E32"/>
    <w:rsid w:val="00020890"/>
    <w:rsid w:val="00020D16"/>
    <w:rsid w:val="00020DAB"/>
    <w:rsid w:val="000213E3"/>
    <w:rsid w:val="00021F00"/>
    <w:rsid w:val="000223C8"/>
    <w:rsid w:val="00022524"/>
    <w:rsid w:val="0002289E"/>
    <w:rsid w:val="00023700"/>
    <w:rsid w:val="000239F1"/>
    <w:rsid w:val="00023A66"/>
    <w:rsid w:val="00023D1A"/>
    <w:rsid w:val="00023E77"/>
    <w:rsid w:val="000241AE"/>
    <w:rsid w:val="0002488A"/>
    <w:rsid w:val="00024A9F"/>
    <w:rsid w:val="00025578"/>
    <w:rsid w:val="00025B24"/>
    <w:rsid w:val="00025B93"/>
    <w:rsid w:val="00025FCE"/>
    <w:rsid w:val="000263AE"/>
    <w:rsid w:val="00026FB2"/>
    <w:rsid w:val="000270E2"/>
    <w:rsid w:val="00027984"/>
    <w:rsid w:val="00027996"/>
    <w:rsid w:val="000303F4"/>
    <w:rsid w:val="0003041B"/>
    <w:rsid w:val="00030AA1"/>
    <w:rsid w:val="0003295F"/>
    <w:rsid w:val="00032FE2"/>
    <w:rsid w:val="00033343"/>
    <w:rsid w:val="00033A55"/>
    <w:rsid w:val="00033B5D"/>
    <w:rsid w:val="0003596A"/>
    <w:rsid w:val="00036F9E"/>
    <w:rsid w:val="00037751"/>
    <w:rsid w:val="000379EB"/>
    <w:rsid w:val="00037F5D"/>
    <w:rsid w:val="00041257"/>
    <w:rsid w:val="000416DF"/>
    <w:rsid w:val="00041A09"/>
    <w:rsid w:val="000426D5"/>
    <w:rsid w:val="00042BAC"/>
    <w:rsid w:val="00042CF3"/>
    <w:rsid w:val="00042DF2"/>
    <w:rsid w:val="000430E9"/>
    <w:rsid w:val="000432DB"/>
    <w:rsid w:val="000436A4"/>
    <w:rsid w:val="00043CB5"/>
    <w:rsid w:val="00044203"/>
    <w:rsid w:val="00044262"/>
    <w:rsid w:val="00044289"/>
    <w:rsid w:val="000449A1"/>
    <w:rsid w:val="00044ADD"/>
    <w:rsid w:val="00045B19"/>
    <w:rsid w:val="00045CC5"/>
    <w:rsid w:val="00045D35"/>
    <w:rsid w:val="000463E0"/>
    <w:rsid w:val="00046F40"/>
    <w:rsid w:val="000472EA"/>
    <w:rsid w:val="0004746A"/>
    <w:rsid w:val="00050317"/>
    <w:rsid w:val="000509C7"/>
    <w:rsid w:val="00050D56"/>
    <w:rsid w:val="00050DD4"/>
    <w:rsid w:val="000513D5"/>
    <w:rsid w:val="000517CE"/>
    <w:rsid w:val="0005233B"/>
    <w:rsid w:val="0005348C"/>
    <w:rsid w:val="0005377E"/>
    <w:rsid w:val="00053A71"/>
    <w:rsid w:val="00053B18"/>
    <w:rsid w:val="00054632"/>
    <w:rsid w:val="00054668"/>
    <w:rsid w:val="0005515F"/>
    <w:rsid w:val="00055327"/>
    <w:rsid w:val="00055DA0"/>
    <w:rsid w:val="00056E98"/>
    <w:rsid w:val="00057192"/>
    <w:rsid w:val="0005729F"/>
    <w:rsid w:val="000573F6"/>
    <w:rsid w:val="00057C50"/>
    <w:rsid w:val="000612E1"/>
    <w:rsid w:val="0006263A"/>
    <w:rsid w:val="00062790"/>
    <w:rsid w:val="00063ADE"/>
    <w:rsid w:val="00063D5D"/>
    <w:rsid w:val="000644F2"/>
    <w:rsid w:val="000661D2"/>
    <w:rsid w:val="00066649"/>
    <w:rsid w:val="00066CA3"/>
    <w:rsid w:val="00066D15"/>
    <w:rsid w:val="000702AE"/>
    <w:rsid w:val="00070E0F"/>
    <w:rsid w:val="0007115A"/>
    <w:rsid w:val="0007191D"/>
    <w:rsid w:val="00071C16"/>
    <w:rsid w:val="00072509"/>
    <w:rsid w:val="000726F8"/>
    <w:rsid w:val="00072884"/>
    <w:rsid w:val="0007290D"/>
    <w:rsid w:val="00072B46"/>
    <w:rsid w:val="00072CAC"/>
    <w:rsid w:val="00072D54"/>
    <w:rsid w:val="0007379E"/>
    <w:rsid w:val="000737A5"/>
    <w:rsid w:val="00073910"/>
    <w:rsid w:val="000740C0"/>
    <w:rsid w:val="00074808"/>
    <w:rsid w:val="00074DA2"/>
    <w:rsid w:val="0007565C"/>
    <w:rsid w:val="0007580C"/>
    <w:rsid w:val="00075B6E"/>
    <w:rsid w:val="00076167"/>
    <w:rsid w:val="000767DB"/>
    <w:rsid w:val="000768FF"/>
    <w:rsid w:val="000772EF"/>
    <w:rsid w:val="00077AAA"/>
    <w:rsid w:val="0008058B"/>
    <w:rsid w:val="00081160"/>
    <w:rsid w:val="00081310"/>
    <w:rsid w:val="0008207E"/>
    <w:rsid w:val="00082450"/>
    <w:rsid w:val="00082724"/>
    <w:rsid w:val="00082BA0"/>
    <w:rsid w:val="0008472E"/>
    <w:rsid w:val="0008552B"/>
    <w:rsid w:val="000868B2"/>
    <w:rsid w:val="000868BC"/>
    <w:rsid w:val="00086C47"/>
    <w:rsid w:val="00086C88"/>
    <w:rsid w:val="00087442"/>
    <w:rsid w:val="00090692"/>
    <w:rsid w:val="000907A8"/>
    <w:rsid w:val="000908A3"/>
    <w:rsid w:val="000917D7"/>
    <w:rsid w:val="00091C59"/>
    <w:rsid w:val="00093479"/>
    <w:rsid w:val="00093897"/>
    <w:rsid w:val="00094115"/>
    <w:rsid w:val="00094165"/>
    <w:rsid w:val="000942AA"/>
    <w:rsid w:val="00094370"/>
    <w:rsid w:val="000948A9"/>
    <w:rsid w:val="000949BE"/>
    <w:rsid w:val="000950FC"/>
    <w:rsid w:val="00095EF2"/>
    <w:rsid w:val="0009689E"/>
    <w:rsid w:val="000969F2"/>
    <w:rsid w:val="00096EF7"/>
    <w:rsid w:val="00096F43"/>
    <w:rsid w:val="00096F4F"/>
    <w:rsid w:val="000973C8"/>
    <w:rsid w:val="000A0858"/>
    <w:rsid w:val="000A0A7F"/>
    <w:rsid w:val="000A1292"/>
    <w:rsid w:val="000A12F6"/>
    <w:rsid w:val="000A1603"/>
    <w:rsid w:val="000A1A88"/>
    <w:rsid w:val="000A1DF5"/>
    <w:rsid w:val="000A1FD4"/>
    <w:rsid w:val="000A253F"/>
    <w:rsid w:val="000A28B7"/>
    <w:rsid w:val="000A2AA9"/>
    <w:rsid w:val="000A418E"/>
    <w:rsid w:val="000A42A0"/>
    <w:rsid w:val="000A48FD"/>
    <w:rsid w:val="000A4902"/>
    <w:rsid w:val="000A4A42"/>
    <w:rsid w:val="000A5006"/>
    <w:rsid w:val="000A5580"/>
    <w:rsid w:val="000A56F2"/>
    <w:rsid w:val="000A6148"/>
    <w:rsid w:val="000A6E05"/>
    <w:rsid w:val="000A7F08"/>
    <w:rsid w:val="000B0253"/>
    <w:rsid w:val="000B0735"/>
    <w:rsid w:val="000B0D14"/>
    <w:rsid w:val="000B12FA"/>
    <w:rsid w:val="000B184B"/>
    <w:rsid w:val="000B1D69"/>
    <w:rsid w:val="000B237C"/>
    <w:rsid w:val="000B2D57"/>
    <w:rsid w:val="000B2DBB"/>
    <w:rsid w:val="000B3C34"/>
    <w:rsid w:val="000B3DB0"/>
    <w:rsid w:val="000B41E3"/>
    <w:rsid w:val="000B4451"/>
    <w:rsid w:val="000B4882"/>
    <w:rsid w:val="000B48E7"/>
    <w:rsid w:val="000B4B77"/>
    <w:rsid w:val="000B57A4"/>
    <w:rsid w:val="000B5DFC"/>
    <w:rsid w:val="000B65D5"/>
    <w:rsid w:val="000B6965"/>
    <w:rsid w:val="000B6DAB"/>
    <w:rsid w:val="000B6F3F"/>
    <w:rsid w:val="000B6FED"/>
    <w:rsid w:val="000B726E"/>
    <w:rsid w:val="000B72CA"/>
    <w:rsid w:val="000B7383"/>
    <w:rsid w:val="000B7695"/>
    <w:rsid w:val="000C08BF"/>
    <w:rsid w:val="000C0D16"/>
    <w:rsid w:val="000C1332"/>
    <w:rsid w:val="000C1909"/>
    <w:rsid w:val="000C1AAB"/>
    <w:rsid w:val="000C1D76"/>
    <w:rsid w:val="000C1E7C"/>
    <w:rsid w:val="000C2360"/>
    <w:rsid w:val="000C29DE"/>
    <w:rsid w:val="000C2FCF"/>
    <w:rsid w:val="000C3B9A"/>
    <w:rsid w:val="000C3BD4"/>
    <w:rsid w:val="000C4248"/>
    <w:rsid w:val="000C4BDC"/>
    <w:rsid w:val="000C5419"/>
    <w:rsid w:val="000C59FD"/>
    <w:rsid w:val="000C68C5"/>
    <w:rsid w:val="000C7258"/>
    <w:rsid w:val="000C73BB"/>
    <w:rsid w:val="000D00EA"/>
    <w:rsid w:val="000D046C"/>
    <w:rsid w:val="000D1122"/>
    <w:rsid w:val="000D1564"/>
    <w:rsid w:val="000D1ABC"/>
    <w:rsid w:val="000D1E8B"/>
    <w:rsid w:val="000D247A"/>
    <w:rsid w:val="000D25A8"/>
    <w:rsid w:val="000D296C"/>
    <w:rsid w:val="000D2AD8"/>
    <w:rsid w:val="000D2F25"/>
    <w:rsid w:val="000D3682"/>
    <w:rsid w:val="000D36B4"/>
    <w:rsid w:val="000D385B"/>
    <w:rsid w:val="000D3C7B"/>
    <w:rsid w:val="000D40BA"/>
    <w:rsid w:val="000D5A7A"/>
    <w:rsid w:val="000D5ED4"/>
    <w:rsid w:val="000D62A9"/>
    <w:rsid w:val="000D6D6B"/>
    <w:rsid w:val="000D7831"/>
    <w:rsid w:val="000D7D2D"/>
    <w:rsid w:val="000D7FA3"/>
    <w:rsid w:val="000E0462"/>
    <w:rsid w:val="000E09DD"/>
    <w:rsid w:val="000E0F26"/>
    <w:rsid w:val="000E1191"/>
    <w:rsid w:val="000E1755"/>
    <w:rsid w:val="000E1B42"/>
    <w:rsid w:val="000E1C36"/>
    <w:rsid w:val="000E1D37"/>
    <w:rsid w:val="000E1D77"/>
    <w:rsid w:val="000E270A"/>
    <w:rsid w:val="000E296B"/>
    <w:rsid w:val="000E2DD7"/>
    <w:rsid w:val="000E3027"/>
    <w:rsid w:val="000E4C53"/>
    <w:rsid w:val="000E562C"/>
    <w:rsid w:val="000E6830"/>
    <w:rsid w:val="000E6F37"/>
    <w:rsid w:val="000E72A3"/>
    <w:rsid w:val="000E7314"/>
    <w:rsid w:val="000E7406"/>
    <w:rsid w:val="000E767D"/>
    <w:rsid w:val="000E7A23"/>
    <w:rsid w:val="000E7C2A"/>
    <w:rsid w:val="000F1CD2"/>
    <w:rsid w:val="000F233A"/>
    <w:rsid w:val="000F28DE"/>
    <w:rsid w:val="000F336F"/>
    <w:rsid w:val="000F3F38"/>
    <w:rsid w:val="000F48C6"/>
    <w:rsid w:val="000F4D09"/>
    <w:rsid w:val="000F5664"/>
    <w:rsid w:val="000F5A8C"/>
    <w:rsid w:val="000F5BC5"/>
    <w:rsid w:val="000F66B7"/>
    <w:rsid w:val="000F6747"/>
    <w:rsid w:val="000F6C29"/>
    <w:rsid w:val="001008EC"/>
    <w:rsid w:val="00102751"/>
    <w:rsid w:val="00102AE2"/>
    <w:rsid w:val="00102BC3"/>
    <w:rsid w:val="00103376"/>
    <w:rsid w:val="001042E3"/>
    <w:rsid w:val="00104590"/>
    <w:rsid w:val="0010571C"/>
    <w:rsid w:val="001059CC"/>
    <w:rsid w:val="001063FA"/>
    <w:rsid w:val="00106720"/>
    <w:rsid w:val="00106CD6"/>
    <w:rsid w:val="001071EE"/>
    <w:rsid w:val="00107558"/>
    <w:rsid w:val="0011108D"/>
    <w:rsid w:val="00112213"/>
    <w:rsid w:val="00112546"/>
    <w:rsid w:val="00113E6B"/>
    <w:rsid w:val="00114AF1"/>
    <w:rsid w:val="00115867"/>
    <w:rsid w:val="001158BE"/>
    <w:rsid w:val="00116E67"/>
    <w:rsid w:val="00117202"/>
    <w:rsid w:val="00117276"/>
    <w:rsid w:val="001173EA"/>
    <w:rsid w:val="0011757A"/>
    <w:rsid w:val="00117A57"/>
    <w:rsid w:val="001208D5"/>
    <w:rsid w:val="001209EF"/>
    <w:rsid w:val="00121015"/>
    <w:rsid w:val="00121089"/>
    <w:rsid w:val="00121109"/>
    <w:rsid w:val="00121699"/>
    <w:rsid w:val="00121904"/>
    <w:rsid w:val="00121C51"/>
    <w:rsid w:val="0012246E"/>
    <w:rsid w:val="00122D3C"/>
    <w:rsid w:val="00124B9B"/>
    <w:rsid w:val="00125C3E"/>
    <w:rsid w:val="001260BD"/>
    <w:rsid w:val="001264F0"/>
    <w:rsid w:val="0012670F"/>
    <w:rsid w:val="00127488"/>
    <w:rsid w:val="00127A9D"/>
    <w:rsid w:val="00127E80"/>
    <w:rsid w:val="00130526"/>
    <w:rsid w:val="0013081C"/>
    <w:rsid w:val="00131063"/>
    <w:rsid w:val="00131BE4"/>
    <w:rsid w:val="0013258C"/>
    <w:rsid w:val="00132A18"/>
    <w:rsid w:val="00133A73"/>
    <w:rsid w:val="00134967"/>
    <w:rsid w:val="00134A65"/>
    <w:rsid w:val="00135C41"/>
    <w:rsid w:val="00135CF6"/>
    <w:rsid w:val="001360A9"/>
    <w:rsid w:val="001361AE"/>
    <w:rsid w:val="00136942"/>
    <w:rsid w:val="00137C72"/>
    <w:rsid w:val="001411CB"/>
    <w:rsid w:val="00141503"/>
    <w:rsid w:val="00141A28"/>
    <w:rsid w:val="00141DF9"/>
    <w:rsid w:val="00141F17"/>
    <w:rsid w:val="00142B49"/>
    <w:rsid w:val="00143796"/>
    <w:rsid w:val="00143DE1"/>
    <w:rsid w:val="001441B4"/>
    <w:rsid w:val="00144897"/>
    <w:rsid w:val="00144D79"/>
    <w:rsid w:val="00145E54"/>
    <w:rsid w:val="001470CA"/>
    <w:rsid w:val="001521F2"/>
    <w:rsid w:val="00152821"/>
    <w:rsid w:val="00154522"/>
    <w:rsid w:val="001563E8"/>
    <w:rsid w:val="00157A90"/>
    <w:rsid w:val="00161011"/>
    <w:rsid w:val="0016157A"/>
    <w:rsid w:val="001617D1"/>
    <w:rsid w:val="00161B93"/>
    <w:rsid w:val="00161C33"/>
    <w:rsid w:val="00161CE5"/>
    <w:rsid w:val="001623B6"/>
    <w:rsid w:val="001627E7"/>
    <w:rsid w:val="0016346C"/>
    <w:rsid w:val="0016412F"/>
    <w:rsid w:val="00165114"/>
    <w:rsid w:val="00165C0E"/>
    <w:rsid w:val="00171027"/>
    <w:rsid w:val="00172177"/>
    <w:rsid w:val="001742C3"/>
    <w:rsid w:val="00175967"/>
    <w:rsid w:val="00176230"/>
    <w:rsid w:val="00176B6F"/>
    <w:rsid w:val="001805A1"/>
    <w:rsid w:val="00180919"/>
    <w:rsid w:val="00180E04"/>
    <w:rsid w:val="00181064"/>
    <w:rsid w:val="00181B57"/>
    <w:rsid w:val="00181DFF"/>
    <w:rsid w:val="00181E14"/>
    <w:rsid w:val="00182CF8"/>
    <w:rsid w:val="00182FDB"/>
    <w:rsid w:val="00183282"/>
    <w:rsid w:val="00183D28"/>
    <w:rsid w:val="00184687"/>
    <w:rsid w:val="0018491C"/>
    <w:rsid w:val="00184A8F"/>
    <w:rsid w:val="00185CCA"/>
    <w:rsid w:val="001863CB"/>
    <w:rsid w:val="00186CC5"/>
    <w:rsid w:val="00187611"/>
    <w:rsid w:val="00187A74"/>
    <w:rsid w:val="00187AC3"/>
    <w:rsid w:val="00190B2A"/>
    <w:rsid w:val="00190BE6"/>
    <w:rsid w:val="00190C79"/>
    <w:rsid w:val="00191059"/>
    <w:rsid w:val="00192D4B"/>
    <w:rsid w:val="00194A32"/>
    <w:rsid w:val="00194DA6"/>
    <w:rsid w:val="00194E06"/>
    <w:rsid w:val="00196343"/>
    <w:rsid w:val="0019662D"/>
    <w:rsid w:val="001966C3"/>
    <w:rsid w:val="00196EC5"/>
    <w:rsid w:val="0019712C"/>
    <w:rsid w:val="00197553"/>
    <w:rsid w:val="00197CF6"/>
    <w:rsid w:val="001A13A0"/>
    <w:rsid w:val="001A2471"/>
    <w:rsid w:val="001A2B38"/>
    <w:rsid w:val="001A4186"/>
    <w:rsid w:val="001A4B6C"/>
    <w:rsid w:val="001A4C2A"/>
    <w:rsid w:val="001A4E94"/>
    <w:rsid w:val="001A5AFB"/>
    <w:rsid w:val="001A5B35"/>
    <w:rsid w:val="001A5EB9"/>
    <w:rsid w:val="001A6BFD"/>
    <w:rsid w:val="001A6DCD"/>
    <w:rsid w:val="001A743D"/>
    <w:rsid w:val="001A74F3"/>
    <w:rsid w:val="001B01E2"/>
    <w:rsid w:val="001B093E"/>
    <w:rsid w:val="001B10CB"/>
    <w:rsid w:val="001B149B"/>
    <w:rsid w:val="001B24DB"/>
    <w:rsid w:val="001B3C32"/>
    <w:rsid w:val="001B4AAC"/>
    <w:rsid w:val="001B4B0D"/>
    <w:rsid w:val="001B540C"/>
    <w:rsid w:val="001B5C4D"/>
    <w:rsid w:val="001B5FBD"/>
    <w:rsid w:val="001B66F3"/>
    <w:rsid w:val="001C14B6"/>
    <w:rsid w:val="001C1836"/>
    <w:rsid w:val="001C1C53"/>
    <w:rsid w:val="001C1CD5"/>
    <w:rsid w:val="001C1D7F"/>
    <w:rsid w:val="001C222F"/>
    <w:rsid w:val="001C363F"/>
    <w:rsid w:val="001C4B37"/>
    <w:rsid w:val="001C4D24"/>
    <w:rsid w:val="001C57C6"/>
    <w:rsid w:val="001C595D"/>
    <w:rsid w:val="001C5990"/>
    <w:rsid w:val="001C5DE3"/>
    <w:rsid w:val="001C6FC8"/>
    <w:rsid w:val="001C72FA"/>
    <w:rsid w:val="001D0E08"/>
    <w:rsid w:val="001D0F92"/>
    <w:rsid w:val="001D1129"/>
    <w:rsid w:val="001D136B"/>
    <w:rsid w:val="001D235C"/>
    <w:rsid w:val="001D2405"/>
    <w:rsid w:val="001D2414"/>
    <w:rsid w:val="001D25C4"/>
    <w:rsid w:val="001D281D"/>
    <w:rsid w:val="001D3667"/>
    <w:rsid w:val="001D3D2A"/>
    <w:rsid w:val="001D3DFF"/>
    <w:rsid w:val="001D3EAB"/>
    <w:rsid w:val="001D62E4"/>
    <w:rsid w:val="001D7EFA"/>
    <w:rsid w:val="001E0944"/>
    <w:rsid w:val="001E0A4C"/>
    <w:rsid w:val="001E0E86"/>
    <w:rsid w:val="001E0EA2"/>
    <w:rsid w:val="001E15AD"/>
    <w:rsid w:val="001E17C2"/>
    <w:rsid w:val="001E1EC3"/>
    <w:rsid w:val="001E28C6"/>
    <w:rsid w:val="001E2A62"/>
    <w:rsid w:val="001E2E76"/>
    <w:rsid w:val="001E3625"/>
    <w:rsid w:val="001E37F4"/>
    <w:rsid w:val="001E43B5"/>
    <w:rsid w:val="001E4FBE"/>
    <w:rsid w:val="001E56ED"/>
    <w:rsid w:val="001E614D"/>
    <w:rsid w:val="001E672B"/>
    <w:rsid w:val="001E6AF8"/>
    <w:rsid w:val="001E748A"/>
    <w:rsid w:val="001E7859"/>
    <w:rsid w:val="001E7A50"/>
    <w:rsid w:val="001E7B30"/>
    <w:rsid w:val="001E7E19"/>
    <w:rsid w:val="001F082B"/>
    <w:rsid w:val="001F0A9A"/>
    <w:rsid w:val="001F0FD9"/>
    <w:rsid w:val="001F188E"/>
    <w:rsid w:val="001F1F85"/>
    <w:rsid w:val="001F207E"/>
    <w:rsid w:val="001F20AF"/>
    <w:rsid w:val="001F2819"/>
    <w:rsid w:val="001F2D4B"/>
    <w:rsid w:val="001F2DFB"/>
    <w:rsid w:val="001F3143"/>
    <w:rsid w:val="001F39FB"/>
    <w:rsid w:val="001F3BB6"/>
    <w:rsid w:val="001F5C5F"/>
    <w:rsid w:val="001F5CEC"/>
    <w:rsid w:val="001F761C"/>
    <w:rsid w:val="001F7930"/>
    <w:rsid w:val="002002EE"/>
    <w:rsid w:val="002005F8"/>
    <w:rsid w:val="0020066B"/>
    <w:rsid w:val="00200CC7"/>
    <w:rsid w:val="00200D2E"/>
    <w:rsid w:val="00201706"/>
    <w:rsid w:val="002027C0"/>
    <w:rsid w:val="002036EF"/>
    <w:rsid w:val="002043EC"/>
    <w:rsid w:val="002050D2"/>
    <w:rsid w:val="00205D21"/>
    <w:rsid w:val="00206D6E"/>
    <w:rsid w:val="002071DB"/>
    <w:rsid w:val="0020747D"/>
    <w:rsid w:val="00207F40"/>
    <w:rsid w:val="002101D7"/>
    <w:rsid w:val="00210884"/>
    <w:rsid w:val="00210B38"/>
    <w:rsid w:val="00211AD1"/>
    <w:rsid w:val="00212160"/>
    <w:rsid w:val="00212EF8"/>
    <w:rsid w:val="00213338"/>
    <w:rsid w:val="002138E2"/>
    <w:rsid w:val="0021436D"/>
    <w:rsid w:val="0021482A"/>
    <w:rsid w:val="00215642"/>
    <w:rsid w:val="002162F5"/>
    <w:rsid w:val="00216778"/>
    <w:rsid w:val="0021712E"/>
    <w:rsid w:val="00217C7C"/>
    <w:rsid w:val="002208F6"/>
    <w:rsid w:val="00221F65"/>
    <w:rsid w:val="0022206B"/>
    <w:rsid w:val="00222975"/>
    <w:rsid w:val="002229DE"/>
    <w:rsid w:val="002234E9"/>
    <w:rsid w:val="00223D47"/>
    <w:rsid w:val="0022473B"/>
    <w:rsid w:val="00224B0D"/>
    <w:rsid w:val="00224E70"/>
    <w:rsid w:val="00225F15"/>
    <w:rsid w:val="002264E6"/>
    <w:rsid w:val="002265AB"/>
    <w:rsid w:val="002267CB"/>
    <w:rsid w:val="00227223"/>
    <w:rsid w:val="002306F8"/>
    <w:rsid w:val="00231BDF"/>
    <w:rsid w:val="0023346A"/>
    <w:rsid w:val="00233626"/>
    <w:rsid w:val="0023381A"/>
    <w:rsid w:val="00234B09"/>
    <w:rsid w:val="002351D8"/>
    <w:rsid w:val="00235FE3"/>
    <w:rsid w:val="002365DB"/>
    <w:rsid w:val="00236748"/>
    <w:rsid w:val="00236DDD"/>
    <w:rsid w:val="002405A2"/>
    <w:rsid w:val="0024079A"/>
    <w:rsid w:val="00240801"/>
    <w:rsid w:val="002410B1"/>
    <w:rsid w:val="002417AA"/>
    <w:rsid w:val="00241D03"/>
    <w:rsid w:val="002434D4"/>
    <w:rsid w:val="00243A81"/>
    <w:rsid w:val="00243DC0"/>
    <w:rsid w:val="002440F8"/>
    <w:rsid w:val="0024459B"/>
    <w:rsid w:val="00244FF5"/>
    <w:rsid w:val="00245451"/>
    <w:rsid w:val="002461C5"/>
    <w:rsid w:val="00246328"/>
    <w:rsid w:val="00246734"/>
    <w:rsid w:val="002467B8"/>
    <w:rsid w:val="002468DA"/>
    <w:rsid w:val="00247477"/>
    <w:rsid w:val="00247CC8"/>
    <w:rsid w:val="002509FA"/>
    <w:rsid w:val="00250E22"/>
    <w:rsid w:val="00250FEA"/>
    <w:rsid w:val="00251E42"/>
    <w:rsid w:val="00252637"/>
    <w:rsid w:val="00252B41"/>
    <w:rsid w:val="00253507"/>
    <w:rsid w:val="00253557"/>
    <w:rsid w:val="002535AC"/>
    <w:rsid w:val="0025403F"/>
    <w:rsid w:val="0025428D"/>
    <w:rsid w:val="002546C6"/>
    <w:rsid w:val="002553F0"/>
    <w:rsid w:val="002554A7"/>
    <w:rsid w:val="00256E64"/>
    <w:rsid w:val="00256F53"/>
    <w:rsid w:val="002604FB"/>
    <w:rsid w:val="00261354"/>
    <w:rsid w:val="00261DEE"/>
    <w:rsid w:val="002635DE"/>
    <w:rsid w:val="00263AFE"/>
    <w:rsid w:val="00263C5F"/>
    <w:rsid w:val="00263FC3"/>
    <w:rsid w:val="00264064"/>
    <w:rsid w:val="002642E4"/>
    <w:rsid w:val="00265040"/>
    <w:rsid w:val="002662EA"/>
    <w:rsid w:val="00267001"/>
    <w:rsid w:val="00270440"/>
    <w:rsid w:val="002719B2"/>
    <w:rsid w:val="002721BF"/>
    <w:rsid w:val="0027300C"/>
    <w:rsid w:val="00274DB8"/>
    <w:rsid w:val="00275A35"/>
    <w:rsid w:val="002762EE"/>
    <w:rsid w:val="00276558"/>
    <w:rsid w:val="00276578"/>
    <w:rsid w:val="00277BCF"/>
    <w:rsid w:val="00277EDA"/>
    <w:rsid w:val="002807D4"/>
    <w:rsid w:val="0028114E"/>
    <w:rsid w:val="00282142"/>
    <w:rsid w:val="0028219C"/>
    <w:rsid w:val="002837DC"/>
    <w:rsid w:val="0028380F"/>
    <w:rsid w:val="00284890"/>
    <w:rsid w:val="00284D8D"/>
    <w:rsid w:val="00284F5B"/>
    <w:rsid w:val="0028538B"/>
    <w:rsid w:val="002853E0"/>
    <w:rsid w:val="00285F2E"/>
    <w:rsid w:val="002861DE"/>
    <w:rsid w:val="00286214"/>
    <w:rsid w:val="00286B15"/>
    <w:rsid w:val="002879A7"/>
    <w:rsid w:val="00287AD2"/>
    <w:rsid w:val="00287BC5"/>
    <w:rsid w:val="00290ECF"/>
    <w:rsid w:val="00291D22"/>
    <w:rsid w:val="002923D5"/>
    <w:rsid w:val="00292877"/>
    <w:rsid w:val="00292EAF"/>
    <w:rsid w:val="00293304"/>
    <w:rsid w:val="00293598"/>
    <w:rsid w:val="00293DEE"/>
    <w:rsid w:val="00294147"/>
    <w:rsid w:val="00294779"/>
    <w:rsid w:val="00294AC7"/>
    <w:rsid w:val="00294D9A"/>
    <w:rsid w:val="00294DFE"/>
    <w:rsid w:val="00295174"/>
    <w:rsid w:val="00295D4F"/>
    <w:rsid w:val="00295F51"/>
    <w:rsid w:val="00296734"/>
    <w:rsid w:val="00296881"/>
    <w:rsid w:val="00297819"/>
    <w:rsid w:val="00297C82"/>
    <w:rsid w:val="00297D0C"/>
    <w:rsid w:val="00297F11"/>
    <w:rsid w:val="002A0632"/>
    <w:rsid w:val="002A0867"/>
    <w:rsid w:val="002A0B5D"/>
    <w:rsid w:val="002A12C5"/>
    <w:rsid w:val="002A13B1"/>
    <w:rsid w:val="002A19E6"/>
    <w:rsid w:val="002A20DD"/>
    <w:rsid w:val="002A2289"/>
    <w:rsid w:val="002A2C1B"/>
    <w:rsid w:val="002A4049"/>
    <w:rsid w:val="002A49D2"/>
    <w:rsid w:val="002A5B62"/>
    <w:rsid w:val="002A5C26"/>
    <w:rsid w:val="002A5CA9"/>
    <w:rsid w:val="002A6764"/>
    <w:rsid w:val="002A6D90"/>
    <w:rsid w:val="002A73E9"/>
    <w:rsid w:val="002B0328"/>
    <w:rsid w:val="002B0580"/>
    <w:rsid w:val="002B1196"/>
    <w:rsid w:val="002B23DD"/>
    <w:rsid w:val="002B2573"/>
    <w:rsid w:val="002B2BC2"/>
    <w:rsid w:val="002B34CB"/>
    <w:rsid w:val="002B3509"/>
    <w:rsid w:val="002B3569"/>
    <w:rsid w:val="002B3825"/>
    <w:rsid w:val="002B3E72"/>
    <w:rsid w:val="002B4091"/>
    <w:rsid w:val="002B41AF"/>
    <w:rsid w:val="002B6B59"/>
    <w:rsid w:val="002B7505"/>
    <w:rsid w:val="002B78E8"/>
    <w:rsid w:val="002C01B8"/>
    <w:rsid w:val="002C1130"/>
    <w:rsid w:val="002C1137"/>
    <w:rsid w:val="002C172D"/>
    <w:rsid w:val="002C1BC4"/>
    <w:rsid w:val="002C2066"/>
    <w:rsid w:val="002C2D85"/>
    <w:rsid w:val="002C33DE"/>
    <w:rsid w:val="002C4AE6"/>
    <w:rsid w:val="002C5C53"/>
    <w:rsid w:val="002C65C9"/>
    <w:rsid w:val="002C6B55"/>
    <w:rsid w:val="002C7842"/>
    <w:rsid w:val="002C7FE9"/>
    <w:rsid w:val="002D01BF"/>
    <w:rsid w:val="002D03A0"/>
    <w:rsid w:val="002D064D"/>
    <w:rsid w:val="002D0DC5"/>
    <w:rsid w:val="002D176D"/>
    <w:rsid w:val="002D3BBF"/>
    <w:rsid w:val="002D3C29"/>
    <w:rsid w:val="002D3CE7"/>
    <w:rsid w:val="002D3DC3"/>
    <w:rsid w:val="002D45B6"/>
    <w:rsid w:val="002D4711"/>
    <w:rsid w:val="002D4CF3"/>
    <w:rsid w:val="002D4EFD"/>
    <w:rsid w:val="002D4F63"/>
    <w:rsid w:val="002D5412"/>
    <w:rsid w:val="002D5424"/>
    <w:rsid w:val="002D543C"/>
    <w:rsid w:val="002D58C7"/>
    <w:rsid w:val="002D65EC"/>
    <w:rsid w:val="002D6D83"/>
    <w:rsid w:val="002D6FBF"/>
    <w:rsid w:val="002D70A1"/>
    <w:rsid w:val="002D7751"/>
    <w:rsid w:val="002D7930"/>
    <w:rsid w:val="002D7E0E"/>
    <w:rsid w:val="002D7F6D"/>
    <w:rsid w:val="002E041C"/>
    <w:rsid w:val="002E1182"/>
    <w:rsid w:val="002E1C4F"/>
    <w:rsid w:val="002E2A17"/>
    <w:rsid w:val="002E2B5D"/>
    <w:rsid w:val="002E2BC8"/>
    <w:rsid w:val="002E2D0B"/>
    <w:rsid w:val="002E2F42"/>
    <w:rsid w:val="002E4123"/>
    <w:rsid w:val="002E4764"/>
    <w:rsid w:val="002E4A4C"/>
    <w:rsid w:val="002E54E0"/>
    <w:rsid w:val="002F047A"/>
    <w:rsid w:val="002F04A5"/>
    <w:rsid w:val="002F0590"/>
    <w:rsid w:val="002F0BE8"/>
    <w:rsid w:val="002F0F8E"/>
    <w:rsid w:val="002F30B7"/>
    <w:rsid w:val="002F3B49"/>
    <w:rsid w:val="002F3D0C"/>
    <w:rsid w:val="002F3D5F"/>
    <w:rsid w:val="002F43AC"/>
    <w:rsid w:val="002F6C1F"/>
    <w:rsid w:val="002F74FB"/>
    <w:rsid w:val="002F75B9"/>
    <w:rsid w:val="002F793F"/>
    <w:rsid w:val="002F7A4B"/>
    <w:rsid w:val="002F7BCC"/>
    <w:rsid w:val="0030044D"/>
    <w:rsid w:val="00300673"/>
    <w:rsid w:val="0030125C"/>
    <w:rsid w:val="00301AF8"/>
    <w:rsid w:val="00302124"/>
    <w:rsid w:val="003028AC"/>
    <w:rsid w:val="00303E65"/>
    <w:rsid w:val="00303F91"/>
    <w:rsid w:val="00304505"/>
    <w:rsid w:val="0030466D"/>
    <w:rsid w:val="00304E18"/>
    <w:rsid w:val="0030505E"/>
    <w:rsid w:val="003052AE"/>
    <w:rsid w:val="00305315"/>
    <w:rsid w:val="00305564"/>
    <w:rsid w:val="00306C16"/>
    <w:rsid w:val="00307D28"/>
    <w:rsid w:val="00307ECB"/>
    <w:rsid w:val="003110AC"/>
    <w:rsid w:val="003110D2"/>
    <w:rsid w:val="00312FED"/>
    <w:rsid w:val="003136F7"/>
    <w:rsid w:val="00313908"/>
    <w:rsid w:val="003141C6"/>
    <w:rsid w:val="003146EC"/>
    <w:rsid w:val="0031558B"/>
    <w:rsid w:val="00315A97"/>
    <w:rsid w:val="00316071"/>
    <w:rsid w:val="00316209"/>
    <w:rsid w:val="003163DE"/>
    <w:rsid w:val="00321076"/>
    <w:rsid w:val="00321127"/>
    <w:rsid w:val="0032127E"/>
    <w:rsid w:val="00321C8A"/>
    <w:rsid w:val="00322080"/>
    <w:rsid w:val="00323E1C"/>
    <w:rsid w:val="003244E4"/>
    <w:rsid w:val="00324F30"/>
    <w:rsid w:val="003253B4"/>
    <w:rsid w:val="003255CB"/>
    <w:rsid w:val="00325749"/>
    <w:rsid w:val="00325D69"/>
    <w:rsid w:val="00327517"/>
    <w:rsid w:val="003276D7"/>
    <w:rsid w:val="00327C62"/>
    <w:rsid w:val="00330130"/>
    <w:rsid w:val="0033106A"/>
    <w:rsid w:val="0033264B"/>
    <w:rsid w:val="003333E4"/>
    <w:rsid w:val="003333FD"/>
    <w:rsid w:val="00334329"/>
    <w:rsid w:val="00334646"/>
    <w:rsid w:val="003349F6"/>
    <w:rsid w:val="00335716"/>
    <w:rsid w:val="003358B6"/>
    <w:rsid w:val="00335CA5"/>
    <w:rsid w:val="003364B7"/>
    <w:rsid w:val="00336506"/>
    <w:rsid w:val="00336708"/>
    <w:rsid w:val="00336794"/>
    <w:rsid w:val="00336A5E"/>
    <w:rsid w:val="00336C63"/>
    <w:rsid w:val="003370C2"/>
    <w:rsid w:val="003377E6"/>
    <w:rsid w:val="003400A4"/>
    <w:rsid w:val="00340626"/>
    <w:rsid w:val="00340E8A"/>
    <w:rsid w:val="0034223B"/>
    <w:rsid w:val="00342A39"/>
    <w:rsid w:val="00342D67"/>
    <w:rsid w:val="00343890"/>
    <w:rsid w:val="00343C17"/>
    <w:rsid w:val="00343E5C"/>
    <w:rsid w:val="00344D8E"/>
    <w:rsid w:val="00344FB8"/>
    <w:rsid w:val="0034552C"/>
    <w:rsid w:val="003457BC"/>
    <w:rsid w:val="00345B92"/>
    <w:rsid w:val="00345D2D"/>
    <w:rsid w:val="00347A56"/>
    <w:rsid w:val="00347FA1"/>
    <w:rsid w:val="0035099E"/>
    <w:rsid w:val="003511E0"/>
    <w:rsid w:val="00351C7D"/>
    <w:rsid w:val="003529D7"/>
    <w:rsid w:val="00353245"/>
    <w:rsid w:val="00353789"/>
    <w:rsid w:val="00353D8A"/>
    <w:rsid w:val="003542F5"/>
    <w:rsid w:val="00354EF9"/>
    <w:rsid w:val="00355182"/>
    <w:rsid w:val="00355DD6"/>
    <w:rsid w:val="00356023"/>
    <w:rsid w:val="003576B0"/>
    <w:rsid w:val="00357F7B"/>
    <w:rsid w:val="0036017B"/>
    <w:rsid w:val="00360A62"/>
    <w:rsid w:val="00361803"/>
    <w:rsid w:val="00361F5A"/>
    <w:rsid w:val="0036262B"/>
    <w:rsid w:val="00362755"/>
    <w:rsid w:val="00362847"/>
    <w:rsid w:val="00362974"/>
    <w:rsid w:val="00362A0E"/>
    <w:rsid w:val="0036370C"/>
    <w:rsid w:val="00363783"/>
    <w:rsid w:val="00364478"/>
    <w:rsid w:val="00364F77"/>
    <w:rsid w:val="00365655"/>
    <w:rsid w:val="003657D3"/>
    <w:rsid w:val="003663D6"/>
    <w:rsid w:val="0036717D"/>
    <w:rsid w:val="00367313"/>
    <w:rsid w:val="003673DC"/>
    <w:rsid w:val="0037134D"/>
    <w:rsid w:val="00371C82"/>
    <w:rsid w:val="00371CD7"/>
    <w:rsid w:val="00372CC1"/>
    <w:rsid w:val="0037320D"/>
    <w:rsid w:val="003734E4"/>
    <w:rsid w:val="00373AAC"/>
    <w:rsid w:val="00373B93"/>
    <w:rsid w:val="003742BA"/>
    <w:rsid w:val="003744F3"/>
    <w:rsid w:val="003745AE"/>
    <w:rsid w:val="00375003"/>
    <w:rsid w:val="003776A8"/>
    <w:rsid w:val="00377FB1"/>
    <w:rsid w:val="00380CD1"/>
    <w:rsid w:val="00380E15"/>
    <w:rsid w:val="00380E18"/>
    <w:rsid w:val="003811B0"/>
    <w:rsid w:val="00381583"/>
    <w:rsid w:val="00381662"/>
    <w:rsid w:val="003816D7"/>
    <w:rsid w:val="00381F70"/>
    <w:rsid w:val="00382379"/>
    <w:rsid w:val="003835B2"/>
    <w:rsid w:val="00386305"/>
    <w:rsid w:val="00386E36"/>
    <w:rsid w:val="0038714D"/>
    <w:rsid w:val="003871B0"/>
    <w:rsid w:val="003875EB"/>
    <w:rsid w:val="00387D9F"/>
    <w:rsid w:val="0039030D"/>
    <w:rsid w:val="0039170F"/>
    <w:rsid w:val="00391825"/>
    <w:rsid w:val="00392599"/>
    <w:rsid w:val="00392E15"/>
    <w:rsid w:val="003934EF"/>
    <w:rsid w:val="003936D0"/>
    <w:rsid w:val="0039393D"/>
    <w:rsid w:val="00393C68"/>
    <w:rsid w:val="00394212"/>
    <w:rsid w:val="00394CA6"/>
    <w:rsid w:val="0039589A"/>
    <w:rsid w:val="00397839"/>
    <w:rsid w:val="003A02CA"/>
    <w:rsid w:val="003A0758"/>
    <w:rsid w:val="003A15B0"/>
    <w:rsid w:val="003A1727"/>
    <w:rsid w:val="003A1930"/>
    <w:rsid w:val="003A33B1"/>
    <w:rsid w:val="003A38F0"/>
    <w:rsid w:val="003A3F02"/>
    <w:rsid w:val="003A4544"/>
    <w:rsid w:val="003A48B3"/>
    <w:rsid w:val="003A4D78"/>
    <w:rsid w:val="003A4DF1"/>
    <w:rsid w:val="003A642A"/>
    <w:rsid w:val="003A693C"/>
    <w:rsid w:val="003A7681"/>
    <w:rsid w:val="003B05E6"/>
    <w:rsid w:val="003B0D4D"/>
    <w:rsid w:val="003B0EE3"/>
    <w:rsid w:val="003B1274"/>
    <w:rsid w:val="003B1DD0"/>
    <w:rsid w:val="003B22F4"/>
    <w:rsid w:val="003B24BB"/>
    <w:rsid w:val="003B259D"/>
    <w:rsid w:val="003B29ED"/>
    <w:rsid w:val="003B349E"/>
    <w:rsid w:val="003B472D"/>
    <w:rsid w:val="003B4897"/>
    <w:rsid w:val="003B4C62"/>
    <w:rsid w:val="003B516B"/>
    <w:rsid w:val="003B5672"/>
    <w:rsid w:val="003B57DE"/>
    <w:rsid w:val="003B5B84"/>
    <w:rsid w:val="003B657F"/>
    <w:rsid w:val="003B6A36"/>
    <w:rsid w:val="003B6C81"/>
    <w:rsid w:val="003B72E7"/>
    <w:rsid w:val="003C05F7"/>
    <w:rsid w:val="003C11FB"/>
    <w:rsid w:val="003C1E39"/>
    <w:rsid w:val="003C2113"/>
    <w:rsid w:val="003C2637"/>
    <w:rsid w:val="003C4355"/>
    <w:rsid w:val="003C46C4"/>
    <w:rsid w:val="003C473A"/>
    <w:rsid w:val="003C4BF4"/>
    <w:rsid w:val="003C4FAC"/>
    <w:rsid w:val="003C6639"/>
    <w:rsid w:val="003C6BA7"/>
    <w:rsid w:val="003C755B"/>
    <w:rsid w:val="003C794B"/>
    <w:rsid w:val="003C7AEB"/>
    <w:rsid w:val="003D00B5"/>
    <w:rsid w:val="003D0AB9"/>
    <w:rsid w:val="003D1BD6"/>
    <w:rsid w:val="003D1F3E"/>
    <w:rsid w:val="003D22F4"/>
    <w:rsid w:val="003D2E8F"/>
    <w:rsid w:val="003D3BB3"/>
    <w:rsid w:val="003D3DD9"/>
    <w:rsid w:val="003D58B1"/>
    <w:rsid w:val="003D72C4"/>
    <w:rsid w:val="003D752E"/>
    <w:rsid w:val="003D7570"/>
    <w:rsid w:val="003D7576"/>
    <w:rsid w:val="003D7614"/>
    <w:rsid w:val="003E0228"/>
    <w:rsid w:val="003E0BAA"/>
    <w:rsid w:val="003E30F4"/>
    <w:rsid w:val="003E421A"/>
    <w:rsid w:val="003E433F"/>
    <w:rsid w:val="003E475C"/>
    <w:rsid w:val="003E49DF"/>
    <w:rsid w:val="003E581A"/>
    <w:rsid w:val="003E616C"/>
    <w:rsid w:val="003E61B6"/>
    <w:rsid w:val="003E7AB7"/>
    <w:rsid w:val="003E7B58"/>
    <w:rsid w:val="003E7C5B"/>
    <w:rsid w:val="003F01A4"/>
    <w:rsid w:val="003F069A"/>
    <w:rsid w:val="003F09CF"/>
    <w:rsid w:val="003F112B"/>
    <w:rsid w:val="003F241E"/>
    <w:rsid w:val="003F27A3"/>
    <w:rsid w:val="003F3547"/>
    <w:rsid w:val="003F355E"/>
    <w:rsid w:val="003F3AA8"/>
    <w:rsid w:val="003F4329"/>
    <w:rsid w:val="003F4C94"/>
    <w:rsid w:val="003F5528"/>
    <w:rsid w:val="003F5B6E"/>
    <w:rsid w:val="003F5BEA"/>
    <w:rsid w:val="003F73B6"/>
    <w:rsid w:val="003F7EAC"/>
    <w:rsid w:val="00400056"/>
    <w:rsid w:val="00400B8F"/>
    <w:rsid w:val="004010FD"/>
    <w:rsid w:val="004015CF"/>
    <w:rsid w:val="0040199E"/>
    <w:rsid w:val="00401C34"/>
    <w:rsid w:val="00401DA9"/>
    <w:rsid w:val="004029BC"/>
    <w:rsid w:val="00402C6D"/>
    <w:rsid w:val="004030CD"/>
    <w:rsid w:val="00403121"/>
    <w:rsid w:val="00404256"/>
    <w:rsid w:val="004051EC"/>
    <w:rsid w:val="0040533D"/>
    <w:rsid w:val="0040550D"/>
    <w:rsid w:val="00406AC9"/>
    <w:rsid w:val="00406BAD"/>
    <w:rsid w:val="00407631"/>
    <w:rsid w:val="004104B9"/>
    <w:rsid w:val="00410B68"/>
    <w:rsid w:val="004119F5"/>
    <w:rsid w:val="00412534"/>
    <w:rsid w:val="004125CA"/>
    <w:rsid w:val="00412B36"/>
    <w:rsid w:val="00412C83"/>
    <w:rsid w:val="00413192"/>
    <w:rsid w:val="00413AAD"/>
    <w:rsid w:val="00413EF8"/>
    <w:rsid w:val="00413FEA"/>
    <w:rsid w:val="0041407E"/>
    <w:rsid w:val="00414296"/>
    <w:rsid w:val="004145B1"/>
    <w:rsid w:val="004147A7"/>
    <w:rsid w:val="00414944"/>
    <w:rsid w:val="00414D03"/>
    <w:rsid w:val="00414F48"/>
    <w:rsid w:val="0041569C"/>
    <w:rsid w:val="004156D0"/>
    <w:rsid w:val="00416E7F"/>
    <w:rsid w:val="004175F4"/>
    <w:rsid w:val="00417625"/>
    <w:rsid w:val="0041765B"/>
    <w:rsid w:val="00417767"/>
    <w:rsid w:val="00417D73"/>
    <w:rsid w:val="00417F72"/>
    <w:rsid w:val="00420103"/>
    <w:rsid w:val="00420277"/>
    <w:rsid w:val="0042116E"/>
    <w:rsid w:val="00421471"/>
    <w:rsid w:val="004214C6"/>
    <w:rsid w:val="0042233D"/>
    <w:rsid w:val="00422489"/>
    <w:rsid w:val="00422778"/>
    <w:rsid w:val="00422D0D"/>
    <w:rsid w:val="004236F0"/>
    <w:rsid w:val="00424477"/>
    <w:rsid w:val="00424919"/>
    <w:rsid w:val="00424A3C"/>
    <w:rsid w:val="00425F81"/>
    <w:rsid w:val="00426014"/>
    <w:rsid w:val="0042662D"/>
    <w:rsid w:val="004266E6"/>
    <w:rsid w:val="004269CC"/>
    <w:rsid w:val="00426AAC"/>
    <w:rsid w:val="00430407"/>
    <w:rsid w:val="00430B37"/>
    <w:rsid w:val="00431223"/>
    <w:rsid w:val="00431392"/>
    <w:rsid w:val="00431896"/>
    <w:rsid w:val="004319B8"/>
    <w:rsid w:val="00431E15"/>
    <w:rsid w:val="00431E5D"/>
    <w:rsid w:val="0043215A"/>
    <w:rsid w:val="00432DAA"/>
    <w:rsid w:val="00434879"/>
    <w:rsid w:val="004354D5"/>
    <w:rsid w:val="00435542"/>
    <w:rsid w:val="004355AD"/>
    <w:rsid w:val="00435899"/>
    <w:rsid w:val="00435C9B"/>
    <w:rsid w:val="00435DE6"/>
    <w:rsid w:val="0043679E"/>
    <w:rsid w:val="0043781B"/>
    <w:rsid w:val="00440328"/>
    <w:rsid w:val="00440396"/>
    <w:rsid w:val="00441793"/>
    <w:rsid w:val="00441D79"/>
    <w:rsid w:val="0044212C"/>
    <w:rsid w:val="00442501"/>
    <w:rsid w:val="0044294D"/>
    <w:rsid w:val="00442FFB"/>
    <w:rsid w:val="00443683"/>
    <w:rsid w:val="00444042"/>
    <w:rsid w:val="00444D07"/>
    <w:rsid w:val="0044557B"/>
    <w:rsid w:val="0044617E"/>
    <w:rsid w:val="004462EC"/>
    <w:rsid w:val="004464F9"/>
    <w:rsid w:val="00446BFC"/>
    <w:rsid w:val="00446C0F"/>
    <w:rsid w:val="00446C92"/>
    <w:rsid w:val="00446F27"/>
    <w:rsid w:val="00450FAD"/>
    <w:rsid w:val="00450FE6"/>
    <w:rsid w:val="0045147B"/>
    <w:rsid w:val="004520DD"/>
    <w:rsid w:val="00453789"/>
    <w:rsid w:val="00453C1B"/>
    <w:rsid w:val="00454893"/>
    <w:rsid w:val="00454B4D"/>
    <w:rsid w:val="00454EE1"/>
    <w:rsid w:val="0045562D"/>
    <w:rsid w:val="00456C06"/>
    <w:rsid w:val="004578ED"/>
    <w:rsid w:val="00457C8A"/>
    <w:rsid w:val="00457EF5"/>
    <w:rsid w:val="0046043C"/>
    <w:rsid w:val="0046078B"/>
    <w:rsid w:val="00460A26"/>
    <w:rsid w:val="00460B7D"/>
    <w:rsid w:val="0046195B"/>
    <w:rsid w:val="0046249F"/>
    <w:rsid w:val="004639B8"/>
    <w:rsid w:val="00463DF7"/>
    <w:rsid w:val="00464656"/>
    <w:rsid w:val="00464FC6"/>
    <w:rsid w:val="0046525E"/>
    <w:rsid w:val="004664CD"/>
    <w:rsid w:val="00466633"/>
    <w:rsid w:val="0046689D"/>
    <w:rsid w:val="0046719D"/>
    <w:rsid w:val="00467E53"/>
    <w:rsid w:val="00467FA2"/>
    <w:rsid w:val="004707CF"/>
    <w:rsid w:val="00470D62"/>
    <w:rsid w:val="00471C92"/>
    <w:rsid w:val="004727BA"/>
    <w:rsid w:val="004730C7"/>
    <w:rsid w:val="00474186"/>
    <w:rsid w:val="0047429B"/>
    <w:rsid w:val="0047485A"/>
    <w:rsid w:val="00474BA2"/>
    <w:rsid w:val="00474E05"/>
    <w:rsid w:val="00475368"/>
    <w:rsid w:val="00475C74"/>
    <w:rsid w:val="00475F4A"/>
    <w:rsid w:val="00476C27"/>
    <w:rsid w:val="00476D05"/>
    <w:rsid w:val="0047715F"/>
    <w:rsid w:val="004771E9"/>
    <w:rsid w:val="00477A03"/>
    <w:rsid w:val="00480174"/>
    <w:rsid w:val="00480523"/>
    <w:rsid w:val="0048098F"/>
    <w:rsid w:val="00480ADD"/>
    <w:rsid w:val="00480BA7"/>
    <w:rsid w:val="00480CB0"/>
    <w:rsid w:val="0048109C"/>
    <w:rsid w:val="004814A1"/>
    <w:rsid w:val="00481EB8"/>
    <w:rsid w:val="0048225D"/>
    <w:rsid w:val="0048302E"/>
    <w:rsid w:val="00483526"/>
    <w:rsid w:val="00483603"/>
    <w:rsid w:val="0048446D"/>
    <w:rsid w:val="00484AFD"/>
    <w:rsid w:val="004855F5"/>
    <w:rsid w:val="00485CD1"/>
    <w:rsid w:val="004871BC"/>
    <w:rsid w:val="0048736D"/>
    <w:rsid w:val="004878AB"/>
    <w:rsid w:val="00487AB5"/>
    <w:rsid w:val="00487AF2"/>
    <w:rsid w:val="00487D40"/>
    <w:rsid w:val="00487E4B"/>
    <w:rsid w:val="004914DF"/>
    <w:rsid w:val="00492977"/>
    <w:rsid w:val="0049315A"/>
    <w:rsid w:val="00493505"/>
    <w:rsid w:val="00493ACB"/>
    <w:rsid w:val="00493C43"/>
    <w:rsid w:val="004943FF"/>
    <w:rsid w:val="0049558C"/>
    <w:rsid w:val="0049600D"/>
    <w:rsid w:val="004962A0"/>
    <w:rsid w:val="004967CA"/>
    <w:rsid w:val="00496959"/>
    <w:rsid w:val="00497303"/>
    <w:rsid w:val="0049788E"/>
    <w:rsid w:val="00497944"/>
    <w:rsid w:val="004A149B"/>
    <w:rsid w:val="004A1532"/>
    <w:rsid w:val="004A18F2"/>
    <w:rsid w:val="004A1A07"/>
    <w:rsid w:val="004A1EAD"/>
    <w:rsid w:val="004A3268"/>
    <w:rsid w:val="004A32E8"/>
    <w:rsid w:val="004A355A"/>
    <w:rsid w:val="004A3AD2"/>
    <w:rsid w:val="004A47BE"/>
    <w:rsid w:val="004A4B55"/>
    <w:rsid w:val="004A52A3"/>
    <w:rsid w:val="004A566A"/>
    <w:rsid w:val="004A5BA8"/>
    <w:rsid w:val="004A6BDD"/>
    <w:rsid w:val="004A71E3"/>
    <w:rsid w:val="004A7620"/>
    <w:rsid w:val="004B0549"/>
    <w:rsid w:val="004B0EAC"/>
    <w:rsid w:val="004B11AF"/>
    <w:rsid w:val="004B135D"/>
    <w:rsid w:val="004B22DB"/>
    <w:rsid w:val="004B2436"/>
    <w:rsid w:val="004B27D0"/>
    <w:rsid w:val="004B34EA"/>
    <w:rsid w:val="004B3DE8"/>
    <w:rsid w:val="004B4BFD"/>
    <w:rsid w:val="004B519D"/>
    <w:rsid w:val="004B5494"/>
    <w:rsid w:val="004B7256"/>
    <w:rsid w:val="004B7A82"/>
    <w:rsid w:val="004C04C7"/>
    <w:rsid w:val="004C0685"/>
    <w:rsid w:val="004C08A8"/>
    <w:rsid w:val="004C0AC3"/>
    <w:rsid w:val="004C1106"/>
    <w:rsid w:val="004C11CF"/>
    <w:rsid w:val="004C15B0"/>
    <w:rsid w:val="004C324B"/>
    <w:rsid w:val="004C33CE"/>
    <w:rsid w:val="004C3E43"/>
    <w:rsid w:val="004C536A"/>
    <w:rsid w:val="004C553A"/>
    <w:rsid w:val="004C5859"/>
    <w:rsid w:val="004C69D7"/>
    <w:rsid w:val="004C6E4B"/>
    <w:rsid w:val="004C714B"/>
    <w:rsid w:val="004C7A2B"/>
    <w:rsid w:val="004C7D3A"/>
    <w:rsid w:val="004C7D7D"/>
    <w:rsid w:val="004C7F8A"/>
    <w:rsid w:val="004D0063"/>
    <w:rsid w:val="004D0683"/>
    <w:rsid w:val="004D0C78"/>
    <w:rsid w:val="004D26E2"/>
    <w:rsid w:val="004D2CCB"/>
    <w:rsid w:val="004D4027"/>
    <w:rsid w:val="004D5970"/>
    <w:rsid w:val="004D599F"/>
    <w:rsid w:val="004D6904"/>
    <w:rsid w:val="004D6CFF"/>
    <w:rsid w:val="004D71DF"/>
    <w:rsid w:val="004D7323"/>
    <w:rsid w:val="004D7BD2"/>
    <w:rsid w:val="004E0951"/>
    <w:rsid w:val="004E13F6"/>
    <w:rsid w:val="004E1AD3"/>
    <w:rsid w:val="004E1C07"/>
    <w:rsid w:val="004E2987"/>
    <w:rsid w:val="004E2B43"/>
    <w:rsid w:val="004E3484"/>
    <w:rsid w:val="004E42D7"/>
    <w:rsid w:val="004E45F7"/>
    <w:rsid w:val="004E57C7"/>
    <w:rsid w:val="004E5F1C"/>
    <w:rsid w:val="004E61A8"/>
    <w:rsid w:val="004E6313"/>
    <w:rsid w:val="004E6B4B"/>
    <w:rsid w:val="004E71B7"/>
    <w:rsid w:val="004E76C8"/>
    <w:rsid w:val="004E76E3"/>
    <w:rsid w:val="004E7ED5"/>
    <w:rsid w:val="004F0654"/>
    <w:rsid w:val="004F0EA2"/>
    <w:rsid w:val="004F1852"/>
    <w:rsid w:val="004F1BA0"/>
    <w:rsid w:val="004F2762"/>
    <w:rsid w:val="004F2B1F"/>
    <w:rsid w:val="004F32C6"/>
    <w:rsid w:val="004F33C5"/>
    <w:rsid w:val="004F454A"/>
    <w:rsid w:val="004F4621"/>
    <w:rsid w:val="004F4819"/>
    <w:rsid w:val="004F56DB"/>
    <w:rsid w:val="004F5B37"/>
    <w:rsid w:val="004F64EE"/>
    <w:rsid w:val="004F6650"/>
    <w:rsid w:val="004F6A37"/>
    <w:rsid w:val="004F6A6A"/>
    <w:rsid w:val="004F712B"/>
    <w:rsid w:val="004F762C"/>
    <w:rsid w:val="005002C5"/>
    <w:rsid w:val="0050083D"/>
    <w:rsid w:val="005012D9"/>
    <w:rsid w:val="00501376"/>
    <w:rsid w:val="005018A8"/>
    <w:rsid w:val="00501ABF"/>
    <w:rsid w:val="00501E00"/>
    <w:rsid w:val="0050205E"/>
    <w:rsid w:val="005020FB"/>
    <w:rsid w:val="005027DD"/>
    <w:rsid w:val="0050287E"/>
    <w:rsid w:val="00503884"/>
    <w:rsid w:val="00504449"/>
    <w:rsid w:val="005046EF"/>
    <w:rsid w:val="005050C3"/>
    <w:rsid w:val="00505A39"/>
    <w:rsid w:val="00505AA1"/>
    <w:rsid w:val="00506D93"/>
    <w:rsid w:val="00507132"/>
    <w:rsid w:val="005075AD"/>
    <w:rsid w:val="00510009"/>
    <w:rsid w:val="005103FB"/>
    <w:rsid w:val="005107C1"/>
    <w:rsid w:val="00510B1B"/>
    <w:rsid w:val="00510F10"/>
    <w:rsid w:val="00511479"/>
    <w:rsid w:val="005116FB"/>
    <w:rsid w:val="00511AC4"/>
    <w:rsid w:val="00511DC1"/>
    <w:rsid w:val="00511EBD"/>
    <w:rsid w:val="0051280A"/>
    <w:rsid w:val="00512B6A"/>
    <w:rsid w:val="00513063"/>
    <w:rsid w:val="00513633"/>
    <w:rsid w:val="005138B4"/>
    <w:rsid w:val="00514499"/>
    <w:rsid w:val="005149BA"/>
    <w:rsid w:val="00514ADA"/>
    <w:rsid w:val="00514B68"/>
    <w:rsid w:val="005157F6"/>
    <w:rsid w:val="005157FB"/>
    <w:rsid w:val="00515EAA"/>
    <w:rsid w:val="005165A7"/>
    <w:rsid w:val="005166B0"/>
    <w:rsid w:val="00516A88"/>
    <w:rsid w:val="00520817"/>
    <w:rsid w:val="00520BDB"/>
    <w:rsid w:val="00521329"/>
    <w:rsid w:val="00522282"/>
    <w:rsid w:val="00522F3B"/>
    <w:rsid w:val="005230CB"/>
    <w:rsid w:val="005240BF"/>
    <w:rsid w:val="0052411D"/>
    <w:rsid w:val="0052416C"/>
    <w:rsid w:val="00524B12"/>
    <w:rsid w:val="00524D82"/>
    <w:rsid w:val="005252D5"/>
    <w:rsid w:val="00525E67"/>
    <w:rsid w:val="005273A1"/>
    <w:rsid w:val="00527682"/>
    <w:rsid w:val="00527F6A"/>
    <w:rsid w:val="00531442"/>
    <w:rsid w:val="00531A31"/>
    <w:rsid w:val="005324C6"/>
    <w:rsid w:val="00535D78"/>
    <w:rsid w:val="00536B67"/>
    <w:rsid w:val="00536DF4"/>
    <w:rsid w:val="00536EA7"/>
    <w:rsid w:val="00537915"/>
    <w:rsid w:val="0054010D"/>
    <w:rsid w:val="00540304"/>
    <w:rsid w:val="00540D9D"/>
    <w:rsid w:val="0054152E"/>
    <w:rsid w:val="00541B9C"/>
    <w:rsid w:val="00542DD8"/>
    <w:rsid w:val="00543CDC"/>
    <w:rsid w:val="0054429B"/>
    <w:rsid w:val="00544C51"/>
    <w:rsid w:val="00544E9A"/>
    <w:rsid w:val="0054553A"/>
    <w:rsid w:val="00545681"/>
    <w:rsid w:val="0054590F"/>
    <w:rsid w:val="0054602D"/>
    <w:rsid w:val="005469EF"/>
    <w:rsid w:val="00547277"/>
    <w:rsid w:val="005479BF"/>
    <w:rsid w:val="00550135"/>
    <w:rsid w:val="005506C6"/>
    <w:rsid w:val="00550CAF"/>
    <w:rsid w:val="00551BF0"/>
    <w:rsid w:val="0055230D"/>
    <w:rsid w:val="0055289C"/>
    <w:rsid w:val="00552BEC"/>
    <w:rsid w:val="00552E4D"/>
    <w:rsid w:val="005536B9"/>
    <w:rsid w:val="00554CEE"/>
    <w:rsid w:val="0055517A"/>
    <w:rsid w:val="005556F8"/>
    <w:rsid w:val="00555E57"/>
    <w:rsid w:val="0055605A"/>
    <w:rsid w:val="005561AC"/>
    <w:rsid w:val="0055652A"/>
    <w:rsid w:val="005572DE"/>
    <w:rsid w:val="0055732C"/>
    <w:rsid w:val="0055748C"/>
    <w:rsid w:val="005579DC"/>
    <w:rsid w:val="00557C1A"/>
    <w:rsid w:val="0056026F"/>
    <w:rsid w:val="00561017"/>
    <w:rsid w:val="00561D1E"/>
    <w:rsid w:val="00561EF3"/>
    <w:rsid w:val="005621F3"/>
    <w:rsid w:val="005622D1"/>
    <w:rsid w:val="00562B59"/>
    <w:rsid w:val="00563478"/>
    <w:rsid w:val="00563937"/>
    <w:rsid w:val="00563DAE"/>
    <w:rsid w:val="00564A21"/>
    <w:rsid w:val="00564B1E"/>
    <w:rsid w:val="00564B2E"/>
    <w:rsid w:val="00565556"/>
    <w:rsid w:val="0056601A"/>
    <w:rsid w:val="00566828"/>
    <w:rsid w:val="00566E2C"/>
    <w:rsid w:val="0056717D"/>
    <w:rsid w:val="00567FC9"/>
    <w:rsid w:val="00571081"/>
    <w:rsid w:val="005717B6"/>
    <w:rsid w:val="00571DBE"/>
    <w:rsid w:val="005724F9"/>
    <w:rsid w:val="005732FD"/>
    <w:rsid w:val="005741AB"/>
    <w:rsid w:val="00574E0C"/>
    <w:rsid w:val="00575A0A"/>
    <w:rsid w:val="00575BB0"/>
    <w:rsid w:val="00575D77"/>
    <w:rsid w:val="005762EB"/>
    <w:rsid w:val="00576C02"/>
    <w:rsid w:val="00576EC2"/>
    <w:rsid w:val="00577CF4"/>
    <w:rsid w:val="00577D9B"/>
    <w:rsid w:val="00577E66"/>
    <w:rsid w:val="00580B81"/>
    <w:rsid w:val="00580CFF"/>
    <w:rsid w:val="005811E4"/>
    <w:rsid w:val="005812BE"/>
    <w:rsid w:val="005820C7"/>
    <w:rsid w:val="00582290"/>
    <w:rsid w:val="00583814"/>
    <w:rsid w:val="005848E7"/>
    <w:rsid w:val="005850B7"/>
    <w:rsid w:val="00585390"/>
    <w:rsid w:val="00586448"/>
    <w:rsid w:val="00590CA5"/>
    <w:rsid w:val="00591A56"/>
    <w:rsid w:val="00591C39"/>
    <w:rsid w:val="005922CD"/>
    <w:rsid w:val="00592EB2"/>
    <w:rsid w:val="0059356C"/>
    <w:rsid w:val="005935C9"/>
    <w:rsid w:val="005939A5"/>
    <w:rsid w:val="00594847"/>
    <w:rsid w:val="00594FD2"/>
    <w:rsid w:val="00595681"/>
    <w:rsid w:val="00596442"/>
    <w:rsid w:val="005965C9"/>
    <w:rsid w:val="0059690D"/>
    <w:rsid w:val="005970D4"/>
    <w:rsid w:val="00597300"/>
    <w:rsid w:val="005973FD"/>
    <w:rsid w:val="005977EC"/>
    <w:rsid w:val="00597AB4"/>
    <w:rsid w:val="00597B8D"/>
    <w:rsid w:val="005A06D1"/>
    <w:rsid w:val="005A13E3"/>
    <w:rsid w:val="005A148C"/>
    <w:rsid w:val="005A2DF8"/>
    <w:rsid w:val="005A32DA"/>
    <w:rsid w:val="005A3413"/>
    <w:rsid w:val="005A4248"/>
    <w:rsid w:val="005A43B2"/>
    <w:rsid w:val="005A4C77"/>
    <w:rsid w:val="005A5FE4"/>
    <w:rsid w:val="005A6857"/>
    <w:rsid w:val="005A6B78"/>
    <w:rsid w:val="005A6D9E"/>
    <w:rsid w:val="005A78B5"/>
    <w:rsid w:val="005B0270"/>
    <w:rsid w:val="005B0F27"/>
    <w:rsid w:val="005B1BF4"/>
    <w:rsid w:val="005B2FF1"/>
    <w:rsid w:val="005B32CF"/>
    <w:rsid w:val="005B4006"/>
    <w:rsid w:val="005B40C1"/>
    <w:rsid w:val="005B40DB"/>
    <w:rsid w:val="005B461B"/>
    <w:rsid w:val="005B5050"/>
    <w:rsid w:val="005B5143"/>
    <w:rsid w:val="005B58FD"/>
    <w:rsid w:val="005B5C4D"/>
    <w:rsid w:val="005B5D4C"/>
    <w:rsid w:val="005B61A8"/>
    <w:rsid w:val="005B6A8D"/>
    <w:rsid w:val="005B721A"/>
    <w:rsid w:val="005C0140"/>
    <w:rsid w:val="005C2010"/>
    <w:rsid w:val="005C2BE8"/>
    <w:rsid w:val="005C2C02"/>
    <w:rsid w:val="005C2D47"/>
    <w:rsid w:val="005C3200"/>
    <w:rsid w:val="005C35D5"/>
    <w:rsid w:val="005C36EC"/>
    <w:rsid w:val="005C445D"/>
    <w:rsid w:val="005C4930"/>
    <w:rsid w:val="005C58FA"/>
    <w:rsid w:val="005C6D3F"/>
    <w:rsid w:val="005D117F"/>
    <w:rsid w:val="005D13E9"/>
    <w:rsid w:val="005D3859"/>
    <w:rsid w:val="005D3B56"/>
    <w:rsid w:val="005D4F92"/>
    <w:rsid w:val="005D665F"/>
    <w:rsid w:val="005D686D"/>
    <w:rsid w:val="005D6F00"/>
    <w:rsid w:val="005D709B"/>
    <w:rsid w:val="005D7B06"/>
    <w:rsid w:val="005D7FD2"/>
    <w:rsid w:val="005E05AF"/>
    <w:rsid w:val="005E093F"/>
    <w:rsid w:val="005E0ACD"/>
    <w:rsid w:val="005E2C45"/>
    <w:rsid w:val="005E3145"/>
    <w:rsid w:val="005E3698"/>
    <w:rsid w:val="005E3771"/>
    <w:rsid w:val="005E3B09"/>
    <w:rsid w:val="005E4939"/>
    <w:rsid w:val="005E6010"/>
    <w:rsid w:val="005E7518"/>
    <w:rsid w:val="005E7674"/>
    <w:rsid w:val="005E7CC8"/>
    <w:rsid w:val="005E7DEE"/>
    <w:rsid w:val="005F0306"/>
    <w:rsid w:val="005F0549"/>
    <w:rsid w:val="005F0CE1"/>
    <w:rsid w:val="005F0CF9"/>
    <w:rsid w:val="005F0D23"/>
    <w:rsid w:val="005F1E57"/>
    <w:rsid w:val="005F3043"/>
    <w:rsid w:val="005F31D2"/>
    <w:rsid w:val="005F364D"/>
    <w:rsid w:val="005F37BF"/>
    <w:rsid w:val="005F3860"/>
    <w:rsid w:val="005F3E15"/>
    <w:rsid w:val="005F3F5C"/>
    <w:rsid w:val="005F4828"/>
    <w:rsid w:val="005F4F8C"/>
    <w:rsid w:val="005F6596"/>
    <w:rsid w:val="005F6706"/>
    <w:rsid w:val="005F690B"/>
    <w:rsid w:val="005F69CD"/>
    <w:rsid w:val="005F6C37"/>
    <w:rsid w:val="005F6E43"/>
    <w:rsid w:val="005F7003"/>
    <w:rsid w:val="005F750F"/>
    <w:rsid w:val="005F7667"/>
    <w:rsid w:val="00600046"/>
    <w:rsid w:val="00600181"/>
    <w:rsid w:val="006001F6"/>
    <w:rsid w:val="00600D2E"/>
    <w:rsid w:val="00600D45"/>
    <w:rsid w:val="00601A27"/>
    <w:rsid w:val="00602B60"/>
    <w:rsid w:val="00602E16"/>
    <w:rsid w:val="00602FDA"/>
    <w:rsid w:val="00603238"/>
    <w:rsid w:val="00603EB0"/>
    <w:rsid w:val="00603FD0"/>
    <w:rsid w:val="006040E4"/>
    <w:rsid w:val="006042D3"/>
    <w:rsid w:val="00604E6E"/>
    <w:rsid w:val="006051A1"/>
    <w:rsid w:val="00606260"/>
    <w:rsid w:val="00607327"/>
    <w:rsid w:val="00607AAB"/>
    <w:rsid w:val="00607BAA"/>
    <w:rsid w:val="006111BA"/>
    <w:rsid w:val="00611B3A"/>
    <w:rsid w:val="006124D5"/>
    <w:rsid w:val="0061269F"/>
    <w:rsid w:val="0061281B"/>
    <w:rsid w:val="00612AB1"/>
    <w:rsid w:val="00613421"/>
    <w:rsid w:val="0061443F"/>
    <w:rsid w:val="006149C3"/>
    <w:rsid w:val="00614F28"/>
    <w:rsid w:val="00614FD7"/>
    <w:rsid w:val="0061554B"/>
    <w:rsid w:val="00615DBC"/>
    <w:rsid w:val="00616E56"/>
    <w:rsid w:val="00616F25"/>
    <w:rsid w:val="00620C47"/>
    <w:rsid w:val="00620CD7"/>
    <w:rsid w:val="00621231"/>
    <w:rsid w:val="006215D1"/>
    <w:rsid w:val="006219C2"/>
    <w:rsid w:val="006229D8"/>
    <w:rsid w:val="00622CAF"/>
    <w:rsid w:val="00622F1D"/>
    <w:rsid w:val="0062344E"/>
    <w:rsid w:val="0062367C"/>
    <w:rsid w:val="00623ECB"/>
    <w:rsid w:val="00625273"/>
    <w:rsid w:val="00625527"/>
    <w:rsid w:val="0062591D"/>
    <w:rsid w:val="00625BCA"/>
    <w:rsid w:val="00626975"/>
    <w:rsid w:val="006276EC"/>
    <w:rsid w:val="00627EDB"/>
    <w:rsid w:val="00630116"/>
    <w:rsid w:val="006301D7"/>
    <w:rsid w:val="006303BC"/>
    <w:rsid w:val="006312AD"/>
    <w:rsid w:val="00632207"/>
    <w:rsid w:val="00632702"/>
    <w:rsid w:val="00632ABA"/>
    <w:rsid w:val="00632BFD"/>
    <w:rsid w:val="006333FA"/>
    <w:rsid w:val="00633A15"/>
    <w:rsid w:val="00634080"/>
    <w:rsid w:val="00634679"/>
    <w:rsid w:val="0063491C"/>
    <w:rsid w:val="006349DD"/>
    <w:rsid w:val="00634ABE"/>
    <w:rsid w:val="00635853"/>
    <w:rsid w:val="006367BF"/>
    <w:rsid w:val="00636991"/>
    <w:rsid w:val="00636A2A"/>
    <w:rsid w:val="00637994"/>
    <w:rsid w:val="006400DD"/>
    <w:rsid w:val="00640CB3"/>
    <w:rsid w:val="00640E93"/>
    <w:rsid w:val="006410D5"/>
    <w:rsid w:val="00641285"/>
    <w:rsid w:val="006418DD"/>
    <w:rsid w:val="00641A5C"/>
    <w:rsid w:val="00641EDB"/>
    <w:rsid w:val="00641FD7"/>
    <w:rsid w:val="00642DC8"/>
    <w:rsid w:val="006431AB"/>
    <w:rsid w:val="00643B82"/>
    <w:rsid w:val="00643C6C"/>
    <w:rsid w:val="0064449F"/>
    <w:rsid w:val="0064456A"/>
    <w:rsid w:val="0064534C"/>
    <w:rsid w:val="00645EF0"/>
    <w:rsid w:val="006469BE"/>
    <w:rsid w:val="00646B1B"/>
    <w:rsid w:val="00646B93"/>
    <w:rsid w:val="0064741A"/>
    <w:rsid w:val="006479B0"/>
    <w:rsid w:val="00647B72"/>
    <w:rsid w:val="00647EEE"/>
    <w:rsid w:val="00650B66"/>
    <w:rsid w:val="00651079"/>
    <w:rsid w:val="006512F7"/>
    <w:rsid w:val="006522CB"/>
    <w:rsid w:val="006526BE"/>
    <w:rsid w:val="00652C3E"/>
    <w:rsid w:val="00652D21"/>
    <w:rsid w:val="006539CE"/>
    <w:rsid w:val="00654DF4"/>
    <w:rsid w:val="00655276"/>
    <w:rsid w:val="006571FB"/>
    <w:rsid w:val="006578D8"/>
    <w:rsid w:val="00657BFD"/>
    <w:rsid w:val="00657F02"/>
    <w:rsid w:val="00657F40"/>
    <w:rsid w:val="00660232"/>
    <w:rsid w:val="0066053F"/>
    <w:rsid w:val="0066065B"/>
    <w:rsid w:val="0066065C"/>
    <w:rsid w:val="006609C6"/>
    <w:rsid w:val="00660A26"/>
    <w:rsid w:val="00661728"/>
    <w:rsid w:val="00661844"/>
    <w:rsid w:val="00661AFE"/>
    <w:rsid w:val="00661D15"/>
    <w:rsid w:val="00661F94"/>
    <w:rsid w:val="006623EC"/>
    <w:rsid w:val="006626A3"/>
    <w:rsid w:val="006631EF"/>
    <w:rsid w:val="00663244"/>
    <w:rsid w:val="00663FFB"/>
    <w:rsid w:val="006654D9"/>
    <w:rsid w:val="0066551F"/>
    <w:rsid w:val="00665932"/>
    <w:rsid w:val="0066614A"/>
    <w:rsid w:val="006662A1"/>
    <w:rsid w:val="00666978"/>
    <w:rsid w:val="00666CCE"/>
    <w:rsid w:val="00667298"/>
    <w:rsid w:val="00671317"/>
    <w:rsid w:val="00671A12"/>
    <w:rsid w:val="00671A15"/>
    <w:rsid w:val="00671DD8"/>
    <w:rsid w:val="006721E3"/>
    <w:rsid w:val="00672980"/>
    <w:rsid w:val="006731B4"/>
    <w:rsid w:val="006733F4"/>
    <w:rsid w:val="00673FD0"/>
    <w:rsid w:val="006743B1"/>
    <w:rsid w:val="006743ED"/>
    <w:rsid w:val="006750F6"/>
    <w:rsid w:val="0067536C"/>
    <w:rsid w:val="0067581A"/>
    <w:rsid w:val="00675901"/>
    <w:rsid w:val="00675B64"/>
    <w:rsid w:val="00675EA1"/>
    <w:rsid w:val="00676AEE"/>
    <w:rsid w:val="006773CA"/>
    <w:rsid w:val="00677D40"/>
    <w:rsid w:val="0068011C"/>
    <w:rsid w:val="00680F19"/>
    <w:rsid w:val="006818E2"/>
    <w:rsid w:val="00681905"/>
    <w:rsid w:val="00681C49"/>
    <w:rsid w:val="006821D2"/>
    <w:rsid w:val="00682CFE"/>
    <w:rsid w:val="00683268"/>
    <w:rsid w:val="006837FC"/>
    <w:rsid w:val="006839AB"/>
    <w:rsid w:val="00683B2C"/>
    <w:rsid w:val="00683EA9"/>
    <w:rsid w:val="00684D05"/>
    <w:rsid w:val="00684FFF"/>
    <w:rsid w:val="00686453"/>
    <w:rsid w:val="00686DBB"/>
    <w:rsid w:val="00686FDF"/>
    <w:rsid w:val="00687717"/>
    <w:rsid w:val="00687A67"/>
    <w:rsid w:val="00690B6F"/>
    <w:rsid w:val="00690B74"/>
    <w:rsid w:val="00690EEC"/>
    <w:rsid w:val="00691373"/>
    <w:rsid w:val="00691CEE"/>
    <w:rsid w:val="0069313B"/>
    <w:rsid w:val="00693479"/>
    <w:rsid w:val="00693660"/>
    <w:rsid w:val="00693C61"/>
    <w:rsid w:val="00694382"/>
    <w:rsid w:val="00694E3F"/>
    <w:rsid w:val="00695A8C"/>
    <w:rsid w:val="00695F79"/>
    <w:rsid w:val="00696E9B"/>
    <w:rsid w:val="006978B9"/>
    <w:rsid w:val="00697ADA"/>
    <w:rsid w:val="006A0196"/>
    <w:rsid w:val="006A1425"/>
    <w:rsid w:val="006A154B"/>
    <w:rsid w:val="006A192D"/>
    <w:rsid w:val="006A2942"/>
    <w:rsid w:val="006A2BAD"/>
    <w:rsid w:val="006A3A07"/>
    <w:rsid w:val="006A46F3"/>
    <w:rsid w:val="006A5DBF"/>
    <w:rsid w:val="006A5DDC"/>
    <w:rsid w:val="006A641E"/>
    <w:rsid w:val="006A6951"/>
    <w:rsid w:val="006A731F"/>
    <w:rsid w:val="006A7F9A"/>
    <w:rsid w:val="006B0509"/>
    <w:rsid w:val="006B12DB"/>
    <w:rsid w:val="006B1D3B"/>
    <w:rsid w:val="006B1DD0"/>
    <w:rsid w:val="006B26DC"/>
    <w:rsid w:val="006B284B"/>
    <w:rsid w:val="006B2B4B"/>
    <w:rsid w:val="006B3977"/>
    <w:rsid w:val="006B45F2"/>
    <w:rsid w:val="006B51A2"/>
    <w:rsid w:val="006B52B3"/>
    <w:rsid w:val="006B5733"/>
    <w:rsid w:val="006B5AE7"/>
    <w:rsid w:val="006B5C9A"/>
    <w:rsid w:val="006B6BCC"/>
    <w:rsid w:val="006B72CD"/>
    <w:rsid w:val="006B763A"/>
    <w:rsid w:val="006B76DF"/>
    <w:rsid w:val="006B7992"/>
    <w:rsid w:val="006C05EB"/>
    <w:rsid w:val="006C0645"/>
    <w:rsid w:val="006C08BA"/>
    <w:rsid w:val="006C0C3C"/>
    <w:rsid w:val="006C1A42"/>
    <w:rsid w:val="006C1D5B"/>
    <w:rsid w:val="006C1DB8"/>
    <w:rsid w:val="006C1F10"/>
    <w:rsid w:val="006C1F54"/>
    <w:rsid w:val="006C202E"/>
    <w:rsid w:val="006C372D"/>
    <w:rsid w:val="006C3D1C"/>
    <w:rsid w:val="006C4098"/>
    <w:rsid w:val="006C4303"/>
    <w:rsid w:val="006C4B73"/>
    <w:rsid w:val="006C54C0"/>
    <w:rsid w:val="006C689F"/>
    <w:rsid w:val="006C6B76"/>
    <w:rsid w:val="006C6CAA"/>
    <w:rsid w:val="006C6DF2"/>
    <w:rsid w:val="006C7AAB"/>
    <w:rsid w:val="006C7AC1"/>
    <w:rsid w:val="006C7ADD"/>
    <w:rsid w:val="006C7C2A"/>
    <w:rsid w:val="006D01F5"/>
    <w:rsid w:val="006D10D9"/>
    <w:rsid w:val="006D17F0"/>
    <w:rsid w:val="006D199A"/>
    <w:rsid w:val="006D21A4"/>
    <w:rsid w:val="006D2B80"/>
    <w:rsid w:val="006D2C02"/>
    <w:rsid w:val="006D2EC1"/>
    <w:rsid w:val="006D3E17"/>
    <w:rsid w:val="006D4464"/>
    <w:rsid w:val="006D47C9"/>
    <w:rsid w:val="006D53E1"/>
    <w:rsid w:val="006D53E4"/>
    <w:rsid w:val="006D5506"/>
    <w:rsid w:val="006D60F5"/>
    <w:rsid w:val="006D63E6"/>
    <w:rsid w:val="006D7E07"/>
    <w:rsid w:val="006D7FFA"/>
    <w:rsid w:val="006E044D"/>
    <w:rsid w:val="006E06BF"/>
    <w:rsid w:val="006E0BF5"/>
    <w:rsid w:val="006E1AF2"/>
    <w:rsid w:val="006E23C7"/>
    <w:rsid w:val="006E28E1"/>
    <w:rsid w:val="006E2AAF"/>
    <w:rsid w:val="006E2C8B"/>
    <w:rsid w:val="006E2F62"/>
    <w:rsid w:val="006E381F"/>
    <w:rsid w:val="006E474C"/>
    <w:rsid w:val="006E50B9"/>
    <w:rsid w:val="006E58CF"/>
    <w:rsid w:val="006E597D"/>
    <w:rsid w:val="006E5C42"/>
    <w:rsid w:val="006E5E28"/>
    <w:rsid w:val="006E5E39"/>
    <w:rsid w:val="006E6566"/>
    <w:rsid w:val="006E6574"/>
    <w:rsid w:val="006E7121"/>
    <w:rsid w:val="006E7F56"/>
    <w:rsid w:val="006F07DC"/>
    <w:rsid w:val="006F15C2"/>
    <w:rsid w:val="006F19EA"/>
    <w:rsid w:val="006F1C30"/>
    <w:rsid w:val="006F1EA5"/>
    <w:rsid w:val="006F23A8"/>
    <w:rsid w:val="006F2963"/>
    <w:rsid w:val="006F4240"/>
    <w:rsid w:val="006F4890"/>
    <w:rsid w:val="006F4FAF"/>
    <w:rsid w:val="006F5FB8"/>
    <w:rsid w:val="006F67AB"/>
    <w:rsid w:val="006F68BB"/>
    <w:rsid w:val="006F790F"/>
    <w:rsid w:val="006F7F69"/>
    <w:rsid w:val="00700023"/>
    <w:rsid w:val="0070072F"/>
    <w:rsid w:val="00700D5E"/>
    <w:rsid w:val="007012A2"/>
    <w:rsid w:val="00701A49"/>
    <w:rsid w:val="00701DD0"/>
    <w:rsid w:val="00701FCA"/>
    <w:rsid w:val="0070264B"/>
    <w:rsid w:val="0070303E"/>
    <w:rsid w:val="00703A15"/>
    <w:rsid w:val="007044EF"/>
    <w:rsid w:val="007060F0"/>
    <w:rsid w:val="007067E9"/>
    <w:rsid w:val="00706A6F"/>
    <w:rsid w:val="00710E57"/>
    <w:rsid w:val="0071154F"/>
    <w:rsid w:val="00711753"/>
    <w:rsid w:val="007126AE"/>
    <w:rsid w:val="007128DC"/>
    <w:rsid w:val="00712957"/>
    <w:rsid w:val="00712AF7"/>
    <w:rsid w:val="00712CE5"/>
    <w:rsid w:val="00713C58"/>
    <w:rsid w:val="00713C69"/>
    <w:rsid w:val="00714CF2"/>
    <w:rsid w:val="00714E5A"/>
    <w:rsid w:val="00714FB7"/>
    <w:rsid w:val="0071532B"/>
    <w:rsid w:val="007153DC"/>
    <w:rsid w:val="007156B9"/>
    <w:rsid w:val="00715C34"/>
    <w:rsid w:val="00716159"/>
    <w:rsid w:val="0071665E"/>
    <w:rsid w:val="00717801"/>
    <w:rsid w:val="00720314"/>
    <w:rsid w:val="00720817"/>
    <w:rsid w:val="00721005"/>
    <w:rsid w:val="00721B54"/>
    <w:rsid w:val="00722045"/>
    <w:rsid w:val="007226F1"/>
    <w:rsid w:val="00722850"/>
    <w:rsid w:val="00722D1D"/>
    <w:rsid w:val="007233CC"/>
    <w:rsid w:val="007235A4"/>
    <w:rsid w:val="00723A93"/>
    <w:rsid w:val="00723E8D"/>
    <w:rsid w:val="00723FC8"/>
    <w:rsid w:val="007253C3"/>
    <w:rsid w:val="00725F8A"/>
    <w:rsid w:val="00726E3E"/>
    <w:rsid w:val="00726F10"/>
    <w:rsid w:val="0072757A"/>
    <w:rsid w:val="00727FFE"/>
    <w:rsid w:val="00730B68"/>
    <w:rsid w:val="0073128F"/>
    <w:rsid w:val="00731CFB"/>
    <w:rsid w:val="00732193"/>
    <w:rsid w:val="00732225"/>
    <w:rsid w:val="00732724"/>
    <w:rsid w:val="00732A5F"/>
    <w:rsid w:val="00732C32"/>
    <w:rsid w:val="0073334E"/>
    <w:rsid w:val="00733458"/>
    <w:rsid w:val="0073353F"/>
    <w:rsid w:val="00733B67"/>
    <w:rsid w:val="00733D75"/>
    <w:rsid w:val="00734399"/>
    <w:rsid w:val="0073493B"/>
    <w:rsid w:val="00734E33"/>
    <w:rsid w:val="00735050"/>
    <w:rsid w:val="007350FF"/>
    <w:rsid w:val="00735893"/>
    <w:rsid w:val="007358A6"/>
    <w:rsid w:val="007358F3"/>
    <w:rsid w:val="00735A91"/>
    <w:rsid w:val="00735C46"/>
    <w:rsid w:val="007361CF"/>
    <w:rsid w:val="007362D1"/>
    <w:rsid w:val="00736596"/>
    <w:rsid w:val="007374FD"/>
    <w:rsid w:val="0074075C"/>
    <w:rsid w:val="00740F0A"/>
    <w:rsid w:val="007410AB"/>
    <w:rsid w:val="0074112C"/>
    <w:rsid w:val="0074167E"/>
    <w:rsid w:val="007418DE"/>
    <w:rsid w:val="007423F1"/>
    <w:rsid w:val="0074261C"/>
    <w:rsid w:val="00742E45"/>
    <w:rsid w:val="00742EBC"/>
    <w:rsid w:val="00742F8D"/>
    <w:rsid w:val="007441F1"/>
    <w:rsid w:val="007447AF"/>
    <w:rsid w:val="00744E85"/>
    <w:rsid w:val="0074605E"/>
    <w:rsid w:val="00746145"/>
    <w:rsid w:val="00746884"/>
    <w:rsid w:val="0074690E"/>
    <w:rsid w:val="00750601"/>
    <w:rsid w:val="007507FE"/>
    <w:rsid w:val="00750816"/>
    <w:rsid w:val="007508E2"/>
    <w:rsid w:val="00750C24"/>
    <w:rsid w:val="00752D94"/>
    <w:rsid w:val="00753460"/>
    <w:rsid w:val="007534E2"/>
    <w:rsid w:val="00753E13"/>
    <w:rsid w:val="007542D0"/>
    <w:rsid w:val="00754F6F"/>
    <w:rsid w:val="00755559"/>
    <w:rsid w:val="00755A31"/>
    <w:rsid w:val="00757005"/>
    <w:rsid w:val="00757244"/>
    <w:rsid w:val="00757365"/>
    <w:rsid w:val="00757DC3"/>
    <w:rsid w:val="00760609"/>
    <w:rsid w:val="00760673"/>
    <w:rsid w:val="0076076E"/>
    <w:rsid w:val="007612CA"/>
    <w:rsid w:val="0076144F"/>
    <w:rsid w:val="00761AA7"/>
    <w:rsid w:val="0076223E"/>
    <w:rsid w:val="00762522"/>
    <w:rsid w:val="007629EE"/>
    <w:rsid w:val="00762A73"/>
    <w:rsid w:val="00762DA4"/>
    <w:rsid w:val="0076326E"/>
    <w:rsid w:val="00763691"/>
    <w:rsid w:val="007643ED"/>
    <w:rsid w:val="007643FD"/>
    <w:rsid w:val="00764870"/>
    <w:rsid w:val="00764A8B"/>
    <w:rsid w:val="007652C9"/>
    <w:rsid w:val="007657C1"/>
    <w:rsid w:val="007661E0"/>
    <w:rsid w:val="007663B7"/>
    <w:rsid w:val="007665B3"/>
    <w:rsid w:val="0076740E"/>
    <w:rsid w:val="0076746C"/>
    <w:rsid w:val="00767690"/>
    <w:rsid w:val="0077147B"/>
    <w:rsid w:val="007716AC"/>
    <w:rsid w:val="0077190A"/>
    <w:rsid w:val="00771B5E"/>
    <w:rsid w:val="00771D9F"/>
    <w:rsid w:val="00772031"/>
    <w:rsid w:val="00773500"/>
    <w:rsid w:val="007735E4"/>
    <w:rsid w:val="007740A1"/>
    <w:rsid w:val="00774A5A"/>
    <w:rsid w:val="00774B36"/>
    <w:rsid w:val="00774D5E"/>
    <w:rsid w:val="00775A6F"/>
    <w:rsid w:val="00775EAC"/>
    <w:rsid w:val="0077614F"/>
    <w:rsid w:val="007764C0"/>
    <w:rsid w:val="0077686F"/>
    <w:rsid w:val="007769FE"/>
    <w:rsid w:val="00776F57"/>
    <w:rsid w:val="0077755F"/>
    <w:rsid w:val="0077757C"/>
    <w:rsid w:val="00780B68"/>
    <w:rsid w:val="00780D7D"/>
    <w:rsid w:val="007811A4"/>
    <w:rsid w:val="007814BA"/>
    <w:rsid w:val="007816FE"/>
    <w:rsid w:val="00781B05"/>
    <w:rsid w:val="00781ED1"/>
    <w:rsid w:val="007827FC"/>
    <w:rsid w:val="00782B10"/>
    <w:rsid w:val="00782B2A"/>
    <w:rsid w:val="00782DBC"/>
    <w:rsid w:val="0078347F"/>
    <w:rsid w:val="00783D46"/>
    <w:rsid w:val="00784310"/>
    <w:rsid w:val="00784F74"/>
    <w:rsid w:val="00784F97"/>
    <w:rsid w:val="0078528F"/>
    <w:rsid w:val="0078572E"/>
    <w:rsid w:val="00785866"/>
    <w:rsid w:val="00786C21"/>
    <w:rsid w:val="00786E0D"/>
    <w:rsid w:val="0078749F"/>
    <w:rsid w:val="00787CBA"/>
    <w:rsid w:val="00790624"/>
    <w:rsid w:val="00790C6F"/>
    <w:rsid w:val="00790E08"/>
    <w:rsid w:val="007910E1"/>
    <w:rsid w:val="007919BE"/>
    <w:rsid w:val="00791EC0"/>
    <w:rsid w:val="0079207A"/>
    <w:rsid w:val="0079245F"/>
    <w:rsid w:val="00793759"/>
    <w:rsid w:val="007943F3"/>
    <w:rsid w:val="0079465A"/>
    <w:rsid w:val="0079485D"/>
    <w:rsid w:val="00795B53"/>
    <w:rsid w:val="00795EF2"/>
    <w:rsid w:val="00796C85"/>
    <w:rsid w:val="007A0794"/>
    <w:rsid w:val="007A0D20"/>
    <w:rsid w:val="007A12AB"/>
    <w:rsid w:val="007A12B5"/>
    <w:rsid w:val="007A20D3"/>
    <w:rsid w:val="007A269F"/>
    <w:rsid w:val="007A2824"/>
    <w:rsid w:val="007A2E8B"/>
    <w:rsid w:val="007A3425"/>
    <w:rsid w:val="007A3928"/>
    <w:rsid w:val="007A406D"/>
    <w:rsid w:val="007A4396"/>
    <w:rsid w:val="007A4880"/>
    <w:rsid w:val="007A490A"/>
    <w:rsid w:val="007A4A90"/>
    <w:rsid w:val="007A4BE3"/>
    <w:rsid w:val="007A53A6"/>
    <w:rsid w:val="007A62B0"/>
    <w:rsid w:val="007B0707"/>
    <w:rsid w:val="007B0C18"/>
    <w:rsid w:val="007B0FA7"/>
    <w:rsid w:val="007B12B0"/>
    <w:rsid w:val="007B13DC"/>
    <w:rsid w:val="007B207B"/>
    <w:rsid w:val="007B20BB"/>
    <w:rsid w:val="007B2A77"/>
    <w:rsid w:val="007B3710"/>
    <w:rsid w:val="007B4A86"/>
    <w:rsid w:val="007B4F76"/>
    <w:rsid w:val="007B5897"/>
    <w:rsid w:val="007B58AA"/>
    <w:rsid w:val="007B6060"/>
    <w:rsid w:val="007B6575"/>
    <w:rsid w:val="007B6776"/>
    <w:rsid w:val="007B71D5"/>
    <w:rsid w:val="007B742B"/>
    <w:rsid w:val="007B7A17"/>
    <w:rsid w:val="007C0773"/>
    <w:rsid w:val="007C08D9"/>
    <w:rsid w:val="007C0980"/>
    <w:rsid w:val="007C09B5"/>
    <w:rsid w:val="007C1220"/>
    <w:rsid w:val="007C1D88"/>
    <w:rsid w:val="007C20BA"/>
    <w:rsid w:val="007C22E9"/>
    <w:rsid w:val="007C3560"/>
    <w:rsid w:val="007C46E7"/>
    <w:rsid w:val="007C4822"/>
    <w:rsid w:val="007C48C5"/>
    <w:rsid w:val="007C4AF0"/>
    <w:rsid w:val="007C4E4C"/>
    <w:rsid w:val="007C4F12"/>
    <w:rsid w:val="007C53DD"/>
    <w:rsid w:val="007C5A0C"/>
    <w:rsid w:val="007C5C3A"/>
    <w:rsid w:val="007C5D15"/>
    <w:rsid w:val="007C65BA"/>
    <w:rsid w:val="007C6859"/>
    <w:rsid w:val="007C6DA5"/>
    <w:rsid w:val="007C6F88"/>
    <w:rsid w:val="007D0106"/>
    <w:rsid w:val="007D04D3"/>
    <w:rsid w:val="007D0CED"/>
    <w:rsid w:val="007D0DFE"/>
    <w:rsid w:val="007D1948"/>
    <w:rsid w:val="007D216E"/>
    <w:rsid w:val="007D25A9"/>
    <w:rsid w:val="007D2FEC"/>
    <w:rsid w:val="007D3CFB"/>
    <w:rsid w:val="007D5648"/>
    <w:rsid w:val="007D57A2"/>
    <w:rsid w:val="007D5998"/>
    <w:rsid w:val="007D6D21"/>
    <w:rsid w:val="007D6F44"/>
    <w:rsid w:val="007D7797"/>
    <w:rsid w:val="007D7C87"/>
    <w:rsid w:val="007D7F22"/>
    <w:rsid w:val="007E031C"/>
    <w:rsid w:val="007E0865"/>
    <w:rsid w:val="007E0FEE"/>
    <w:rsid w:val="007E1123"/>
    <w:rsid w:val="007E1AA3"/>
    <w:rsid w:val="007E1B95"/>
    <w:rsid w:val="007E1E15"/>
    <w:rsid w:val="007E1EEC"/>
    <w:rsid w:val="007E4A66"/>
    <w:rsid w:val="007E5128"/>
    <w:rsid w:val="007E52B3"/>
    <w:rsid w:val="007E561E"/>
    <w:rsid w:val="007E5B69"/>
    <w:rsid w:val="007E5E05"/>
    <w:rsid w:val="007E66D0"/>
    <w:rsid w:val="007E70BF"/>
    <w:rsid w:val="007E75F9"/>
    <w:rsid w:val="007E7BE6"/>
    <w:rsid w:val="007F0764"/>
    <w:rsid w:val="007F19FF"/>
    <w:rsid w:val="007F2017"/>
    <w:rsid w:val="007F28D9"/>
    <w:rsid w:val="007F30DD"/>
    <w:rsid w:val="007F3570"/>
    <w:rsid w:val="007F37A5"/>
    <w:rsid w:val="007F4940"/>
    <w:rsid w:val="007F4A8F"/>
    <w:rsid w:val="007F4D3A"/>
    <w:rsid w:val="007F4EF1"/>
    <w:rsid w:val="007F4FD7"/>
    <w:rsid w:val="007F4FDB"/>
    <w:rsid w:val="007F5339"/>
    <w:rsid w:val="007F571B"/>
    <w:rsid w:val="007F5FD7"/>
    <w:rsid w:val="007F6025"/>
    <w:rsid w:val="007F610B"/>
    <w:rsid w:val="007F63C6"/>
    <w:rsid w:val="007F659D"/>
    <w:rsid w:val="007F6994"/>
    <w:rsid w:val="007F7AFB"/>
    <w:rsid w:val="0080006A"/>
    <w:rsid w:val="00800F8A"/>
    <w:rsid w:val="00801592"/>
    <w:rsid w:val="00801659"/>
    <w:rsid w:val="008017EC"/>
    <w:rsid w:val="008028CE"/>
    <w:rsid w:val="0080390E"/>
    <w:rsid w:val="0080438C"/>
    <w:rsid w:val="0080494F"/>
    <w:rsid w:val="0080521A"/>
    <w:rsid w:val="00805408"/>
    <w:rsid w:val="008065DA"/>
    <w:rsid w:val="00806708"/>
    <w:rsid w:val="0080740F"/>
    <w:rsid w:val="00807589"/>
    <w:rsid w:val="00807BB2"/>
    <w:rsid w:val="00807E5D"/>
    <w:rsid w:val="00810A63"/>
    <w:rsid w:val="00811736"/>
    <w:rsid w:val="008120D8"/>
    <w:rsid w:val="008122E6"/>
    <w:rsid w:val="008123E7"/>
    <w:rsid w:val="008125C0"/>
    <w:rsid w:val="008127B7"/>
    <w:rsid w:val="00812D01"/>
    <w:rsid w:val="00812EC4"/>
    <w:rsid w:val="00812F60"/>
    <w:rsid w:val="00814810"/>
    <w:rsid w:val="00814D1A"/>
    <w:rsid w:val="0081534D"/>
    <w:rsid w:val="0081543D"/>
    <w:rsid w:val="008159CF"/>
    <w:rsid w:val="00816E05"/>
    <w:rsid w:val="00817692"/>
    <w:rsid w:val="00820575"/>
    <w:rsid w:val="00820CAC"/>
    <w:rsid w:val="00821E4E"/>
    <w:rsid w:val="00823147"/>
    <w:rsid w:val="00823694"/>
    <w:rsid w:val="0082409F"/>
    <w:rsid w:val="00824BCC"/>
    <w:rsid w:val="00825067"/>
    <w:rsid w:val="008253F8"/>
    <w:rsid w:val="00825D92"/>
    <w:rsid w:val="0082653F"/>
    <w:rsid w:val="00826696"/>
    <w:rsid w:val="00826A39"/>
    <w:rsid w:val="00826B25"/>
    <w:rsid w:val="00830129"/>
    <w:rsid w:val="00830AE4"/>
    <w:rsid w:val="00830E3D"/>
    <w:rsid w:val="00831974"/>
    <w:rsid w:val="00832B5D"/>
    <w:rsid w:val="008339BB"/>
    <w:rsid w:val="0083454B"/>
    <w:rsid w:val="0083473A"/>
    <w:rsid w:val="0083506C"/>
    <w:rsid w:val="00835533"/>
    <w:rsid w:val="0083564F"/>
    <w:rsid w:val="00835F72"/>
    <w:rsid w:val="00836129"/>
    <w:rsid w:val="00836179"/>
    <w:rsid w:val="008361E2"/>
    <w:rsid w:val="00836657"/>
    <w:rsid w:val="00836B69"/>
    <w:rsid w:val="00837499"/>
    <w:rsid w:val="00837A2D"/>
    <w:rsid w:val="008402C6"/>
    <w:rsid w:val="00840CA9"/>
    <w:rsid w:val="00840F11"/>
    <w:rsid w:val="00841500"/>
    <w:rsid w:val="00841A07"/>
    <w:rsid w:val="00841A99"/>
    <w:rsid w:val="00841B5E"/>
    <w:rsid w:val="0084231F"/>
    <w:rsid w:val="0084272B"/>
    <w:rsid w:val="00842B43"/>
    <w:rsid w:val="00842EC9"/>
    <w:rsid w:val="008433C1"/>
    <w:rsid w:val="008437E8"/>
    <w:rsid w:val="00843ED4"/>
    <w:rsid w:val="00844C8A"/>
    <w:rsid w:val="00844E2A"/>
    <w:rsid w:val="00844EBD"/>
    <w:rsid w:val="0084548F"/>
    <w:rsid w:val="008457B1"/>
    <w:rsid w:val="00846486"/>
    <w:rsid w:val="00846A84"/>
    <w:rsid w:val="00847160"/>
    <w:rsid w:val="00847200"/>
    <w:rsid w:val="00847281"/>
    <w:rsid w:val="008473C2"/>
    <w:rsid w:val="00847BC8"/>
    <w:rsid w:val="00847D03"/>
    <w:rsid w:val="00847D59"/>
    <w:rsid w:val="008500DC"/>
    <w:rsid w:val="00850112"/>
    <w:rsid w:val="0085017A"/>
    <w:rsid w:val="00850336"/>
    <w:rsid w:val="00850425"/>
    <w:rsid w:val="00851914"/>
    <w:rsid w:val="00853254"/>
    <w:rsid w:val="00853A8B"/>
    <w:rsid w:val="00854C34"/>
    <w:rsid w:val="0085556B"/>
    <w:rsid w:val="00855908"/>
    <w:rsid w:val="008564C9"/>
    <w:rsid w:val="00856BED"/>
    <w:rsid w:val="008576BD"/>
    <w:rsid w:val="00861486"/>
    <w:rsid w:val="00861F4D"/>
    <w:rsid w:val="008634C3"/>
    <w:rsid w:val="00863C8A"/>
    <w:rsid w:val="00863DAC"/>
    <w:rsid w:val="0086419A"/>
    <w:rsid w:val="00864240"/>
    <w:rsid w:val="00864D44"/>
    <w:rsid w:val="00865399"/>
    <w:rsid w:val="00865B75"/>
    <w:rsid w:val="00865D55"/>
    <w:rsid w:val="00866286"/>
    <w:rsid w:val="008662EB"/>
    <w:rsid w:val="00866EC2"/>
    <w:rsid w:val="00867273"/>
    <w:rsid w:val="008673FA"/>
    <w:rsid w:val="00867CFF"/>
    <w:rsid w:val="0087023B"/>
    <w:rsid w:val="0087046C"/>
    <w:rsid w:val="00870A7D"/>
    <w:rsid w:val="00870E40"/>
    <w:rsid w:val="00871731"/>
    <w:rsid w:val="0087178A"/>
    <w:rsid w:val="008724F2"/>
    <w:rsid w:val="00872931"/>
    <w:rsid w:val="008732C7"/>
    <w:rsid w:val="00873419"/>
    <w:rsid w:val="00873A38"/>
    <w:rsid w:val="00873E53"/>
    <w:rsid w:val="00874680"/>
    <w:rsid w:val="00874AF4"/>
    <w:rsid w:val="0087529D"/>
    <w:rsid w:val="00875625"/>
    <w:rsid w:val="00875C1D"/>
    <w:rsid w:val="008763AF"/>
    <w:rsid w:val="0087693C"/>
    <w:rsid w:val="00876B63"/>
    <w:rsid w:val="00876BCD"/>
    <w:rsid w:val="00876CEE"/>
    <w:rsid w:val="00880126"/>
    <w:rsid w:val="008806A7"/>
    <w:rsid w:val="00880964"/>
    <w:rsid w:val="008812C8"/>
    <w:rsid w:val="008823FA"/>
    <w:rsid w:val="0088276B"/>
    <w:rsid w:val="00882EB8"/>
    <w:rsid w:val="0088339D"/>
    <w:rsid w:val="00883A57"/>
    <w:rsid w:val="0088532D"/>
    <w:rsid w:val="00885AD9"/>
    <w:rsid w:val="00885E4D"/>
    <w:rsid w:val="00886465"/>
    <w:rsid w:val="008868B9"/>
    <w:rsid w:val="00886978"/>
    <w:rsid w:val="0088764F"/>
    <w:rsid w:val="00890450"/>
    <w:rsid w:val="008907CC"/>
    <w:rsid w:val="00890A8C"/>
    <w:rsid w:val="00890B9D"/>
    <w:rsid w:val="00891355"/>
    <w:rsid w:val="00891EB1"/>
    <w:rsid w:val="0089234C"/>
    <w:rsid w:val="008926D7"/>
    <w:rsid w:val="00893386"/>
    <w:rsid w:val="00893389"/>
    <w:rsid w:val="00893CBD"/>
    <w:rsid w:val="00893E3D"/>
    <w:rsid w:val="00894444"/>
    <w:rsid w:val="0089456B"/>
    <w:rsid w:val="0089565A"/>
    <w:rsid w:val="00895DA6"/>
    <w:rsid w:val="00895DAA"/>
    <w:rsid w:val="00896F8E"/>
    <w:rsid w:val="008977D3"/>
    <w:rsid w:val="0089790E"/>
    <w:rsid w:val="00897E21"/>
    <w:rsid w:val="008A016A"/>
    <w:rsid w:val="008A08BF"/>
    <w:rsid w:val="008A090B"/>
    <w:rsid w:val="008A15EC"/>
    <w:rsid w:val="008A179F"/>
    <w:rsid w:val="008A2CAD"/>
    <w:rsid w:val="008A32F9"/>
    <w:rsid w:val="008A3BD7"/>
    <w:rsid w:val="008A3D44"/>
    <w:rsid w:val="008A3E05"/>
    <w:rsid w:val="008A4008"/>
    <w:rsid w:val="008A4308"/>
    <w:rsid w:val="008A465C"/>
    <w:rsid w:val="008A47A3"/>
    <w:rsid w:val="008A4E6F"/>
    <w:rsid w:val="008A51D6"/>
    <w:rsid w:val="008A533B"/>
    <w:rsid w:val="008A7B38"/>
    <w:rsid w:val="008B057D"/>
    <w:rsid w:val="008B0864"/>
    <w:rsid w:val="008B112E"/>
    <w:rsid w:val="008B1181"/>
    <w:rsid w:val="008B1398"/>
    <w:rsid w:val="008B175A"/>
    <w:rsid w:val="008B1A8B"/>
    <w:rsid w:val="008B2101"/>
    <w:rsid w:val="008B2256"/>
    <w:rsid w:val="008B365D"/>
    <w:rsid w:val="008B3832"/>
    <w:rsid w:val="008B3B79"/>
    <w:rsid w:val="008B44AA"/>
    <w:rsid w:val="008B462D"/>
    <w:rsid w:val="008B4A2E"/>
    <w:rsid w:val="008B4CA2"/>
    <w:rsid w:val="008B56B9"/>
    <w:rsid w:val="008B5E74"/>
    <w:rsid w:val="008B6803"/>
    <w:rsid w:val="008B7ABC"/>
    <w:rsid w:val="008C0246"/>
    <w:rsid w:val="008C0D09"/>
    <w:rsid w:val="008C1408"/>
    <w:rsid w:val="008C16FA"/>
    <w:rsid w:val="008C1916"/>
    <w:rsid w:val="008C1C30"/>
    <w:rsid w:val="008C292C"/>
    <w:rsid w:val="008C2D31"/>
    <w:rsid w:val="008C2E74"/>
    <w:rsid w:val="008C3CB7"/>
    <w:rsid w:val="008C5358"/>
    <w:rsid w:val="008C60B0"/>
    <w:rsid w:val="008C7413"/>
    <w:rsid w:val="008C7A3A"/>
    <w:rsid w:val="008C7D87"/>
    <w:rsid w:val="008C7FAC"/>
    <w:rsid w:val="008D0090"/>
    <w:rsid w:val="008D0821"/>
    <w:rsid w:val="008D1615"/>
    <w:rsid w:val="008D16B7"/>
    <w:rsid w:val="008D1DB0"/>
    <w:rsid w:val="008D204B"/>
    <w:rsid w:val="008D2603"/>
    <w:rsid w:val="008D357D"/>
    <w:rsid w:val="008D3BDA"/>
    <w:rsid w:val="008D3D7E"/>
    <w:rsid w:val="008D4F6F"/>
    <w:rsid w:val="008D5202"/>
    <w:rsid w:val="008D57C5"/>
    <w:rsid w:val="008D6669"/>
    <w:rsid w:val="008D6A76"/>
    <w:rsid w:val="008D6B18"/>
    <w:rsid w:val="008D6B3F"/>
    <w:rsid w:val="008D79B6"/>
    <w:rsid w:val="008D7C3E"/>
    <w:rsid w:val="008D7DC6"/>
    <w:rsid w:val="008E11A0"/>
    <w:rsid w:val="008E21B8"/>
    <w:rsid w:val="008E2765"/>
    <w:rsid w:val="008E29DA"/>
    <w:rsid w:val="008E2F3E"/>
    <w:rsid w:val="008E2F5D"/>
    <w:rsid w:val="008E394B"/>
    <w:rsid w:val="008E3D18"/>
    <w:rsid w:val="008E4ED5"/>
    <w:rsid w:val="008E579C"/>
    <w:rsid w:val="008E61DC"/>
    <w:rsid w:val="008E66E4"/>
    <w:rsid w:val="008E6AE6"/>
    <w:rsid w:val="008E77EE"/>
    <w:rsid w:val="008F0116"/>
    <w:rsid w:val="008F0206"/>
    <w:rsid w:val="008F0798"/>
    <w:rsid w:val="008F143D"/>
    <w:rsid w:val="008F2876"/>
    <w:rsid w:val="008F2C93"/>
    <w:rsid w:val="008F377A"/>
    <w:rsid w:val="008F3D70"/>
    <w:rsid w:val="008F4F67"/>
    <w:rsid w:val="008F552E"/>
    <w:rsid w:val="008F6065"/>
    <w:rsid w:val="008F6D71"/>
    <w:rsid w:val="008F71EB"/>
    <w:rsid w:val="008F733F"/>
    <w:rsid w:val="008F746A"/>
    <w:rsid w:val="009002A9"/>
    <w:rsid w:val="00900B16"/>
    <w:rsid w:val="00900FE3"/>
    <w:rsid w:val="00901721"/>
    <w:rsid w:val="0090198B"/>
    <w:rsid w:val="00901B4D"/>
    <w:rsid w:val="00901E53"/>
    <w:rsid w:val="00902E81"/>
    <w:rsid w:val="009041E4"/>
    <w:rsid w:val="0090442A"/>
    <w:rsid w:val="00904EEB"/>
    <w:rsid w:val="00906870"/>
    <w:rsid w:val="009070DF"/>
    <w:rsid w:val="00907D97"/>
    <w:rsid w:val="00907E9B"/>
    <w:rsid w:val="00910C8F"/>
    <w:rsid w:val="00910D7C"/>
    <w:rsid w:val="00911D7F"/>
    <w:rsid w:val="00911DC6"/>
    <w:rsid w:val="00911DF5"/>
    <w:rsid w:val="00912DC6"/>
    <w:rsid w:val="00913888"/>
    <w:rsid w:val="00914888"/>
    <w:rsid w:val="009151F3"/>
    <w:rsid w:val="009152B4"/>
    <w:rsid w:val="00915361"/>
    <w:rsid w:val="009162AB"/>
    <w:rsid w:val="00916C8E"/>
    <w:rsid w:val="009170C9"/>
    <w:rsid w:val="00920EC7"/>
    <w:rsid w:val="00921899"/>
    <w:rsid w:val="00922013"/>
    <w:rsid w:val="00922118"/>
    <w:rsid w:val="00922768"/>
    <w:rsid w:val="0092305F"/>
    <w:rsid w:val="00924017"/>
    <w:rsid w:val="009240E0"/>
    <w:rsid w:val="0092428D"/>
    <w:rsid w:val="00924BE4"/>
    <w:rsid w:val="00926826"/>
    <w:rsid w:val="009279BA"/>
    <w:rsid w:val="0093002A"/>
    <w:rsid w:val="0093039B"/>
    <w:rsid w:val="00930465"/>
    <w:rsid w:val="00931650"/>
    <w:rsid w:val="009319B0"/>
    <w:rsid w:val="00931FF2"/>
    <w:rsid w:val="00932255"/>
    <w:rsid w:val="00932865"/>
    <w:rsid w:val="00932E06"/>
    <w:rsid w:val="0093312F"/>
    <w:rsid w:val="00934CA0"/>
    <w:rsid w:val="00935022"/>
    <w:rsid w:val="009353F6"/>
    <w:rsid w:val="00935AFA"/>
    <w:rsid w:val="00935DBD"/>
    <w:rsid w:val="0093638A"/>
    <w:rsid w:val="00937182"/>
    <w:rsid w:val="009378B3"/>
    <w:rsid w:val="0094053B"/>
    <w:rsid w:val="00940C0D"/>
    <w:rsid w:val="009411AB"/>
    <w:rsid w:val="00941EE2"/>
    <w:rsid w:val="009424CA"/>
    <w:rsid w:val="0094252A"/>
    <w:rsid w:val="00943C59"/>
    <w:rsid w:val="00945467"/>
    <w:rsid w:val="00945E4C"/>
    <w:rsid w:val="00946723"/>
    <w:rsid w:val="00947008"/>
    <w:rsid w:val="00947A72"/>
    <w:rsid w:val="0095030F"/>
    <w:rsid w:val="009504E2"/>
    <w:rsid w:val="00950F3A"/>
    <w:rsid w:val="00950FFB"/>
    <w:rsid w:val="009511D4"/>
    <w:rsid w:val="00951742"/>
    <w:rsid w:val="009526BF"/>
    <w:rsid w:val="009528C5"/>
    <w:rsid w:val="00952B85"/>
    <w:rsid w:val="00953046"/>
    <w:rsid w:val="0095309A"/>
    <w:rsid w:val="00953113"/>
    <w:rsid w:val="00953374"/>
    <w:rsid w:val="00953579"/>
    <w:rsid w:val="009538F3"/>
    <w:rsid w:val="00953BB2"/>
    <w:rsid w:val="00954AA9"/>
    <w:rsid w:val="009553F8"/>
    <w:rsid w:val="0095601E"/>
    <w:rsid w:val="009560C4"/>
    <w:rsid w:val="00956296"/>
    <w:rsid w:val="009563BE"/>
    <w:rsid w:val="009566A1"/>
    <w:rsid w:val="00956D44"/>
    <w:rsid w:val="0095733C"/>
    <w:rsid w:val="00957D84"/>
    <w:rsid w:val="009602E4"/>
    <w:rsid w:val="009607CE"/>
    <w:rsid w:val="00960EAC"/>
    <w:rsid w:val="0096150B"/>
    <w:rsid w:val="00964FD0"/>
    <w:rsid w:val="009652AE"/>
    <w:rsid w:val="00965389"/>
    <w:rsid w:val="00965AB5"/>
    <w:rsid w:val="00965D44"/>
    <w:rsid w:val="00965F78"/>
    <w:rsid w:val="009661BF"/>
    <w:rsid w:val="00966229"/>
    <w:rsid w:val="009663D6"/>
    <w:rsid w:val="00966676"/>
    <w:rsid w:val="0096730B"/>
    <w:rsid w:val="00967608"/>
    <w:rsid w:val="00971111"/>
    <w:rsid w:val="009713FE"/>
    <w:rsid w:val="009718C1"/>
    <w:rsid w:val="00972132"/>
    <w:rsid w:val="0097219B"/>
    <w:rsid w:val="00972CBB"/>
    <w:rsid w:val="009733B4"/>
    <w:rsid w:val="00973DEB"/>
    <w:rsid w:val="0097479A"/>
    <w:rsid w:val="00974E53"/>
    <w:rsid w:val="00976488"/>
    <w:rsid w:val="00977359"/>
    <w:rsid w:val="00977817"/>
    <w:rsid w:val="009778B9"/>
    <w:rsid w:val="009779D8"/>
    <w:rsid w:val="00980113"/>
    <w:rsid w:val="00980512"/>
    <w:rsid w:val="00980817"/>
    <w:rsid w:val="00980C91"/>
    <w:rsid w:val="00980D4C"/>
    <w:rsid w:val="00980D7A"/>
    <w:rsid w:val="0098138E"/>
    <w:rsid w:val="009814B2"/>
    <w:rsid w:val="00982BD5"/>
    <w:rsid w:val="00982D60"/>
    <w:rsid w:val="0098526E"/>
    <w:rsid w:val="009859AE"/>
    <w:rsid w:val="00986252"/>
    <w:rsid w:val="0098655A"/>
    <w:rsid w:val="00986752"/>
    <w:rsid w:val="00986AFB"/>
    <w:rsid w:val="00986F73"/>
    <w:rsid w:val="0098737C"/>
    <w:rsid w:val="00987D47"/>
    <w:rsid w:val="00990706"/>
    <w:rsid w:val="00990B5B"/>
    <w:rsid w:val="0099151D"/>
    <w:rsid w:val="009918FE"/>
    <w:rsid w:val="009920B0"/>
    <w:rsid w:val="009929D3"/>
    <w:rsid w:val="00994784"/>
    <w:rsid w:val="009947F9"/>
    <w:rsid w:val="00994DF9"/>
    <w:rsid w:val="00995203"/>
    <w:rsid w:val="00995705"/>
    <w:rsid w:val="009958F8"/>
    <w:rsid w:val="0099617A"/>
    <w:rsid w:val="00996402"/>
    <w:rsid w:val="0099670E"/>
    <w:rsid w:val="00996E34"/>
    <w:rsid w:val="00997370"/>
    <w:rsid w:val="009A1188"/>
    <w:rsid w:val="009A20E7"/>
    <w:rsid w:val="009A22B5"/>
    <w:rsid w:val="009A26A6"/>
    <w:rsid w:val="009A30AB"/>
    <w:rsid w:val="009A35D0"/>
    <w:rsid w:val="009A388F"/>
    <w:rsid w:val="009A4369"/>
    <w:rsid w:val="009A51CA"/>
    <w:rsid w:val="009A5708"/>
    <w:rsid w:val="009A573C"/>
    <w:rsid w:val="009A6E36"/>
    <w:rsid w:val="009A70C9"/>
    <w:rsid w:val="009B01D8"/>
    <w:rsid w:val="009B12D1"/>
    <w:rsid w:val="009B1DE4"/>
    <w:rsid w:val="009B2667"/>
    <w:rsid w:val="009B2C16"/>
    <w:rsid w:val="009B2C62"/>
    <w:rsid w:val="009B3056"/>
    <w:rsid w:val="009B30BB"/>
    <w:rsid w:val="009B32B0"/>
    <w:rsid w:val="009B34AD"/>
    <w:rsid w:val="009B3D83"/>
    <w:rsid w:val="009B4046"/>
    <w:rsid w:val="009B4169"/>
    <w:rsid w:val="009B4B35"/>
    <w:rsid w:val="009B4F8B"/>
    <w:rsid w:val="009B5463"/>
    <w:rsid w:val="009B5B44"/>
    <w:rsid w:val="009B5BD0"/>
    <w:rsid w:val="009B5E29"/>
    <w:rsid w:val="009B6ECD"/>
    <w:rsid w:val="009B701B"/>
    <w:rsid w:val="009B72A3"/>
    <w:rsid w:val="009B79C7"/>
    <w:rsid w:val="009C06A1"/>
    <w:rsid w:val="009C0949"/>
    <w:rsid w:val="009C1348"/>
    <w:rsid w:val="009C1405"/>
    <w:rsid w:val="009C1BD4"/>
    <w:rsid w:val="009C1F60"/>
    <w:rsid w:val="009C2046"/>
    <w:rsid w:val="009C20D8"/>
    <w:rsid w:val="009C27C5"/>
    <w:rsid w:val="009C29B8"/>
    <w:rsid w:val="009C3D47"/>
    <w:rsid w:val="009C3DEB"/>
    <w:rsid w:val="009C5809"/>
    <w:rsid w:val="009C6836"/>
    <w:rsid w:val="009C68C8"/>
    <w:rsid w:val="009C6CA7"/>
    <w:rsid w:val="009C752F"/>
    <w:rsid w:val="009C7AE7"/>
    <w:rsid w:val="009C7DFF"/>
    <w:rsid w:val="009D043E"/>
    <w:rsid w:val="009D07D5"/>
    <w:rsid w:val="009D0C8A"/>
    <w:rsid w:val="009D0D77"/>
    <w:rsid w:val="009D25B7"/>
    <w:rsid w:val="009D27C4"/>
    <w:rsid w:val="009D2A83"/>
    <w:rsid w:val="009D31E2"/>
    <w:rsid w:val="009D386F"/>
    <w:rsid w:val="009D4143"/>
    <w:rsid w:val="009D42B0"/>
    <w:rsid w:val="009D4AE8"/>
    <w:rsid w:val="009D4DF7"/>
    <w:rsid w:val="009D4F2B"/>
    <w:rsid w:val="009D4FB3"/>
    <w:rsid w:val="009D5FA3"/>
    <w:rsid w:val="009D63E3"/>
    <w:rsid w:val="009E02FF"/>
    <w:rsid w:val="009E0CBA"/>
    <w:rsid w:val="009E1174"/>
    <w:rsid w:val="009E139A"/>
    <w:rsid w:val="009E3AC1"/>
    <w:rsid w:val="009E3C82"/>
    <w:rsid w:val="009E3F3E"/>
    <w:rsid w:val="009E42FB"/>
    <w:rsid w:val="009E4504"/>
    <w:rsid w:val="009E5037"/>
    <w:rsid w:val="009E5158"/>
    <w:rsid w:val="009E53AD"/>
    <w:rsid w:val="009E54C1"/>
    <w:rsid w:val="009E5C6C"/>
    <w:rsid w:val="009E5F9B"/>
    <w:rsid w:val="009E6052"/>
    <w:rsid w:val="009E6055"/>
    <w:rsid w:val="009E667E"/>
    <w:rsid w:val="009E7250"/>
    <w:rsid w:val="009E736C"/>
    <w:rsid w:val="009E73C0"/>
    <w:rsid w:val="009E754C"/>
    <w:rsid w:val="009E76F7"/>
    <w:rsid w:val="009E7C7F"/>
    <w:rsid w:val="009E7F4C"/>
    <w:rsid w:val="009F0FC4"/>
    <w:rsid w:val="009F1BE5"/>
    <w:rsid w:val="009F1F9C"/>
    <w:rsid w:val="009F2089"/>
    <w:rsid w:val="009F256A"/>
    <w:rsid w:val="009F2AD4"/>
    <w:rsid w:val="009F2BAC"/>
    <w:rsid w:val="009F367E"/>
    <w:rsid w:val="009F53BA"/>
    <w:rsid w:val="009F5FB9"/>
    <w:rsid w:val="009F657E"/>
    <w:rsid w:val="009F6A27"/>
    <w:rsid w:val="009F6F56"/>
    <w:rsid w:val="009F7078"/>
    <w:rsid w:val="009F73B8"/>
    <w:rsid w:val="009F7742"/>
    <w:rsid w:val="009F7C5D"/>
    <w:rsid w:val="00A00701"/>
    <w:rsid w:val="00A00983"/>
    <w:rsid w:val="00A01127"/>
    <w:rsid w:val="00A017D9"/>
    <w:rsid w:val="00A01B0E"/>
    <w:rsid w:val="00A02011"/>
    <w:rsid w:val="00A021F4"/>
    <w:rsid w:val="00A02454"/>
    <w:rsid w:val="00A025C3"/>
    <w:rsid w:val="00A02A16"/>
    <w:rsid w:val="00A03C35"/>
    <w:rsid w:val="00A03C5C"/>
    <w:rsid w:val="00A03ED7"/>
    <w:rsid w:val="00A04E9A"/>
    <w:rsid w:val="00A052BB"/>
    <w:rsid w:val="00A0622F"/>
    <w:rsid w:val="00A06492"/>
    <w:rsid w:val="00A06729"/>
    <w:rsid w:val="00A070CB"/>
    <w:rsid w:val="00A073C1"/>
    <w:rsid w:val="00A07B2A"/>
    <w:rsid w:val="00A10353"/>
    <w:rsid w:val="00A1152F"/>
    <w:rsid w:val="00A11713"/>
    <w:rsid w:val="00A1361C"/>
    <w:rsid w:val="00A13C53"/>
    <w:rsid w:val="00A13E58"/>
    <w:rsid w:val="00A1402A"/>
    <w:rsid w:val="00A14950"/>
    <w:rsid w:val="00A155E8"/>
    <w:rsid w:val="00A15663"/>
    <w:rsid w:val="00A16158"/>
    <w:rsid w:val="00A162A1"/>
    <w:rsid w:val="00A16CF4"/>
    <w:rsid w:val="00A17046"/>
    <w:rsid w:val="00A17161"/>
    <w:rsid w:val="00A172A9"/>
    <w:rsid w:val="00A17B89"/>
    <w:rsid w:val="00A17CE0"/>
    <w:rsid w:val="00A200AF"/>
    <w:rsid w:val="00A200F0"/>
    <w:rsid w:val="00A20260"/>
    <w:rsid w:val="00A2124A"/>
    <w:rsid w:val="00A21BCD"/>
    <w:rsid w:val="00A223F0"/>
    <w:rsid w:val="00A227C9"/>
    <w:rsid w:val="00A23D48"/>
    <w:rsid w:val="00A23FD8"/>
    <w:rsid w:val="00A252B2"/>
    <w:rsid w:val="00A25B37"/>
    <w:rsid w:val="00A25BFC"/>
    <w:rsid w:val="00A25CCD"/>
    <w:rsid w:val="00A25E21"/>
    <w:rsid w:val="00A261C0"/>
    <w:rsid w:val="00A26783"/>
    <w:rsid w:val="00A272FB"/>
    <w:rsid w:val="00A27998"/>
    <w:rsid w:val="00A27AB8"/>
    <w:rsid w:val="00A3031B"/>
    <w:rsid w:val="00A304E7"/>
    <w:rsid w:val="00A30980"/>
    <w:rsid w:val="00A313AE"/>
    <w:rsid w:val="00A31E9A"/>
    <w:rsid w:val="00A3278E"/>
    <w:rsid w:val="00A32A63"/>
    <w:rsid w:val="00A334D5"/>
    <w:rsid w:val="00A33C02"/>
    <w:rsid w:val="00A33F2C"/>
    <w:rsid w:val="00A340E9"/>
    <w:rsid w:val="00A34138"/>
    <w:rsid w:val="00A34343"/>
    <w:rsid w:val="00A344CB"/>
    <w:rsid w:val="00A34794"/>
    <w:rsid w:val="00A351E8"/>
    <w:rsid w:val="00A358E5"/>
    <w:rsid w:val="00A36B5A"/>
    <w:rsid w:val="00A400C0"/>
    <w:rsid w:val="00A409A0"/>
    <w:rsid w:val="00A40D34"/>
    <w:rsid w:val="00A41F18"/>
    <w:rsid w:val="00A42306"/>
    <w:rsid w:val="00A42735"/>
    <w:rsid w:val="00A42C93"/>
    <w:rsid w:val="00A435F1"/>
    <w:rsid w:val="00A44E8D"/>
    <w:rsid w:val="00A44FE0"/>
    <w:rsid w:val="00A450AB"/>
    <w:rsid w:val="00A457A4"/>
    <w:rsid w:val="00A463C0"/>
    <w:rsid w:val="00A4687D"/>
    <w:rsid w:val="00A468EB"/>
    <w:rsid w:val="00A46ADC"/>
    <w:rsid w:val="00A46EA8"/>
    <w:rsid w:val="00A51157"/>
    <w:rsid w:val="00A51B09"/>
    <w:rsid w:val="00A52405"/>
    <w:rsid w:val="00A5253B"/>
    <w:rsid w:val="00A5273D"/>
    <w:rsid w:val="00A528AB"/>
    <w:rsid w:val="00A52DBE"/>
    <w:rsid w:val="00A53482"/>
    <w:rsid w:val="00A5385E"/>
    <w:rsid w:val="00A54517"/>
    <w:rsid w:val="00A54C60"/>
    <w:rsid w:val="00A552E5"/>
    <w:rsid w:val="00A55ACD"/>
    <w:rsid w:val="00A56702"/>
    <w:rsid w:val="00A56EE1"/>
    <w:rsid w:val="00A57A15"/>
    <w:rsid w:val="00A602F7"/>
    <w:rsid w:val="00A6055D"/>
    <w:rsid w:val="00A609F9"/>
    <w:rsid w:val="00A61402"/>
    <w:rsid w:val="00A6143C"/>
    <w:rsid w:val="00A614F7"/>
    <w:rsid w:val="00A61B65"/>
    <w:rsid w:val="00A61D4A"/>
    <w:rsid w:val="00A61E14"/>
    <w:rsid w:val="00A6252B"/>
    <w:rsid w:val="00A62B1B"/>
    <w:rsid w:val="00A6357A"/>
    <w:rsid w:val="00A638FA"/>
    <w:rsid w:val="00A63E5C"/>
    <w:rsid w:val="00A64085"/>
    <w:rsid w:val="00A647A3"/>
    <w:rsid w:val="00A654C2"/>
    <w:rsid w:val="00A6618D"/>
    <w:rsid w:val="00A66408"/>
    <w:rsid w:val="00A66E10"/>
    <w:rsid w:val="00A67930"/>
    <w:rsid w:val="00A71A50"/>
    <w:rsid w:val="00A725E9"/>
    <w:rsid w:val="00A72A8B"/>
    <w:rsid w:val="00A72BD4"/>
    <w:rsid w:val="00A7333E"/>
    <w:rsid w:val="00A73801"/>
    <w:rsid w:val="00A73F3D"/>
    <w:rsid w:val="00A745FA"/>
    <w:rsid w:val="00A75057"/>
    <w:rsid w:val="00A75A99"/>
    <w:rsid w:val="00A75AC6"/>
    <w:rsid w:val="00A76D8B"/>
    <w:rsid w:val="00A77EBE"/>
    <w:rsid w:val="00A8003B"/>
    <w:rsid w:val="00A80A02"/>
    <w:rsid w:val="00A80F25"/>
    <w:rsid w:val="00A81296"/>
    <w:rsid w:val="00A8138A"/>
    <w:rsid w:val="00A815AF"/>
    <w:rsid w:val="00A82D6E"/>
    <w:rsid w:val="00A833C4"/>
    <w:rsid w:val="00A83C11"/>
    <w:rsid w:val="00A85D27"/>
    <w:rsid w:val="00A85DAE"/>
    <w:rsid w:val="00A86298"/>
    <w:rsid w:val="00A8672B"/>
    <w:rsid w:val="00A873BE"/>
    <w:rsid w:val="00A875A0"/>
    <w:rsid w:val="00A87CEE"/>
    <w:rsid w:val="00A91A86"/>
    <w:rsid w:val="00A92239"/>
    <w:rsid w:val="00A92E46"/>
    <w:rsid w:val="00A93072"/>
    <w:rsid w:val="00A932C7"/>
    <w:rsid w:val="00A93983"/>
    <w:rsid w:val="00A93FFC"/>
    <w:rsid w:val="00A9408A"/>
    <w:rsid w:val="00A946CF"/>
    <w:rsid w:val="00A977F4"/>
    <w:rsid w:val="00A97ACA"/>
    <w:rsid w:val="00A97DCC"/>
    <w:rsid w:val="00A97ED5"/>
    <w:rsid w:val="00AA0837"/>
    <w:rsid w:val="00AA08B3"/>
    <w:rsid w:val="00AA095C"/>
    <w:rsid w:val="00AA2063"/>
    <w:rsid w:val="00AA29FD"/>
    <w:rsid w:val="00AA2BD5"/>
    <w:rsid w:val="00AA3CFB"/>
    <w:rsid w:val="00AA425A"/>
    <w:rsid w:val="00AA4A90"/>
    <w:rsid w:val="00AA5118"/>
    <w:rsid w:val="00AA56A5"/>
    <w:rsid w:val="00AA59B2"/>
    <w:rsid w:val="00AA5A0C"/>
    <w:rsid w:val="00AA61FB"/>
    <w:rsid w:val="00AA626E"/>
    <w:rsid w:val="00AA64CA"/>
    <w:rsid w:val="00AA6C2B"/>
    <w:rsid w:val="00AA74D1"/>
    <w:rsid w:val="00AB0451"/>
    <w:rsid w:val="00AB0540"/>
    <w:rsid w:val="00AB2396"/>
    <w:rsid w:val="00AB2766"/>
    <w:rsid w:val="00AB297E"/>
    <w:rsid w:val="00AB33EA"/>
    <w:rsid w:val="00AB3D32"/>
    <w:rsid w:val="00AB49FF"/>
    <w:rsid w:val="00AB4D58"/>
    <w:rsid w:val="00AB4E6C"/>
    <w:rsid w:val="00AB55BD"/>
    <w:rsid w:val="00AB5A9D"/>
    <w:rsid w:val="00AB5D73"/>
    <w:rsid w:val="00AB6355"/>
    <w:rsid w:val="00AB6D32"/>
    <w:rsid w:val="00AB6DCD"/>
    <w:rsid w:val="00AB77E3"/>
    <w:rsid w:val="00AB7875"/>
    <w:rsid w:val="00AB79F7"/>
    <w:rsid w:val="00AB7C2F"/>
    <w:rsid w:val="00AB7F94"/>
    <w:rsid w:val="00AC1029"/>
    <w:rsid w:val="00AC20A8"/>
    <w:rsid w:val="00AC2E67"/>
    <w:rsid w:val="00AC45B0"/>
    <w:rsid w:val="00AC4E9B"/>
    <w:rsid w:val="00AC50F6"/>
    <w:rsid w:val="00AC561C"/>
    <w:rsid w:val="00AC621F"/>
    <w:rsid w:val="00AC6791"/>
    <w:rsid w:val="00AC68EE"/>
    <w:rsid w:val="00AC782D"/>
    <w:rsid w:val="00AC7999"/>
    <w:rsid w:val="00AD01CD"/>
    <w:rsid w:val="00AD028F"/>
    <w:rsid w:val="00AD0EA8"/>
    <w:rsid w:val="00AD1371"/>
    <w:rsid w:val="00AD1CF4"/>
    <w:rsid w:val="00AD1D07"/>
    <w:rsid w:val="00AD1EEB"/>
    <w:rsid w:val="00AD1F3D"/>
    <w:rsid w:val="00AD2368"/>
    <w:rsid w:val="00AD252D"/>
    <w:rsid w:val="00AD3508"/>
    <w:rsid w:val="00AD3523"/>
    <w:rsid w:val="00AD36CB"/>
    <w:rsid w:val="00AD4024"/>
    <w:rsid w:val="00AD435B"/>
    <w:rsid w:val="00AD4665"/>
    <w:rsid w:val="00AD55DA"/>
    <w:rsid w:val="00AD58B1"/>
    <w:rsid w:val="00AD5E09"/>
    <w:rsid w:val="00AD62F3"/>
    <w:rsid w:val="00AD7843"/>
    <w:rsid w:val="00AE064E"/>
    <w:rsid w:val="00AE0E6C"/>
    <w:rsid w:val="00AE16E2"/>
    <w:rsid w:val="00AE1AD3"/>
    <w:rsid w:val="00AE1B83"/>
    <w:rsid w:val="00AE1C69"/>
    <w:rsid w:val="00AE275B"/>
    <w:rsid w:val="00AE3120"/>
    <w:rsid w:val="00AE365F"/>
    <w:rsid w:val="00AE448D"/>
    <w:rsid w:val="00AE55C2"/>
    <w:rsid w:val="00AE612B"/>
    <w:rsid w:val="00AE664C"/>
    <w:rsid w:val="00AE7C56"/>
    <w:rsid w:val="00AF06AF"/>
    <w:rsid w:val="00AF125B"/>
    <w:rsid w:val="00AF18EA"/>
    <w:rsid w:val="00AF1A1B"/>
    <w:rsid w:val="00AF2B89"/>
    <w:rsid w:val="00AF323F"/>
    <w:rsid w:val="00AF352B"/>
    <w:rsid w:val="00AF3D8F"/>
    <w:rsid w:val="00AF4C11"/>
    <w:rsid w:val="00AF5D13"/>
    <w:rsid w:val="00AF6058"/>
    <w:rsid w:val="00AF62AB"/>
    <w:rsid w:val="00AF69C7"/>
    <w:rsid w:val="00AF6DAB"/>
    <w:rsid w:val="00AF7B8F"/>
    <w:rsid w:val="00AF7C02"/>
    <w:rsid w:val="00B0061E"/>
    <w:rsid w:val="00B01F7E"/>
    <w:rsid w:val="00B028CF"/>
    <w:rsid w:val="00B03507"/>
    <w:rsid w:val="00B046A7"/>
    <w:rsid w:val="00B04C44"/>
    <w:rsid w:val="00B0663C"/>
    <w:rsid w:val="00B06B90"/>
    <w:rsid w:val="00B07C9B"/>
    <w:rsid w:val="00B07FDA"/>
    <w:rsid w:val="00B100A7"/>
    <w:rsid w:val="00B1029C"/>
    <w:rsid w:val="00B11489"/>
    <w:rsid w:val="00B1154F"/>
    <w:rsid w:val="00B11F8C"/>
    <w:rsid w:val="00B12200"/>
    <w:rsid w:val="00B12517"/>
    <w:rsid w:val="00B1275F"/>
    <w:rsid w:val="00B14660"/>
    <w:rsid w:val="00B15166"/>
    <w:rsid w:val="00B15CF3"/>
    <w:rsid w:val="00B162C4"/>
    <w:rsid w:val="00B164C2"/>
    <w:rsid w:val="00B166DA"/>
    <w:rsid w:val="00B1691E"/>
    <w:rsid w:val="00B16C2A"/>
    <w:rsid w:val="00B16FB1"/>
    <w:rsid w:val="00B17017"/>
    <w:rsid w:val="00B17CFB"/>
    <w:rsid w:val="00B207EB"/>
    <w:rsid w:val="00B211C7"/>
    <w:rsid w:val="00B2145D"/>
    <w:rsid w:val="00B21608"/>
    <w:rsid w:val="00B216A4"/>
    <w:rsid w:val="00B219D8"/>
    <w:rsid w:val="00B22B73"/>
    <w:rsid w:val="00B2352C"/>
    <w:rsid w:val="00B2384B"/>
    <w:rsid w:val="00B239F4"/>
    <w:rsid w:val="00B2498F"/>
    <w:rsid w:val="00B24D8C"/>
    <w:rsid w:val="00B24D9D"/>
    <w:rsid w:val="00B24F1C"/>
    <w:rsid w:val="00B25200"/>
    <w:rsid w:val="00B2553A"/>
    <w:rsid w:val="00B2584B"/>
    <w:rsid w:val="00B25F70"/>
    <w:rsid w:val="00B26D4B"/>
    <w:rsid w:val="00B27AA2"/>
    <w:rsid w:val="00B27CA8"/>
    <w:rsid w:val="00B3087D"/>
    <w:rsid w:val="00B312CA"/>
    <w:rsid w:val="00B312D3"/>
    <w:rsid w:val="00B31E05"/>
    <w:rsid w:val="00B32BBE"/>
    <w:rsid w:val="00B3340B"/>
    <w:rsid w:val="00B34211"/>
    <w:rsid w:val="00B3432E"/>
    <w:rsid w:val="00B344A5"/>
    <w:rsid w:val="00B34794"/>
    <w:rsid w:val="00B34902"/>
    <w:rsid w:val="00B357B0"/>
    <w:rsid w:val="00B35FE1"/>
    <w:rsid w:val="00B3654E"/>
    <w:rsid w:val="00B3670E"/>
    <w:rsid w:val="00B36A15"/>
    <w:rsid w:val="00B36EC6"/>
    <w:rsid w:val="00B37005"/>
    <w:rsid w:val="00B4012E"/>
    <w:rsid w:val="00B40C51"/>
    <w:rsid w:val="00B40CCF"/>
    <w:rsid w:val="00B41790"/>
    <w:rsid w:val="00B41C1B"/>
    <w:rsid w:val="00B41F9C"/>
    <w:rsid w:val="00B42CEC"/>
    <w:rsid w:val="00B42F6E"/>
    <w:rsid w:val="00B43166"/>
    <w:rsid w:val="00B44AED"/>
    <w:rsid w:val="00B45028"/>
    <w:rsid w:val="00B45A48"/>
    <w:rsid w:val="00B45B17"/>
    <w:rsid w:val="00B47A75"/>
    <w:rsid w:val="00B47B69"/>
    <w:rsid w:val="00B47C02"/>
    <w:rsid w:val="00B50732"/>
    <w:rsid w:val="00B518D1"/>
    <w:rsid w:val="00B521B3"/>
    <w:rsid w:val="00B52B28"/>
    <w:rsid w:val="00B53456"/>
    <w:rsid w:val="00B534F6"/>
    <w:rsid w:val="00B53BBD"/>
    <w:rsid w:val="00B54199"/>
    <w:rsid w:val="00B55DD8"/>
    <w:rsid w:val="00B565DB"/>
    <w:rsid w:val="00B56CCB"/>
    <w:rsid w:val="00B5702C"/>
    <w:rsid w:val="00B57556"/>
    <w:rsid w:val="00B60421"/>
    <w:rsid w:val="00B604BF"/>
    <w:rsid w:val="00B6189B"/>
    <w:rsid w:val="00B62EF1"/>
    <w:rsid w:val="00B632A8"/>
    <w:rsid w:val="00B642E4"/>
    <w:rsid w:val="00B642EB"/>
    <w:rsid w:val="00B649E8"/>
    <w:rsid w:val="00B64B14"/>
    <w:rsid w:val="00B64D14"/>
    <w:rsid w:val="00B64E5C"/>
    <w:rsid w:val="00B64FBB"/>
    <w:rsid w:val="00B6561A"/>
    <w:rsid w:val="00B659F7"/>
    <w:rsid w:val="00B66005"/>
    <w:rsid w:val="00B66409"/>
    <w:rsid w:val="00B66C81"/>
    <w:rsid w:val="00B66EED"/>
    <w:rsid w:val="00B66F84"/>
    <w:rsid w:val="00B67289"/>
    <w:rsid w:val="00B70505"/>
    <w:rsid w:val="00B7140F"/>
    <w:rsid w:val="00B71A9F"/>
    <w:rsid w:val="00B71D31"/>
    <w:rsid w:val="00B722ED"/>
    <w:rsid w:val="00B72C39"/>
    <w:rsid w:val="00B7300D"/>
    <w:rsid w:val="00B73692"/>
    <w:rsid w:val="00B73B78"/>
    <w:rsid w:val="00B73C71"/>
    <w:rsid w:val="00B73F94"/>
    <w:rsid w:val="00B749C0"/>
    <w:rsid w:val="00B74F21"/>
    <w:rsid w:val="00B75628"/>
    <w:rsid w:val="00B756B4"/>
    <w:rsid w:val="00B76148"/>
    <w:rsid w:val="00B762A1"/>
    <w:rsid w:val="00B765E8"/>
    <w:rsid w:val="00B773B4"/>
    <w:rsid w:val="00B77771"/>
    <w:rsid w:val="00B7781F"/>
    <w:rsid w:val="00B7782F"/>
    <w:rsid w:val="00B804E1"/>
    <w:rsid w:val="00B81A39"/>
    <w:rsid w:val="00B81EB6"/>
    <w:rsid w:val="00B81F83"/>
    <w:rsid w:val="00B820DA"/>
    <w:rsid w:val="00B821A9"/>
    <w:rsid w:val="00B82A68"/>
    <w:rsid w:val="00B82BD4"/>
    <w:rsid w:val="00B83395"/>
    <w:rsid w:val="00B842A6"/>
    <w:rsid w:val="00B84491"/>
    <w:rsid w:val="00B848A6"/>
    <w:rsid w:val="00B8666A"/>
    <w:rsid w:val="00B8680F"/>
    <w:rsid w:val="00B86B0D"/>
    <w:rsid w:val="00B86B8D"/>
    <w:rsid w:val="00B86D5A"/>
    <w:rsid w:val="00B9006F"/>
    <w:rsid w:val="00B90259"/>
    <w:rsid w:val="00B916FA"/>
    <w:rsid w:val="00B917E2"/>
    <w:rsid w:val="00B92ED1"/>
    <w:rsid w:val="00B94637"/>
    <w:rsid w:val="00B946A5"/>
    <w:rsid w:val="00B94A23"/>
    <w:rsid w:val="00B94B1C"/>
    <w:rsid w:val="00B94F64"/>
    <w:rsid w:val="00B94F7B"/>
    <w:rsid w:val="00B95D74"/>
    <w:rsid w:val="00B964DA"/>
    <w:rsid w:val="00B971D0"/>
    <w:rsid w:val="00BA0660"/>
    <w:rsid w:val="00BA0B7A"/>
    <w:rsid w:val="00BA1135"/>
    <w:rsid w:val="00BA1468"/>
    <w:rsid w:val="00BA1CD6"/>
    <w:rsid w:val="00BA22E7"/>
    <w:rsid w:val="00BA3067"/>
    <w:rsid w:val="00BA324A"/>
    <w:rsid w:val="00BA3444"/>
    <w:rsid w:val="00BA3F3C"/>
    <w:rsid w:val="00BA5A2E"/>
    <w:rsid w:val="00BA6179"/>
    <w:rsid w:val="00BA6EC6"/>
    <w:rsid w:val="00BA7111"/>
    <w:rsid w:val="00BB0243"/>
    <w:rsid w:val="00BB0421"/>
    <w:rsid w:val="00BB0DD5"/>
    <w:rsid w:val="00BB2792"/>
    <w:rsid w:val="00BB2858"/>
    <w:rsid w:val="00BB3319"/>
    <w:rsid w:val="00BB3828"/>
    <w:rsid w:val="00BB42B6"/>
    <w:rsid w:val="00BB43E1"/>
    <w:rsid w:val="00BB4ADB"/>
    <w:rsid w:val="00BB4C7B"/>
    <w:rsid w:val="00BB5157"/>
    <w:rsid w:val="00BB53E5"/>
    <w:rsid w:val="00BB5F4D"/>
    <w:rsid w:val="00BB6AEE"/>
    <w:rsid w:val="00BB6DFC"/>
    <w:rsid w:val="00BB6F91"/>
    <w:rsid w:val="00BB7CB7"/>
    <w:rsid w:val="00BB7F4E"/>
    <w:rsid w:val="00BC0487"/>
    <w:rsid w:val="00BC0E17"/>
    <w:rsid w:val="00BC12CA"/>
    <w:rsid w:val="00BC1D23"/>
    <w:rsid w:val="00BC1D59"/>
    <w:rsid w:val="00BC2C61"/>
    <w:rsid w:val="00BC2EA0"/>
    <w:rsid w:val="00BC2F6E"/>
    <w:rsid w:val="00BC2FB2"/>
    <w:rsid w:val="00BC3FCA"/>
    <w:rsid w:val="00BC42F3"/>
    <w:rsid w:val="00BC4492"/>
    <w:rsid w:val="00BC4F89"/>
    <w:rsid w:val="00BC5351"/>
    <w:rsid w:val="00BC5B90"/>
    <w:rsid w:val="00BC5F06"/>
    <w:rsid w:val="00BC6A90"/>
    <w:rsid w:val="00BC79E2"/>
    <w:rsid w:val="00BC7A95"/>
    <w:rsid w:val="00BC7F88"/>
    <w:rsid w:val="00BD15DB"/>
    <w:rsid w:val="00BD1C06"/>
    <w:rsid w:val="00BD2287"/>
    <w:rsid w:val="00BD2C70"/>
    <w:rsid w:val="00BD2D55"/>
    <w:rsid w:val="00BD3689"/>
    <w:rsid w:val="00BD3709"/>
    <w:rsid w:val="00BD423A"/>
    <w:rsid w:val="00BD4AE3"/>
    <w:rsid w:val="00BD5516"/>
    <w:rsid w:val="00BD5E94"/>
    <w:rsid w:val="00BD643C"/>
    <w:rsid w:val="00BD647B"/>
    <w:rsid w:val="00BD66B3"/>
    <w:rsid w:val="00BD6D72"/>
    <w:rsid w:val="00BD78F3"/>
    <w:rsid w:val="00BD794E"/>
    <w:rsid w:val="00BD7BC5"/>
    <w:rsid w:val="00BD7DF4"/>
    <w:rsid w:val="00BE0123"/>
    <w:rsid w:val="00BE05F3"/>
    <w:rsid w:val="00BE1854"/>
    <w:rsid w:val="00BE1E2D"/>
    <w:rsid w:val="00BE2B26"/>
    <w:rsid w:val="00BE2C86"/>
    <w:rsid w:val="00BE3B62"/>
    <w:rsid w:val="00BE43F8"/>
    <w:rsid w:val="00BE45EF"/>
    <w:rsid w:val="00BE46A5"/>
    <w:rsid w:val="00BE49D2"/>
    <w:rsid w:val="00BE4C90"/>
    <w:rsid w:val="00BE507D"/>
    <w:rsid w:val="00BE5B24"/>
    <w:rsid w:val="00BE670A"/>
    <w:rsid w:val="00BF02B2"/>
    <w:rsid w:val="00BF05F0"/>
    <w:rsid w:val="00BF1171"/>
    <w:rsid w:val="00BF13D7"/>
    <w:rsid w:val="00BF2043"/>
    <w:rsid w:val="00BF27F0"/>
    <w:rsid w:val="00BF28C3"/>
    <w:rsid w:val="00BF28EA"/>
    <w:rsid w:val="00BF376A"/>
    <w:rsid w:val="00BF3D4A"/>
    <w:rsid w:val="00BF44D7"/>
    <w:rsid w:val="00BF4D25"/>
    <w:rsid w:val="00BF4E93"/>
    <w:rsid w:val="00BF4FA9"/>
    <w:rsid w:val="00BF67C3"/>
    <w:rsid w:val="00BF6BED"/>
    <w:rsid w:val="00BF7864"/>
    <w:rsid w:val="00BF7E0B"/>
    <w:rsid w:val="00C00E97"/>
    <w:rsid w:val="00C010CF"/>
    <w:rsid w:val="00C0122E"/>
    <w:rsid w:val="00C01263"/>
    <w:rsid w:val="00C01A72"/>
    <w:rsid w:val="00C01FFE"/>
    <w:rsid w:val="00C02319"/>
    <w:rsid w:val="00C02327"/>
    <w:rsid w:val="00C026D7"/>
    <w:rsid w:val="00C03EBD"/>
    <w:rsid w:val="00C05979"/>
    <w:rsid w:val="00C05BD1"/>
    <w:rsid w:val="00C06763"/>
    <w:rsid w:val="00C06B5A"/>
    <w:rsid w:val="00C06B72"/>
    <w:rsid w:val="00C07648"/>
    <w:rsid w:val="00C07D95"/>
    <w:rsid w:val="00C10364"/>
    <w:rsid w:val="00C107FB"/>
    <w:rsid w:val="00C10B5F"/>
    <w:rsid w:val="00C10EB8"/>
    <w:rsid w:val="00C11413"/>
    <w:rsid w:val="00C11A72"/>
    <w:rsid w:val="00C125DE"/>
    <w:rsid w:val="00C12D21"/>
    <w:rsid w:val="00C132FE"/>
    <w:rsid w:val="00C1488D"/>
    <w:rsid w:val="00C14F0C"/>
    <w:rsid w:val="00C15F35"/>
    <w:rsid w:val="00C15F9D"/>
    <w:rsid w:val="00C16092"/>
    <w:rsid w:val="00C16B35"/>
    <w:rsid w:val="00C17111"/>
    <w:rsid w:val="00C17733"/>
    <w:rsid w:val="00C1794A"/>
    <w:rsid w:val="00C20BF0"/>
    <w:rsid w:val="00C2272A"/>
    <w:rsid w:val="00C23D3C"/>
    <w:rsid w:val="00C24186"/>
    <w:rsid w:val="00C24942"/>
    <w:rsid w:val="00C26C6A"/>
    <w:rsid w:val="00C272D1"/>
    <w:rsid w:val="00C27607"/>
    <w:rsid w:val="00C27F1D"/>
    <w:rsid w:val="00C30893"/>
    <w:rsid w:val="00C309C3"/>
    <w:rsid w:val="00C30F1F"/>
    <w:rsid w:val="00C310E2"/>
    <w:rsid w:val="00C312A6"/>
    <w:rsid w:val="00C336D3"/>
    <w:rsid w:val="00C33E76"/>
    <w:rsid w:val="00C34791"/>
    <w:rsid w:val="00C3554A"/>
    <w:rsid w:val="00C36CCE"/>
    <w:rsid w:val="00C37221"/>
    <w:rsid w:val="00C3787B"/>
    <w:rsid w:val="00C37CF0"/>
    <w:rsid w:val="00C37F2E"/>
    <w:rsid w:val="00C41E6C"/>
    <w:rsid w:val="00C42539"/>
    <w:rsid w:val="00C431D3"/>
    <w:rsid w:val="00C4332F"/>
    <w:rsid w:val="00C43663"/>
    <w:rsid w:val="00C44C91"/>
    <w:rsid w:val="00C450F0"/>
    <w:rsid w:val="00C45DBE"/>
    <w:rsid w:val="00C464E0"/>
    <w:rsid w:val="00C4662F"/>
    <w:rsid w:val="00C47447"/>
    <w:rsid w:val="00C474B1"/>
    <w:rsid w:val="00C47EBF"/>
    <w:rsid w:val="00C50E97"/>
    <w:rsid w:val="00C50F7B"/>
    <w:rsid w:val="00C51099"/>
    <w:rsid w:val="00C523EE"/>
    <w:rsid w:val="00C52517"/>
    <w:rsid w:val="00C533A2"/>
    <w:rsid w:val="00C5340E"/>
    <w:rsid w:val="00C54511"/>
    <w:rsid w:val="00C545D0"/>
    <w:rsid w:val="00C55793"/>
    <w:rsid w:val="00C5587A"/>
    <w:rsid w:val="00C572C7"/>
    <w:rsid w:val="00C57EB9"/>
    <w:rsid w:val="00C57F00"/>
    <w:rsid w:val="00C603B4"/>
    <w:rsid w:val="00C603E8"/>
    <w:rsid w:val="00C60EED"/>
    <w:rsid w:val="00C60F11"/>
    <w:rsid w:val="00C61208"/>
    <w:rsid w:val="00C61940"/>
    <w:rsid w:val="00C61D33"/>
    <w:rsid w:val="00C62782"/>
    <w:rsid w:val="00C62D1C"/>
    <w:rsid w:val="00C62E9C"/>
    <w:rsid w:val="00C63524"/>
    <w:rsid w:val="00C63901"/>
    <w:rsid w:val="00C63A1F"/>
    <w:rsid w:val="00C63CC8"/>
    <w:rsid w:val="00C64444"/>
    <w:rsid w:val="00C650D6"/>
    <w:rsid w:val="00C65965"/>
    <w:rsid w:val="00C6658C"/>
    <w:rsid w:val="00C70E06"/>
    <w:rsid w:val="00C71349"/>
    <w:rsid w:val="00C719C8"/>
    <w:rsid w:val="00C71E7F"/>
    <w:rsid w:val="00C72DF0"/>
    <w:rsid w:val="00C73E5D"/>
    <w:rsid w:val="00C7449C"/>
    <w:rsid w:val="00C74B92"/>
    <w:rsid w:val="00C74CF3"/>
    <w:rsid w:val="00C7554C"/>
    <w:rsid w:val="00C76EA9"/>
    <w:rsid w:val="00C775AB"/>
    <w:rsid w:val="00C7766F"/>
    <w:rsid w:val="00C77D17"/>
    <w:rsid w:val="00C80127"/>
    <w:rsid w:val="00C80653"/>
    <w:rsid w:val="00C80778"/>
    <w:rsid w:val="00C8077A"/>
    <w:rsid w:val="00C80AE4"/>
    <w:rsid w:val="00C810BB"/>
    <w:rsid w:val="00C8178B"/>
    <w:rsid w:val="00C81931"/>
    <w:rsid w:val="00C81EB7"/>
    <w:rsid w:val="00C81F0B"/>
    <w:rsid w:val="00C82171"/>
    <w:rsid w:val="00C8247D"/>
    <w:rsid w:val="00C82C89"/>
    <w:rsid w:val="00C8595D"/>
    <w:rsid w:val="00C85A51"/>
    <w:rsid w:val="00C871F3"/>
    <w:rsid w:val="00C874A0"/>
    <w:rsid w:val="00C878D5"/>
    <w:rsid w:val="00C87936"/>
    <w:rsid w:val="00C87CB3"/>
    <w:rsid w:val="00C9033B"/>
    <w:rsid w:val="00C908B2"/>
    <w:rsid w:val="00C90B27"/>
    <w:rsid w:val="00C913A1"/>
    <w:rsid w:val="00C9186A"/>
    <w:rsid w:val="00C9239E"/>
    <w:rsid w:val="00C92BDD"/>
    <w:rsid w:val="00C94303"/>
    <w:rsid w:val="00C9443B"/>
    <w:rsid w:val="00C949FC"/>
    <w:rsid w:val="00C96462"/>
    <w:rsid w:val="00C969CE"/>
    <w:rsid w:val="00C96B7B"/>
    <w:rsid w:val="00C9709D"/>
    <w:rsid w:val="00C97428"/>
    <w:rsid w:val="00C97ACB"/>
    <w:rsid w:val="00CA0503"/>
    <w:rsid w:val="00CA06D2"/>
    <w:rsid w:val="00CA14BC"/>
    <w:rsid w:val="00CA33CB"/>
    <w:rsid w:val="00CA3EE6"/>
    <w:rsid w:val="00CA41C9"/>
    <w:rsid w:val="00CA43E3"/>
    <w:rsid w:val="00CA4577"/>
    <w:rsid w:val="00CA5752"/>
    <w:rsid w:val="00CA5AB1"/>
    <w:rsid w:val="00CA5B66"/>
    <w:rsid w:val="00CA5E54"/>
    <w:rsid w:val="00CA787F"/>
    <w:rsid w:val="00CA7A4B"/>
    <w:rsid w:val="00CB09B4"/>
    <w:rsid w:val="00CB12C9"/>
    <w:rsid w:val="00CB21A5"/>
    <w:rsid w:val="00CB2D9F"/>
    <w:rsid w:val="00CB373D"/>
    <w:rsid w:val="00CB382D"/>
    <w:rsid w:val="00CB388C"/>
    <w:rsid w:val="00CB39C1"/>
    <w:rsid w:val="00CB413D"/>
    <w:rsid w:val="00CB434C"/>
    <w:rsid w:val="00CB4572"/>
    <w:rsid w:val="00CB46B6"/>
    <w:rsid w:val="00CB53F5"/>
    <w:rsid w:val="00CB559A"/>
    <w:rsid w:val="00CB60BA"/>
    <w:rsid w:val="00CB6841"/>
    <w:rsid w:val="00CB6A51"/>
    <w:rsid w:val="00CB6E76"/>
    <w:rsid w:val="00CB7A99"/>
    <w:rsid w:val="00CB7F66"/>
    <w:rsid w:val="00CC0759"/>
    <w:rsid w:val="00CC0979"/>
    <w:rsid w:val="00CC0992"/>
    <w:rsid w:val="00CC0B04"/>
    <w:rsid w:val="00CC1861"/>
    <w:rsid w:val="00CC2A78"/>
    <w:rsid w:val="00CC2FB4"/>
    <w:rsid w:val="00CC33FD"/>
    <w:rsid w:val="00CC3A29"/>
    <w:rsid w:val="00CC3BDA"/>
    <w:rsid w:val="00CC417F"/>
    <w:rsid w:val="00CC4586"/>
    <w:rsid w:val="00CC472C"/>
    <w:rsid w:val="00CC479E"/>
    <w:rsid w:val="00CC5004"/>
    <w:rsid w:val="00CC5F29"/>
    <w:rsid w:val="00CC6A99"/>
    <w:rsid w:val="00CC76AF"/>
    <w:rsid w:val="00CD1FB8"/>
    <w:rsid w:val="00CD2368"/>
    <w:rsid w:val="00CD359A"/>
    <w:rsid w:val="00CD3D27"/>
    <w:rsid w:val="00CD5579"/>
    <w:rsid w:val="00CD55A1"/>
    <w:rsid w:val="00CD5DC2"/>
    <w:rsid w:val="00CD779C"/>
    <w:rsid w:val="00CD785C"/>
    <w:rsid w:val="00CD7C44"/>
    <w:rsid w:val="00CE069A"/>
    <w:rsid w:val="00CE08B4"/>
    <w:rsid w:val="00CE0B59"/>
    <w:rsid w:val="00CE121C"/>
    <w:rsid w:val="00CE142D"/>
    <w:rsid w:val="00CE1C95"/>
    <w:rsid w:val="00CE243C"/>
    <w:rsid w:val="00CE2E5C"/>
    <w:rsid w:val="00CE3469"/>
    <w:rsid w:val="00CE4240"/>
    <w:rsid w:val="00CE4278"/>
    <w:rsid w:val="00CE4BAA"/>
    <w:rsid w:val="00CE5DEF"/>
    <w:rsid w:val="00CE70F3"/>
    <w:rsid w:val="00CE75DC"/>
    <w:rsid w:val="00CE7858"/>
    <w:rsid w:val="00CF01DF"/>
    <w:rsid w:val="00CF04A3"/>
    <w:rsid w:val="00CF05E3"/>
    <w:rsid w:val="00CF0D31"/>
    <w:rsid w:val="00CF1031"/>
    <w:rsid w:val="00CF188E"/>
    <w:rsid w:val="00CF2A21"/>
    <w:rsid w:val="00CF2EA9"/>
    <w:rsid w:val="00CF3AB4"/>
    <w:rsid w:val="00CF4520"/>
    <w:rsid w:val="00CF613B"/>
    <w:rsid w:val="00CF67A3"/>
    <w:rsid w:val="00CF6CC7"/>
    <w:rsid w:val="00CF6F2D"/>
    <w:rsid w:val="00CF76AC"/>
    <w:rsid w:val="00CF7EDC"/>
    <w:rsid w:val="00D0013D"/>
    <w:rsid w:val="00D00171"/>
    <w:rsid w:val="00D0017F"/>
    <w:rsid w:val="00D00AA3"/>
    <w:rsid w:val="00D00B4E"/>
    <w:rsid w:val="00D01F4F"/>
    <w:rsid w:val="00D03D2A"/>
    <w:rsid w:val="00D045A3"/>
    <w:rsid w:val="00D04FAE"/>
    <w:rsid w:val="00D0504E"/>
    <w:rsid w:val="00D051AA"/>
    <w:rsid w:val="00D05270"/>
    <w:rsid w:val="00D055DD"/>
    <w:rsid w:val="00D0569B"/>
    <w:rsid w:val="00D06170"/>
    <w:rsid w:val="00D0689A"/>
    <w:rsid w:val="00D069D0"/>
    <w:rsid w:val="00D06D7C"/>
    <w:rsid w:val="00D07F73"/>
    <w:rsid w:val="00D106A4"/>
    <w:rsid w:val="00D122AE"/>
    <w:rsid w:val="00D12319"/>
    <w:rsid w:val="00D128A8"/>
    <w:rsid w:val="00D12BBE"/>
    <w:rsid w:val="00D1354A"/>
    <w:rsid w:val="00D13766"/>
    <w:rsid w:val="00D13F1C"/>
    <w:rsid w:val="00D1470E"/>
    <w:rsid w:val="00D14844"/>
    <w:rsid w:val="00D14B86"/>
    <w:rsid w:val="00D14C27"/>
    <w:rsid w:val="00D152C7"/>
    <w:rsid w:val="00D15702"/>
    <w:rsid w:val="00D15ACF"/>
    <w:rsid w:val="00D15D72"/>
    <w:rsid w:val="00D16545"/>
    <w:rsid w:val="00D17442"/>
    <w:rsid w:val="00D17D33"/>
    <w:rsid w:val="00D17D67"/>
    <w:rsid w:val="00D17E1B"/>
    <w:rsid w:val="00D2041C"/>
    <w:rsid w:val="00D20490"/>
    <w:rsid w:val="00D2058A"/>
    <w:rsid w:val="00D20885"/>
    <w:rsid w:val="00D21784"/>
    <w:rsid w:val="00D21ECF"/>
    <w:rsid w:val="00D21F16"/>
    <w:rsid w:val="00D22568"/>
    <w:rsid w:val="00D23863"/>
    <w:rsid w:val="00D23B45"/>
    <w:rsid w:val="00D23DCE"/>
    <w:rsid w:val="00D2410E"/>
    <w:rsid w:val="00D24519"/>
    <w:rsid w:val="00D2459C"/>
    <w:rsid w:val="00D24B6C"/>
    <w:rsid w:val="00D25ADE"/>
    <w:rsid w:val="00D25E8A"/>
    <w:rsid w:val="00D27D63"/>
    <w:rsid w:val="00D30CB1"/>
    <w:rsid w:val="00D30CFA"/>
    <w:rsid w:val="00D30D52"/>
    <w:rsid w:val="00D30FD7"/>
    <w:rsid w:val="00D322F5"/>
    <w:rsid w:val="00D32A7B"/>
    <w:rsid w:val="00D32B17"/>
    <w:rsid w:val="00D32F64"/>
    <w:rsid w:val="00D332B6"/>
    <w:rsid w:val="00D335DB"/>
    <w:rsid w:val="00D33C89"/>
    <w:rsid w:val="00D33FA4"/>
    <w:rsid w:val="00D34497"/>
    <w:rsid w:val="00D348CC"/>
    <w:rsid w:val="00D34B53"/>
    <w:rsid w:val="00D34D11"/>
    <w:rsid w:val="00D34DAC"/>
    <w:rsid w:val="00D35583"/>
    <w:rsid w:val="00D36382"/>
    <w:rsid w:val="00D37BE4"/>
    <w:rsid w:val="00D401EE"/>
    <w:rsid w:val="00D40630"/>
    <w:rsid w:val="00D408A1"/>
    <w:rsid w:val="00D4143C"/>
    <w:rsid w:val="00D420BA"/>
    <w:rsid w:val="00D4238E"/>
    <w:rsid w:val="00D42C1E"/>
    <w:rsid w:val="00D43297"/>
    <w:rsid w:val="00D43883"/>
    <w:rsid w:val="00D43CC5"/>
    <w:rsid w:val="00D44631"/>
    <w:rsid w:val="00D44660"/>
    <w:rsid w:val="00D446EC"/>
    <w:rsid w:val="00D44D6C"/>
    <w:rsid w:val="00D44DB6"/>
    <w:rsid w:val="00D45632"/>
    <w:rsid w:val="00D456F0"/>
    <w:rsid w:val="00D457A6"/>
    <w:rsid w:val="00D45B7F"/>
    <w:rsid w:val="00D463EE"/>
    <w:rsid w:val="00D46E7E"/>
    <w:rsid w:val="00D5003B"/>
    <w:rsid w:val="00D50119"/>
    <w:rsid w:val="00D50190"/>
    <w:rsid w:val="00D50ABE"/>
    <w:rsid w:val="00D51519"/>
    <w:rsid w:val="00D5274B"/>
    <w:rsid w:val="00D52825"/>
    <w:rsid w:val="00D52EC2"/>
    <w:rsid w:val="00D547DD"/>
    <w:rsid w:val="00D54A0A"/>
    <w:rsid w:val="00D54A67"/>
    <w:rsid w:val="00D5528A"/>
    <w:rsid w:val="00D5543C"/>
    <w:rsid w:val="00D55708"/>
    <w:rsid w:val="00D55F3B"/>
    <w:rsid w:val="00D56ABA"/>
    <w:rsid w:val="00D56BD0"/>
    <w:rsid w:val="00D56E41"/>
    <w:rsid w:val="00D5762A"/>
    <w:rsid w:val="00D57DD4"/>
    <w:rsid w:val="00D60062"/>
    <w:rsid w:val="00D600B8"/>
    <w:rsid w:val="00D61134"/>
    <w:rsid w:val="00D62484"/>
    <w:rsid w:val="00D63003"/>
    <w:rsid w:val="00D63225"/>
    <w:rsid w:val="00D6380C"/>
    <w:rsid w:val="00D63BF2"/>
    <w:rsid w:val="00D6463A"/>
    <w:rsid w:val="00D6509F"/>
    <w:rsid w:val="00D655AE"/>
    <w:rsid w:val="00D6561D"/>
    <w:rsid w:val="00D65697"/>
    <w:rsid w:val="00D65CE0"/>
    <w:rsid w:val="00D6610B"/>
    <w:rsid w:val="00D704DA"/>
    <w:rsid w:val="00D70755"/>
    <w:rsid w:val="00D70AE0"/>
    <w:rsid w:val="00D71B57"/>
    <w:rsid w:val="00D71FE4"/>
    <w:rsid w:val="00D72D33"/>
    <w:rsid w:val="00D74013"/>
    <w:rsid w:val="00D74FC9"/>
    <w:rsid w:val="00D756B3"/>
    <w:rsid w:val="00D759A0"/>
    <w:rsid w:val="00D75E48"/>
    <w:rsid w:val="00D76029"/>
    <w:rsid w:val="00D764FB"/>
    <w:rsid w:val="00D7683B"/>
    <w:rsid w:val="00D77658"/>
    <w:rsid w:val="00D778DA"/>
    <w:rsid w:val="00D77AEA"/>
    <w:rsid w:val="00D8023F"/>
    <w:rsid w:val="00D816CF"/>
    <w:rsid w:val="00D81790"/>
    <w:rsid w:val="00D82003"/>
    <w:rsid w:val="00D82183"/>
    <w:rsid w:val="00D82A43"/>
    <w:rsid w:val="00D82B46"/>
    <w:rsid w:val="00D83747"/>
    <w:rsid w:val="00D839D5"/>
    <w:rsid w:val="00D840B9"/>
    <w:rsid w:val="00D84EEF"/>
    <w:rsid w:val="00D85215"/>
    <w:rsid w:val="00D85291"/>
    <w:rsid w:val="00D85E03"/>
    <w:rsid w:val="00D8618B"/>
    <w:rsid w:val="00D863D5"/>
    <w:rsid w:val="00D86727"/>
    <w:rsid w:val="00D86F6A"/>
    <w:rsid w:val="00D871B2"/>
    <w:rsid w:val="00D872E5"/>
    <w:rsid w:val="00D904C7"/>
    <w:rsid w:val="00D929C6"/>
    <w:rsid w:val="00D92FD5"/>
    <w:rsid w:val="00D9328A"/>
    <w:rsid w:val="00D93845"/>
    <w:rsid w:val="00D93AC9"/>
    <w:rsid w:val="00D942E9"/>
    <w:rsid w:val="00D94526"/>
    <w:rsid w:val="00D94BA7"/>
    <w:rsid w:val="00D95195"/>
    <w:rsid w:val="00D95210"/>
    <w:rsid w:val="00D95772"/>
    <w:rsid w:val="00D958F2"/>
    <w:rsid w:val="00D959B8"/>
    <w:rsid w:val="00D95B82"/>
    <w:rsid w:val="00D95D46"/>
    <w:rsid w:val="00D9627A"/>
    <w:rsid w:val="00D96AD5"/>
    <w:rsid w:val="00D96C02"/>
    <w:rsid w:val="00D96DC6"/>
    <w:rsid w:val="00D97A1B"/>
    <w:rsid w:val="00DA1853"/>
    <w:rsid w:val="00DA206D"/>
    <w:rsid w:val="00DA278F"/>
    <w:rsid w:val="00DA32E8"/>
    <w:rsid w:val="00DA39AE"/>
    <w:rsid w:val="00DA3BB1"/>
    <w:rsid w:val="00DA4779"/>
    <w:rsid w:val="00DA5298"/>
    <w:rsid w:val="00DA578A"/>
    <w:rsid w:val="00DA5800"/>
    <w:rsid w:val="00DA5DB0"/>
    <w:rsid w:val="00DA659A"/>
    <w:rsid w:val="00DA66EF"/>
    <w:rsid w:val="00DA6AEE"/>
    <w:rsid w:val="00DA7093"/>
    <w:rsid w:val="00DA7113"/>
    <w:rsid w:val="00DA7B5D"/>
    <w:rsid w:val="00DA7E94"/>
    <w:rsid w:val="00DB1C03"/>
    <w:rsid w:val="00DB208A"/>
    <w:rsid w:val="00DB2A31"/>
    <w:rsid w:val="00DB2F04"/>
    <w:rsid w:val="00DB315A"/>
    <w:rsid w:val="00DB36FB"/>
    <w:rsid w:val="00DB428A"/>
    <w:rsid w:val="00DB50FB"/>
    <w:rsid w:val="00DB5142"/>
    <w:rsid w:val="00DB5268"/>
    <w:rsid w:val="00DB5320"/>
    <w:rsid w:val="00DB54C6"/>
    <w:rsid w:val="00DB5ADF"/>
    <w:rsid w:val="00DB67F8"/>
    <w:rsid w:val="00DB6CC7"/>
    <w:rsid w:val="00DB7846"/>
    <w:rsid w:val="00DB79D0"/>
    <w:rsid w:val="00DB7C0F"/>
    <w:rsid w:val="00DC0079"/>
    <w:rsid w:val="00DC02D9"/>
    <w:rsid w:val="00DC1163"/>
    <w:rsid w:val="00DC1392"/>
    <w:rsid w:val="00DC2C98"/>
    <w:rsid w:val="00DC31FF"/>
    <w:rsid w:val="00DC3C79"/>
    <w:rsid w:val="00DC4700"/>
    <w:rsid w:val="00DC47FC"/>
    <w:rsid w:val="00DC5674"/>
    <w:rsid w:val="00DC56F7"/>
    <w:rsid w:val="00DC5936"/>
    <w:rsid w:val="00DC6027"/>
    <w:rsid w:val="00DC6631"/>
    <w:rsid w:val="00DC66A9"/>
    <w:rsid w:val="00DC6C8C"/>
    <w:rsid w:val="00DC6FCA"/>
    <w:rsid w:val="00DC7278"/>
    <w:rsid w:val="00DC72D4"/>
    <w:rsid w:val="00DC7389"/>
    <w:rsid w:val="00DC7F30"/>
    <w:rsid w:val="00DD010D"/>
    <w:rsid w:val="00DD061B"/>
    <w:rsid w:val="00DD073E"/>
    <w:rsid w:val="00DD0E42"/>
    <w:rsid w:val="00DD11BE"/>
    <w:rsid w:val="00DD18A7"/>
    <w:rsid w:val="00DD2643"/>
    <w:rsid w:val="00DD32C4"/>
    <w:rsid w:val="00DD3442"/>
    <w:rsid w:val="00DD3712"/>
    <w:rsid w:val="00DD465B"/>
    <w:rsid w:val="00DD62DF"/>
    <w:rsid w:val="00DD66F5"/>
    <w:rsid w:val="00DE08AB"/>
    <w:rsid w:val="00DE0F66"/>
    <w:rsid w:val="00DE1392"/>
    <w:rsid w:val="00DE1AA6"/>
    <w:rsid w:val="00DE1B80"/>
    <w:rsid w:val="00DE1CB7"/>
    <w:rsid w:val="00DE2467"/>
    <w:rsid w:val="00DE3060"/>
    <w:rsid w:val="00DE30A8"/>
    <w:rsid w:val="00DE34EA"/>
    <w:rsid w:val="00DE35BD"/>
    <w:rsid w:val="00DE3E24"/>
    <w:rsid w:val="00DE57E7"/>
    <w:rsid w:val="00DE5879"/>
    <w:rsid w:val="00DE5F17"/>
    <w:rsid w:val="00DE66DF"/>
    <w:rsid w:val="00DF004A"/>
    <w:rsid w:val="00DF0382"/>
    <w:rsid w:val="00DF03EC"/>
    <w:rsid w:val="00DF09C3"/>
    <w:rsid w:val="00DF0CB0"/>
    <w:rsid w:val="00DF1451"/>
    <w:rsid w:val="00DF238C"/>
    <w:rsid w:val="00DF29E1"/>
    <w:rsid w:val="00DF361F"/>
    <w:rsid w:val="00DF3B79"/>
    <w:rsid w:val="00DF3C1F"/>
    <w:rsid w:val="00DF41D5"/>
    <w:rsid w:val="00DF4F71"/>
    <w:rsid w:val="00DF58E7"/>
    <w:rsid w:val="00DF594B"/>
    <w:rsid w:val="00DF5CAC"/>
    <w:rsid w:val="00DF6007"/>
    <w:rsid w:val="00DF6EFA"/>
    <w:rsid w:val="00DF72D7"/>
    <w:rsid w:val="00E0046E"/>
    <w:rsid w:val="00E0052B"/>
    <w:rsid w:val="00E006A9"/>
    <w:rsid w:val="00E026CF"/>
    <w:rsid w:val="00E02836"/>
    <w:rsid w:val="00E02C23"/>
    <w:rsid w:val="00E04690"/>
    <w:rsid w:val="00E0513B"/>
    <w:rsid w:val="00E057DC"/>
    <w:rsid w:val="00E05C9F"/>
    <w:rsid w:val="00E06B3B"/>
    <w:rsid w:val="00E06C16"/>
    <w:rsid w:val="00E075E1"/>
    <w:rsid w:val="00E1162F"/>
    <w:rsid w:val="00E11876"/>
    <w:rsid w:val="00E1187E"/>
    <w:rsid w:val="00E11F30"/>
    <w:rsid w:val="00E1206B"/>
    <w:rsid w:val="00E143C5"/>
    <w:rsid w:val="00E147AF"/>
    <w:rsid w:val="00E14984"/>
    <w:rsid w:val="00E154D8"/>
    <w:rsid w:val="00E1725B"/>
    <w:rsid w:val="00E17310"/>
    <w:rsid w:val="00E17422"/>
    <w:rsid w:val="00E175E9"/>
    <w:rsid w:val="00E20B16"/>
    <w:rsid w:val="00E20D05"/>
    <w:rsid w:val="00E21911"/>
    <w:rsid w:val="00E227AE"/>
    <w:rsid w:val="00E22B0F"/>
    <w:rsid w:val="00E234C0"/>
    <w:rsid w:val="00E23CBB"/>
    <w:rsid w:val="00E23EA0"/>
    <w:rsid w:val="00E24263"/>
    <w:rsid w:val="00E24E15"/>
    <w:rsid w:val="00E25578"/>
    <w:rsid w:val="00E261EE"/>
    <w:rsid w:val="00E267D6"/>
    <w:rsid w:val="00E267F3"/>
    <w:rsid w:val="00E26FFB"/>
    <w:rsid w:val="00E27BEA"/>
    <w:rsid w:val="00E302D8"/>
    <w:rsid w:val="00E30F4F"/>
    <w:rsid w:val="00E310B6"/>
    <w:rsid w:val="00E313F0"/>
    <w:rsid w:val="00E31FFD"/>
    <w:rsid w:val="00E3259E"/>
    <w:rsid w:val="00E32631"/>
    <w:rsid w:val="00E33EF5"/>
    <w:rsid w:val="00E343DF"/>
    <w:rsid w:val="00E34589"/>
    <w:rsid w:val="00E35B08"/>
    <w:rsid w:val="00E367F3"/>
    <w:rsid w:val="00E36834"/>
    <w:rsid w:val="00E36D55"/>
    <w:rsid w:val="00E374F4"/>
    <w:rsid w:val="00E37544"/>
    <w:rsid w:val="00E3783E"/>
    <w:rsid w:val="00E37B59"/>
    <w:rsid w:val="00E37ED4"/>
    <w:rsid w:val="00E4076A"/>
    <w:rsid w:val="00E40960"/>
    <w:rsid w:val="00E40B11"/>
    <w:rsid w:val="00E40E3D"/>
    <w:rsid w:val="00E42893"/>
    <w:rsid w:val="00E42BF7"/>
    <w:rsid w:val="00E43AB7"/>
    <w:rsid w:val="00E43E2D"/>
    <w:rsid w:val="00E44D94"/>
    <w:rsid w:val="00E4504C"/>
    <w:rsid w:val="00E4510D"/>
    <w:rsid w:val="00E45FAA"/>
    <w:rsid w:val="00E466C2"/>
    <w:rsid w:val="00E46CE7"/>
    <w:rsid w:val="00E4784C"/>
    <w:rsid w:val="00E47A9B"/>
    <w:rsid w:val="00E47FF5"/>
    <w:rsid w:val="00E505D3"/>
    <w:rsid w:val="00E50889"/>
    <w:rsid w:val="00E51144"/>
    <w:rsid w:val="00E51913"/>
    <w:rsid w:val="00E51A5A"/>
    <w:rsid w:val="00E51C11"/>
    <w:rsid w:val="00E5207E"/>
    <w:rsid w:val="00E5257B"/>
    <w:rsid w:val="00E52F20"/>
    <w:rsid w:val="00E53021"/>
    <w:rsid w:val="00E53210"/>
    <w:rsid w:val="00E53438"/>
    <w:rsid w:val="00E53535"/>
    <w:rsid w:val="00E53CD8"/>
    <w:rsid w:val="00E5570D"/>
    <w:rsid w:val="00E5658C"/>
    <w:rsid w:val="00E56E11"/>
    <w:rsid w:val="00E5775F"/>
    <w:rsid w:val="00E5787D"/>
    <w:rsid w:val="00E600D2"/>
    <w:rsid w:val="00E602C8"/>
    <w:rsid w:val="00E6120E"/>
    <w:rsid w:val="00E614EA"/>
    <w:rsid w:val="00E617C2"/>
    <w:rsid w:val="00E621F4"/>
    <w:rsid w:val="00E63DA5"/>
    <w:rsid w:val="00E63DDF"/>
    <w:rsid w:val="00E644C1"/>
    <w:rsid w:val="00E645CF"/>
    <w:rsid w:val="00E6537B"/>
    <w:rsid w:val="00E66112"/>
    <w:rsid w:val="00E666DC"/>
    <w:rsid w:val="00E66C97"/>
    <w:rsid w:val="00E678CE"/>
    <w:rsid w:val="00E707E4"/>
    <w:rsid w:val="00E70C03"/>
    <w:rsid w:val="00E71627"/>
    <w:rsid w:val="00E716AF"/>
    <w:rsid w:val="00E725FC"/>
    <w:rsid w:val="00E72987"/>
    <w:rsid w:val="00E72A35"/>
    <w:rsid w:val="00E72A95"/>
    <w:rsid w:val="00E72AA2"/>
    <w:rsid w:val="00E72CEF"/>
    <w:rsid w:val="00E72DDA"/>
    <w:rsid w:val="00E73422"/>
    <w:rsid w:val="00E73EAB"/>
    <w:rsid w:val="00E74394"/>
    <w:rsid w:val="00E75708"/>
    <w:rsid w:val="00E75C65"/>
    <w:rsid w:val="00E76CC6"/>
    <w:rsid w:val="00E76CF0"/>
    <w:rsid w:val="00E76CF6"/>
    <w:rsid w:val="00E77601"/>
    <w:rsid w:val="00E77A4D"/>
    <w:rsid w:val="00E806BE"/>
    <w:rsid w:val="00E806F7"/>
    <w:rsid w:val="00E81789"/>
    <w:rsid w:val="00E81E74"/>
    <w:rsid w:val="00E81F91"/>
    <w:rsid w:val="00E82780"/>
    <w:rsid w:val="00E827B3"/>
    <w:rsid w:val="00E82C75"/>
    <w:rsid w:val="00E82D8A"/>
    <w:rsid w:val="00E82E78"/>
    <w:rsid w:val="00E8342A"/>
    <w:rsid w:val="00E83ADF"/>
    <w:rsid w:val="00E844C0"/>
    <w:rsid w:val="00E8459B"/>
    <w:rsid w:val="00E84925"/>
    <w:rsid w:val="00E849AE"/>
    <w:rsid w:val="00E85688"/>
    <w:rsid w:val="00E85786"/>
    <w:rsid w:val="00E8597E"/>
    <w:rsid w:val="00E85EF6"/>
    <w:rsid w:val="00E85F63"/>
    <w:rsid w:val="00E860F2"/>
    <w:rsid w:val="00E866EE"/>
    <w:rsid w:val="00E86D34"/>
    <w:rsid w:val="00E875FB"/>
    <w:rsid w:val="00E87627"/>
    <w:rsid w:val="00E90442"/>
    <w:rsid w:val="00E9085D"/>
    <w:rsid w:val="00E90A2A"/>
    <w:rsid w:val="00E90E7D"/>
    <w:rsid w:val="00E90ECA"/>
    <w:rsid w:val="00E9112A"/>
    <w:rsid w:val="00E9131C"/>
    <w:rsid w:val="00E915C2"/>
    <w:rsid w:val="00E923B4"/>
    <w:rsid w:val="00E93CBA"/>
    <w:rsid w:val="00E95EBF"/>
    <w:rsid w:val="00E962DE"/>
    <w:rsid w:val="00E96838"/>
    <w:rsid w:val="00E96981"/>
    <w:rsid w:val="00E9711C"/>
    <w:rsid w:val="00E973B3"/>
    <w:rsid w:val="00E973FE"/>
    <w:rsid w:val="00E97D82"/>
    <w:rsid w:val="00E97F0C"/>
    <w:rsid w:val="00EA09C3"/>
    <w:rsid w:val="00EA0E8D"/>
    <w:rsid w:val="00EA167B"/>
    <w:rsid w:val="00EA20AB"/>
    <w:rsid w:val="00EA3157"/>
    <w:rsid w:val="00EA36C6"/>
    <w:rsid w:val="00EA3778"/>
    <w:rsid w:val="00EA3B1F"/>
    <w:rsid w:val="00EA3F44"/>
    <w:rsid w:val="00EA4A48"/>
    <w:rsid w:val="00EA4D7A"/>
    <w:rsid w:val="00EA50EC"/>
    <w:rsid w:val="00EA5755"/>
    <w:rsid w:val="00EA5982"/>
    <w:rsid w:val="00EA5F55"/>
    <w:rsid w:val="00EA689C"/>
    <w:rsid w:val="00EA6CCF"/>
    <w:rsid w:val="00EA6DA4"/>
    <w:rsid w:val="00EA7A57"/>
    <w:rsid w:val="00EA7AD1"/>
    <w:rsid w:val="00EB045F"/>
    <w:rsid w:val="00EB09F5"/>
    <w:rsid w:val="00EB0F10"/>
    <w:rsid w:val="00EB14F0"/>
    <w:rsid w:val="00EB15CD"/>
    <w:rsid w:val="00EB187E"/>
    <w:rsid w:val="00EB19EB"/>
    <w:rsid w:val="00EB2100"/>
    <w:rsid w:val="00EB2AE0"/>
    <w:rsid w:val="00EB2C1E"/>
    <w:rsid w:val="00EB2F21"/>
    <w:rsid w:val="00EB37D5"/>
    <w:rsid w:val="00EB40CB"/>
    <w:rsid w:val="00EB487A"/>
    <w:rsid w:val="00EB4B3D"/>
    <w:rsid w:val="00EB58B5"/>
    <w:rsid w:val="00EB6096"/>
    <w:rsid w:val="00EB6B84"/>
    <w:rsid w:val="00EB6D26"/>
    <w:rsid w:val="00EB6F1D"/>
    <w:rsid w:val="00EB724B"/>
    <w:rsid w:val="00EB7752"/>
    <w:rsid w:val="00EB7D32"/>
    <w:rsid w:val="00EB7E84"/>
    <w:rsid w:val="00EC05B0"/>
    <w:rsid w:val="00EC09A6"/>
    <w:rsid w:val="00EC0A91"/>
    <w:rsid w:val="00EC10B6"/>
    <w:rsid w:val="00EC13FC"/>
    <w:rsid w:val="00EC164F"/>
    <w:rsid w:val="00EC1A54"/>
    <w:rsid w:val="00EC1E5B"/>
    <w:rsid w:val="00EC26A0"/>
    <w:rsid w:val="00EC27D8"/>
    <w:rsid w:val="00EC2EDD"/>
    <w:rsid w:val="00EC30F9"/>
    <w:rsid w:val="00EC389A"/>
    <w:rsid w:val="00EC38A8"/>
    <w:rsid w:val="00EC3CF6"/>
    <w:rsid w:val="00EC47FE"/>
    <w:rsid w:val="00EC487A"/>
    <w:rsid w:val="00EC4F7B"/>
    <w:rsid w:val="00EC576E"/>
    <w:rsid w:val="00EC5956"/>
    <w:rsid w:val="00EC6410"/>
    <w:rsid w:val="00EC6CEB"/>
    <w:rsid w:val="00EC723D"/>
    <w:rsid w:val="00EC736E"/>
    <w:rsid w:val="00EC7916"/>
    <w:rsid w:val="00ED14AF"/>
    <w:rsid w:val="00ED1A34"/>
    <w:rsid w:val="00ED1B29"/>
    <w:rsid w:val="00ED22B1"/>
    <w:rsid w:val="00ED2F59"/>
    <w:rsid w:val="00ED3245"/>
    <w:rsid w:val="00ED372E"/>
    <w:rsid w:val="00ED3C62"/>
    <w:rsid w:val="00ED3D3E"/>
    <w:rsid w:val="00ED3DBD"/>
    <w:rsid w:val="00ED47EB"/>
    <w:rsid w:val="00ED4F58"/>
    <w:rsid w:val="00ED55FA"/>
    <w:rsid w:val="00ED5725"/>
    <w:rsid w:val="00ED5786"/>
    <w:rsid w:val="00ED5D7E"/>
    <w:rsid w:val="00ED5F29"/>
    <w:rsid w:val="00ED6900"/>
    <w:rsid w:val="00ED6BBC"/>
    <w:rsid w:val="00ED6D1C"/>
    <w:rsid w:val="00ED7031"/>
    <w:rsid w:val="00ED71A7"/>
    <w:rsid w:val="00ED7455"/>
    <w:rsid w:val="00EE04B9"/>
    <w:rsid w:val="00EE06E9"/>
    <w:rsid w:val="00EE1AE6"/>
    <w:rsid w:val="00EE3060"/>
    <w:rsid w:val="00EE4104"/>
    <w:rsid w:val="00EE4315"/>
    <w:rsid w:val="00EE4A1A"/>
    <w:rsid w:val="00EE4C10"/>
    <w:rsid w:val="00EE50DC"/>
    <w:rsid w:val="00EE53CC"/>
    <w:rsid w:val="00EE6133"/>
    <w:rsid w:val="00EE6948"/>
    <w:rsid w:val="00EE6D66"/>
    <w:rsid w:val="00EE7564"/>
    <w:rsid w:val="00EE78CA"/>
    <w:rsid w:val="00EF1F36"/>
    <w:rsid w:val="00EF2543"/>
    <w:rsid w:val="00EF2629"/>
    <w:rsid w:val="00EF2D01"/>
    <w:rsid w:val="00EF3D9E"/>
    <w:rsid w:val="00EF3DE0"/>
    <w:rsid w:val="00EF412F"/>
    <w:rsid w:val="00EF4497"/>
    <w:rsid w:val="00EF44D7"/>
    <w:rsid w:val="00EF49DF"/>
    <w:rsid w:val="00EF4AB1"/>
    <w:rsid w:val="00EF4BB8"/>
    <w:rsid w:val="00EF65F0"/>
    <w:rsid w:val="00EF6772"/>
    <w:rsid w:val="00EF6875"/>
    <w:rsid w:val="00EF6925"/>
    <w:rsid w:val="00EF6A33"/>
    <w:rsid w:val="00EF6FE8"/>
    <w:rsid w:val="00EF71F8"/>
    <w:rsid w:val="00F001F2"/>
    <w:rsid w:val="00F01A51"/>
    <w:rsid w:val="00F01BC6"/>
    <w:rsid w:val="00F031F8"/>
    <w:rsid w:val="00F03368"/>
    <w:rsid w:val="00F039D6"/>
    <w:rsid w:val="00F03D2D"/>
    <w:rsid w:val="00F0455D"/>
    <w:rsid w:val="00F04A6F"/>
    <w:rsid w:val="00F04DF9"/>
    <w:rsid w:val="00F05728"/>
    <w:rsid w:val="00F06194"/>
    <w:rsid w:val="00F06EB3"/>
    <w:rsid w:val="00F076D7"/>
    <w:rsid w:val="00F10089"/>
    <w:rsid w:val="00F106E5"/>
    <w:rsid w:val="00F110D4"/>
    <w:rsid w:val="00F120DF"/>
    <w:rsid w:val="00F12118"/>
    <w:rsid w:val="00F1296A"/>
    <w:rsid w:val="00F12E85"/>
    <w:rsid w:val="00F13831"/>
    <w:rsid w:val="00F13A28"/>
    <w:rsid w:val="00F14472"/>
    <w:rsid w:val="00F145E9"/>
    <w:rsid w:val="00F15110"/>
    <w:rsid w:val="00F15898"/>
    <w:rsid w:val="00F164E4"/>
    <w:rsid w:val="00F204AD"/>
    <w:rsid w:val="00F20699"/>
    <w:rsid w:val="00F20A3E"/>
    <w:rsid w:val="00F22143"/>
    <w:rsid w:val="00F226A3"/>
    <w:rsid w:val="00F22FF9"/>
    <w:rsid w:val="00F23114"/>
    <w:rsid w:val="00F239E8"/>
    <w:rsid w:val="00F23A0B"/>
    <w:rsid w:val="00F23C05"/>
    <w:rsid w:val="00F24531"/>
    <w:rsid w:val="00F2636E"/>
    <w:rsid w:val="00F2647B"/>
    <w:rsid w:val="00F267CC"/>
    <w:rsid w:val="00F26D92"/>
    <w:rsid w:val="00F26D99"/>
    <w:rsid w:val="00F26ED3"/>
    <w:rsid w:val="00F27DDB"/>
    <w:rsid w:val="00F27DFD"/>
    <w:rsid w:val="00F307D2"/>
    <w:rsid w:val="00F30C51"/>
    <w:rsid w:val="00F30D85"/>
    <w:rsid w:val="00F30FC0"/>
    <w:rsid w:val="00F31548"/>
    <w:rsid w:val="00F31759"/>
    <w:rsid w:val="00F32048"/>
    <w:rsid w:val="00F324AA"/>
    <w:rsid w:val="00F3274B"/>
    <w:rsid w:val="00F32D8A"/>
    <w:rsid w:val="00F33236"/>
    <w:rsid w:val="00F34D50"/>
    <w:rsid w:val="00F355A2"/>
    <w:rsid w:val="00F35C41"/>
    <w:rsid w:val="00F35D40"/>
    <w:rsid w:val="00F3679F"/>
    <w:rsid w:val="00F36BC1"/>
    <w:rsid w:val="00F36D67"/>
    <w:rsid w:val="00F3798A"/>
    <w:rsid w:val="00F37D7F"/>
    <w:rsid w:val="00F4038F"/>
    <w:rsid w:val="00F40767"/>
    <w:rsid w:val="00F411FB"/>
    <w:rsid w:val="00F41AE4"/>
    <w:rsid w:val="00F41E2E"/>
    <w:rsid w:val="00F42174"/>
    <w:rsid w:val="00F42845"/>
    <w:rsid w:val="00F43464"/>
    <w:rsid w:val="00F4445B"/>
    <w:rsid w:val="00F44A55"/>
    <w:rsid w:val="00F44AC3"/>
    <w:rsid w:val="00F44D4F"/>
    <w:rsid w:val="00F44D65"/>
    <w:rsid w:val="00F4501A"/>
    <w:rsid w:val="00F454BC"/>
    <w:rsid w:val="00F455D6"/>
    <w:rsid w:val="00F456DC"/>
    <w:rsid w:val="00F45A52"/>
    <w:rsid w:val="00F45E3D"/>
    <w:rsid w:val="00F464EB"/>
    <w:rsid w:val="00F4717F"/>
    <w:rsid w:val="00F5014E"/>
    <w:rsid w:val="00F50195"/>
    <w:rsid w:val="00F50483"/>
    <w:rsid w:val="00F50DFA"/>
    <w:rsid w:val="00F50E63"/>
    <w:rsid w:val="00F514E8"/>
    <w:rsid w:val="00F5157E"/>
    <w:rsid w:val="00F515AA"/>
    <w:rsid w:val="00F52AB7"/>
    <w:rsid w:val="00F52B43"/>
    <w:rsid w:val="00F52B4B"/>
    <w:rsid w:val="00F52CB1"/>
    <w:rsid w:val="00F53293"/>
    <w:rsid w:val="00F53EB5"/>
    <w:rsid w:val="00F5431A"/>
    <w:rsid w:val="00F54617"/>
    <w:rsid w:val="00F54A3A"/>
    <w:rsid w:val="00F54AD2"/>
    <w:rsid w:val="00F54CB0"/>
    <w:rsid w:val="00F550EA"/>
    <w:rsid w:val="00F558AC"/>
    <w:rsid w:val="00F55B42"/>
    <w:rsid w:val="00F55D40"/>
    <w:rsid w:val="00F563C4"/>
    <w:rsid w:val="00F572CB"/>
    <w:rsid w:val="00F573E5"/>
    <w:rsid w:val="00F57CE3"/>
    <w:rsid w:val="00F57D96"/>
    <w:rsid w:val="00F57E04"/>
    <w:rsid w:val="00F6009D"/>
    <w:rsid w:val="00F603CA"/>
    <w:rsid w:val="00F61FCD"/>
    <w:rsid w:val="00F62211"/>
    <w:rsid w:val="00F6250B"/>
    <w:rsid w:val="00F62B7A"/>
    <w:rsid w:val="00F62EE8"/>
    <w:rsid w:val="00F636E0"/>
    <w:rsid w:val="00F6397D"/>
    <w:rsid w:val="00F64389"/>
    <w:rsid w:val="00F6466E"/>
    <w:rsid w:val="00F64CD5"/>
    <w:rsid w:val="00F652B5"/>
    <w:rsid w:val="00F66315"/>
    <w:rsid w:val="00F66A24"/>
    <w:rsid w:val="00F674C1"/>
    <w:rsid w:val="00F70242"/>
    <w:rsid w:val="00F706CC"/>
    <w:rsid w:val="00F70AE2"/>
    <w:rsid w:val="00F71897"/>
    <w:rsid w:val="00F71AB0"/>
    <w:rsid w:val="00F72349"/>
    <w:rsid w:val="00F7293E"/>
    <w:rsid w:val="00F72A7E"/>
    <w:rsid w:val="00F7364A"/>
    <w:rsid w:val="00F73833"/>
    <w:rsid w:val="00F744B0"/>
    <w:rsid w:val="00F747E4"/>
    <w:rsid w:val="00F755BD"/>
    <w:rsid w:val="00F75978"/>
    <w:rsid w:val="00F75AB1"/>
    <w:rsid w:val="00F75C77"/>
    <w:rsid w:val="00F76650"/>
    <w:rsid w:val="00F76B07"/>
    <w:rsid w:val="00F76F59"/>
    <w:rsid w:val="00F77344"/>
    <w:rsid w:val="00F77498"/>
    <w:rsid w:val="00F77C0C"/>
    <w:rsid w:val="00F77CB7"/>
    <w:rsid w:val="00F77F1A"/>
    <w:rsid w:val="00F80C66"/>
    <w:rsid w:val="00F80CB4"/>
    <w:rsid w:val="00F80EB7"/>
    <w:rsid w:val="00F8153F"/>
    <w:rsid w:val="00F823E7"/>
    <w:rsid w:val="00F823F5"/>
    <w:rsid w:val="00F82A85"/>
    <w:rsid w:val="00F83D15"/>
    <w:rsid w:val="00F84F1B"/>
    <w:rsid w:val="00F856F1"/>
    <w:rsid w:val="00F85AD5"/>
    <w:rsid w:val="00F87CD3"/>
    <w:rsid w:val="00F906A1"/>
    <w:rsid w:val="00F90DDB"/>
    <w:rsid w:val="00F9187B"/>
    <w:rsid w:val="00F91A4A"/>
    <w:rsid w:val="00F91EE1"/>
    <w:rsid w:val="00F92248"/>
    <w:rsid w:val="00F92385"/>
    <w:rsid w:val="00F92513"/>
    <w:rsid w:val="00F92894"/>
    <w:rsid w:val="00F92E05"/>
    <w:rsid w:val="00F939D0"/>
    <w:rsid w:val="00F9460C"/>
    <w:rsid w:val="00F94ABB"/>
    <w:rsid w:val="00F9579B"/>
    <w:rsid w:val="00F9588D"/>
    <w:rsid w:val="00F95DA8"/>
    <w:rsid w:val="00F95E3B"/>
    <w:rsid w:val="00F96C26"/>
    <w:rsid w:val="00F96FD8"/>
    <w:rsid w:val="00F9728D"/>
    <w:rsid w:val="00F97CC0"/>
    <w:rsid w:val="00FA0486"/>
    <w:rsid w:val="00FA15D5"/>
    <w:rsid w:val="00FA1B4F"/>
    <w:rsid w:val="00FA2266"/>
    <w:rsid w:val="00FA22B1"/>
    <w:rsid w:val="00FA2CB2"/>
    <w:rsid w:val="00FA4417"/>
    <w:rsid w:val="00FA46F8"/>
    <w:rsid w:val="00FA570D"/>
    <w:rsid w:val="00FA5C90"/>
    <w:rsid w:val="00FA5D08"/>
    <w:rsid w:val="00FA618C"/>
    <w:rsid w:val="00FA6898"/>
    <w:rsid w:val="00FA6ACD"/>
    <w:rsid w:val="00FA6C6E"/>
    <w:rsid w:val="00FA7574"/>
    <w:rsid w:val="00FA76E9"/>
    <w:rsid w:val="00FA77E6"/>
    <w:rsid w:val="00FA7AF9"/>
    <w:rsid w:val="00FA7DEF"/>
    <w:rsid w:val="00FB0CD2"/>
    <w:rsid w:val="00FB0DD0"/>
    <w:rsid w:val="00FB0E5D"/>
    <w:rsid w:val="00FB0F4F"/>
    <w:rsid w:val="00FB2061"/>
    <w:rsid w:val="00FB2467"/>
    <w:rsid w:val="00FB2EE8"/>
    <w:rsid w:val="00FB44D4"/>
    <w:rsid w:val="00FB4A57"/>
    <w:rsid w:val="00FB50AD"/>
    <w:rsid w:val="00FB5381"/>
    <w:rsid w:val="00FB540A"/>
    <w:rsid w:val="00FB5673"/>
    <w:rsid w:val="00FB5C47"/>
    <w:rsid w:val="00FB5E92"/>
    <w:rsid w:val="00FB6408"/>
    <w:rsid w:val="00FB65B6"/>
    <w:rsid w:val="00FB6C74"/>
    <w:rsid w:val="00FB76A4"/>
    <w:rsid w:val="00FB7958"/>
    <w:rsid w:val="00FC0C22"/>
    <w:rsid w:val="00FC17DE"/>
    <w:rsid w:val="00FC2D3C"/>
    <w:rsid w:val="00FC2EE6"/>
    <w:rsid w:val="00FC3102"/>
    <w:rsid w:val="00FC3794"/>
    <w:rsid w:val="00FC37D8"/>
    <w:rsid w:val="00FC3DEF"/>
    <w:rsid w:val="00FC47F9"/>
    <w:rsid w:val="00FC4E0D"/>
    <w:rsid w:val="00FC591D"/>
    <w:rsid w:val="00FC629D"/>
    <w:rsid w:val="00FC6F46"/>
    <w:rsid w:val="00FC752E"/>
    <w:rsid w:val="00FC78BA"/>
    <w:rsid w:val="00FD094E"/>
    <w:rsid w:val="00FD0A3E"/>
    <w:rsid w:val="00FD0DA4"/>
    <w:rsid w:val="00FD110D"/>
    <w:rsid w:val="00FD1886"/>
    <w:rsid w:val="00FD1D9B"/>
    <w:rsid w:val="00FD298C"/>
    <w:rsid w:val="00FD2E86"/>
    <w:rsid w:val="00FD3DA9"/>
    <w:rsid w:val="00FD4497"/>
    <w:rsid w:val="00FD4B2B"/>
    <w:rsid w:val="00FD5009"/>
    <w:rsid w:val="00FD5266"/>
    <w:rsid w:val="00FD532A"/>
    <w:rsid w:val="00FD5704"/>
    <w:rsid w:val="00FD5769"/>
    <w:rsid w:val="00FD5C62"/>
    <w:rsid w:val="00FD5CC6"/>
    <w:rsid w:val="00FD5DA4"/>
    <w:rsid w:val="00FD621B"/>
    <w:rsid w:val="00FD6D83"/>
    <w:rsid w:val="00FD7809"/>
    <w:rsid w:val="00FD7CA0"/>
    <w:rsid w:val="00FE16DC"/>
    <w:rsid w:val="00FE1CC4"/>
    <w:rsid w:val="00FE1E7C"/>
    <w:rsid w:val="00FE228B"/>
    <w:rsid w:val="00FE2351"/>
    <w:rsid w:val="00FE2353"/>
    <w:rsid w:val="00FE2EB9"/>
    <w:rsid w:val="00FE337D"/>
    <w:rsid w:val="00FE3A2F"/>
    <w:rsid w:val="00FE3A5D"/>
    <w:rsid w:val="00FE3C9B"/>
    <w:rsid w:val="00FE557A"/>
    <w:rsid w:val="00FE5580"/>
    <w:rsid w:val="00FE5C69"/>
    <w:rsid w:val="00FE6E58"/>
    <w:rsid w:val="00FE71C2"/>
    <w:rsid w:val="00FE71F5"/>
    <w:rsid w:val="00FE783D"/>
    <w:rsid w:val="00FE7C74"/>
    <w:rsid w:val="00FE7F86"/>
    <w:rsid w:val="00FF08D6"/>
    <w:rsid w:val="00FF09F9"/>
    <w:rsid w:val="00FF106E"/>
    <w:rsid w:val="00FF110C"/>
    <w:rsid w:val="00FF14E1"/>
    <w:rsid w:val="00FF1B5A"/>
    <w:rsid w:val="00FF242D"/>
    <w:rsid w:val="00FF299C"/>
    <w:rsid w:val="00FF30B4"/>
    <w:rsid w:val="00FF39FA"/>
    <w:rsid w:val="00FF3D00"/>
    <w:rsid w:val="00FF3FEC"/>
    <w:rsid w:val="00FF4210"/>
    <w:rsid w:val="00FF47EB"/>
    <w:rsid w:val="00FF4910"/>
    <w:rsid w:val="00FF4A3E"/>
    <w:rsid w:val="00FF4CC5"/>
    <w:rsid w:val="00FF5037"/>
    <w:rsid w:val="00FF59F0"/>
    <w:rsid w:val="00FF5AEF"/>
    <w:rsid w:val="00FF6CA1"/>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44F3"/>
  <w15:chartTrackingRefBased/>
  <w15:docId w15:val="{3E2E0BC1-AC81-4DA0-B91A-3CD739DA012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0590"/>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28"/>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28"/>
      </w:numPr>
      <w:ind w:right="2160"/>
      <w:outlineLvl w:val="1"/>
    </w:pPr>
  </w:style>
  <w:style w:type="paragraph" w:styleId="Heading3">
    <w:name w:val="heading 3"/>
    <w:basedOn w:val="Dummy"/>
    <w:next w:val="Standard"/>
    <w:link w:val="Heading3Char"/>
    <w:uiPriority w:val="4"/>
    <w:qFormat/>
    <w:rsid w:val="000E270A"/>
    <w:pPr>
      <w:numPr>
        <w:ilvl w:val="2"/>
        <w:numId w:val="28"/>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28"/>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28"/>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28"/>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left="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link w:val="StandardChar"/>
    <w:qFormat/>
    <w:rsid w:val="007A406D"/>
  </w:style>
  <w:style w:type="paragraph" w:customStyle="1" w:styleId="ListAlpha">
    <w:name w:val="List Alpha"/>
    <w:basedOn w:val="Standard"/>
    <w:uiPriority w:val="4"/>
    <w:qFormat/>
    <w:rsid w:val="000E270A"/>
    <w:pPr>
      <w:numPr>
        <w:ilvl w:val="7"/>
        <w:numId w:val="28"/>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link w:val="ListNumChar"/>
    <w:uiPriority w:val="4"/>
    <w:rsid w:val="000E270A"/>
    <w:pPr>
      <w:numPr>
        <w:ilvl w:val="6"/>
        <w:numId w:val="28"/>
      </w:numPr>
      <w:spacing w:after="120" w:line="240" w:lineRule="auto"/>
    </w:pPr>
  </w:style>
  <w:style w:type="paragraph" w:styleId="Revision">
    <w:name w:val="Revision"/>
    <w:hidden/>
    <w:uiPriority w:val="99"/>
    <w:semiHidden/>
    <w:rsid w:val="00B52B28"/>
    <w:pPr>
      <w:spacing w:after="0" w:line="240" w:lineRule="auto"/>
    </w:pPr>
    <w:rPr>
      <w:rFonts w:ascii="Book Antiqua" w:hAnsi="Book Antiqua"/>
      <w:sz w:val="26"/>
    </w:rPr>
  </w:style>
  <w:style w:type="paragraph" w:styleId="BodyText">
    <w:name w:val="Body Text"/>
    <w:basedOn w:val="Normal"/>
    <w:link w:val="BodyTextChar"/>
    <w:uiPriority w:val="1"/>
    <w:qFormat/>
    <w:rsid w:val="00EA50EC"/>
    <w:pPr>
      <w:widowControl w:val="0"/>
      <w:autoSpaceDE w:val="0"/>
      <w:autoSpaceDN w:val="0"/>
      <w:spacing w:line="240" w:lineRule="auto"/>
      <w:ind w:left="20" w:firstLine="0"/>
    </w:pPr>
    <w:rPr>
      <w:rFonts w:eastAsia="Book Antiqua" w:cs="Book Antiqua"/>
      <w:szCs w:val="26"/>
    </w:rPr>
  </w:style>
  <w:style w:type="character" w:customStyle="1" w:styleId="BodyTextChar">
    <w:name w:val="Body Text Char"/>
    <w:basedOn w:val="DefaultParagraphFont"/>
    <w:link w:val="BodyText"/>
    <w:uiPriority w:val="1"/>
    <w:rsid w:val="00EA50EC"/>
    <w:rPr>
      <w:rFonts w:ascii="Book Antiqua" w:eastAsia="Book Antiqua" w:hAnsi="Book Antiqua" w:cs="Book Antiqua"/>
      <w:sz w:val="26"/>
      <w:szCs w:val="26"/>
    </w:rPr>
  </w:style>
  <w:style w:type="character" w:styleId="CommentReference">
    <w:name w:val="annotation reference"/>
    <w:basedOn w:val="DefaultParagraphFont"/>
    <w:uiPriority w:val="99"/>
    <w:semiHidden/>
    <w:unhideWhenUsed/>
    <w:rsid w:val="00EA50EC"/>
    <w:rPr>
      <w:sz w:val="16"/>
      <w:szCs w:val="16"/>
    </w:rPr>
  </w:style>
  <w:style w:type="paragraph" w:styleId="CommentText">
    <w:name w:val="annotation text"/>
    <w:basedOn w:val="Normal"/>
    <w:link w:val="CommentTextChar"/>
    <w:uiPriority w:val="99"/>
    <w:unhideWhenUsed/>
    <w:rsid w:val="00EA50EC"/>
    <w:pPr>
      <w:spacing w:line="240" w:lineRule="auto"/>
    </w:pPr>
    <w:rPr>
      <w:sz w:val="20"/>
      <w:szCs w:val="20"/>
    </w:rPr>
  </w:style>
  <w:style w:type="character" w:customStyle="1" w:styleId="CommentTextChar">
    <w:name w:val="Comment Text Char"/>
    <w:basedOn w:val="DefaultParagraphFont"/>
    <w:link w:val="CommentText"/>
    <w:uiPriority w:val="99"/>
    <w:rsid w:val="00EA50EC"/>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EA50EC"/>
    <w:rPr>
      <w:b/>
      <w:bCs/>
    </w:rPr>
  </w:style>
  <w:style w:type="character" w:customStyle="1" w:styleId="CommentSubjectChar">
    <w:name w:val="Comment Subject Char"/>
    <w:basedOn w:val="CommentTextChar"/>
    <w:link w:val="CommentSubject"/>
    <w:uiPriority w:val="99"/>
    <w:semiHidden/>
    <w:rsid w:val="00EA50EC"/>
    <w:rPr>
      <w:rFonts w:ascii="Book Antiqua" w:hAnsi="Book Antiqua"/>
      <w:b/>
      <w:bCs/>
      <w:sz w:val="20"/>
      <w:szCs w:val="20"/>
    </w:rPr>
  </w:style>
  <w:style w:type="paragraph" w:customStyle="1" w:styleId="TableTitleBodyH095">
    <w:name w:val="TableTitleBodyH095"/>
    <w:basedOn w:val="Normal"/>
    <w:qFormat/>
    <w:rsid w:val="00731CFB"/>
    <w:pPr>
      <w:keepNext/>
      <w:spacing w:after="120" w:line="240" w:lineRule="auto"/>
      <w:ind w:left="1368" w:hanging="1368"/>
      <w:jc w:val="center"/>
    </w:pPr>
    <w:rPr>
      <w:bCs/>
    </w:rPr>
  </w:style>
  <w:style w:type="character" w:customStyle="1" w:styleId="StandardChar">
    <w:name w:val="Standard Char"/>
    <w:basedOn w:val="DefaultParagraphFont"/>
    <w:link w:val="Standard"/>
    <w:rsid w:val="00BA1135"/>
    <w:rPr>
      <w:rFonts w:ascii="Book Antiqua" w:hAnsi="Book Antiqua"/>
      <w:sz w:val="26"/>
    </w:rPr>
  </w:style>
  <w:style w:type="character" w:customStyle="1" w:styleId="ListNumChar">
    <w:name w:val="List Num Char"/>
    <w:basedOn w:val="DefaultParagraphFont"/>
    <w:link w:val="ListNum"/>
    <w:uiPriority w:val="4"/>
    <w:rsid w:val="00BA1135"/>
    <w:rPr>
      <w:rFonts w:ascii="Book Antiqua" w:hAnsi="Book Antiqua"/>
      <w:sz w:val="26"/>
    </w:rPr>
  </w:style>
  <w:style w:type="character" w:customStyle="1" w:styleId="standardChar0">
    <w:name w:val="standard Char"/>
    <w:link w:val="standard0"/>
    <w:locked/>
    <w:rsid w:val="00AA4A90"/>
    <w:rPr>
      <w:rFonts w:ascii="Book Antiqua" w:hAnsi="Book Antiqua"/>
      <w:sz w:val="26"/>
    </w:rPr>
  </w:style>
  <w:style w:type="paragraph" w:customStyle="1" w:styleId="standard0">
    <w:name w:val="standard"/>
    <w:basedOn w:val="Normal"/>
    <w:link w:val="standardChar0"/>
    <w:rsid w:val="00AA4A90"/>
  </w:style>
  <w:style w:type="table" w:customStyle="1" w:styleId="TableGrid2">
    <w:name w:val="Table Grid2"/>
    <w:basedOn w:val="TableNormal"/>
    <w:next w:val="TableGrid"/>
    <w:rsid w:val="00AA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A90"/>
    <w:pPr>
      <w:ind w:left="720"/>
      <w:contextualSpacing/>
    </w:pPr>
  </w:style>
  <w:style w:type="table" w:customStyle="1" w:styleId="TableGrid3">
    <w:name w:val="Table Grid3"/>
    <w:basedOn w:val="TableNormal"/>
    <w:next w:val="TableGrid"/>
    <w:rsid w:val="00AF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C20A8"/>
    <w:rPr>
      <w:color w:val="605E5C"/>
      <w:shd w:val="clear" w:color="auto" w:fill="E1DFDD"/>
    </w:rPr>
  </w:style>
  <w:style w:type="paragraph" w:customStyle="1" w:styleId="FoFsubheader">
    <w:name w:val="FoFsubheader"/>
    <w:basedOn w:val="Standard"/>
    <w:rsid w:val="00612AB1"/>
    <w:pPr>
      <w:keepNext/>
      <w:ind w:firstLine="0"/>
    </w:pPr>
    <w:rPr>
      <w:u w:val="single"/>
    </w:rPr>
  </w:style>
  <w:style w:type="paragraph" w:customStyle="1" w:styleId="xstandard">
    <w:name w:val="x_standard"/>
    <w:basedOn w:val="Normal"/>
    <w:rsid w:val="00612AB1"/>
    <w:pPr>
      <w:spacing w:line="240" w:lineRule="auto"/>
      <w:ind w:firstLine="0"/>
    </w:pPr>
    <w:rPr>
      <w:rFonts w:ascii="Calibri" w:hAnsi="Calibri" w:cs="Calibri"/>
      <w:sz w:val="22"/>
    </w:rPr>
  </w:style>
  <w:style w:type="paragraph" w:customStyle="1" w:styleId="xxstandard">
    <w:name w:val="x_xstandard"/>
    <w:basedOn w:val="Normal"/>
    <w:rsid w:val="00612AB1"/>
    <w:pPr>
      <w:spacing w:line="240" w:lineRule="auto"/>
      <w:ind w:firstLine="0"/>
    </w:pPr>
    <w:rPr>
      <w:rFonts w:ascii="Calibri" w:hAnsi="Calibri" w:cs="Calibri"/>
      <w:sz w:val="22"/>
    </w:rPr>
  </w:style>
  <w:style w:type="paragraph" w:customStyle="1" w:styleId="BlockQuoteH033">
    <w:name w:val="BlockQuoteH033"/>
    <w:basedOn w:val="Normal"/>
    <w:qFormat/>
    <w:rsid w:val="00E06B3B"/>
    <w:pPr>
      <w:spacing w:after="120" w:line="240" w:lineRule="auto"/>
      <w:ind w:left="1195" w:right="1440" w:hanging="475"/>
    </w:pPr>
  </w:style>
  <w:style w:type="paragraph" w:styleId="EndnoteText">
    <w:name w:val="endnote text"/>
    <w:basedOn w:val="Normal"/>
    <w:link w:val="EndnoteTextChar"/>
    <w:uiPriority w:val="99"/>
    <w:semiHidden/>
    <w:unhideWhenUsed/>
    <w:rsid w:val="00507132"/>
    <w:pPr>
      <w:spacing w:line="240" w:lineRule="auto"/>
    </w:pPr>
    <w:rPr>
      <w:sz w:val="20"/>
      <w:szCs w:val="20"/>
    </w:rPr>
  </w:style>
  <w:style w:type="character" w:customStyle="1" w:styleId="EndnoteTextChar">
    <w:name w:val="Endnote Text Char"/>
    <w:basedOn w:val="DefaultParagraphFont"/>
    <w:link w:val="EndnoteText"/>
    <w:uiPriority w:val="99"/>
    <w:semiHidden/>
    <w:rsid w:val="00507132"/>
    <w:rPr>
      <w:rFonts w:ascii="Book Antiqua" w:hAnsi="Book Antiqua"/>
      <w:sz w:val="20"/>
      <w:szCs w:val="20"/>
    </w:rPr>
  </w:style>
  <w:style w:type="character" w:styleId="EndnoteReference">
    <w:name w:val="endnote reference"/>
    <w:basedOn w:val="DefaultParagraphFont"/>
    <w:uiPriority w:val="99"/>
    <w:semiHidden/>
    <w:unhideWhenUsed/>
    <w:rsid w:val="00507132"/>
    <w:rPr>
      <w:vertAlign w:val="superscript"/>
    </w:rPr>
  </w:style>
  <w:style w:type="paragraph" w:styleId="TOC7">
    <w:name w:val="toc 7"/>
    <w:basedOn w:val="Normal"/>
    <w:next w:val="Normal"/>
    <w:autoRedefine/>
    <w:uiPriority w:val="39"/>
    <w:unhideWhenUsed/>
    <w:rsid w:val="00D13F1C"/>
    <w:pPr>
      <w:spacing w:after="100" w:line="278" w:lineRule="auto"/>
      <w:ind w:left="1440" w:firstLine="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D13F1C"/>
    <w:pPr>
      <w:spacing w:after="100" w:line="278" w:lineRule="auto"/>
      <w:ind w:left="1680" w:firstLine="0"/>
    </w:pPr>
    <w:rPr>
      <w:rFonts w:asciiTheme="minorHAnsi" w:eastAsiaTheme="minorEastAsia" w:hAnsiTheme="minorHAnsi"/>
      <w:kern w:val="2"/>
      <w:sz w:val="24"/>
      <w:szCs w:val="24"/>
      <w14:ligatures w14:val="standardContextual"/>
    </w:rPr>
  </w:style>
  <w:style w:type="paragraph" w:styleId="Caption">
    <w:name w:val="caption"/>
    <w:basedOn w:val="Normal"/>
    <w:next w:val="Normal"/>
    <w:uiPriority w:val="35"/>
    <w:unhideWhenUsed/>
    <w:qFormat/>
    <w:rsid w:val="00CD1FB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59464">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09419729">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92945999">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94780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978288-04a1-4831-9970-6956df3b715e">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666bae34-6e25-4200-951c-37ff8952d53f">
      <Terms xmlns="http://schemas.microsoft.com/office/infopath/2007/PartnerControls"/>
    </lcf76f155ced4ddcb4097134ff3c332f>
    <TaxCatchAll xmlns="ad978288-04a1-4831-9970-6956df3b71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150C3125F864C9CCCEC1861A1B2F5" ma:contentTypeVersion="15" ma:contentTypeDescription="Create a new document." ma:contentTypeScope="" ma:versionID="e0e65b40de789ee516732aecd1aea8ea">
  <xsd:schema xmlns:xsd="http://www.w3.org/2001/XMLSchema" xmlns:xs="http://www.w3.org/2001/XMLSchema" xmlns:p="http://schemas.microsoft.com/office/2006/metadata/properties" xmlns:ns2="666bae34-6e25-4200-951c-37ff8952d53f" xmlns:ns3="ad978288-04a1-4831-9970-6956df3b715e" targetNamespace="http://schemas.microsoft.com/office/2006/metadata/properties" ma:root="true" ma:fieldsID="8fa01fdb39ecd22cb02535ee421c94db" ns2:_="" ns3:_="">
    <xsd:import namespace="666bae34-6e25-4200-951c-37ff8952d53f"/>
    <xsd:import namespace="ad978288-04a1-4831-9970-6956df3b71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ae34-6e25-4200-951c-37ff8952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78288-04a1-4831-9970-6956df3b71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9e56d6-1a3d-410f-a22d-9aa7c51d4345}" ma:internalName="TaxCatchAll" ma:showField="CatchAllData" ma:web="ad978288-04a1-4831-9970-6956df3b7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ad978288-04a1-4831-9970-6956df3b715e"/>
    <ds:schemaRef ds:uri="666bae34-6e25-4200-951c-37ff8952d53f"/>
  </ds:schemaRefs>
</ds:datastoreItem>
</file>

<file path=customXml/itemProps4.xml><?xml version="1.0" encoding="utf-8"?>
<ds:datastoreItem xmlns:ds="http://schemas.openxmlformats.org/officeDocument/2006/customXml" ds:itemID="{0A8D5C63-17CE-4849-8A78-B86F7C14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ae34-6e25-4200-951c-37ff8952d53f"/>
    <ds:schemaRef ds:uri="ad978288-04a1-4831-9970-6956df3b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94</ap:Pages>
  <ap:Words>20175</ap:Words>
  <ap:Characters>115000</ap:Characters>
  <ap:Application>Microsoft Office Word</ap:Application>
  <ap:DocSecurity>0</ap:DocSecurity>
  <ap:Lines>958</ap:Lines>
  <ap:Paragraphs>269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134906</ap:CharactersWithSpaces>
  <ap:SharedDoc>false</ap:SharedDoc>
  <ap:HLinks>
    <vt:vector baseType="variant" size="570">
      <vt:variant>
        <vt:i4>1114162</vt:i4>
      </vt:variant>
      <vt:variant>
        <vt:i4>563</vt:i4>
      </vt:variant>
      <vt:variant>
        <vt:i4>0</vt:i4>
      </vt:variant>
      <vt:variant>
        <vt:i4>5</vt:i4>
      </vt:variant>
      <vt:variant>
        <vt:lpwstr/>
      </vt:variant>
      <vt:variant>
        <vt:lpwstr>_Toc183118176</vt:lpwstr>
      </vt:variant>
      <vt:variant>
        <vt:i4>1114162</vt:i4>
      </vt:variant>
      <vt:variant>
        <vt:i4>557</vt:i4>
      </vt:variant>
      <vt:variant>
        <vt:i4>0</vt:i4>
      </vt:variant>
      <vt:variant>
        <vt:i4>5</vt:i4>
      </vt:variant>
      <vt:variant>
        <vt:lpwstr/>
      </vt:variant>
      <vt:variant>
        <vt:lpwstr>_Toc183118175</vt:lpwstr>
      </vt:variant>
      <vt:variant>
        <vt:i4>1114162</vt:i4>
      </vt:variant>
      <vt:variant>
        <vt:i4>551</vt:i4>
      </vt:variant>
      <vt:variant>
        <vt:i4>0</vt:i4>
      </vt:variant>
      <vt:variant>
        <vt:i4>5</vt:i4>
      </vt:variant>
      <vt:variant>
        <vt:lpwstr/>
      </vt:variant>
      <vt:variant>
        <vt:lpwstr>_Toc183118174</vt:lpwstr>
      </vt:variant>
      <vt:variant>
        <vt:i4>1114162</vt:i4>
      </vt:variant>
      <vt:variant>
        <vt:i4>545</vt:i4>
      </vt:variant>
      <vt:variant>
        <vt:i4>0</vt:i4>
      </vt:variant>
      <vt:variant>
        <vt:i4>5</vt:i4>
      </vt:variant>
      <vt:variant>
        <vt:lpwstr/>
      </vt:variant>
      <vt:variant>
        <vt:lpwstr>_Toc183118173</vt:lpwstr>
      </vt:variant>
      <vt:variant>
        <vt:i4>1114162</vt:i4>
      </vt:variant>
      <vt:variant>
        <vt:i4>539</vt:i4>
      </vt:variant>
      <vt:variant>
        <vt:i4>0</vt:i4>
      </vt:variant>
      <vt:variant>
        <vt:i4>5</vt:i4>
      </vt:variant>
      <vt:variant>
        <vt:lpwstr/>
      </vt:variant>
      <vt:variant>
        <vt:lpwstr>_Toc183118172</vt:lpwstr>
      </vt:variant>
      <vt:variant>
        <vt:i4>1114162</vt:i4>
      </vt:variant>
      <vt:variant>
        <vt:i4>533</vt:i4>
      </vt:variant>
      <vt:variant>
        <vt:i4>0</vt:i4>
      </vt:variant>
      <vt:variant>
        <vt:i4>5</vt:i4>
      </vt:variant>
      <vt:variant>
        <vt:lpwstr/>
      </vt:variant>
      <vt:variant>
        <vt:lpwstr>_Toc183118171</vt:lpwstr>
      </vt:variant>
      <vt:variant>
        <vt:i4>1114162</vt:i4>
      </vt:variant>
      <vt:variant>
        <vt:i4>527</vt:i4>
      </vt:variant>
      <vt:variant>
        <vt:i4>0</vt:i4>
      </vt:variant>
      <vt:variant>
        <vt:i4>5</vt:i4>
      </vt:variant>
      <vt:variant>
        <vt:lpwstr/>
      </vt:variant>
      <vt:variant>
        <vt:lpwstr>_Toc183118170</vt:lpwstr>
      </vt:variant>
      <vt:variant>
        <vt:i4>1048626</vt:i4>
      </vt:variant>
      <vt:variant>
        <vt:i4>521</vt:i4>
      </vt:variant>
      <vt:variant>
        <vt:i4>0</vt:i4>
      </vt:variant>
      <vt:variant>
        <vt:i4>5</vt:i4>
      </vt:variant>
      <vt:variant>
        <vt:lpwstr/>
      </vt:variant>
      <vt:variant>
        <vt:lpwstr>_Toc183118169</vt:lpwstr>
      </vt:variant>
      <vt:variant>
        <vt:i4>1048626</vt:i4>
      </vt:variant>
      <vt:variant>
        <vt:i4>515</vt:i4>
      </vt:variant>
      <vt:variant>
        <vt:i4>0</vt:i4>
      </vt:variant>
      <vt:variant>
        <vt:i4>5</vt:i4>
      </vt:variant>
      <vt:variant>
        <vt:lpwstr/>
      </vt:variant>
      <vt:variant>
        <vt:lpwstr>_Toc183118168</vt:lpwstr>
      </vt:variant>
      <vt:variant>
        <vt:i4>1048626</vt:i4>
      </vt:variant>
      <vt:variant>
        <vt:i4>509</vt:i4>
      </vt:variant>
      <vt:variant>
        <vt:i4>0</vt:i4>
      </vt:variant>
      <vt:variant>
        <vt:i4>5</vt:i4>
      </vt:variant>
      <vt:variant>
        <vt:lpwstr/>
      </vt:variant>
      <vt:variant>
        <vt:lpwstr>_Toc183118167</vt:lpwstr>
      </vt:variant>
      <vt:variant>
        <vt:i4>1048626</vt:i4>
      </vt:variant>
      <vt:variant>
        <vt:i4>503</vt:i4>
      </vt:variant>
      <vt:variant>
        <vt:i4>0</vt:i4>
      </vt:variant>
      <vt:variant>
        <vt:i4>5</vt:i4>
      </vt:variant>
      <vt:variant>
        <vt:lpwstr/>
      </vt:variant>
      <vt:variant>
        <vt:lpwstr>_Toc183118166</vt:lpwstr>
      </vt:variant>
      <vt:variant>
        <vt:i4>1048626</vt:i4>
      </vt:variant>
      <vt:variant>
        <vt:i4>497</vt:i4>
      </vt:variant>
      <vt:variant>
        <vt:i4>0</vt:i4>
      </vt:variant>
      <vt:variant>
        <vt:i4>5</vt:i4>
      </vt:variant>
      <vt:variant>
        <vt:lpwstr/>
      </vt:variant>
      <vt:variant>
        <vt:lpwstr>_Toc183118165</vt:lpwstr>
      </vt:variant>
      <vt:variant>
        <vt:i4>1048626</vt:i4>
      </vt:variant>
      <vt:variant>
        <vt:i4>491</vt:i4>
      </vt:variant>
      <vt:variant>
        <vt:i4>0</vt:i4>
      </vt:variant>
      <vt:variant>
        <vt:i4>5</vt:i4>
      </vt:variant>
      <vt:variant>
        <vt:lpwstr/>
      </vt:variant>
      <vt:variant>
        <vt:lpwstr>_Toc183118164</vt:lpwstr>
      </vt:variant>
      <vt:variant>
        <vt:i4>1048626</vt:i4>
      </vt:variant>
      <vt:variant>
        <vt:i4>485</vt:i4>
      </vt:variant>
      <vt:variant>
        <vt:i4>0</vt:i4>
      </vt:variant>
      <vt:variant>
        <vt:i4>5</vt:i4>
      </vt:variant>
      <vt:variant>
        <vt:lpwstr/>
      </vt:variant>
      <vt:variant>
        <vt:lpwstr>_Toc183118163</vt:lpwstr>
      </vt:variant>
      <vt:variant>
        <vt:i4>1048626</vt:i4>
      </vt:variant>
      <vt:variant>
        <vt:i4>479</vt:i4>
      </vt:variant>
      <vt:variant>
        <vt:i4>0</vt:i4>
      </vt:variant>
      <vt:variant>
        <vt:i4>5</vt:i4>
      </vt:variant>
      <vt:variant>
        <vt:lpwstr/>
      </vt:variant>
      <vt:variant>
        <vt:lpwstr>_Toc183118162</vt:lpwstr>
      </vt:variant>
      <vt:variant>
        <vt:i4>1048626</vt:i4>
      </vt:variant>
      <vt:variant>
        <vt:i4>473</vt:i4>
      </vt:variant>
      <vt:variant>
        <vt:i4>0</vt:i4>
      </vt:variant>
      <vt:variant>
        <vt:i4>5</vt:i4>
      </vt:variant>
      <vt:variant>
        <vt:lpwstr/>
      </vt:variant>
      <vt:variant>
        <vt:lpwstr>_Toc183118161</vt:lpwstr>
      </vt:variant>
      <vt:variant>
        <vt:i4>1048626</vt:i4>
      </vt:variant>
      <vt:variant>
        <vt:i4>467</vt:i4>
      </vt:variant>
      <vt:variant>
        <vt:i4>0</vt:i4>
      </vt:variant>
      <vt:variant>
        <vt:i4>5</vt:i4>
      </vt:variant>
      <vt:variant>
        <vt:lpwstr/>
      </vt:variant>
      <vt:variant>
        <vt:lpwstr>_Toc183118160</vt:lpwstr>
      </vt:variant>
      <vt:variant>
        <vt:i4>1245234</vt:i4>
      </vt:variant>
      <vt:variant>
        <vt:i4>461</vt:i4>
      </vt:variant>
      <vt:variant>
        <vt:i4>0</vt:i4>
      </vt:variant>
      <vt:variant>
        <vt:i4>5</vt:i4>
      </vt:variant>
      <vt:variant>
        <vt:lpwstr/>
      </vt:variant>
      <vt:variant>
        <vt:lpwstr>_Toc183118159</vt:lpwstr>
      </vt:variant>
      <vt:variant>
        <vt:i4>1245234</vt:i4>
      </vt:variant>
      <vt:variant>
        <vt:i4>455</vt:i4>
      </vt:variant>
      <vt:variant>
        <vt:i4>0</vt:i4>
      </vt:variant>
      <vt:variant>
        <vt:i4>5</vt:i4>
      </vt:variant>
      <vt:variant>
        <vt:lpwstr/>
      </vt:variant>
      <vt:variant>
        <vt:lpwstr>_Toc183118158</vt:lpwstr>
      </vt:variant>
      <vt:variant>
        <vt:i4>1245234</vt:i4>
      </vt:variant>
      <vt:variant>
        <vt:i4>449</vt:i4>
      </vt:variant>
      <vt:variant>
        <vt:i4>0</vt:i4>
      </vt:variant>
      <vt:variant>
        <vt:i4>5</vt:i4>
      </vt:variant>
      <vt:variant>
        <vt:lpwstr/>
      </vt:variant>
      <vt:variant>
        <vt:lpwstr>_Toc183118157</vt:lpwstr>
      </vt:variant>
      <vt:variant>
        <vt:i4>1245234</vt:i4>
      </vt:variant>
      <vt:variant>
        <vt:i4>443</vt:i4>
      </vt:variant>
      <vt:variant>
        <vt:i4>0</vt:i4>
      </vt:variant>
      <vt:variant>
        <vt:i4>5</vt:i4>
      </vt:variant>
      <vt:variant>
        <vt:lpwstr/>
      </vt:variant>
      <vt:variant>
        <vt:lpwstr>_Toc183118156</vt:lpwstr>
      </vt:variant>
      <vt:variant>
        <vt:i4>1245234</vt:i4>
      </vt:variant>
      <vt:variant>
        <vt:i4>437</vt:i4>
      </vt:variant>
      <vt:variant>
        <vt:i4>0</vt:i4>
      </vt:variant>
      <vt:variant>
        <vt:i4>5</vt:i4>
      </vt:variant>
      <vt:variant>
        <vt:lpwstr/>
      </vt:variant>
      <vt:variant>
        <vt:lpwstr>_Toc183118155</vt:lpwstr>
      </vt:variant>
      <vt:variant>
        <vt:i4>1245234</vt:i4>
      </vt:variant>
      <vt:variant>
        <vt:i4>431</vt:i4>
      </vt:variant>
      <vt:variant>
        <vt:i4>0</vt:i4>
      </vt:variant>
      <vt:variant>
        <vt:i4>5</vt:i4>
      </vt:variant>
      <vt:variant>
        <vt:lpwstr/>
      </vt:variant>
      <vt:variant>
        <vt:lpwstr>_Toc183118154</vt:lpwstr>
      </vt:variant>
      <vt:variant>
        <vt:i4>1245234</vt:i4>
      </vt:variant>
      <vt:variant>
        <vt:i4>425</vt:i4>
      </vt:variant>
      <vt:variant>
        <vt:i4>0</vt:i4>
      </vt:variant>
      <vt:variant>
        <vt:i4>5</vt:i4>
      </vt:variant>
      <vt:variant>
        <vt:lpwstr/>
      </vt:variant>
      <vt:variant>
        <vt:lpwstr>_Toc183118153</vt:lpwstr>
      </vt:variant>
      <vt:variant>
        <vt:i4>1245234</vt:i4>
      </vt:variant>
      <vt:variant>
        <vt:i4>419</vt:i4>
      </vt:variant>
      <vt:variant>
        <vt:i4>0</vt:i4>
      </vt:variant>
      <vt:variant>
        <vt:i4>5</vt:i4>
      </vt:variant>
      <vt:variant>
        <vt:lpwstr/>
      </vt:variant>
      <vt:variant>
        <vt:lpwstr>_Toc183118152</vt:lpwstr>
      </vt:variant>
      <vt:variant>
        <vt:i4>1245234</vt:i4>
      </vt:variant>
      <vt:variant>
        <vt:i4>413</vt:i4>
      </vt:variant>
      <vt:variant>
        <vt:i4>0</vt:i4>
      </vt:variant>
      <vt:variant>
        <vt:i4>5</vt:i4>
      </vt:variant>
      <vt:variant>
        <vt:lpwstr/>
      </vt:variant>
      <vt:variant>
        <vt:lpwstr>_Toc183118151</vt:lpwstr>
      </vt:variant>
      <vt:variant>
        <vt:i4>1245234</vt:i4>
      </vt:variant>
      <vt:variant>
        <vt:i4>407</vt:i4>
      </vt:variant>
      <vt:variant>
        <vt:i4>0</vt:i4>
      </vt:variant>
      <vt:variant>
        <vt:i4>5</vt:i4>
      </vt:variant>
      <vt:variant>
        <vt:lpwstr/>
      </vt:variant>
      <vt:variant>
        <vt:lpwstr>_Toc183118150</vt:lpwstr>
      </vt:variant>
      <vt:variant>
        <vt:i4>1179698</vt:i4>
      </vt:variant>
      <vt:variant>
        <vt:i4>401</vt:i4>
      </vt:variant>
      <vt:variant>
        <vt:i4>0</vt:i4>
      </vt:variant>
      <vt:variant>
        <vt:i4>5</vt:i4>
      </vt:variant>
      <vt:variant>
        <vt:lpwstr/>
      </vt:variant>
      <vt:variant>
        <vt:lpwstr>_Toc183118149</vt:lpwstr>
      </vt:variant>
      <vt:variant>
        <vt:i4>1179698</vt:i4>
      </vt:variant>
      <vt:variant>
        <vt:i4>395</vt:i4>
      </vt:variant>
      <vt:variant>
        <vt:i4>0</vt:i4>
      </vt:variant>
      <vt:variant>
        <vt:i4>5</vt:i4>
      </vt:variant>
      <vt:variant>
        <vt:lpwstr/>
      </vt:variant>
      <vt:variant>
        <vt:lpwstr>_Toc183118148</vt:lpwstr>
      </vt:variant>
      <vt:variant>
        <vt:i4>1179698</vt:i4>
      </vt:variant>
      <vt:variant>
        <vt:i4>389</vt:i4>
      </vt:variant>
      <vt:variant>
        <vt:i4>0</vt:i4>
      </vt:variant>
      <vt:variant>
        <vt:i4>5</vt:i4>
      </vt:variant>
      <vt:variant>
        <vt:lpwstr/>
      </vt:variant>
      <vt:variant>
        <vt:lpwstr>_Toc183118147</vt:lpwstr>
      </vt:variant>
      <vt:variant>
        <vt:i4>1179698</vt:i4>
      </vt:variant>
      <vt:variant>
        <vt:i4>383</vt:i4>
      </vt:variant>
      <vt:variant>
        <vt:i4>0</vt:i4>
      </vt:variant>
      <vt:variant>
        <vt:i4>5</vt:i4>
      </vt:variant>
      <vt:variant>
        <vt:lpwstr/>
      </vt:variant>
      <vt:variant>
        <vt:lpwstr>_Toc183118146</vt:lpwstr>
      </vt:variant>
      <vt:variant>
        <vt:i4>1179698</vt:i4>
      </vt:variant>
      <vt:variant>
        <vt:i4>377</vt:i4>
      </vt:variant>
      <vt:variant>
        <vt:i4>0</vt:i4>
      </vt:variant>
      <vt:variant>
        <vt:i4>5</vt:i4>
      </vt:variant>
      <vt:variant>
        <vt:lpwstr/>
      </vt:variant>
      <vt:variant>
        <vt:lpwstr>_Toc183118145</vt:lpwstr>
      </vt:variant>
      <vt:variant>
        <vt:i4>1179698</vt:i4>
      </vt:variant>
      <vt:variant>
        <vt:i4>371</vt:i4>
      </vt:variant>
      <vt:variant>
        <vt:i4>0</vt:i4>
      </vt:variant>
      <vt:variant>
        <vt:i4>5</vt:i4>
      </vt:variant>
      <vt:variant>
        <vt:lpwstr/>
      </vt:variant>
      <vt:variant>
        <vt:lpwstr>_Toc183118144</vt:lpwstr>
      </vt:variant>
      <vt:variant>
        <vt:i4>1179698</vt:i4>
      </vt:variant>
      <vt:variant>
        <vt:i4>365</vt:i4>
      </vt:variant>
      <vt:variant>
        <vt:i4>0</vt:i4>
      </vt:variant>
      <vt:variant>
        <vt:i4>5</vt:i4>
      </vt:variant>
      <vt:variant>
        <vt:lpwstr/>
      </vt:variant>
      <vt:variant>
        <vt:lpwstr>_Toc183118143</vt:lpwstr>
      </vt:variant>
      <vt:variant>
        <vt:i4>1179698</vt:i4>
      </vt:variant>
      <vt:variant>
        <vt:i4>359</vt:i4>
      </vt:variant>
      <vt:variant>
        <vt:i4>0</vt:i4>
      </vt:variant>
      <vt:variant>
        <vt:i4>5</vt:i4>
      </vt:variant>
      <vt:variant>
        <vt:lpwstr/>
      </vt:variant>
      <vt:variant>
        <vt:lpwstr>_Toc183118142</vt:lpwstr>
      </vt:variant>
      <vt:variant>
        <vt:i4>1179698</vt:i4>
      </vt:variant>
      <vt:variant>
        <vt:i4>353</vt:i4>
      </vt:variant>
      <vt:variant>
        <vt:i4>0</vt:i4>
      </vt:variant>
      <vt:variant>
        <vt:i4>5</vt:i4>
      </vt:variant>
      <vt:variant>
        <vt:lpwstr/>
      </vt:variant>
      <vt:variant>
        <vt:lpwstr>_Toc183118141</vt:lpwstr>
      </vt:variant>
      <vt:variant>
        <vt:i4>1179698</vt:i4>
      </vt:variant>
      <vt:variant>
        <vt:i4>347</vt:i4>
      </vt:variant>
      <vt:variant>
        <vt:i4>0</vt:i4>
      </vt:variant>
      <vt:variant>
        <vt:i4>5</vt:i4>
      </vt:variant>
      <vt:variant>
        <vt:lpwstr/>
      </vt:variant>
      <vt:variant>
        <vt:lpwstr>_Toc183118140</vt:lpwstr>
      </vt:variant>
      <vt:variant>
        <vt:i4>1376306</vt:i4>
      </vt:variant>
      <vt:variant>
        <vt:i4>341</vt:i4>
      </vt:variant>
      <vt:variant>
        <vt:i4>0</vt:i4>
      </vt:variant>
      <vt:variant>
        <vt:i4>5</vt:i4>
      </vt:variant>
      <vt:variant>
        <vt:lpwstr/>
      </vt:variant>
      <vt:variant>
        <vt:lpwstr>_Toc183118139</vt:lpwstr>
      </vt:variant>
      <vt:variant>
        <vt:i4>1376306</vt:i4>
      </vt:variant>
      <vt:variant>
        <vt:i4>335</vt:i4>
      </vt:variant>
      <vt:variant>
        <vt:i4>0</vt:i4>
      </vt:variant>
      <vt:variant>
        <vt:i4>5</vt:i4>
      </vt:variant>
      <vt:variant>
        <vt:lpwstr/>
      </vt:variant>
      <vt:variant>
        <vt:lpwstr>_Toc183118138</vt:lpwstr>
      </vt:variant>
      <vt:variant>
        <vt:i4>1376306</vt:i4>
      </vt:variant>
      <vt:variant>
        <vt:i4>329</vt:i4>
      </vt:variant>
      <vt:variant>
        <vt:i4>0</vt:i4>
      </vt:variant>
      <vt:variant>
        <vt:i4>5</vt:i4>
      </vt:variant>
      <vt:variant>
        <vt:lpwstr/>
      </vt:variant>
      <vt:variant>
        <vt:lpwstr>_Toc183118137</vt:lpwstr>
      </vt:variant>
      <vt:variant>
        <vt:i4>1376306</vt:i4>
      </vt:variant>
      <vt:variant>
        <vt:i4>323</vt:i4>
      </vt:variant>
      <vt:variant>
        <vt:i4>0</vt:i4>
      </vt:variant>
      <vt:variant>
        <vt:i4>5</vt:i4>
      </vt:variant>
      <vt:variant>
        <vt:lpwstr/>
      </vt:variant>
      <vt:variant>
        <vt:lpwstr>_Toc183118136</vt:lpwstr>
      </vt:variant>
      <vt:variant>
        <vt:i4>1376306</vt:i4>
      </vt:variant>
      <vt:variant>
        <vt:i4>317</vt:i4>
      </vt:variant>
      <vt:variant>
        <vt:i4>0</vt:i4>
      </vt:variant>
      <vt:variant>
        <vt:i4>5</vt:i4>
      </vt:variant>
      <vt:variant>
        <vt:lpwstr/>
      </vt:variant>
      <vt:variant>
        <vt:lpwstr>_Toc183118135</vt:lpwstr>
      </vt:variant>
      <vt:variant>
        <vt:i4>1376306</vt:i4>
      </vt:variant>
      <vt:variant>
        <vt:i4>311</vt:i4>
      </vt:variant>
      <vt:variant>
        <vt:i4>0</vt:i4>
      </vt:variant>
      <vt:variant>
        <vt:i4>5</vt:i4>
      </vt:variant>
      <vt:variant>
        <vt:lpwstr/>
      </vt:variant>
      <vt:variant>
        <vt:lpwstr>_Toc183118134</vt:lpwstr>
      </vt:variant>
      <vt:variant>
        <vt:i4>1376306</vt:i4>
      </vt:variant>
      <vt:variant>
        <vt:i4>305</vt:i4>
      </vt:variant>
      <vt:variant>
        <vt:i4>0</vt:i4>
      </vt:variant>
      <vt:variant>
        <vt:i4>5</vt:i4>
      </vt:variant>
      <vt:variant>
        <vt:lpwstr/>
      </vt:variant>
      <vt:variant>
        <vt:lpwstr>_Toc183118133</vt:lpwstr>
      </vt:variant>
      <vt:variant>
        <vt:i4>1376306</vt:i4>
      </vt:variant>
      <vt:variant>
        <vt:i4>299</vt:i4>
      </vt:variant>
      <vt:variant>
        <vt:i4>0</vt:i4>
      </vt:variant>
      <vt:variant>
        <vt:i4>5</vt:i4>
      </vt:variant>
      <vt:variant>
        <vt:lpwstr/>
      </vt:variant>
      <vt:variant>
        <vt:lpwstr>_Toc183118132</vt:lpwstr>
      </vt:variant>
      <vt:variant>
        <vt:i4>1376306</vt:i4>
      </vt:variant>
      <vt:variant>
        <vt:i4>293</vt:i4>
      </vt:variant>
      <vt:variant>
        <vt:i4>0</vt:i4>
      </vt:variant>
      <vt:variant>
        <vt:i4>5</vt:i4>
      </vt:variant>
      <vt:variant>
        <vt:lpwstr/>
      </vt:variant>
      <vt:variant>
        <vt:lpwstr>_Toc183118131</vt:lpwstr>
      </vt:variant>
      <vt:variant>
        <vt:i4>1376306</vt:i4>
      </vt:variant>
      <vt:variant>
        <vt:i4>287</vt:i4>
      </vt:variant>
      <vt:variant>
        <vt:i4>0</vt:i4>
      </vt:variant>
      <vt:variant>
        <vt:i4>5</vt:i4>
      </vt:variant>
      <vt:variant>
        <vt:lpwstr/>
      </vt:variant>
      <vt:variant>
        <vt:lpwstr>_Toc183118130</vt:lpwstr>
      </vt:variant>
      <vt:variant>
        <vt:i4>1310770</vt:i4>
      </vt:variant>
      <vt:variant>
        <vt:i4>281</vt:i4>
      </vt:variant>
      <vt:variant>
        <vt:i4>0</vt:i4>
      </vt:variant>
      <vt:variant>
        <vt:i4>5</vt:i4>
      </vt:variant>
      <vt:variant>
        <vt:lpwstr/>
      </vt:variant>
      <vt:variant>
        <vt:lpwstr>_Toc183118129</vt:lpwstr>
      </vt:variant>
      <vt:variant>
        <vt:i4>1310770</vt:i4>
      </vt:variant>
      <vt:variant>
        <vt:i4>275</vt:i4>
      </vt:variant>
      <vt:variant>
        <vt:i4>0</vt:i4>
      </vt:variant>
      <vt:variant>
        <vt:i4>5</vt:i4>
      </vt:variant>
      <vt:variant>
        <vt:lpwstr/>
      </vt:variant>
      <vt:variant>
        <vt:lpwstr>_Toc183118128</vt:lpwstr>
      </vt:variant>
      <vt:variant>
        <vt:i4>1310770</vt:i4>
      </vt:variant>
      <vt:variant>
        <vt:i4>269</vt:i4>
      </vt:variant>
      <vt:variant>
        <vt:i4>0</vt:i4>
      </vt:variant>
      <vt:variant>
        <vt:i4>5</vt:i4>
      </vt:variant>
      <vt:variant>
        <vt:lpwstr/>
      </vt:variant>
      <vt:variant>
        <vt:lpwstr>_Toc183118127</vt:lpwstr>
      </vt:variant>
      <vt:variant>
        <vt:i4>1310770</vt:i4>
      </vt:variant>
      <vt:variant>
        <vt:i4>263</vt:i4>
      </vt:variant>
      <vt:variant>
        <vt:i4>0</vt:i4>
      </vt:variant>
      <vt:variant>
        <vt:i4>5</vt:i4>
      </vt:variant>
      <vt:variant>
        <vt:lpwstr/>
      </vt:variant>
      <vt:variant>
        <vt:lpwstr>_Toc183118126</vt:lpwstr>
      </vt:variant>
      <vt:variant>
        <vt:i4>1310770</vt:i4>
      </vt:variant>
      <vt:variant>
        <vt:i4>257</vt:i4>
      </vt:variant>
      <vt:variant>
        <vt:i4>0</vt:i4>
      </vt:variant>
      <vt:variant>
        <vt:i4>5</vt:i4>
      </vt:variant>
      <vt:variant>
        <vt:lpwstr/>
      </vt:variant>
      <vt:variant>
        <vt:lpwstr>_Toc183118125</vt:lpwstr>
      </vt:variant>
      <vt:variant>
        <vt:i4>1310770</vt:i4>
      </vt:variant>
      <vt:variant>
        <vt:i4>251</vt:i4>
      </vt:variant>
      <vt:variant>
        <vt:i4>0</vt:i4>
      </vt:variant>
      <vt:variant>
        <vt:i4>5</vt:i4>
      </vt:variant>
      <vt:variant>
        <vt:lpwstr/>
      </vt:variant>
      <vt:variant>
        <vt:lpwstr>_Toc183118124</vt:lpwstr>
      </vt:variant>
      <vt:variant>
        <vt:i4>1310770</vt:i4>
      </vt:variant>
      <vt:variant>
        <vt:i4>245</vt:i4>
      </vt:variant>
      <vt:variant>
        <vt:i4>0</vt:i4>
      </vt:variant>
      <vt:variant>
        <vt:i4>5</vt:i4>
      </vt:variant>
      <vt:variant>
        <vt:lpwstr/>
      </vt:variant>
      <vt:variant>
        <vt:lpwstr>_Toc183118123</vt:lpwstr>
      </vt:variant>
      <vt:variant>
        <vt:i4>1310770</vt:i4>
      </vt:variant>
      <vt:variant>
        <vt:i4>239</vt:i4>
      </vt:variant>
      <vt:variant>
        <vt:i4>0</vt:i4>
      </vt:variant>
      <vt:variant>
        <vt:i4>5</vt:i4>
      </vt:variant>
      <vt:variant>
        <vt:lpwstr/>
      </vt:variant>
      <vt:variant>
        <vt:lpwstr>_Toc183118122</vt:lpwstr>
      </vt:variant>
      <vt:variant>
        <vt:i4>1310770</vt:i4>
      </vt:variant>
      <vt:variant>
        <vt:i4>233</vt:i4>
      </vt:variant>
      <vt:variant>
        <vt:i4>0</vt:i4>
      </vt:variant>
      <vt:variant>
        <vt:i4>5</vt:i4>
      </vt:variant>
      <vt:variant>
        <vt:lpwstr/>
      </vt:variant>
      <vt:variant>
        <vt:lpwstr>_Toc183118121</vt:lpwstr>
      </vt:variant>
      <vt:variant>
        <vt:i4>1310770</vt:i4>
      </vt:variant>
      <vt:variant>
        <vt:i4>227</vt:i4>
      </vt:variant>
      <vt:variant>
        <vt:i4>0</vt:i4>
      </vt:variant>
      <vt:variant>
        <vt:i4>5</vt:i4>
      </vt:variant>
      <vt:variant>
        <vt:lpwstr/>
      </vt:variant>
      <vt:variant>
        <vt:lpwstr>_Toc183118120</vt:lpwstr>
      </vt:variant>
      <vt:variant>
        <vt:i4>1507378</vt:i4>
      </vt:variant>
      <vt:variant>
        <vt:i4>221</vt:i4>
      </vt:variant>
      <vt:variant>
        <vt:i4>0</vt:i4>
      </vt:variant>
      <vt:variant>
        <vt:i4>5</vt:i4>
      </vt:variant>
      <vt:variant>
        <vt:lpwstr/>
      </vt:variant>
      <vt:variant>
        <vt:lpwstr>_Toc183118119</vt:lpwstr>
      </vt:variant>
      <vt:variant>
        <vt:i4>1507378</vt:i4>
      </vt:variant>
      <vt:variant>
        <vt:i4>215</vt:i4>
      </vt:variant>
      <vt:variant>
        <vt:i4>0</vt:i4>
      </vt:variant>
      <vt:variant>
        <vt:i4>5</vt:i4>
      </vt:variant>
      <vt:variant>
        <vt:lpwstr/>
      </vt:variant>
      <vt:variant>
        <vt:lpwstr>_Toc183118118</vt:lpwstr>
      </vt:variant>
      <vt:variant>
        <vt:i4>1507378</vt:i4>
      </vt:variant>
      <vt:variant>
        <vt:i4>209</vt:i4>
      </vt:variant>
      <vt:variant>
        <vt:i4>0</vt:i4>
      </vt:variant>
      <vt:variant>
        <vt:i4>5</vt:i4>
      </vt:variant>
      <vt:variant>
        <vt:lpwstr/>
      </vt:variant>
      <vt:variant>
        <vt:lpwstr>_Toc183118117</vt:lpwstr>
      </vt:variant>
      <vt:variant>
        <vt:i4>1507378</vt:i4>
      </vt:variant>
      <vt:variant>
        <vt:i4>203</vt:i4>
      </vt:variant>
      <vt:variant>
        <vt:i4>0</vt:i4>
      </vt:variant>
      <vt:variant>
        <vt:i4>5</vt:i4>
      </vt:variant>
      <vt:variant>
        <vt:lpwstr/>
      </vt:variant>
      <vt:variant>
        <vt:lpwstr>_Toc183118116</vt:lpwstr>
      </vt:variant>
      <vt:variant>
        <vt:i4>1507378</vt:i4>
      </vt:variant>
      <vt:variant>
        <vt:i4>197</vt:i4>
      </vt:variant>
      <vt:variant>
        <vt:i4>0</vt:i4>
      </vt:variant>
      <vt:variant>
        <vt:i4>5</vt:i4>
      </vt:variant>
      <vt:variant>
        <vt:lpwstr/>
      </vt:variant>
      <vt:variant>
        <vt:lpwstr>_Toc183118115</vt:lpwstr>
      </vt:variant>
      <vt:variant>
        <vt:i4>1507378</vt:i4>
      </vt:variant>
      <vt:variant>
        <vt:i4>191</vt:i4>
      </vt:variant>
      <vt:variant>
        <vt:i4>0</vt:i4>
      </vt:variant>
      <vt:variant>
        <vt:i4>5</vt:i4>
      </vt:variant>
      <vt:variant>
        <vt:lpwstr/>
      </vt:variant>
      <vt:variant>
        <vt:lpwstr>_Toc183118114</vt:lpwstr>
      </vt:variant>
      <vt:variant>
        <vt:i4>1507378</vt:i4>
      </vt:variant>
      <vt:variant>
        <vt:i4>185</vt:i4>
      </vt:variant>
      <vt:variant>
        <vt:i4>0</vt:i4>
      </vt:variant>
      <vt:variant>
        <vt:i4>5</vt:i4>
      </vt:variant>
      <vt:variant>
        <vt:lpwstr/>
      </vt:variant>
      <vt:variant>
        <vt:lpwstr>_Toc183118113</vt:lpwstr>
      </vt:variant>
      <vt:variant>
        <vt:i4>1507378</vt:i4>
      </vt:variant>
      <vt:variant>
        <vt:i4>179</vt:i4>
      </vt:variant>
      <vt:variant>
        <vt:i4>0</vt:i4>
      </vt:variant>
      <vt:variant>
        <vt:i4>5</vt:i4>
      </vt:variant>
      <vt:variant>
        <vt:lpwstr/>
      </vt:variant>
      <vt:variant>
        <vt:lpwstr>_Toc183118112</vt:lpwstr>
      </vt:variant>
      <vt:variant>
        <vt:i4>1507378</vt:i4>
      </vt:variant>
      <vt:variant>
        <vt:i4>173</vt:i4>
      </vt:variant>
      <vt:variant>
        <vt:i4>0</vt:i4>
      </vt:variant>
      <vt:variant>
        <vt:i4>5</vt:i4>
      </vt:variant>
      <vt:variant>
        <vt:lpwstr/>
      </vt:variant>
      <vt:variant>
        <vt:lpwstr>_Toc183118111</vt:lpwstr>
      </vt:variant>
      <vt:variant>
        <vt:i4>1507378</vt:i4>
      </vt:variant>
      <vt:variant>
        <vt:i4>167</vt:i4>
      </vt:variant>
      <vt:variant>
        <vt:i4>0</vt:i4>
      </vt:variant>
      <vt:variant>
        <vt:i4>5</vt:i4>
      </vt:variant>
      <vt:variant>
        <vt:lpwstr/>
      </vt:variant>
      <vt:variant>
        <vt:lpwstr>_Toc183118110</vt:lpwstr>
      </vt:variant>
      <vt:variant>
        <vt:i4>1441842</vt:i4>
      </vt:variant>
      <vt:variant>
        <vt:i4>161</vt:i4>
      </vt:variant>
      <vt:variant>
        <vt:i4>0</vt:i4>
      </vt:variant>
      <vt:variant>
        <vt:i4>5</vt:i4>
      </vt:variant>
      <vt:variant>
        <vt:lpwstr/>
      </vt:variant>
      <vt:variant>
        <vt:lpwstr>_Toc183118109</vt:lpwstr>
      </vt:variant>
      <vt:variant>
        <vt:i4>1441842</vt:i4>
      </vt:variant>
      <vt:variant>
        <vt:i4>155</vt:i4>
      </vt:variant>
      <vt:variant>
        <vt:i4>0</vt:i4>
      </vt:variant>
      <vt:variant>
        <vt:i4>5</vt:i4>
      </vt:variant>
      <vt:variant>
        <vt:lpwstr/>
      </vt:variant>
      <vt:variant>
        <vt:lpwstr>_Toc183118108</vt:lpwstr>
      </vt:variant>
      <vt:variant>
        <vt:i4>1441842</vt:i4>
      </vt:variant>
      <vt:variant>
        <vt:i4>149</vt:i4>
      </vt:variant>
      <vt:variant>
        <vt:i4>0</vt:i4>
      </vt:variant>
      <vt:variant>
        <vt:i4>5</vt:i4>
      </vt:variant>
      <vt:variant>
        <vt:lpwstr/>
      </vt:variant>
      <vt:variant>
        <vt:lpwstr>_Toc183118107</vt:lpwstr>
      </vt:variant>
      <vt:variant>
        <vt:i4>1441842</vt:i4>
      </vt:variant>
      <vt:variant>
        <vt:i4>143</vt:i4>
      </vt:variant>
      <vt:variant>
        <vt:i4>0</vt:i4>
      </vt:variant>
      <vt:variant>
        <vt:i4>5</vt:i4>
      </vt:variant>
      <vt:variant>
        <vt:lpwstr/>
      </vt:variant>
      <vt:variant>
        <vt:lpwstr>_Toc183118106</vt:lpwstr>
      </vt:variant>
      <vt:variant>
        <vt:i4>1441842</vt:i4>
      </vt:variant>
      <vt:variant>
        <vt:i4>137</vt:i4>
      </vt:variant>
      <vt:variant>
        <vt:i4>0</vt:i4>
      </vt:variant>
      <vt:variant>
        <vt:i4>5</vt:i4>
      </vt:variant>
      <vt:variant>
        <vt:lpwstr/>
      </vt:variant>
      <vt:variant>
        <vt:lpwstr>_Toc183118105</vt:lpwstr>
      </vt:variant>
      <vt:variant>
        <vt:i4>1441842</vt:i4>
      </vt:variant>
      <vt:variant>
        <vt:i4>131</vt:i4>
      </vt:variant>
      <vt:variant>
        <vt:i4>0</vt:i4>
      </vt:variant>
      <vt:variant>
        <vt:i4>5</vt:i4>
      </vt:variant>
      <vt:variant>
        <vt:lpwstr/>
      </vt:variant>
      <vt:variant>
        <vt:lpwstr>_Toc183118104</vt:lpwstr>
      </vt:variant>
      <vt:variant>
        <vt:i4>1441842</vt:i4>
      </vt:variant>
      <vt:variant>
        <vt:i4>125</vt:i4>
      </vt:variant>
      <vt:variant>
        <vt:i4>0</vt:i4>
      </vt:variant>
      <vt:variant>
        <vt:i4>5</vt:i4>
      </vt:variant>
      <vt:variant>
        <vt:lpwstr/>
      </vt:variant>
      <vt:variant>
        <vt:lpwstr>_Toc183118103</vt:lpwstr>
      </vt:variant>
      <vt:variant>
        <vt:i4>1441842</vt:i4>
      </vt:variant>
      <vt:variant>
        <vt:i4>119</vt:i4>
      </vt:variant>
      <vt:variant>
        <vt:i4>0</vt:i4>
      </vt:variant>
      <vt:variant>
        <vt:i4>5</vt:i4>
      </vt:variant>
      <vt:variant>
        <vt:lpwstr/>
      </vt:variant>
      <vt:variant>
        <vt:lpwstr>_Toc183118102</vt:lpwstr>
      </vt:variant>
      <vt:variant>
        <vt:i4>1441842</vt:i4>
      </vt:variant>
      <vt:variant>
        <vt:i4>113</vt:i4>
      </vt:variant>
      <vt:variant>
        <vt:i4>0</vt:i4>
      </vt:variant>
      <vt:variant>
        <vt:i4>5</vt:i4>
      </vt:variant>
      <vt:variant>
        <vt:lpwstr/>
      </vt:variant>
      <vt:variant>
        <vt:lpwstr>_Toc183118101</vt:lpwstr>
      </vt:variant>
      <vt:variant>
        <vt:i4>1441842</vt:i4>
      </vt:variant>
      <vt:variant>
        <vt:i4>107</vt:i4>
      </vt:variant>
      <vt:variant>
        <vt:i4>0</vt:i4>
      </vt:variant>
      <vt:variant>
        <vt:i4>5</vt:i4>
      </vt:variant>
      <vt:variant>
        <vt:lpwstr/>
      </vt:variant>
      <vt:variant>
        <vt:lpwstr>_Toc183118100</vt:lpwstr>
      </vt:variant>
      <vt:variant>
        <vt:i4>2031667</vt:i4>
      </vt:variant>
      <vt:variant>
        <vt:i4>101</vt:i4>
      </vt:variant>
      <vt:variant>
        <vt:i4>0</vt:i4>
      </vt:variant>
      <vt:variant>
        <vt:i4>5</vt:i4>
      </vt:variant>
      <vt:variant>
        <vt:lpwstr/>
      </vt:variant>
      <vt:variant>
        <vt:lpwstr>_Toc183118099</vt:lpwstr>
      </vt:variant>
      <vt:variant>
        <vt:i4>2031667</vt:i4>
      </vt:variant>
      <vt:variant>
        <vt:i4>95</vt:i4>
      </vt:variant>
      <vt:variant>
        <vt:i4>0</vt:i4>
      </vt:variant>
      <vt:variant>
        <vt:i4>5</vt:i4>
      </vt:variant>
      <vt:variant>
        <vt:lpwstr/>
      </vt:variant>
      <vt:variant>
        <vt:lpwstr>_Toc183118098</vt:lpwstr>
      </vt:variant>
      <vt:variant>
        <vt:i4>2031667</vt:i4>
      </vt:variant>
      <vt:variant>
        <vt:i4>89</vt:i4>
      </vt:variant>
      <vt:variant>
        <vt:i4>0</vt:i4>
      </vt:variant>
      <vt:variant>
        <vt:i4>5</vt:i4>
      </vt:variant>
      <vt:variant>
        <vt:lpwstr/>
      </vt:variant>
      <vt:variant>
        <vt:lpwstr>_Toc183118097</vt:lpwstr>
      </vt:variant>
      <vt:variant>
        <vt:i4>2031667</vt:i4>
      </vt:variant>
      <vt:variant>
        <vt:i4>83</vt:i4>
      </vt:variant>
      <vt:variant>
        <vt:i4>0</vt:i4>
      </vt:variant>
      <vt:variant>
        <vt:i4>5</vt:i4>
      </vt:variant>
      <vt:variant>
        <vt:lpwstr/>
      </vt:variant>
      <vt:variant>
        <vt:lpwstr>_Toc183118096</vt:lpwstr>
      </vt:variant>
      <vt:variant>
        <vt:i4>2031667</vt:i4>
      </vt:variant>
      <vt:variant>
        <vt:i4>77</vt:i4>
      </vt:variant>
      <vt:variant>
        <vt:i4>0</vt:i4>
      </vt:variant>
      <vt:variant>
        <vt:i4>5</vt:i4>
      </vt:variant>
      <vt:variant>
        <vt:lpwstr/>
      </vt:variant>
      <vt:variant>
        <vt:lpwstr>_Toc183118095</vt:lpwstr>
      </vt:variant>
      <vt:variant>
        <vt:i4>2031667</vt:i4>
      </vt:variant>
      <vt:variant>
        <vt:i4>71</vt:i4>
      </vt:variant>
      <vt:variant>
        <vt:i4>0</vt:i4>
      </vt:variant>
      <vt:variant>
        <vt:i4>5</vt:i4>
      </vt:variant>
      <vt:variant>
        <vt:lpwstr/>
      </vt:variant>
      <vt:variant>
        <vt:lpwstr>_Toc183118094</vt:lpwstr>
      </vt:variant>
      <vt:variant>
        <vt:i4>2031667</vt:i4>
      </vt:variant>
      <vt:variant>
        <vt:i4>65</vt:i4>
      </vt:variant>
      <vt:variant>
        <vt:i4>0</vt:i4>
      </vt:variant>
      <vt:variant>
        <vt:i4>5</vt:i4>
      </vt:variant>
      <vt:variant>
        <vt:lpwstr/>
      </vt:variant>
      <vt:variant>
        <vt:lpwstr>_Toc183118093</vt:lpwstr>
      </vt:variant>
      <vt:variant>
        <vt:i4>2031667</vt:i4>
      </vt:variant>
      <vt:variant>
        <vt:i4>59</vt:i4>
      </vt:variant>
      <vt:variant>
        <vt:i4>0</vt:i4>
      </vt:variant>
      <vt:variant>
        <vt:i4>5</vt:i4>
      </vt:variant>
      <vt:variant>
        <vt:lpwstr/>
      </vt:variant>
      <vt:variant>
        <vt:lpwstr>_Toc183118092</vt:lpwstr>
      </vt:variant>
      <vt:variant>
        <vt:i4>2031667</vt:i4>
      </vt:variant>
      <vt:variant>
        <vt:i4>53</vt:i4>
      </vt:variant>
      <vt:variant>
        <vt:i4>0</vt:i4>
      </vt:variant>
      <vt:variant>
        <vt:i4>5</vt:i4>
      </vt:variant>
      <vt:variant>
        <vt:lpwstr/>
      </vt:variant>
      <vt:variant>
        <vt:lpwstr>_Toc183118091</vt:lpwstr>
      </vt:variant>
      <vt:variant>
        <vt:i4>2031667</vt:i4>
      </vt:variant>
      <vt:variant>
        <vt:i4>47</vt:i4>
      </vt:variant>
      <vt:variant>
        <vt:i4>0</vt:i4>
      </vt:variant>
      <vt:variant>
        <vt:i4>5</vt:i4>
      </vt:variant>
      <vt:variant>
        <vt:lpwstr/>
      </vt:variant>
      <vt:variant>
        <vt:lpwstr>_Toc183118090</vt:lpwstr>
      </vt:variant>
      <vt:variant>
        <vt:i4>1966131</vt:i4>
      </vt:variant>
      <vt:variant>
        <vt:i4>41</vt:i4>
      </vt:variant>
      <vt:variant>
        <vt:i4>0</vt:i4>
      </vt:variant>
      <vt:variant>
        <vt:i4>5</vt:i4>
      </vt:variant>
      <vt:variant>
        <vt:lpwstr/>
      </vt:variant>
      <vt:variant>
        <vt:lpwstr>_Toc183118089</vt:lpwstr>
      </vt:variant>
      <vt:variant>
        <vt:i4>1966131</vt:i4>
      </vt:variant>
      <vt:variant>
        <vt:i4>35</vt:i4>
      </vt:variant>
      <vt:variant>
        <vt:i4>0</vt:i4>
      </vt:variant>
      <vt:variant>
        <vt:i4>5</vt:i4>
      </vt:variant>
      <vt:variant>
        <vt:lpwstr/>
      </vt:variant>
      <vt:variant>
        <vt:lpwstr>_Toc183118088</vt:lpwstr>
      </vt:variant>
      <vt:variant>
        <vt:i4>1966131</vt:i4>
      </vt:variant>
      <vt:variant>
        <vt:i4>29</vt:i4>
      </vt:variant>
      <vt:variant>
        <vt:i4>0</vt:i4>
      </vt:variant>
      <vt:variant>
        <vt:i4>5</vt:i4>
      </vt:variant>
      <vt:variant>
        <vt:lpwstr/>
      </vt:variant>
      <vt:variant>
        <vt:lpwstr>_Toc183118087</vt:lpwstr>
      </vt:variant>
      <vt:variant>
        <vt:i4>1966131</vt:i4>
      </vt:variant>
      <vt:variant>
        <vt:i4>23</vt:i4>
      </vt:variant>
      <vt:variant>
        <vt:i4>0</vt:i4>
      </vt:variant>
      <vt:variant>
        <vt:i4>5</vt:i4>
      </vt:variant>
      <vt:variant>
        <vt:lpwstr/>
      </vt:variant>
      <vt:variant>
        <vt:lpwstr>_Toc183118086</vt:lpwstr>
      </vt:variant>
      <vt:variant>
        <vt:i4>1966131</vt:i4>
      </vt:variant>
      <vt:variant>
        <vt:i4>17</vt:i4>
      </vt:variant>
      <vt:variant>
        <vt:i4>0</vt:i4>
      </vt:variant>
      <vt:variant>
        <vt:i4>5</vt:i4>
      </vt:variant>
      <vt:variant>
        <vt:lpwstr/>
      </vt:variant>
      <vt:variant>
        <vt:lpwstr>_Toc183118085</vt:lpwstr>
      </vt:variant>
      <vt:variant>
        <vt:i4>1966131</vt:i4>
      </vt:variant>
      <vt:variant>
        <vt:i4>11</vt:i4>
      </vt:variant>
      <vt:variant>
        <vt:i4>0</vt:i4>
      </vt:variant>
      <vt:variant>
        <vt:i4>5</vt:i4>
      </vt:variant>
      <vt:variant>
        <vt:lpwstr/>
      </vt:variant>
      <vt:variant>
        <vt:lpwstr>_Toc183118084</vt:lpwstr>
      </vt:variant>
      <vt:variant>
        <vt:i4>1966131</vt:i4>
      </vt:variant>
      <vt:variant>
        <vt:i4>5</vt:i4>
      </vt:variant>
      <vt:variant>
        <vt:i4>0</vt:i4>
      </vt:variant>
      <vt:variant>
        <vt:i4>5</vt:i4>
      </vt:variant>
      <vt:variant>
        <vt:lpwstr/>
      </vt:variant>
      <vt:variant>
        <vt:lpwstr>_Toc183118083</vt:lpwstr>
      </vt:variant>
      <vt:variant>
        <vt:i4>4980782</vt:i4>
      </vt:variant>
      <vt:variant>
        <vt:i4>0</vt:i4>
      </vt:variant>
      <vt:variant>
        <vt:i4>0</vt:i4>
      </vt:variant>
      <vt:variant>
        <vt:i4>5</vt:i4>
      </vt:variant>
      <vt:variant>
        <vt:lpwstr>C:\Users\jnf\Desktop\Proposed Decisions\www.cpuc.ca.gov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2024-11-25T18:32:00Z</cp:lastPrinted>
  <dcterms:created xsi:type="dcterms:W3CDTF">2024-12-16T10:57:50Z</dcterms:created>
  <dcterms:modified xsi:type="dcterms:W3CDTF">2024-12-16T10:57:50Z</dcterms:modified>
</cp:coreProperties>
</file>